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0" w:lineRule="auto" w:before="62"/>
        <w:ind w:left="947" w:right="1447" w:firstLine="0"/>
        <w:jc w:val="center"/>
        <w:rPr>
          <w:b/>
          <w:sz w:val="28"/>
        </w:rPr>
      </w:pPr>
      <w:r>
        <w:rPr/>
        <w:drawing>
          <wp:anchor distT="0" distB="0" distL="0" distR="0" allowOverlap="1" layoutInCell="1" locked="0" behindDoc="1" simplePos="0" relativeHeight="477663232">
            <wp:simplePos x="0" y="0"/>
            <wp:positionH relativeFrom="page">
              <wp:posOffset>1095451</wp:posOffset>
            </wp:positionH>
            <wp:positionV relativeFrom="paragraph">
              <wp:posOffset>1850770</wp:posOffset>
            </wp:positionV>
            <wp:extent cx="5106847" cy="523811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106847" cy="5238115"/>
                    </a:xfrm>
                    <a:prstGeom prst="rect">
                      <a:avLst/>
                    </a:prstGeom>
                  </pic:spPr>
                </pic:pic>
              </a:graphicData>
            </a:graphic>
          </wp:anchor>
        </w:drawing>
      </w:r>
      <w:r>
        <w:rPr>
          <w:b/>
          <w:sz w:val="28"/>
        </w:rPr>
        <w:t>BOARD</w:t>
      </w:r>
      <w:r>
        <w:rPr>
          <w:b/>
          <w:spacing w:val="-5"/>
          <w:sz w:val="28"/>
        </w:rPr>
        <w:t> </w:t>
      </w:r>
      <w:r>
        <w:rPr>
          <w:b/>
          <w:sz w:val="28"/>
        </w:rPr>
        <w:t>ATTRIBUTES,</w:t>
      </w:r>
      <w:r>
        <w:rPr>
          <w:b/>
          <w:spacing w:val="-7"/>
          <w:sz w:val="28"/>
        </w:rPr>
        <w:t> </w:t>
      </w:r>
      <w:r>
        <w:rPr>
          <w:b/>
          <w:sz w:val="28"/>
        </w:rPr>
        <w:t>OWNERSHIP</w:t>
      </w:r>
      <w:r>
        <w:rPr>
          <w:b/>
          <w:spacing w:val="-7"/>
          <w:sz w:val="28"/>
        </w:rPr>
        <w:t> </w:t>
      </w:r>
      <w:r>
        <w:rPr>
          <w:b/>
          <w:sz w:val="28"/>
        </w:rPr>
        <w:t>STRUCTURE</w:t>
      </w:r>
      <w:r>
        <w:rPr>
          <w:b/>
          <w:spacing w:val="-9"/>
          <w:sz w:val="28"/>
        </w:rPr>
        <w:t> </w:t>
      </w:r>
      <w:r>
        <w:rPr>
          <w:b/>
          <w:sz w:val="28"/>
        </w:rPr>
        <w:t>AND</w:t>
      </w:r>
      <w:r>
        <w:rPr>
          <w:b/>
          <w:spacing w:val="-5"/>
          <w:sz w:val="28"/>
        </w:rPr>
        <w:t> </w:t>
      </w:r>
      <w:r>
        <w:rPr>
          <w:b/>
          <w:sz w:val="28"/>
        </w:rPr>
        <w:t>REPORTING QUALITY IN A POST-IFRS REGIME: A DIFFERENCE-IN- DIFFERENCE REGRESSION TECHNIQUE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line="482" w:lineRule="auto" w:before="0"/>
        <w:ind w:left="2779" w:right="3277" w:firstLine="0"/>
        <w:jc w:val="center"/>
        <w:rPr>
          <w:b/>
          <w:sz w:val="28"/>
        </w:rPr>
      </w:pPr>
      <w:r>
        <w:rPr>
          <w:b/>
          <w:sz w:val="28"/>
        </w:rPr>
        <w:t>IGBINEWEKA,</w:t>
      </w:r>
      <w:r>
        <w:rPr>
          <w:b/>
          <w:spacing w:val="-16"/>
          <w:sz w:val="28"/>
        </w:rPr>
        <w:t> </w:t>
      </w:r>
      <w:r>
        <w:rPr>
          <w:b/>
          <w:sz w:val="28"/>
        </w:rPr>
        <w:t>Augustine</w:t>
      </w:r>
      <w:r>
        <w:rPr>
          <w:b/>
          <w:spacing w:val="-18"/>
          <w:sz w:val="28"/>
        </w:rPr>
        <w:t> </w:t>
      </w:r>
      <w:r>
        <w:rPr>
          <w:b/>
          <w:sz w:val="28"/>
        </w:rPr>
        <w:t>Uyinmwen </w:t>
      </w:r>
      <w:r>
        <w:rPr>
          <w:b/>
          <w:spacing w:val="-2"/>
          <w:sz w:val="28"/>
        </w:rPr>
        <w:t>PG/09/017074/BMS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14"/>
        <w:rPr>
          <w:b/>
          <w:sz w:val="28"/>
        </w:rPr>
      </w:pPr>
    </w:p>
    <w:p>
      <w:pPr>
        <w:spacing w:before="0"/>
        <w:ind w:left="2779" w:right="3276" w:firstLine="0"/>
        <w:jc w:val="center"/>
        <w:rPr>
          <w:b/>
          <w:sz w:val="28"/>
        </w:rPr>
      </w:pPr>
      <w:r>
        <w:rPr>
          <w:b/>
          <w:sz w:val="28"/>
        </w:rPr>
        <w:t>IGBINEDION</w:t>
      </w:r>
      <w:r>
        <w:rPr>
          <w:b/>
          <w:spacing w:val="-18"/>
          <w:sz w:val="28"/>
        </w:rPr>
        <w:t> </w:t>
      </w:r>
      <w:r>
        <w:rPr>
          <w:b/>
          <w:sz w:val="28"/>
        </w:rPr>
        <w:t>UNIVERSITY,</w:t>
      </w:r>
      <w:r>
        <w:rPr>
          <w:b/>
          <w:spacing w:val="-17"/>
          <w:sz w:val="28"/>
        </w:rPr>
        <w:t> </w:t>
      </w:r>
      <w:r>
        <w:rPr>
          <w:b/>
          <w:sz w:val="28"/>
        </w:rPr>
        <w:t>OKADA, EDO STATE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72"/>
        <w:rPr>
          <w:b/>
          <w:sz w:val="28"/>
        </w:rPr>
      </w:pPr>
    </w:p>
    <w:p>
      <w:pPr>
        <w:spacing w:before="0"/>
        <w:ind w:left="0" w:right="494" w:firstLine="0"/>
        <w:jc w:val="center"/>
        <w:rPr>
          <w:b/>
          <w:sz w:val="28"/>
        </w:rPr>
      </w:pPr>
      <w:r>
        <w:rPr>
          <w:b/>
          <w:sz w:val="28"/>
        </w:rPr>
        <w:t>JUNE</w:t>
      </w:r>
      <w:r>
        <w:rPr>
          <w:b/>
          <w:spacing w:val="-4"/>
          <w:sz w:val="28"/>
        </w:rPr>
        <w:t> 2021</w:t>
      </w:r>
    </w:p>
    <w:p>
      <w:pPr>
        <w:spacing w:after="0"/>
        <w:jc w:val="center"/>
        <w:rPr>
          <w:sz w:val="28"/>
        </w:rPr>
        <w:sectPr>
          <w:type w:val="continuous"/>
          <w:pgSz w:w="11910" w:h="16840"/>
          <w:pgMar w:top="1360" w:bottom="280" w:left="500" w:right="0"/>
        </w:sectPr>
      </w:pPr>
    </w:p>
    <w:p>
      <w:pPr>
        <w:spacing w:line="360" w:lineRule="auto" w:before="62"/>
        <w:ind w:left="947" w:right="1447" w:firstLine="0"/>
        <w:jc w:val="center"/>
        <w:rPr>
          <w:b/>
          <w:sz w:val="28"/>
        </w:rPr>
      </w:pPr>
      <w:r>
        <w:rPr/>
        <w:drawing>
          <wp:anchor distT="0" distB="0" distL="0" distR="0" allowOverlap="1" layoutInCell="1" locked="0" behindDoc="1" simplePos="0" relativeHeight="477663744">
            <wp:simplePos x="0" y="0"/>
            <wp:positionH relativeFrom="page">
              <wp:posOffset>1095451</wp:posOffset>
            </wp:positionH>
            <wp:positionV relativeFrom="paragraph">
              <wp:posOffset>1850770</wp:posOffset>
            </wp:positionV>
            <wp:extent cx="5106847" cy="523811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5106847" cy="5238115"/>
                    </a:xfrm>
                    <a:prstGeom prst="rect">
                      <a:avLst/>
                    </a:prstGeom>
                  </pic:spPr>
                </pic:pic>
              </a:graphicData>
            </a:graphic>
          </wp:anchor>
        </w:drawing>
      </w:r>
      <w:r>
        <w:rPr>
          <w:b/>
          <w:sz w:val="28"/>
        </w:rPr>
        <w:t>BOARD</w:t>
      </w:r>
      <w:r>
        <w:rPr>
          <w:b/>
          <w:spacing w:val="-5"/>
          <w:sz w:val="28"/>
        </w:rPr>
        <w:t> </w:t>
      </w:r>
      <w:r>
        <w:rPr>
          <w:b/>
          <w:sz w:val="28"/>
        </w:rPr>
        <w:t>ATTRIBUTES,</w:t>
      </w:r>
      <w:r>
        <w:rPr>
          <w:b/>
          <w:spacing w:val="-7"/>
          <w:sz w:val="28"/>
        </w:rPr>
        <w:t> </w:t>
      </w:r>
      <w:r>
        <w:rPr>
          <w:b/>
          <w:sz w:val="28"/>
        </w:rPr>
        <w:t>OWNERSHIP</w:t>
      </w:r>
      <w:r>
        <w:rPr>
          <w:b/>
          <w:spacing w:val="-7"/>
          <w:sz w:val="28"/>
        </w:rPr>
        <w:t> </w:t>
      </w:r>
      <w:r>
        <w:rPr>
          <w:b/>
          <w:sz w:val="28"/>
        </w:rPr>
        <w:t>STRUCTURE</w:t>
      </w:r>
      <w:r>
        <w:rPr>
          <w:b/>
          <w:spacing w:val="-9"/>
          <w:sz w:val="28"/>
        </w:rPr>
        <w:t> </w:t>
      </w:r>
      <w:r>
        <w:rPr>
          <w:b/>
          <w:sz w:val="28"/>
        </w:rPr>
        <w:t>AND</w:t>
      </w:r>
      <w:r>
        <w:rPr>
          <w:b/>
          <w:spacing w:val="-5"/>
          <w:sz w:val="28"/>
        </w:rPr>
        <w:t> </w:t>
      </w:r>
      <w:r>
        <w:rPr>
          <w:b/>
          <w:sz w:val="28"/>
        </w:rPr>
        <w:t>REPORTING QUALITY IN A POST-IFRS REGIME: A DIFFERENCE-IN- DIFFERENCE REGRESSION TECHNIQUE</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4"/>
        <w:rPr>
          <w:b/>
          <w:sz w:val="28"/>
        </w:rPr>
      </w:pPr>
    </w:p>
    <w:p>
      <w:pPr>
        <w:spacing w:line="480" w:lineRule="auto" w:before="0"/>
        <w:ind w:left="2779" w:right="3277" w:firstLine="0"/>
        <w:jc w:val="center"/>
        <w:rPr>
          <w:b/>
          <w:sz w:val="28"/>
        </w:rPr>
      </w:pPr>
      <w:r>
        <w:rPr>
          <w:b/>
          <w:sz w:val="28"/>
        </w:rPr>
        <w:t>IGBINEWEKA,</w:t>
      </w:r>
      <w:r>
        <w:rPr>
          <w:b/>
          <w:spacing w:val="-16"/>
          <w:sz w:val="28"/>
        </w:rPr>
        <w:t> </w:t>
      </w:r>
      <w:r>
        <w:rPr>
          <w:b/>
          <w:sz w:val="28"/>
        </w:rPr>
        <w:t>Augustine</w:t>
      </w:r>
      <w:r>
        <w:rPr>
          <w:b/>
          <w:spacing w:val="-18"/>
          <w:sz w:val="28"/>
        </w:rPr>
        <w:t> </w:t>
      </w:r>
      <w:r>
        <w:rPr>
          <w:b/>
          <w:sz w:val="28"/>
        </w:rPr>
        <w:t>Uyinmwen </w:t>
      </w:r>
      <w:r>
        <w:rPr>
          <w:b/>
          <w:spacing w:val="-2"/>
          <w:sz w:val="28"/>
        </w:rPr>
        <w:t>PG/09/017074/BMS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45"/>
        <w:rPr>
          <w:b/>
          <w:sz w:val="28"/>
        </w:rPr>
      </w:pPr>
    </w:p>
    <w:p>
      <w:pPr>
        <w:spacing w:line="240" w:lineRule="auto" w:before="0"/>
        <w:ind w:left="971" w:right="1466" w:hanging="6"/>
        <w:jc w:val="center"/>
        <w:rPr>
          <w:b/>
          <w:sz w:val="28"/>
        </w:rPr>
      </w:pPr>
      <w:r>
        <w:rPr>
          <w:b/>
          <w:sz w:val="28"/>
        </w:rPr>
        <w:t>BEING A Ph.D. THESIS PRESENTED TO THE DEPARTMENT OF ACCOUNTING, MALLAM SANUSI LAMIDO SANUSI COLLEGE OF BUSINESS AND MANAGEMENT STUDIES, IN PARTIAL FULFILMENT</w:t>
      </w:r>
      <w:r>
        <w:rPr>
          <w:b/>
          <w:spacing w:val="-4"/>
          <w:sz w:val="28"/>
        </w:rPr>
        <w:t> </w:t>
      </w:r>
      <w:r>
        <w:rPr>
          <w:b/>
          <w:sz w:val="28"/>
        </w:rPr>
        <w:t>OF</w:t>
      </w:r>
      <w:r>
        <w:rPr>
          <w:b/>
          <w:spacing w:val="-6"/>
          <w:sz w:val="28"/>
        </w:rPr>
        <w:t> </w:t>
      </w:r>
      <w:r>
        <w:rPr>
          <w:b/>
          <w:sz w:val="28"/>
        </w:rPr>
        <w:t>THE</w:t>
      </w:r>
      <w:r>
        <w:rPr>
          <w:b/>
          <w:spacing w:val="-4"/>
          <w:sz w:val="28"/>
        </w:rPr>
        <w:t> </w:t>
      </w:r>
      <w:r>
        <w:rPr>
          <w:b/>
          <w:sz w:val="28"/>
        </w:rPr>
        <w:t>REQUIREMENTS</w:t>
      </w:r>
      <w:r>
        <w:rPr>
          <w:b/>
          <w:spacing w:val="-6"/>
          <w:sz w:val="28"/>
        </w:rPr>
        <w:t> </w:t>
      </w:r>
      <w:r>
        <w:rPr>
          <w:b/>
          <w:sz w:val="28"/>
        </w:rPr>
        <w:t>FOR</w:t>
      </w:r>
      <w:r>
        <w:rPr>
          <w:b/>
          <w:spacing w:val="-3"/>
          <w:sz w:val="28"/>
        </w:rPr>
        <w:t> </w:t>
      </w:r>
      <w:r>
        <w:rPr>
          <w:b/>
          <w:sz w:val="28"/>
        </w:rPr>
        <w:t>THE</w:t>
      </w:r>
      <w:r>
        <w:rPr>
          <w:b/>
          <w:spacing w:val="-7"/>
          <w:sz w:val="28"/>
        </w:rPr>
        <w:t> </w:t>
      </w:r>
      <w:r>
        <w:rPr>
          <w:b/>
          <w:sz w:val="28"/>
        </w:rPr>
        <w:t>AWARD OF</w:t>
      </w:r>
      <w:r>
        <w:rPr>
          <w:b/>
          <w:spacing w:val="-3"/>
          <w:sz w:val="28"/>
        </w:rPr>
        <w:t> </w:t>
      </w:r>
      <w:r>
        <w:rPr>
          <w:b/>
          <w:sz w:val="28"/>
        </w:rPr>
        <w:t>THE DOCTOR OF PHILOSOPHY (Ph.D.) IN ACCOUNTING, IGBINEDION UNIVERSITY, OKADA, EDO STATE, NIGERIA</w:t>
      </w:r>
    </w:p>
    <w:p>
      <w:pPr>
        <w:pStyle w:val="BodyText"/>
        <w:rPr>
          <w:b/>
          <w:sz w:val="28"/>
        </w:rPr>
      </w:pPr>
    </w:p>
    <w:p>
      <w:pPr>
        <w:pStyle w:val="BodyText"/>
        <w:rPr>
          <w:b/>
          <w:sz w:val="28"/>
        </w:rPr>
      </w:pPr>
    </w:p>
    <w:p>
      <w:pPr>
        <w:pStyle w:val="BodyText"/>
        <w:rPr>
          <w:b/>
          <w:sz w:val="28"/>
        </w:rPr>
      </w:pPr>
    </w:p>
    <w:p>
      <w:pPr>
        <w:pStyle w:val="BodyText"/>
        <w:spacing w:before="232"/>
        <w:rPr>
          <w:b/>
          <w:sz w:val="28"/>
        </w:rPr>
      </w:pPr>
    </w:p>
    <w:p>
      <w:pPr>
        <w:spacing w:line="322" w:lineRule="exact" w:before="0"/>
        <w:ind w:left="940" w:right="0" w:firstLine="0"/>
        <w:jc w:val="left"/>
        <w:rPr>
          <w:b/>
          <w:sz w:val="28"/>
        </w:rPr>
      </w:pPr>
      <w:r>
        <w:rPr>
          <w:b/>
          <w:spacing w:val="-2"/>
          <w:sz w:val="28"/>
        </w:rPr>
        <w:t>SUPERVISORS:</w:t>
      </w:r>
    </w:p>
    <w:p>
      <w:pPr>
        <w:spacing w:before="0"/>
        <w:ind w:left="940" w:right="3317" w:firstLine="0"/>
        <w:jc w:val="left"/>
        <w:rPr>
          <w:b/>
          <w:sz w:val="28"/>
        </w:rPr>
      </w:pPr>
      <w:r>
        <w:rPr>
          <w:b/>
          <w:sz w:val="28"/>
        </w:rPr>
        <w:t>DR.</w:t>
      </w:r>
      <w:r>
        <w:rPr>
          <w:b/>
          <w:spacing w:val="-12"/>
          <w:sz w:val="28"/>
        </w:rPr>
        <w:t> </w:t>
      </w:r>
      <w:r>
        <w:rPr>
          <w:b/>
          <w:sz w:val="28"/>
        </w:rPr>
        <w:t>ATU,</w:t>
      </w:r>
      <w:r>
        <w:rPr>
          <w:b/>
          <w:spacing w:val="-10"/>
          <w:sz w:val="28"/>
        </w:rPr>
        <w:t> </w:t>
      </w:r>
      <w:r>
        <w:rPr>
          <w:b/>
          <w:sz w:val="28"/>
        </w:rPr>
        <w:t>OMIMI-EJOOR</w:t>
      </w:r>
      <w:r>
        <w:rPr>
          <w:b/>
          <w:spacing w:val="-8"/>
          <w:sz w:val="28"/>
        </w:rPr>
        <w:t> </w:t>
      </w:r>
      <w:r>
        <w:rPr>
          <w:b/>
          <w:sz w:val="28"/>
        </w:rPr>
        <w:t>OSARETIN</w:t>
      </w:r>
      <w:r>
        <w:rPr>
          <w:b/>
          <w:spacing w:val="-8"/>
          <w:sz w:val="28"/>
        </w:rPr>
        <w:t> </w:t>
      </w:r>
      <w:r>
        <w:rPr>
          <w:b/>
          <w:sz w:val="28"/>
        </w:rPr>
        <w:t>KINGSLEY PROF. RAPH IGBINOSA ADEGHE</w:t>
      </w:r>
    </w:p>
    <w:p>
      <w:pPr>
        <w:spacing w:after="0"/>
        <w:jc w:val="left"/>
        <w:rPr>
          <w:sz w:val="28"/>
        </w:rPr>
        <w:sectPr>
          <w:footerReference w:type="default" r:id="rId6"/>
          <w:pgSz w:w="11910" w:h="16840"/>
          <w:pgMar w:header="0" w:footer="971" w:top="1360" w:bottom="1160" w:left="500" w:right="0"/>
          <w:pgNumType w:start="1"/>
        </w:sectPr>
      </w:pPr>
    </w:p>
    <w:p>
      <w:pPr>
        <w:pStyle w:val="Heading2"/>
        <w:ind w:right="498"/>
      </w:pPr>
      <w:r>
        <w:rPr>
          <w:spacing w:val="-2"/>
        </w:rPr>
        <w:t>DECLARATION</w:t>
      </w:r>
    </w:p>
    <w:p>
      <w:pPr>
        <w:pStyle w:val="BodyText"/>
        <w:rPr>
          <w:b/>
        </w:rPr>
      </w:pPr>
    </w:p>
    <w:p>
      <w:pPr>
        <w:pStyle w:val="BodyText"/>
        <w:ind w:left="940"/>
      </w:pPr>
      <w:r>
        <w:rPr/>
        <w:t>I</w:t>
      </w:r>
      <w:r>
        <w:rPr>
          <w:spacing w:val="-4"/>
        </w:rPr>
        <w:t> </w:t>
      </w:r>
      <w:r>
        <w:rPr/>
        <w:t>declare</w:t>
      </w:r>
      <w:r>
        <w:rPr>
          <w:spacing w:val="-1"/>
        </w:rPr>
        <w:t> </w:t>
      </w:r>
      <w:r>
        <w:rPr>
          <w:spacing w:val="-2"/>
        </w:rPr>
        <w:t>that:</w:t>
      </w:r>
    </w:p>
    <w:p>
      <w:pPr>
        <w:pStyle w:val="BodyText"/>
      </w:pPr>
    </w:p>
    <w:p>
      <w:pPr>
        <w:pStyle w:val="ListParagraph"/>
        <w:numPr>
          <w:ilvl w:val="0"/>
          <w:numId w:val="1"/>
        </w:numPr>
        <w:tabs>
          <w:tab w:pos="1660" w:val="left" w:leader="none"/>
        </w:tabs>
        <w:spacing w:line="480" w:lineRule="auto" w:before="0" w:after="0"/>
        <w:ind w:left="1660" w:right="1435" w:hanging="360"/>
        <w:jc w:val="both"/>
        <w:rPr>
          <w:sz w:val="24"/>
        </w:rPr>
      </w:pPr>
      <w:r>
        <w:rPr/>
        <w:drawing>
          <wp:anchor distT="0" distB="0" distL="0" distR="0" allowOverlap="1" layoutInCell="1" locked="0" behindDoc="1" simplePos="0" relativeHeight="477664256">
            <wp:simplePos x="0" y="0"/>
            <wp:positionH relativeFrom="page">
              <wp:posOffset>1095451</wp:posOffset>
            </wp:positionH>
            <wp:positionV relativeFrom="paragraph">
              <wp:posOffset>1111055</wp:posOffset>
            </wp:positionV>
            <wp:extent cx="5106847" cy="523811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This thesis is based on the study undertaken by me, IGBINEWEKA Augustine Uyinmwen,</w:t>
      </w:r>
      <w:r>
        <w:rPr>
          <w:spacing w:val="-9"/>
          <w:sz w:val="24"/>
        </w:rPr>
        <w:t> </w:t>
      </w:r>
      <w:r>
        <w:rPr>
          <w:sz w:val="24"/>
        </w:rPr>
        <w:t>in</w:t>
      </w:r>
      <w:r>
        <w:rPr>
          <w:spacing w:val="-9"/>
          <w:sz w:val="24"/>
        </w:rPr>
        <w:t> </w:t>
      </w:r>
      <w:r>
        <w:rPr>
          <w:sz w:val="24"/>
        </w:rPr>
        <w:t>the</w:t>
      </w:r>
      <w:r>
        <w:rPr>
          <w:spacing w:val="-10"/>
          <w:sz w:val="24"/>
        </w:rPr>
        <w:t> </w:t>
      </w:r>
      <w:r>
        <w:rPr>
          <w:sz w:val="24"/>
        </w:rPr>
        <w:t>Department</w:t>
      </w:r>
      <w:r>
        <w:rPr>
          <w:spacing w:val="-9"/>
          <w:sz w:val="24"/>
        </w:rPr>
        <w:t> </w:t>
      </w:r>
      <w:r>
        <w:rPr>
          <w:sz w:val="24"/>
        </w:rPr>
        <w:t>of</w:t>
      </w:r>
      <w:r>
        <w:rPr>
          <w:spacing w:val="-10"/>
          <w:sz w:val="24"/>
        </w:rPr>
        <w:t> </w:t>
      </w:r>
      <w:r>
        <w:rPr>
          <w:sz w:val="24"/>
        </w:rPr>
        <w:t>Accounting,</w:t>
      </w:r>
      <w:r>
        <w:rPr>
          <w:spacing w:val="-7"/>
          <w:sz w:val="24"/>
        </w:rPr>
        <w:t> </w:t>
      </w:r>
      <w:r>
        <w:rPr>
          <w:sz w:val="24"/>
        </w:rPr>
        <w:t>Igbinedion</w:t>
      </w:r>
      <w:r>
        <w:rPr>
          <w:spacing w:val="-9"/>
          <w:sz w:val="24"/>
        </w:rPr>
        <w:t> </w:t>
      </w:r>
      <w:r>
        <w:rPr>
          <w:sz w:val="24"/>
        </w:rPr>
        <w:t>University,</w:t>
      </w:r>
      <w:r>
        <w:rPr>
          <w:spacing w:val="-9"/>
          <w:sz w:val="24"/>
        </w:rPr>
        <w:t> </w:t>
      </w:r>
      <w:r>
        <w:rPr>
          <w:sz w:val="24"/>
        </w:rPr>
        <w:t>Okada,</w:t>
      </w:r>
      <w:r>
        <w:rPr>
          <w:spacing w:val="-9"/>
          <w:sz w:val="24"/>
        </w:rPr>
        <w:t> </w:t>
      </w:r>
      <w:r>
        <w:rPr>
          <w:sz w:val="24"/>
        </w:rPr>
        <w:t>under</w:t>
      </w:r>
      <w:r>
        <w:rPr>
          <w:spacing w:val="-10"/>
          <w:sz w:val="24"/>
        </w:rPr>
        <w:t> </w:t>
      </w:r>
      <w:r>
        <w:rPr>
          <w:sz w:val="24"/>
        </w:rPr>
        <w:t>the Supervision of Dr. Atu, Omimi-Ejoor Osaretin Kingsley and Prof. Raph Igbinosa </w:t>
      </w:r>
      <w:r>
        <w:rPr>
          <w:spacing w:val="-2"/>
          <w:sz w:val="24"/>
        </w:rPr>
        <w:t>Adeghe.</w:t>
      </w:r>
    </w:p>
    <w:p>
      <w:pPr>
        <w:pStyle w:val="ListParagraph"/>
        <w:numPr>
          <w:ilvl w:val="0"/>
          <w:numId w:val="1"/>
        </w:numPr>
        <w:tabs>
          <w:tab w:pos="1659" w:val="left" w:leader="none"/>
        </w:tabs>
        <w:spacing w:line="240" w:lineRule="auto" w:before="1" w:after="0"/>
        <w:ind w:left="1659" w:right="0" w:hanging="359"/>
        <w:jc w:val="both"/>
        <w:rPr>
          <w:sz w:val="24"/>
        </w:rPr>
      </w:pPr>
      <w:r>
        <w:rPr>
          <w:sz w:val="24"/>
        </w:rPr>
        <w:t>This</w:t>
      </w:r>
      <w:r>
        <w:rPr>
          <w:spacing w:val="-1"/>
          <w:sz w:val="24"/>
        </w:rPr>
        <w:t> </w:t>
      </w:r>
      <w:r>
        <w:rPr>
          <w:sz w:val="24"/>
        </w:rPr>
        <w:t>thesis has</w:t>
      </w:r>
      <w:r>
        <w:rPr>
          <w:spacing w:val="-1"/>
          <w:sz w:val="24"/>
        </w:rPr>
        <w:t> </w:t>
      </w:r>
      <w:r>
        <w:rPr>
          <w:sz w:val="24"/>
        </w:rPr>
        <w:t>not been</w:t>
      </w:r>
      <w:r>
        <w:rPr>
          <w:spacing w:val="-1"/>
          <w:sz w:val="24"/>
        </w:rPr>
        <w:t> </w:t>
      </w:r>
      <w:r>
        <w:rPr>
          <w:sz w:val="24"/>
        </w:rPr>
        <w:t>submitted elsewhere</w:t>
      </w:r>
      <w:r>
        <w:rPr>
          <w:spacing w:val="-1"/>
          <w:sz w:val="24"/>
        </w:rPr>
        <w:t> </w:t>
      </w:r>
      <w:r>
        <w:rPr>
          <w:sz w:val="24"/>
        </w:rPr>
        <w:t>for</w:t>
      </w:r>
      <w:r>
        <w:rPr>
          <w:spacing w:val="-2"/>
          <w:sz w:val="24"/>
        </w:rPr>
        <w:t> </w:t>
      </w:r>
      <w:r>
        <w:rPr>
          <w:sz w:val="24"/>
        </w:rPr>
        <w:t>the</w:t>
      </w:r>
      <w:r>
        <w:rPr>
          <w:spacing w:val="-1"/>
          <w:sz w:val="24"/>
        </w:rPr>
        <w:t> </w:t>
      </w:r>
      <w:r>
        <w:rPr>
          <w:sz w:val="24"/>
        </w:rPr>
        <w:t>award</w:t>
      </w:r>
      <w:r>
        <w:rPr>
          <w:spacing w:val="-1"/>
          <w:sz w:val="24"/>
        </w:rPr>
        <w:t> </w:t>
      </w:r>
      <w:r>
        <w:rPr>
          <w:sz w:val="24"/>
        </w:rPr>
        <w:t>of</w:t>
      </w:r>
      <w:r>
        <w:rPr>
          <w:spacing w:val="-2"/>
          <w:sz w:val="24"/>
        </w:rPr>
        <w:t> </w:t>
      </w:r>
      <w:r>
        <w:rPr>
          <w:sz w:val="24"/>
        </w:rPr>
        <w:t>a</w:t>
      </w:r>
      <w:r>
        <w:rPr>
          <w:spacing w:val="-2"/>
          <w:sz w:val="24"/>
        </w:rPr>
        <w:t> </w:t>
      </w:r>
      <w:r>
        <w:rPr>
          <w:sz w:val="24"/>
        </w:rPr>
        <w:t>degree</w:t>
      </w:r>
      <w:r>
        <w:rPr>
          <w:spacing w:val="-1"/>
          <w:sz w:val="24"/>
        </w:rPr>
        <w:t> </w:t>
      </w:r>
      <w:r>
        <w:rPr>
          <w:sz w:val="24"/>
        </w:rPr>
        <w:t>or </w:t>
      </w:r>
      <w:r>
        <w:rPr>
          <w:spacing w:val="-2"/>
          <w:sz w:val="24"/>
        </w:rPr>
        <w:t>diploma.</w:t>
      </w:r>
    </w:p>
    <w:p>
      <w:pPr>
        <w:pStyle w:val="BodyText"/>
      </w:pPr>
    </w:p>
    <w:p>
      <w:pPr>
        <w:pStyle w:val="ListParagraph"/>
        <w:numPr>
          <w:ilvl w:val="0"/>
          <w:numId w:val="1"/>
        </w:numPr>
        <w:tabs>
          <w:tab w:pos="1659" w:val="left" w:leader="none"/>
        </w:tabs>
        <w:spacing w:line="240" w:lineRule="auto" w:before="0" w:after="0"/>
        <w:ind w:left="1659" w:right="0" w:hanging="359"/>
        <w:jc w:val="both"/>
        <w:rPr>
          <w:sz w:val="24"/>
        </w:rPr>
      </w:pPr>
      <w:r>
        <w:rPr>
          <w:sz w:val="24"/>
        </w:rPr>
        <w:t>The</w:t>
      </w:r>
      <w:r>
        <w:rPr>
          <w:spacing w:val="-12"/>
          <w:sz w:val="24"/>
        </w:rPr>
        <w:t> </w:t>
      </w:r>
      <w:r>
        <w:rPr>
          <w:sz w:val="24"/>
        </w:rPr>
        <w:t>ideas</w:t>
      </w:r>
      <w:r>
        <w:rPr>
          <w:spacing w:val="-7"/>
          <w:sz w:val="24"/>
        </w:rPr>
        <w:t> </w:t>
      </w:r>
      <w:r>
        <w:rPr>
          <w:sz w:val="24"/>
        </w:rPr>
        <w:t>and</w:t>
      </w:r>
      <w:r>
        <w:rPr>
          <w:spacing w:val="-6"/>
          <w:sz w:val="24"/>
        </w:rPr>
        <w:t> </w:t>
      </w:r>
      <w:r>
        <w:rPr>
          <w:sz w:val="24"/>
        </w:rPr>
        <w:t>views</w:t>
      </w:r>
      <w:r>
        <w:rPr>
          <w:spacing w:val="-5"/>
          <w:sz w:val="24"/>
        </w:rPr>
        <w:t> </w:t>
      </w:r>
      <w:r>
        <w:rPr>
          <w:sz w:val="24"/>
        </w:rPr>
        <w:t>of</w:t>
      </w:r>
      <w:r>
        <w:rPr>
          <w:spacing w:val="-8"/>
          <w:sz w:val="24"/>
        </w:rPr>
        <w:t> </w:t>
      </w:r>
      <w:r>
        <w:rPr>
          <w:sz w:val="24"/>
        </w:rPr>
        <w:t>the</w:t>
      </w:r>
      <w:r>
        <w:rPr>
          <w:spacing w:val="-10"/>
          <w:sz w:val="24"/>
        </w:rPr>
        <w:t> </w:t>
      </w:r>
      <w:r>
        <w:rPr>
          <w:sz w:val="24"/>
        </w:rPr>
        <w:t>research</w:t>
      </w:r>
      <w:r>
        <w:rPr>
          <w:spacing w:val="-8"/>
          <w:sz w:val="24"/>
        </w:rPr>
        <w:t> </w:t>
      </w:r>
      <w:r>
        <w:rPr>
          <w:sz w:val="24"/>
        </w:rPr>
        <w:t>thesis</w:t>
      </w:r>
      <w:r>
        <w:rPr>
          <w:spacing w:val="-7"/>
          <w:sz w:val="24"/>
        </w:rPr>
        <w:t> </w:t>
      </w:r>
      <w:r>
        <w:rPr>
          <w:sz w:val="24"/>
        </w:rPr>
        <w:t>are</w:t>
      </w:r>
      <w:r>
        <w:rPr>
          <w:spacing w:val="-9"/>
          <w:sz w:val="24"/>
        </w:rPr>
        <w:t> </w:t>
      </w:r>
      <w:r>
        <w:rPr>
          <w:sz w:val="24"/>
        </w:rPr>
        <w:t>products</w:t>
      </w:r>
      <w:r>
        <w:rPr>
          <w:spacing w:val="-7"/>
          <w:sz w:val="24"/>
        </w:rPr>
        <w:t> </w:t>
      </w:r>
      <w:r>
        <w:rPr>
          <w:sz w:val="24"/>
        </w:rPr>
        <w:t>of</w:t>
      </w:r>
      <w:r>
        <w:rPr>
          <w:spacing w:val="-7"/>
          <w:sz w:val="24"/>
        </w:rPr>
        <w:t> </w:t>
      </w:r>
      <w:r>
        <w:rPr>
          <w:sz w:val="24"/>
        </w:rPr>
        <w:t>a</w:t>
      </w:r>
      <w:r>
        <w:rPr>
          <w:spacing w:val="-6"/>
          <w:sz w:val="24"/>
        </w:rPr>
        <w:t> </w:t>
      </w:r>
      <w:r>
        <w:rPr>
          <w:sz w:val="24"/>
        </w:rPr>
        <w:t>research</w:t>
      </w:r>
      <w:r>
        <w:rPr>
          <w:spacing w:val="-6"/>
          <w:sz w:val="24"/>
        </w:rPr>
        <w:t> </w:t>
      </w:r>
      <w:r>
        <w:rPr>
          <w:sz w:val="24"/>
        </w:rPr>
        <w:t>undertaken</w:t>
      </w:r>
      <w:r>
        <w:rPr>
          <w:spacing w:val="-8"/>
          <w:sz w:val="24"/>
        </w:rPr>
        <w:t> </w:t>
      </w:r>
      <w:r>
        <w:rPr>
          <w:sz w:val="24"/>
        </w:rPr>
        <w:t>by</w:t>
      </w:r>
      <w:r>
        <w:rPr>
          <w:spacing w:val="-8"/>
          <w:sz w:val="24"/>
        </w:rPr>
        <w:t> </w:t>
      </w:r>
      <w:r>
        <w:rPr>
          <w:spacing w:val="-5"/>
          <w:sz w:val="24"/>
        </w:rPr>
        <w:t>me.</w:t>
      </w:r>
    </w:p>
    <w:p>
      <w:pPr>
        <w:pStyle w:val="BodyText"/>
      </w:pPr>
    </w:p>
    <w:p>
      <w:pPr>
        <w:pStyle w:val="BodyText"/>
        <w:spacing w:line="480" w:lineRule="auto"/>
        <w:ind w:left="1660" w:right="1436"/>
      </w:pPr>
      <w:r>
        <w:rPr/>
        <w:t>Where</w:t>
      </w:r>
      <w:r>
        <w:rPr>
          <w:spacing w:val="-10"/>
        </w:rPr>
        <w:t> </w:t>
      </w:r>
      <w:r>
        <w:rPr/>
        <w:t>the</w:t>
      </w:r>
      <w:r>
        <w:rPr>
          <w:spacing w:val="-10"/>
        </w:rPr>
        <w:t> </w:t>
      </w:r>
      <w:r>
        <w:rPr/>
        <w:t>ideas</w:t>
      </w:r>
      <w:r>
        <w:rPr>
          <w:spacing w:val="-9"/>
        </w:rPr>
        <w:t> </w:t>
      </w:r>
      <w:r>
        <w:rPr/>
        <w:t>and</w:t>
      </w:r>
      <w:r>
        <w:rPr>
          <w:spacing w:val="-9"/>
        </w:rPr>
        <w:t> </w:t>
      </w:r>
      <w:r>
        <w:rPr/>
        <w:t>views</w:t>
      </w:r>
      <w:r>
        <w:rPr>
          <w:spacing w:val="-9"/>
        </w:rPr>
        <w:t> </w:t>
      </w:r>
      <w:r>
        <w:rPr/>
        <w:t>of</w:t>
      </w:r>
      <w:r>
        <w:rPr>
          <w:spacing w:val="-10"/>
        </w:rPr>
        <w:t> </w:t>
      </w:r>
      <w:r>
        <w:rPr/>
        <w:t>other</w:t>
      </w:r>
      <w:r>
        <w:rPr>
          <w:spacing w:val="-10"/>
        </w:rPr>
        <w:t> </w:t>
      </w:r>
      <w:r>
        <w:rPr/>
        <w:t>authors/researchers</w:t>
      </w:r>
      <w:r>
        <w:rPr>
          <w:spacing w:val="-10"/>
        </w:rPr>
        <w:t> </w:t>
      </w:r>
      <w:r>
        <w:rPr/>
        <w:t>have</w:t>
      </w:r>
      <w:r>
        <w:rPr>
          <w:spacing w:val="-10"/>
        </w:rPr>
        <w:t> </w:t>
      </w:r>
      <w:r>
        <w:rPr/>
        <w:t>been</w:t>
      </w:r>
      <w:r>
        <w:rPr>
          <w:spacing w:val="-9"/>
        </w:rPr>
        <w:t> </w:t>
      </w:r>
      <w:r>
        <w:rPr/>
        <w:t>expressed,</w:t>
      </w:r>
      <w:r>
        <w:rPr>
          <w:spacing w:val="-9"/>
        </w:rPr>
        <w:t> </w:t>
      </w:r>
      <w:r>
        <w:rPr/>
        <w:t>they</w:t>
      </w:r>
      <w:r>
        <w:rPr>
          <w:spacing w:val="-10"/>
        </w:rPr>
        <w:t> </w:t>
      </w:r>
      <w:r>
        <w:rPr/>
        <w:t>have been duly acknowledged.</w:t>
      </w:r>
    </w:p>
    <w:p>
      <w:pPr>
        <w:pStyle w:val="BodyText"/>
      </w:pPr>
    </w:p>
    <w:p>
      <w:pPr>
        <w:pStyle w:val="BodyText"/>
      </w:pPr>
    </w:p>
    <w:p>
      <w:pPr>
        <w:pStyle w:val="BodyText"/>
      </w:pPr>
    </w:p>
    <w:p>
      <w:pPr>
        <w:pStyle w:val="BodyText"/>
      </w:pPr>
    </w:p>
    <w:p>
      <w:pPr>
        <w:pStyle w:val="BodyText"/>
        <w:tabs>
          <w:tab w:pos="5460" w:val="left" w:leader="none"/>
        </w:tabs>
        <w:ind w:left="940"/>
      </w:pPr>
      <w:r>
        <w:rPr>
          <w:spacing w:val="-2"/>
        </w:rPr>
        <w:t>Signature:</w:t>
      </w:r>
      <w:r>
        <w:rPr>
          <w:u w:val="single"/>
        </w:rPr>
        <w:tab/>
      </w:r>
    </w:p>
    <w:p>
      <w:pPr>
        <w:pStyle w:val="BodyText"/>
      </w:pPr>
    </w:p>
    <w:p>
      <w:pPr>
        <w:pStyle w:val="BodyText"/>
        <w:spacing w:line="480" w:lineRule="auto"/>
        <w:ind w:left="940" w:right="5450"/>
      </w:pPr>
      <w:r>
        <w:rPr/>
        <w:t>Name:</w:t>
      </w:r>
      <w:r>
        <w:rPr>
          <w:spacing w:val="-12"/>
        </w:rPr>
        <w:t> </w:t>
      </w:r>
      <w:r>
        <w:rPr/>
        <w:t>IGBINEWEKA</w:t>
      </w:r>
      <w:r>
        <w:rPr>
          <w:spacing w:val="-11"/>
        </w:rPr>
        <w:t> </w:t>
      </w:r>
      <w:r>
        <w:rPr/>
        <w:t>Augustine</w:t>
      </w:r>
      <w:r>
        <w:rPr>
          <w:spacing w:val="-14"/>
        </w:rPr>
        <w:t> </w:t>
      </w:r>
      <w:r>
        <w:rPr/>
        <w:t>Uyinmwen Matriculation Number: PG/09/017073/BMS</w:t>
      </w:r>
    </w:p>
    <w:p>
      <w:pPr>
        <w:pStyle w:val="BodyText"/>
      </w:pPr>
    </w:p>
    <w:p>
      <w:pPr>
        <w:pStyle w:val="BodyText"/>
      </w:pPr>
    </w:p>
    <w:p>
      <w:pPr>
        <w:pStyle w:val="BodyText"/>
        <w:tabs>
          <w:tab w:pos="5355" w:val="left" w:leader="none"/>
        </w:tabs>
        <w:spacing w:before="1"/>
        <w:ind w:left="940"/>
      </w:pPr>
      <w:r>
        <w:rPr>
          <w:spacing w:val="-2"/>
        </w:rPr>
        <w:t>Date:</w:t>
      </w:r>
      <w:r>
        <w:rPr>
          <w:u w:val="single"/>
        </w:rPr>
        <w:tab/>
      </w:r>
    </w:p>
    <w:p>
      <w:pPr>
        <w:pStyle w:val="BodyText"/>
        <w:spacing w:line="480" w:lineRule="auto" w:before="276"/>
        <w:ind w:left="940" w:right="5450"/>
      </w:pPr>
      <w:r>
        <w:rPr/>
        <w:t>DEPARTMENT OF ACCOUNTING IGBINEDION</w:t>
      </w:r>
      <w:r>
        <w:rPr>
          <w:spacing w:val="-15"/>
        </w:rPr>
        <w:t> </w:t>
      </w:r>
      <w:r>
        <w:rPr/>
        <w:t>UNIVERSITY,</w:t>
      </w:r>
      <w:r>
        <w:rPr>
          <w:spacing w:val="-15"/>
        </w:rPr>
        <w:t> </w:t>
      </w:r>
      <w:r>
        <w:rPr/>
        <w:t>OKADA</w:t>
      </w:r>
    </w:p>
    <w:p>
      <w:pPr>
        <w:spacing w:after="0" w:line="480" w:lineRule="auto"/>
        <w:sectPr>
          <w:pgSz w:w="11910" w:h="16840"/>
          <w:pgMar w:header="0" w:footer="971" w:top="1360" w:bottom="1160" w:left="500" w:right="0"/>
        </w:sectPr>
      </w:pPr>
    </w:p>
    <w:p>
      <w:pPr>
        <w:pStyle w:val="Heading2"/>
        <w:ind w:right="498"/>
      </w:pPr>
      <w:r>
        <w:rPr>
          <w:spacing w:val="-2"/>
        </w:rPr>
        <w:t>DEDICATION</w:t>
      </w:r>
    </w:p>
    <w:p>
      <w:pPr>
        <w:pStyle w:val="BodyText"/>
        <w:rPr>
          <w:b/>
        </w:rPr>
      </w:pPr>
    </w:p>
    <w:p>
      <w:pPr>
        <w:pStyle w:val="BodyText"/>
        <w:spacing w:line="480" w:lineRule="auto"/>
        <w:ind w:left="940" w:right="1436"/>
      </w:pPr>
      <w:r>
        <w:rPr/>
        <w:drawing>
          <wp:anchor distT="0" distB="0" distL="0" distR="0" allowOverlap="1" layoutInCell="1" locked="0" behindDoc="1" simplePos="0" relativeHeight="477664768">
            <wp:simplePos x="0" y="0"/>
            <wp:positionH relativeFrom="page">
              <wp:posOffset>1095451</wp:posOffset>
            </wp:positionH>
            <wp:positionV relativeFrom="paragraph">
              <wp:posOffset>1461545</wp:posOffset>
            </wp:positionV>
            <wp:extent cx="5106847" cy="523811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5" cstate="print"/>
                    <a:stretch>
                      <a:fillRect/>
                    </a:stretch>
                  </pic:blipFill>
                  <pic:spPr>
                    <a:xfrm>
                      <a:off x="0" y="0"/>
                      <a:ext cx="5106847" cy="5238115"/>
                    </a:xfrm>
                    <a:prstGeom prst="rect">
                      <a:avLst/>
                    </a:prstGeom>
                  </pic:spPr>
                </pic:pic>
              </a:graphicData>
            </a:graphic>
          </wp:anchor>
        </w:drawing>
      </w:r>
      <w:r>
        <w:rPr/>
        <w:t>I dedicate this study to GOD ALMIGHTY and all those who believe and contributed to the</w:t>
      </w:r>
      <w:r>
        <w:rPr>
          <w:spacing w:val="80"/>
        </w:rPr>
        <w:t> </w:t>
      </w:r>
      <w:r>
        <w:rPr/>
        <w:t>success of this thesis.</w:t>
      </w:r>
    </w:p>
    <w:p>
      <w:pPr>
        <w:spacing w:after="0" w:line="480" w:lineRule="auto"/>
        <w:sectPr>
          <w:pgSz w:w="11910" w:h="16840"/>
          <w:pgMar w:header="0" w:footer="971" w:top="1360" w:bottom="1160" w:left="500" w:right="0"/>
        </w:sectPr>
      </w:pPr>
    </w:p>
    <w:p>
      <w:pPr>
        <w:pStyle w:val="Heading2"/>
      </w:pPr>
      <w:r>
        <w:rPr>
          <w:spacing w:val="-2"/>
        </w:rPr>
        <w:t>CERTIFICATION</w:t>
      </w:r>
    </w:p>
    <w:p>
      <w:pPr>
        <w:pStyle w:val="BodyText"/>
        <w:rPr>
          <w:b/>
        </w:rPr>
      </w:pPr>
    </w:p>
    <w:p>
      <w:pPr>
        <w:pStyle w:val="BodyText"/>
        <w:spacing w:line="480" w:lineRule="auto"/>
        <w:ind w:left="940" w:right="1438"/>
        <w:jc w:val="both"/>
      </w:pPr>
      <w:r>
        <w:rPr/>
        <w:t>We, the undersigned, certify that this research work was carried out by IGBINEWEKA Augustine Uyinmwen and is adequate in scope and quality. The necessary requirements in respect of the Ph.D. (Accounting) degree have been strictly followed.</w:t>
      </w:r>
    </w:p>
    <w:p>
      <w:pPr>
        <w:pStyle w:val="BodyText"/>
        <w:rPr>
          <w:sz w:val="20"/>
        </w:rPr>
      </w:pPr>
    </w:p>
    <w:p>
      <w:pPr>
        <w:pStyle w:val="BodyText"/>
        <w:rPr>
          <w:sz w:val="20"/>
        </w:rPr>
      </w:pPr>
    </w:p>
    <w:p>
      <w:pPr>
        <w:pStyle w:val="BodyText"/>
        <w:rPr>
          <w:sz w:val="20"/>
        </w:rPr>
      </w:pPr>
    </w:p>
    <w:p>
      <w:pPr>
        <w:pStyle w:val="BodyText"/>
        <w:spacing w:before="195"/>
        <w:rPr>
          <w:sz w:val="20"/>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6"/>
        <w:gridCol w:w="3633"/>
        <w:gridCol w:w="1758"/>
      </w:tblGrid>
      <w:tr>
        <w:trPr>
          <w:trHeight w:val="270" w:hRule="atLeast"/>
        </w:trPr>
        <w:tc>
          <w:tcPr>
            <w:tcW w:w="3406" w:type="dxa"/>
          </w:tcPr>
          <w:p>
            <w:pPr>
              <w:pStyle w:val="TableParagraph"/>
              <w:spacing w:line="251" w:lineRule="exact"/>
              <w:ind w:left="50"/>
              <w:rPr>
                <w:rFonts w:ascii="Times New Roman"/>
                <w:b/>
                <w:sz w:val="24"/>
              </w:rPr>
            </w:pPr>
            <w:r>
              <w:rPr>
                <w:rFonts w:ascii="Times New Roman"/>
                <w:b/>
                <w:sz w:val="24"/>
              </w:rPr>
              <w:t>Dr.</w:t>
            </w:r>
            <w:r>
              <w:rPr>
                <w:rFonts w:ascii="Times New Roman"/>
                <w:b/>
                <w:spacing w:val="-2"/>
                <w:sz w:val="24"/>
              </w:rPr>
              <w:t> </w:t>
            </w:r>
            <w:r>
              <w:rPr>
                <w:rFonts w:ascii="Times New Roman"/>
                <w:b/>
                <w:sz w:val="24"/>
              </w:rPr>
              <w:t>(Mrs.)</w:t>
            </w:r>
            <w:r>
              <w:rPr>
                <w:rFonts w:ascii="Times New Roman"/>
                <w:b/>
                <w:spacing w:val="-1"/>
                <w:sz w:val="24"/>
              </w:rPr>
              <w:t> </w:t>
            </w:r>
            <w:r>
              <w:rPr>
                <w:rFonts w:ascii="Times New Roman"/>
                <w:b/>
                <w:sz w:val="24"/>
              </w:rPr>
              <w:t>Mary</w:t>
            </w:r>
            <w:r>
              <w:rPr>
                <w:rFonts w:ascii="Times New Roman"/>
                <w:b/>
                <w:spacing w:val="-1"/>
                <w:sz w:val="24"/>
              </w:rPr>
              <w:t> </w:t>
            </w:r>
            <w:r>
              <w:rPr>
                <w:rFonts w:ascii="Times New Roman"/>
                <w:b/>
                <w:spacing w:val="-2"/>
                <w:sz w:val="24"/>
              </w:rPr>
              <w:t>Josiah</w:t>
            </w:r>
          </w:p>
        </w:tc>
        <w:tc>
          <w:tcPr>
            <w:tcW w:w="3633" w:type="dxa"/>
          </w:tcPr>
          <w:p>
            <w:pPr>
              <w:pStyle w:val="TableParagraph"/>
              <w:tabs>
                <w:tab w:pos="3419" w:val="left" w:leader="none"/>
              </w:tabs>
              <w:spacing w:line="251" w:lineRule="exact"/>
              <w:ind w:left="964"/>
              <w:rPr>
                <w:rFonts w:ascii="Times New Roman"/>
                <w:b/>
                <w:sz w:val="24"/>
              </w:rPr>
            </w:pPr>
            <w:r>
              <w:rPr>
                <w:rFonts w:ascii="Times New Roman"/>
                <w:b/>
                <w:sz w:val="24"/>
                <w:u w:val="single"/>
              </w:rPr>
              <w:t> </w:t>
              <w:tab/>
            </w:r>
          </w:p>
        </w:tc>
        <w:tc>
          <w:tcPr>
            <w:tcW w:w="1758" w:type="dxa"/>
          </w:tcPr>
          <w:p>
            <w:pPr>
              <w:pStyle w:val="TableParagraph"/>
              <w:tabs>
                <w:tab w:pos="1707" w:val="left" w:leader="none"/>
              </w:tabs>
              <w:spacing w:line="251" w:lineRule="exact"/>
              <w:ind w:left="212"/>
              <w:rPr>
                <w:rFonts w:ascii="Times New Roman"/>
                <w:b/>
                <w:sz w:val="24"/>
              </w:rPr>
            </w:pPr>
            <w:r>
              <w:rPr>
                <w:rFonts w:ascii="Times New Roman"/>
                <w:b/>
                <w:sz w:val="24"/>
                <w:u w:val="single"/>
              </w:rPr>
              <w:t> </w:t>
              <w:tab/>
            </w:r>
          </w:p>
        </w:tc>
      </w:tr>
      <w:tr>
        <w:trPr>
          <w:trHeight w:val="270" w:hRule="atLeast"/>
        </w:trPr>
        <w:tc>
          <w:tcPr>
            <w:tcW w:w="3406" w:type="dxa"/>
          </w:tcPr>
          <w:p>
            <w:pPr>
              <w:pStyle w:val="TableParagraph"/>
              <w:spacing w:line="251" w:lineRule="exact"/>
              <w:ind w:left="50"/>
              <w:rPr>
                <w:rFonts w:ascii="Times New Roman"/>
                <w:i/>
                <w:sz w:val="24"/>
              </w:rPr>
            </w:pPr>
            <w:r>
              <w:rPr>
                <w:rFonts w:ascii="Times New Roman"/>
                <w:i/>
                <w:sz w:val="24"/>
              </w:rPr>
              <w:t>Head</w:t>
            </w:r>
            <w:r>
              <w:rPr>
                <w:rFonts w:ascii="Times New Roman"/>
                <w:i/>
                <w:spacing w:val="-1"/>
                <w:sz w:val="24"/>
              </w:rPr>
              <w:t> </w:t>
            </w:r>
            <w:r>
              <w:rPr>
                <w:rFonts w:ascii="Times New Roman"/>
                <w:i/>
                <w:sz w:val="24"/>
              </w:rPr>
              <w:t>of</w:t>
            </w:r>
            <w:r>
              <w:rPr>
                <w:rFonts w:ascii="Times New Roman"/>
                <w:i/>
                <w:spacing w:val="-1"/>
                <w:sz w:val="24"/>
              </w:rPr>
              <w:t> </w:t>
            </w:r>
            <w:r>
              <w:rPr>
                <w:rFonts w:ascii="Times New Roman"/>
                <w:i/>
                <w:spacing w:val="-2"/>
                <w:sz w:val="24"/>
              </w:rPr>
              <w:t>Department</w:t>
            </w:r>
          </w:p>
        </w:tc>
        <w:tc>
          <w:tcPr>
            <w:tcW w:w="3633" w:type="dxa"/>
          </w:tcPr>
          <w:p>
            <w:pPr>
              <w:pStyle w:val="TableParagraph"/>
              <w:spacing w:line="251" w:lineRule="exact"/>
              <w:ind w:left="964"/>
              <w:rPr>
                <w:rFonts w:ascii="Times New Roman"/>
                <w:i/>
                <w:sz w:val="24"/>
              </w:rPr>
            </w:pPr>
            <w:r>
              <w:rPr>
                <w:rFonts w:ascii="Times New Roman"/>
                <w:i/>
                <w:spacing w:val="-4"/>
                <w:sz w:val="24"/>
              </w:rPr>
              <w:t>Sign</w:t>
            </w:r>
          </w:p>
        </w:tc>
        <w:tc>
          <w:tcPr>
            <w:tcW w:w="1758" w:type="dxa"/>
          </w:tcPr>
          <w:p>
            <w:pPr>
              <w:pStyle w:val="TableParagraph"/>
              <w:spacing w:line="251" w:lineRule="exact"/>
              <w:ind w:left="212"/>
              <w:rPr>
                <w:rFonts w:ascii="Times New Roman"/>
                <w:i/>
                <w:sz w:val="24"/>
              </w:rPr>
            </w:pPr>
            <w:r>
              <w:rPr>
                <w:rFonts w:ascii="Times New Roman"/>
                <w:i/>
                <w:spacing w:val="-4"/>
                <w:sz w:val="24"/>
              </w:rPr>
              <w:t>Date</w:t>
            </w:r>
          </w:p>
        </w:tc>
      </w:tr>
    </w:tbl>
    <w:p>
      <w:pPr>
        <w:pStyle w:val="BodyText"/>
      </w:pPr>
    </w:p>
    <w:p>
      <w:pPr>
        <w:pStyle w:val="BodyText"/>
      </w:pPr>
    </w:p>
    <w:p>
      <w:pPr>
        <w:pStyle w:val="BodyText"/>
      </w:pPr>
    </w:p>
    <w:p>
      <w:pPr>
        <w:pStyle w:val="BodyText"/>
      </w:pPr>
    </w:p>
    <w:p>
      <w:pPr>
        <w:pStyle w:val="BodyText"/>
        <w:spacing w:before="1"/>
      </w:pPr>
    </w:p>
    <w:p>
      <w:pPr>
        <w:pStyle w:val="Heading3"/>
        <w:tabs>
          <w:tab w:pos="7715" w:val="left" w:leader="none"/>
          <w:tab w:pos="8141" w:val="left" w:leader="none"/>
          <w:tab w:pos="9636" w:val="left" w:leader="none"/>
        </w:tabs>
        <w:spacing w:before="1"/>
        <w:jc w:val="left"/>
      </w:pPr>
      <w:r>
        <w:rPr/>
        <w:drawing>
          <wp:anchor distT="0" distB="0" distL="0" distR="0" allowOverlap="1" layoutInCell="1" locked="0" behindDoc="1" simplePos="0" relativeHeight="477665280">
            <wp:simplePos x="0" y="0"/>
            <wp:positionH relativeFrom="page">
              <wp:posOffset>1095451</wp:posOffset>
            </wp:positionH>
            <wp:positionV relativeFrom="paragraph">
              <wp:posOffset>-1517786</wp:posOffset>
            </wp:positionV>
            <wp:extent cx="5106847" cy="523811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5106847" cy="5238115"/>
                    </a:xfrm>
                    <a:prstGeom prst="rect">
                      <a:avLst/>
                    </a:prstGeom>
                  </pic:spPr>
                </pic:pic>
              </a:graphicData>
            </a:graphic>
          </wp:anchor>
        </w:drawing>
      </w:r>
      <w:r>
        <w:rPr/>
        <w:t>Dr. Atu, Omimi-Ejoor Osaretin Kingsley</w:t>
      </w:r>
      <w:r>
        <w:rPr>
          <w:spacing w:val="61"/>
        </w:rPr>
        <w:t> </w:t>
      </w:r>
      <w:r>
        <w:rPr>
          <w:u w:val="single"/>
        </w:rPr>
        <w:tab/>
      </w:r>
      <w:r>
        <w:rPr/>
        <w:tab/>
      </w:r>
      <w:r>
        <w:rPr>
          <w:u w:val="single"/>
        </w:rPr>
        <w:tab/>
      </w:r>
    </w:p>
    <w:p>
      <w:pPr>
        <w:tabs>
          <w:tab w:pos="5260" w:val="left" w:leader="none"/>
          <w:tab w:pos="8141" w:val="left" w:leader="none"/>
        </w:tabs>
        <w:spacing w:before="136"/>
        <w:ind w:left="940" w:right="0" w:firstLine="0"/>
        <w:jc w:val="left"/>
        <w:rPr>
          <w:i/>
          <w:sz w:val="24"/>
        </w:rPr>
      </w:pPr>
      <w:r>
        <w:rPr>
          <w:i/>
          <w:spacing w:val="-2"/>
          <w:sz w:val="24"/>
        </w:rPr>
        <w:t>Supervisor</w:t>
      </w:r>
      <w:r>
        <w:rPr>
          <w:i/>
          <w:sz w:val="24"/>
        </w:rPr>
        <w:tab/>
      </w:r>
      <w:r>
        <w:rPr>
          <w:i/>
          <w:spacing w:val="-4"/>
          <w:sz w:val="24"/>
        </w:rPr>
        <w:t>Sign</w:t>
      </w:r>
      <w:r>
        <w:rPr>
          <w:i/>
          <w:sz w:val="24"/>
        </w:rPr>
        <w:tab/>
      </w:r>
      <w:r>
        <w:rPr>
          <w:i/>
          <w:spacing w:val="-4"/>
          <w:sz w:val="24"/>
        </w:rPr>
        <w:t>Date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4"/>
        <w:rPr>
          <w:i/>
          <w:sz w:val="20"/>
        </w:r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4"/>
        <w:gridCol w:w="3375"/>
        <w:gridCol w:w="1758"/>
      </w:tblGrid>
      <w:tr>
        <w:trPr>
          <w:trHeight w:val="339" w:hRule="atLeast"/>
        </w:trPr>
        <w:tc>
          <w:tcPr>
            <w:tcW w:w="3664" w:type="dxa"/>
          </w:tcPr>
          <w:p>
            <w:pPr>
              <w:pStyle w:val="TableParagraph"/>
              <w:spacing w:line="266" w:lineRule="exact"/>
              <w:ind w:left="50"/>
              <w:rPr>
                <w:rFonts w:ascii="Times New Roman"/>
                <w:b/>
                <w:sz w:val="24"/>
              </w:rPr>
            </w:pPr>
            <w:r>
              <w:rPr>
                <w:rFonts w:ascii="Times New Roman"/>
                <w:b/>
                <w:sz w:val="24"/>
              </w:rPr>
              <w:t>Prof.</w:t>
            </w:r>
            <w:r>
              <w:rPr>
                <w:rFonts w:ascii="Times New Roman"/>
                <w:b/>
                <w:spacing w:val="-2"/>
                <w:sz w:val="24"/>
              </w:rPr>
              <w:t> </w:t>
            </w:r>
            <w:r>
              <w:rPr>
                <w:rFonts w:ascii="Times New Roman"/>
                <w:b/>
                <w:sz w:val="24"/>
              </w:rPr>
              <w:t>Raph</w:t>
            </w:r>
            <w:r>
              <w:rPr>
                <w:rFonts w:ascii="Times New Roman"/>
                <w:b/>
                <w:spacing w:val="1"/>
                <w:sz w:val="24"/>
              </w:rPr>
              <w:t> </w:t>
            </w:r>
            <w:r>
              <w:rPr>
                <w:rFonts w:ascii="Times New Roman"/>
                <w:b/>
                <w:sz w:val="24"/>
              </w:rPr>
              <w:t>Igbinosa </w:t>
            </w:r>
            <w:r>
              <w:rPr>
                <w:rFonts w:ascii="Times New Roman"/>
                <w:b/>
                <w:spacing w:val="-2"/>
                <w:sz w:val="24"/>
              </w:rPr>
              <w:t>Adeghe</w:t>
            </w:r>
          </w:p>
        </w:tc>
        <w:tc>
          <w:tcPr>
            <w:tcW w:w="3375" w:type="dxa"/>
          </w:tcPr>
          <w:p>
            <w:pPr>
              <w:pStyle w:val="TableParagraph"/>
              <w:tabs>
                <w:tab w:pos="3161" w:val="left" w:leader="none"/>
              </w:tabs>
              <w:spacing w:line="266" w:lineRule="exact"/>
              <w:ind w:left="706"/>
              <w:rPr>
                <w:rFonts w:ascii="Times New Roman"/>
                <w:b/>
                <w:sz w:val="24"/>
              </w:rPr>
            </w:pPr>
            <w:r>
              <w:rPr>
                <w:rFonts w:ascii="Times New Roman"/>
                <w:b/>
                <w:sz w:val="24"/>
                <w:u w:val="single"/>
              </w:rPr>
              <w:t> </w:t>
              <w:tab/>
            </w:r>
          </w:p>
        </w:tc>
        <w:tc>
          <w:tcPr>
            <w:tcW w:w="1758" w:type="dxa"/>
          </w:tcPr>
          <w:p>
            <w:pPr>
              <w:pStyle w:val="TableParagraph"/>
              <w:tabs>
                <w:tab w:pos="1707" w:val="left" w:leader="none"/>
              </w:tabs>
              <w:spacing w:line="266" w:lineRule="exact"/>
              <w:ind w:left="212"/>
              <w:rPr>
                <w:rFonts w:ascii="Times New Roman"/>
                <w:b/>
                <w:sz w:val="24"/>
              </w:rPr>
            </w:pPr>
            <w:r>
              <w:rPr>
                <w:rFonts w:ascii="Times New Roman"/>
                <w:b/>
                <w:sz w:val="24"/>
                <w:u w:val="single"/>
              </w:rPr>
              <w:t> </w:t>
              <w:tab/>
            </w:r>
          </w:p>
        </w:tc>
      </w:tr>
      <w:tr>
        <w:trPr>
          <w:trHeight w:val="339" w:hRule="atLeast"/>
        </w:trPr>
        <w:tc>
          <w:tcPr>
            <w:tcW w:w="3664" w:type="dxa"/>
          </w:tcPr>
          <w:p>
            <w:pPr>
              <w:pStyle w:val="TableParagraph"/>
              <w:spacing w:line="256" w:lineRule="exact" w:before="63"/>
              <w:ind w:left="50"/>
              <w:rPr>
                <w:rFonts w:ascii="Times New Roman"/>
                <w:i/>
                <w:sz w:val="24"/>
              </w:rPr>
            </w:pPr>
            <w:r>
              <w:rPr>
                <w:rFonts w:ascii="Times New Roman"/>
                <w:i/>
                <w:spacing w:val="-2"/>
                <w:sz w:val="24"/>
              </w:rPr>
              <w:t>Co-Supervisor</w:t>
            </w:r>
          </w:p>
        </w:tc>
        <w:tc>
          <w:tcPr>
            <w:tcW w:w="3375" w:type="dxa"/>
          </w:tcPr>
          <w:p>
            <w:pPr>
              <w:pStyle w:val="TableParagraph"/>
              <w:spacing w:line="256" w:lineRule="exact" w:before="63"/>
              <w:ind w:left="706"/>
              <w:rPr>
                <w:rFonts w:ascii="Times New Roman"/>
                <w:i/>
                <w:sz w:val="24"/>
              </w:rPr>
            </w:pPr>
            <w:r>
              <w:rPr>
                <w:rFonts w:ascii="Times New Roman"/>
                <w:i/>
                <w:spacing w:val="-4"/>
                <w:sz w:val="24"/>
              </w:rPr>
              <w:t>Sign</w:t>
            </w:r>
          </w:p>
        </w:tc>
        <w:tc>
          <w:tcPr>
            <w:tcW w:w="1758" w:type="dxa"/>
          </w:tcPr>
          <w:p>
            <w:pPr>
              <w:pStyle w:val="TableParagraph"/>
              <w:spacing w:line="256" w:lineRule="exact" w:before="63"/>
              <w:ind w:left="212"/>
              <w:rPr>
                <w:rFonts w:ascii="Times New Roman"/>
                <w:i/>
                <w:sz w:val="24"/>
              </w:rPr>
            </w:pPr>
            <w:r>
              <w:rPr>
                <w:rFonts w:ascii="Times New Roman"/>
                <w:i/>
                <w:spacing w:val="-4"/>
                <w:sz w:val="24"/>
              </w:rPr>
              <w:t>Date</w:t>
            </w:r>
          </w:p>
        </w:tc>
      </w:tr>
    </w:tbl>
    <w:p>
      <w:pPr>
        <w:pStyle w:val="BodyText"/>
        <w:rPr>
          <w:i/>
        </w:rPr>
      </w:pPr>
    </w:p>
    <w:p>
      <w:pPr>
        <w:pStyle w:val="BodyText"/>
        <w:rPr>
          <w:i/>
        </w:rPr>
      </w:pPr>
    </w:p>
    <w:p>
      <w:pPr>
        <w:pStyle w:val="BodyText"/>
        <w:rPr>
          <w:i/>
        </w:rPr>
      </w:pPr>
    </w:p>
    <w:p>
      <w:pPr>
        <w:pStyle w:val="BodyText"/>
        <w:rPr>
          <w:i/>
        </w:rPr>
      </w:pPr>
    </w:p>
    <w:p>
      <w:pPr>
        <w:pStyle w:val="Heading3"/>
        <w:tabs>
          <w:tab w:pos="5260" w:val="left" w:leader="none"/>
          <w:tab w:pos="7715" w:val="left" w:leader="none"/>
          <w:tab w:pos="8141" w:val="left" w:leader="none"/>
          <w:tab w:pos="9636" w:val="left" w:leader="none"/>
        </w:tabs>
        <w:jc w:val="left"/>
      </w:pPr>
      <w:r>
        <w:rPr/>
        <w:t>Prof.</w:t>
      </w:r>
      <w:r>
        <w:rPr>
          <w:spacing w:val="-2"/>
        </w:rPr>
        <w:t> </w:t>
      </w:r>
      <w:r>
        <w:rPr/>
        <w:t>(Mrs.)</w:t>
      </w:r>
      <w:r>
        <w:rPr>
          <w:spacing w:val="-1"/>
        </w:rPr>
        <w:t> </w:t>
      </w:r>
      <w:r>
        <w:rPr/>
        <w:t>T.G.</w:t>
      </w:r>
      <w:r>
        <w:rPr>
          <w:spacing w:val="-1"/>
        </w:rPr>
        <w:t> </w:t>
      </w:r>
      <w:r>
        <w:rPr>
          <w:spacing w:val="-2"/>
        </w:rPr>
        <w:t>Okorie</w:t>
      </w:r>
      <w:r>
        <w:rPr/>
        <w:tab/>
      </w:r>
      <w:r>
        <w:rPr>
          <w:u w:val="single"/>
        </w:rPr>
        <w:tab/>
      </w:r>
      <w:r>
        <w:rPr/>
        <w:tab/>
      </w:r>
      <w:r>
        <w:rPr>
          <w:u w:val="single"/>
        </w:rPr>
        <w:tab/>
      </w:r>
    </w:p>
    <w:p>
      <w:pPr>
        <w:tabs>
          <w:tab w:pos="5981" w:val="left" w:leader="none"/>
          <w:tab w:pos="8861" w:val="left" w:leader="none"/>
        </w:tabs>
        <w:spacing w:before="140"/>
        <w:ind w:left="940" w:right="0" w:firstLine="0"/>
        <w:jc w:val="left"/>
        <w:rPr>
          <w:i/>
          <w:sz w:val="24"/>
        </w:rPr>
      </w:pPr>
      <w:r>
        <w:rPr>
          <w:i/>
          <w:sz w:val="22"/>
        </w:rPr>
        <w:t>Dean,</w:t>
      </w:r>
      <w:r>
        <w:rPr>
          <w:i/>
          <w:spacing w:val="-6"/>
          <w:sz w:val="22"/>
        </w:rPr>
        <w:t> </w:t>
      </w:r>
      <w:r>
        <w:rPr>
          <w:i/>
          <w:sz w:val="22"/>
        </w:rPr>
        <w:t>School</w:t>
      </w:r>
      <w:r>
        <w:rPr>
          <w:i/>
          <w:spacing w:val="-3"/>
          <w:sz w:val="22"/>
        </w:rPr>
        <w:t> </w:t>
      </w:r>
      <w:r>
        <w:rPr>
          <w:i/>
          <w:sz w:val="22"/>
        </w:rPr>
        <w:t>of</w:t>
      </w:r>
      <w:r>
        <w:rPr>
          <w:i/>
          <w:spacing w:val="-2"/>
          <w:sz w:val="22"/>
        </w:rPr>
        <w:t> </w:t>
      </w:r>
      <w:r>
        <w:rPr>
          <w:i/>
          <w:sz w:val="22"/>
        </w:rPr>
        <w:t>Postgraduate</w:t>
      </w:r>
      <w:r>
        <w:rPr>
          <w:i/>
          <w:spacing w:val="-4"/>
          <w:sz w:val="22"/>
        </w:rPr>
        <w:t> </w:t>
      </w:r>
      <w:r>
        <w:rPr>
          <w:i/>
          <w:sz w:val="22"/>
        </w:rPr>
        <w:t>Studies</w:t>
      </w:r>
      <w:r>
        <w:rPr>
          <w:i/>
          <w:spacing w:val="-5"/>
          <w:sz w:val="22"/>
        </w:rPr>
        <w:t> </w:t>
      </w:r>
      <w:r>
        <w:rPr>
          <w:i/>
          <w:sz w:val="22"/>
        </w:rPr>
        <w:t>&amp;</w:t>
      </w:r>
      <w:r>
        <w:rPr>
          <w:i/>
          <w:spacing w:val="-2"/>
          <w:sz w:val="22"/>
        </w:rPr>
        <w:t> Research</w:t>
      </w:r>
      <w:r>
        <w:rPr>
          <w:i/>
          <w:sz w:val="22"/>
        </w:rPr>
        <w:tab/>
      </w:r>
      <w:r>
        <w:rPr>
          <w:i/>
          <w:spacing w:val="-4"/>
          <w:sz w:val="24"/>
        </w:rPr>
        <w:t>Sign</w:t>
      </w:r>
      <w:r>
        <w:rPr>
          <w:i/>
          <w:sz w:val="24"/>
        </w:rPr>
        <w:tab/>
      </w:r>
      <w:r>
        <w:rPr>
          <w:i/>
          <w:spacing w:val="-4"/>
          <w:sz w:val="24"/>
        </w:rPr>
        <w:t>Date</w:t>
      </w:r>
    </w:p>
    <w:p>
      <w:pPr>
        <w:spacing w:after="0"/>
        <w:jc w:val="left"/>
        <w:rPr>
          <w:sz w:val="24"/>
        </w:rPr>
        <w:sectPr>
          <w:pgSz w:w="11910" w:h="16840"/>
          <w:pgMar w:header="0" w:footer="971" w:top="1360" w:bottom="1160" w:left="500" w:right="0"/>
        </w:sectPr>
      </w:pPr>
    </w:p>
    <w:p>
      <w:pPr>
        <w:pStyle w:val="Heading2"/>
        <w:ind w:right="500"/>
      </w:pPr>
      <w:r>
        <w:rPr>
          <w:spacing w:val="-2"/>
        </w:rPr>
        <w:t>ACKNOWLEDGEMENTS</w:t>
      </w:r>
    </w:p>
    <w:p>
      <w:pPr>
        <w:pStyle w:val="BodyText"/>
        <w:spacing w:before="240"/>
        <w:rPr>
          <w:b/>
        </w:rPr>
      </w:pPr>
    </w:p>
    <w:p>
      <w:pPr>
        <w:pStyle w:val="BodyText"/>
        <w:spacing w:line="480" w:lineRule="auto"/>
        <w:ind w:left="940" w:right="1441"/>
        <w:jc w:val="both"/>
      </w:pPr>
      <w:r>
        <w:rPr/>
        <w:t>I give glory to God Who never allowed my enemies to triumph over me. He made this whole exercise</w:t>
      </w:r>
      <w:r>
        <w:rPr>
          <w:spacing w:val="-1"/>
        </w:rPr>
        <w:t> </w:t>
      </w:r>
      <w:r>
        <w:rPr/>
        <w:t>successful despite</w:t>
      </w:r>
      <w:r>
        <w:rPr>
          <w:spacing w:val="-1"/>
        </w:rPr>
        <w:t> </w:t>
      </w:r>
      <w:r>
        <w:rPr/>
        <w:t>all odds. With all the strength and breath in me, I</w:t>
      </w:r>
      <w:r>
        <w:rPr>
          <w:spacing w:val="-3"/>
        </w:rPr>
        <w:t> </w:t>
      </w:r>
      <w:r>
        <w:rPr/>
        <w:t>thank and praise Him for all that He has done. May all praises be unto His Name forever and ever.</w:t>
      </w:r>
    </w:p>
    <w:p>
      <w:pPr>
        <w:pStyle w:val="BodyText"/>
        <w:spacing w:line="480" w:lineRule="auto" w:before="240"/>
        <w:ind w:left="940" w:right="1440"/>
        <w:jc w:val="both"/>
      </w:pPr>
      <w:r>
        <w:rPr/>
        <w:drawing>
          <wp:anchor distT="0" distB="0" distL="0" distR="0" allowOverlap="1" layoutInCell="1" locked="0" behindDoc="1" simplePos="0" relativeHeight="477665792">
            <wp:simplePos x="0" y="0"/>
            <wp:positionH relativeFrom="page">
              <wp:posOffset>1095451</wp:posOffset>
            </wp:positionH>
            <wp:positionV relativeFrom="paragraph">
              <wp:posOffset>257675</wp:posOffset>
            </wp:positionV>
            <wp:extent cx="5106847" cy="523811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5106847" cy="5238115"/>
                    </a:xfrm>
                    <a:prstGeom prst="rect">
                      <a:avLst/>
                    </a:prstGeom>
                  </pic:spPr>
                </pic:pic>
              </a:graphicData>
            </a:graphic>
          </wp:anchor>
        </w:drawing>
      </w:r>
      <w:r>
        <w:rPr/>
        <w:t>Many people played unquantifiable roles towards the success of this study. Chiefly among them are my wonderful supervisors, Dr. Atu Omimi-Ejoor Osaretin Kingsley (FCA, FCMA, FCTI, FAFAR) and Prof. Raph Igbinosa Adeghe (FCNA, FCTI), erudite scholars and unbeatable professionals. They are award winning and selfless.</w:t>
      </w:r>
    </w:p>
    <w:p>
      <w:pPr>
        <w:pStyle w:val="BodyText"/>
        <w:spacing w:line="480" w:lineRule="auto" w:before="241"/>
        <w:ind w:left="940" w:right="1438"/>
        <w:jc w:val="both"/>
      </w:pPr>
      <w:r>
        <w:rPr/>
        <w:t>I sincerely appreciate the immeasurable contributions of my lecturers who taught and or encouraged me in one way or the other during the course of my studies: Dr. (Mrs.) M. Josiah (CNA, ACA), my amiable Head of Department, Dr. S.M. Aguwamba (Head of Department, Banking &amp; Finance); Prof. D.G.E. Mbaegbu; and Dr. S.E. Ughulu. You are all very distinguished and wonderful scholars, and I am most privileged to have been associated with you. I remain indebted to you all.</w:t>
      </w:r>
    </w:p>
    <w:p>
      <w:pPr>
        <w:pStyle w:val="BodyText"/>
        <w:spacing w:line="480" w:lineRule="auto" w:before="240"/>
        <w:ind w:left="940" w:right="1437"/>
        <w:jc w:val="both"/>
      </w:pPr>
      <w:r>
        <w:rPr/>
        <w:t>My profound gratitude goes to my loving family and friends, Mrs. Patience Igbineweka- Eguavoen, Aise-Osa Endurance Eguavoen, Christopher Ohwo, Air-Vice Marshal Charles Ohwo, Mrs. Patricia, Mrs. Florence Oriakhi. One love!</w:t>
      </w:r>
    </w:p>
    <w:p>
      <w:pPr>
        <w:pStyle w:val="BodyText"/>
        <w:spacing w:line="480" w:lineRule="auto" w:before="241"/>
        <w:ind w:left="940" w:right="1436"/>
        <w:jc w:val="both"/>
      </w:pPr>
      <w:r>
        <w:rPr/>
        <w:t>Special</w:t>
      </w:r>
      <w:r>
        <w:rPr>
          <w:spacing w:val="-10"/>
        </w:rPr>
        <w:t> </w:t>
      </w:r>
      <w:r>
        <w:rPr/>
        <w:t>regards</w:t>
      </w:r>
      <w:r>
        <w:rPr>
          <w:spacing w:val="-8"/>
        </w:rPr>
        <w:t> </w:t>
      </w:r>
      <w:r>
        <w:rPr/>
        <w:t>to</w:t>
      </w:r>
      <w:r>
        <w:rPr>
          <w:spacing w:val="-8"/>
        </w:rPr>
        <w:t> </w:t>
      </w:r>
      <w:r>
        <w:rPr/>
        <w:t>my</w:t>
      </w:r>
      <w:r>
        <w:rPr>
          <w:spacing w:val="-9"/>
        </w:rPr>
        <w:t> </w:t>
      </w:r>
      <w:r>
        <w:rPr/>
        <w:t>boss,</w:t>
      </w:r>
      <w:r>
        <w:rPr>
          <w:spacing w:val="-9"/>
        </w:rPr>
        <w:t> </w:t>
      </w:r>
      <w:r>
        <w:rPr/>
        <w:t>Rt.</w:t>
      </w:r>
      <w:r>
        <w:rPr>
          <w:spacing w:val="-10"/>
        </w:rPr>
        <w:t> </w:t>
      </w:r>
      <w:r>
        <w:rPr/>
        <w:t>Hon.</w:t>
      </w:r>
      <w:r>
        <w:rPr>
          <w:spacing w:val="-10"/>
        </w:rPr>
        <w:t> </w:t>
      </w:r>
      <w:r>
        <w:rPr/>
        <w:t>Philip</w:t>
      </w:r>
      <w:r>
        <w:rPr>
          <w:spacing w:val="-9"/>
        </w:rPr>
        <w:t> </w:t>
      </w:r>
      <w:r>
        <w:rPr/>
        <w:t>Shaibu</w:t>
      </w:r>
      <w:r>
        <w:rPr>
          <w:spacing w:val="-7"/>
        </w:rPr>
        <w:t> </w:t>
      </w:r>
      <w:r>
        <w:rPr/>
        <w:t>&amp;</w:t>
      </w:r>
      <w:r>
        <w:rPr>
          <w:spacing w:val="-9"/>
        </w:rPr>
        <w:t> </w:t>
      </w:r>
      <w:r>
        <w:rPr/>
        <w:t>Wife,</w:t>
      </w:r>
      <w:r>
        <w:rPr>
          <w:spacing w:val="-10"/>
        </w:rPr>
        <w:t> </w:t>
      </w:r>
      <w:r>
        <w:rPr/>
        <w:t>the</w:t>
      </w:r>
      <w:r>
        <w:rPr>
          <w:spacing w:val="-11"/>
        </w:rPr>
        <w:t> </w:t>
      </w:r>
      <w:r>
        <w:rPr/>
        <w:t>Deputy</w:t>
      </w:r>
      <w:r>
        <w:rPr>
          <w:spacing w:val="-9"/>
        </w:rPr>
        <w:t> </w:t>
      </w:r>
      <w:r>
        <w:rPr/>
        <w:t>Governor</w:t>
      </w:r>
      <w:r>
        <w:rPr>
          <w:spacing w:val="-11"/>
        </w:rPr>
        <w:t> </w:t>
      </w:r>
      <w:r>
        <w:rPr/>
        <w:t>of</w:t>
      </w:r>
      <w:r>
        <w:rPr>
          <w:spacing w:val="-7"/>
        </w:rPr>
        <w:t> </w:t>
      </w:r>
      <w:r>
        <w:rPr/>
        <w:t>Edo</w:t>
      </w:r>
      <w:r>
        <w:rPr>
          <w:spacing w:val="-8"/>
        </w:rPr>
        <w:t> </w:t>
      </w:r>
      <w:r>
        <w:rPr/>
        <w:t>State, Sis.</w:t>
      </w:r>
      <w:r>
        <w:rPr>
          <w:spacing w:val="-9"/>
        </w:rPr>
        <w:t> </w:t>
      </w:r>
      <w:r>
        <w:rPr/>
        <w:t>Roseline</w:t>
      </w:r>
      <w:r>
        <w:rPr>
          <w:spacing w:val="-11"/>
        </w:rPr>
        <w:t> </w:t>
      </w:r>
      <w:r>
        <w:rPr/>
        <w:t>Eguavoen</w:t>
      </w:r>
      <w:r>
        <w:rPr>
          <w:spacing w:val="-7"/>
        </w:rPr>
        <w:t> </w:t>
      </w:r>
      <w:r>
        <w:rPr/>
        <w:t>my</w:t>
      </w:r>
      <w:r>
        <w:rPr>
          <w:spacing w:val="-9"/>
        </w:rPr>
        <w:t> </w:t>
      </w:r>
      <w:r>
        <w:rPr/>
        <w:t>Account</w:t>
      </w:r>
      <w:r>
        <w:rPr>
          <w:spacing w:val="-9"/>
        </w:rPr>
        <w:t> </w:t>
      </w:r>
      <w:r>
        <w:rPr/>
        <w:t>Staff</w:t>
      </w:r>
      <w:r>
        <w:rPr>
          <w:spacing w:val="-10"/>
        </w:rPr>
        <w:t> </w:t>
      </w:r>
      <w:r>
        <w:rPr/>
        <w:t>in</w:t>
      </w:r>
      <w:r>
        <w:rPr>
          <w:spacing w:val="-9"/>
        </w:rPr>
        <w:t> </w:t>
      </w:r>
      <w:r>
        <w:rPr/>
        <w:t>Office</w:t>
      </w:r>
      <w:r>
        <w:rPr>
          <w:spacing w:val="-11"/>
        </w:rPr>
        <w:t> </w:t>
      </w:r>
      <w:r>
        <w:rPr/>
        <w:t>of</w:t>
      </w:r>
      <w:r>
        <w:rPr>
          <w:spacing w:val="-8"/>
        </w:rPr>
        <w:t> </w:t>
      </w:r>
      <w:r>
        <w:rPr/>
        <w:t>the</w:t>
      </w:r>
      <w:r>
        <w:rPr>
          <w:spacing w:val="-10"/>
        </w:rPr>
        <w:t> </w:t>
      </w:r>
      <w:r>
        <w:rPr/>
        <w:t>Deputy</w:t>
      </w:r>
      <w:r>
        <w:rPr>
          <w:spacing w:val="-9"/>
        </w:rPr>
        <w:t> </w:t>
      </w:r>
      <w:r>
        <w:rPr/>
        <w:t>Governor,</w:t>
      </w:r>
      <w:r>
        <w:rPr>
          <w:spacing w:val="-10"/>
        </w:rPr>
        <w:t> </w:t>
      </w:r>
      <w:r>
        <w:rPr/>
        <w:t>Barrister</w:t>
      </w:r>
      <w:r>
        <w:rPr>
          <w:spacing w:val="-8"/>
        </w:rPr>
        <w:t> </w:t>
      </w:r>
      <w:r>
        <w:rPr/>
        <w:t>Stephen Omorodion</w:t>
      </w:r>
      <w:r>
        <w:rPr>
          <w:spacing w:val="-8"/>
        </w:rPr>
        <w:t> </w:t>
      </w:r>
      <w:r>
        <w:rPr/>
        <w:t>my</w:t>
      </w:r>
      <w:r>
        <w:rPr>
          <w:spacing w:val="-8"/>
        </w:rPr>
        <w:t> </w:t>
      </w:r>
      <w:r>
        <w:rPr/>
        <w:t>former</w:t>
      </w:r>
      <w:r>
        <w:rPr>
          <w:spacing w:val="-9"/>
        </w:rPr>
        <w:t> </w:t>
      </w:r>
      <w:r>
        <w:rPr/>
        <w:t>boss</w:t>
      </w:r>
      <w:r>
        <w:rPr>
          <w:spacing w:val="-8"/>
        </w:rPr>
        <w:t> </w:t>
      </w:r>
      <w:r>
        <w:rPr/>
        <w:t>(PS),</w:t>
      </w:r>
      <w:r>
        <w:rPr>
          <w:spacing w:val="-9"/>
        </w:rPr>
        <w:t> </w:t>
      </w:r>
      <w:r>
        <w:rPr/>
        <w:t>Pastor</w:t>
      </w:r>
      <w:r>
        <w:rPr>
          <w:spacing w:val="-8"/>
        </w:rPr>
        <w:t> </w:t>
      </w:r>
      <w:r>
        <w:rPr/>
        <w:t>Samuel</w:t>
      </w:r>
      <w:r>
        <w:rPr>
          <w:spacing w:val="-11"/>
        </w:rPr>
        <w:t> </w:t>
      </w:r>
      <w:r>
        <w:rPr/>
        <w:t>Osaghae,</w:t>
      </w:r>
      <w:r>
        <w:rPr>
          <w:spacing w:val="-8"/>
        </w:rPr>
        <w:t> </w:t>
      </w:r>
      <w:r>
        <w:rPr/>
        <w:t>Pastor</w:t>
      </w:r>
      <w:r>
        <w:rPr>
          <w:spacing w:val="-8"/>
        </w:rPr>
        <w:t> </w:t>
      </w:r>
      <w:r>
        <w:rPr/>
        <w:t>&amp;</w:t>
      </w:r>
      <w:r>
        <w:rPr>
          <w:spacing w:val="-8"/>
        </w:rPr>
        <w:t> </w:t>
      </w:r>
      <w:r>
        <w:rPr/>
        <w:t>Mrs.</w:t>
      </w:r>
      <w:r>
        <w:rPr>
          <w:spacing w:val="-6"/>
        </w:rPr>
        <w:t> </w:t>
      </w:r>
      <w:r>
        <w:rPr/>
        <w:t>Momoh,</w:t>
      </w:r>
      <w:r>
        <w:rPr>
          <w:spacing w:val="-8"/>
        </w:rPr>
        <w:t> </w:t>
      </w:r>
      <w:r>
        <w:rPr/>
        <w:t>Mrs.</w:t>
      </w:r>
      <w:r>
        <w:rPr>
          <w:spacing w:val="-9"/>
        </w:rPr>
        <w:t> </w:t>
      </w:r>
      <w:r>
        <w:rPr/>
        <w:t>Mercy Ojiafor, my elder sister and other members of my family, God bless you all.</w:t>
      </w:r>
    </w:p>
    <w:p>
      <w:pPr>
        <w:pStyle w:val="BodyText"/>
        <w:spacing w:line="480" w:lineRule="auto" w:before="240"/>
        <w:ind w:left="940" w:right="1441"/>
        <w:jc w:val="both"/>
      </w:pPr>
      <w:r>
        <w:rPr/>
        <w:t>Finally, special thanks to my Ph.D. school mates, Dr. Emuze Blessing Ijeoma, Dr. Atu Osaro Favour, Mr. Ogiku Augustine Iyobor, Mr. Igbodo Anthony Abhiele.</w:t>
      </w:r>
    </w:p>
    <w:p>
      <w:pPr>
        <w:spacing w:after="0" w:line="480" w:lineRule="auto"/>
        <w:jc w:val="both"/>
        <w:sectPr>
          <w:pgSz w:w="11910" w:h="16840"/>
          <w:pgMar w:header="0" w:footer="971" w:top="1360" w:bottom="1160" w:left="500" w:right="0"/>
        </w:sect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2"/>
        <w:gridCol w:w="4661"/>
        <w:gridCol w:w="1670"/>
      </w:tblGrid>
      <w:tr>
        <w:trPr>
          <w:trHeight w:val="408" w:hRule="atLeast"/>
        </w:trPr>
        <w:tc>
          <w:tcPr>
            <w:tcW w:w="2612" w:type="dxa"/>
          </w:tcPr>
          <w:p>
            <w:pPr>
              <w:pStyle w:val="TableParagraph"/>
              <w:rPr>
                <w:rFonts w:ascii="Times New Roman"/>
                <w:sz w:val="24"/>
              </w:rPr>
            </w:pPr>
          </w:p>
        </w:tc>
        <w:tc>
          <w:tcPr>
            <w:tcW w:w="4661" w:type="dxa"/>
          </w:tcPr>
          <w:p>
            <w:pPr>
              <w:pStyle w:val="TableParagraph"/>
              <w:spacing w:line="266" w:lineRule="exact"/>
              <w:ind w:left="656"/>
              <w:rPr>
                <w:rFonts w:ascii="Times New Roman"/>
                <w:b/>
                <w:sz w:val="24"/>
              </w:rPr>
            </w:pPr>
            <w:r>
              <w:rPr>
                <w:rFonts w:ascii="Times New Roman"/>
                <w:b/>
                <w:sz w:val="24"/>
              </w:rPr>
              <w:t>TABLE OF </w:t>
            </w:r>
            <w:r>
              <w:rPr>
                <w:rFonts w:ascii="Times New Roman"/>
                <w:b/>
                <w:spacing w:val="-2"/>
                <w:sz w:val="24"/>
              </w:rPr>
              <w:t>CONTENTS</w:t>
            </w:r>
          </w:p>
        </w:tc>
        <w:tc>
          <w:tcPr>
            <w:tcW w:w="1670" w:type="dxa"/>
            <w:vMerge w:val="restart"/>
          </w:tcPr>
          <w:p>
            <w:pPr>
              <w:pStyle w:val="TableParagraph"/>
              <w:rPr>
                <w:rFonts w:ascii="Times New Roman"/>
                <w:sz w:val="24"/>
              </w:rPr>
            </w:pPr>
          </w:p>
        </w:tc>
      </w:tr>
      <w:tr>
        <w:trPr>
          <w:trHeight w:val="482" w:hRule="atLeast"/>
        </w:trPr>
        <w:tc>
          <w:tcPr>
            <w:tcW w:w="2612" w:type="dxa"/>
          </w:tcPr>
          <w:p>
            <w:pPr>
              <w:pStyle w:val="TableParagraph"/>
              <w:spacing w:before="133"/>
              <w:ind w:left="50"/>
              <w:rPr>
                <w:rFonts w:ascii="Times New Roman"/>
                <w:sz w:val="24"/>
              </w:rPr>
            </w:pPr>
            <w:r>
              <w:rPr>
                <w:rFonts w:ascii="Times New Roman"/>
                <w:sz w:val="24"/>
              </w:rPr>
              <w:t>Cover</w:t>
            </w:r>
            <w:r>
              <w:rPr>
                <w:rFonts w:ascii="Times New Roman"/>
                <w:spacing w:val="-3"/>
                <w:sz w:val="24"/>
              </w:rPr>
              <w:t> </w:t>
            </w:r>
            <w:r>
              <w:rPr>
                <w:rFonts w:ascii="Times New Roman"/>
                <w:spacing w:val="-4"/>
                <w:sz w:val="24"/>
              </w:rPr>
              <w:t>Page</w:t>
            </w:r>
          </w:p>
        </w:tc>
        <w:tc>
          <w:tcPr>
            <w:tcW w:w="4661" w:type="dxa"/>
          </w:tcPr>
          <w:p>
            <w:pPr>
              <w:pStyle w:val="TableParagraph"/>
              <w:rPr>
                <w:rFonts w:ascii="Times New Roman"/>
                <w:sz w:val="24"/>
              </w:rPr>
            </w:pPr>
          </w:p>
        </w:tc>
        <w:tc>
          <w:tcPr>
            <w:tcW w:w="1670" w:type="dxa"/>
            <w:vMerge/>
            <w:tcBorders>
              <w:top w:val="nil"/>
            </w:tcBorders>
          </w:tcPr>
          <w:p>
            <w:pPr>
              <w:rPr>
                <w:sz w:val="2"/>
                <w:szCs w:val="2"/>
              </w:rPr>
            </w:pPr>
          </w:p>
        </w:tc>
      </w:tr>
      <w:tr>
        <w:trPr>
          <w:trHeight w:val="413" w:hRule="atLeast"/>
        </w:trPr>
        <w:tc>
          <w:tcPr>
            <w:tcW w:w="2612" w:type="dxa"/>
          </w:tcPr>
          <w:p>
            <w:pPr>
              <w:pStyle w:val="TableParagraph"/>
              <w:spacing w:before="63"/>
              <w:ind w:left="50"/>
              <w:rPr>
                <w:rFonts w:ascii="Times New Roman"/>
                <w:sz w:val="24"/>
              </w:rPr>
            </w:pPr>
            <w:r>
              <w:rPr>
                <w:rFonts w:ascii="Times New Roman"/>
                <w:sz w:val="24"/>
              </w:rPr>
              <w:t>Title</w:t>
            </w:r>
            <w:r>
              <w:rPr>
                <w:rFonts w:ascii="Times New Roman"/>
                <w:spacing w:val="-1"/>
                <w:sz w:val="24"/>
              </w:rPr>
              <w:t> </w:t>
            </w:r>
            <w:r>
              <w:rPr>
                <w:rFonts w:ascii="Times New Roman"/>
                <w:spacing w:val="-4"/>
                <w:sz w:val="24"/>
              </w:rPr>
              <w:t>Page</w:t>
            </w:r>
          </w:p>
        </w:tc>
        <w:tc>
          <w:tcPr>
            <w:tcW w:w="4661" w:type="dxa"/>
          </w:tcPr>
          <w:p>
            <w:pPr>
              <w:pStyle w:val="TableParagraph"/>
              <w:rPr>
                <w:rFonts w:ascii="Times New Roman"/>
                <w:sz w:val="24"/>
              </w:rPr>
            </w:pPr>
          </w:p>
        </w:tc>
        <w:tc>
          <w:tcPr>
            <w:tcW w:w="1670" w:type="dxa"/>
          </w:tcPr>
          <w:p>
            <w:pPr>
              <w:pStyle w:val="TableParagraph"/>
              <w:spacing w:before="63"/>
              <w:ind w:right="182"/>
              <w:jc w:val="right"/>
              <w:rPr>
                <w:rFonts w:ascii="Times New Roman"/>
                <w:sz w:val="24"/>
              </w:rPr>
            </w:pPr>
            <w:r>
              <w:rPr>
                <w:rFonts w:ascii="Times New Roman"/>
                <w:spacing w:val="-10"/>
                <w:sz w:val="24"/>
              </w:rPr>
              <w:t>i</w:t>
            </w:r>
          </w:p>
        </w:tc>
      </w:tr>
      <w:tr>
        <w:trPr>
          <w:trHeight w:val="413" w:hRule="atLeast"/>
        </w:trPr>
        <w:tc>
          <w:tcPr>
            <w:tcW w:w="2612" w:type="dxa"/>
          </w:tcPr>
          <w:p>
            <w:pPr>
              <w:pStyle w:val="TableParagraph"/>
              <w:spacing w:before="64"/>
              <w:ind w:left="50"/>
              <w:rPr>
                <w:rFonts w:ascii="Times New Roman"/>
                <w:sz w:val="24"/>
              </w:rPr>
            </w:pPr>
            <w:r>
              <w:rPr>
                <w:rFonts w:ascii="Times New Roman"/>
                <w:spacing w:val="-2"/>
                <w:sz w:val="24"/>
              </w:rPr>
              <w:t>Declaration</w:t>
            </w:r>
          </w:p>
        </w:tc>
        <w:tc>
          <w:tcPr>
            <w:tcW w:w="4661" w:type="dxa"/>
          </w:tcPr>
          <w:p>
            <w:pPr>
              <w:pStyle w:val="TableParagraph"/>
              <w:rPr>
                <w:rFonts w:ascii="Times New Roman"/>
                <w:sz w:val="24"/>
              </w:rPr>
            </w:pPr>
          </w:p>
        </w:tc>
        <w:tc>
          <w:tcPr>
            <w:tcW w:w="1670" w:type="dxa"/>
          </w:tcPr>
          <w:p>
            <w:pPr>
              <w:pStyle w:val="TableParagraph"/>
              <w:spacing w:before="64"/>
              <w:ind w:right="115"/>
              <w:jc w:val="right"/>
              <w:rPr>
                <w:rFonts w:ascii="Times New Roman"/>
                <w:sz w:val="24"/>
              </w:rPr>
            </w:pPr>
            <w:r>
              <w:rPr>
                <w:rFonts w:ascii="Times New Roman"/>
                <w:spacing w:val="-5"/>
                <w:sz w:val="24"/>
              </w:rPr>
              <w:t>ii</w:t>
            </w:r>
          </w:p>
        </w:tc>
      </w:tr>
      <w:tr>
        <w:trPr>
          <w:trHeight w:val="414" w:hRule="atLeast"/>
        </w:trPr>
        <w:tc>
          <w:tcPr>
            <w:tcW w:w="2612" w:type="dxa"/>
          </w:tcPr>
          <w:p>
            <w:pPr>
              <w:pStyle w:val="TableParagraph"/>
              <w:spacing w:before="63"/>
              <w:ind w:left="50"/>
              <w:rPr>
                <w:rFonts w:ascii="Times New Roman"/>
                <w:sz w:val="24"/>
              </w:rPr>
            </w:pPr>
            <w:r>
              <w:rPr>
                <w:rFonts w:ascii="Times New Roman"/>
                <w:spacing w:val="-2"/>
                <w:sz w:val="24"/>
              </w:rPr>
              <w:t>Dedication</w:t>
            </w:r>
          </w:p>
        </w:tc>
        <w:tc>
          <w:tcPr>
            <w:tcW w:w="4661" w:type="dxa"/>
          </w:tcPr>
          <w:p>
            <w:pPr>
              <w:pStyle w:val="TableParagraph"/>
              <w:rPr>
                <w:rFonts w:ascii="Times New Roman"/>
                <w:sz w:val="24"/>
              </w:rPr>
            </w:pPr>
          </w:p>
        </w:tc>
        <w:tc>
          <w:tcPr>
            <w:tcW w:w="1670" w:type="dxa"/>
          </w:tcPr>
          <w:p>
            <w:pPr>
              <w:pStyle w:val="TableParagraph"/>
              <w:spacing w:before="63"/>
              <w:ind w:right="48"/>
              <w:jc w:val="right"/>
              <w:rPr>
                <w:rFonts w:ascii="Times New Roman"/>
                <w:sz w:val="24"/>
              </w:rPr>
            </w:pPr>
            <w:r>
              <w:rPr>
                <w:rFonts w:ascii="Times New Roman"/>
                <w:spacing w:val="-5"/>
                <w:sz w:val="24"/>
              </w:rPr>
              <w:t>iii</w:t>
            </w:r>
          </w:p>
        </w:tc>
      </w:tr>
      <w:tr>
        <w:trPr>
          <w:trHeight w:val="414" w:hRule="atLeast"/>
        </w:trPr>
        <w:tc>
          <w:tcPr>
            <w:tcW w:w="2612" w:type="dxa"/>
          </w:tcPr>
          <w:p>
            <w:pPr>
              <w:pStyle w:val="TableParagraph"/>
              <w:spacing w:before="64"/>
              <w:ind w:left="50"/>
              <w:rPr>
                <w:rFonts w:ascii="Times New Roman"/>
                <w:sz w:val="24"/>
              </w:rPr>
            </w:pPr>
            <w:r>
              <w:rPr>
                <w:rFonts w:ascii="Times New Roman"/>
                <w:spacing w:val="-2"/>
                <w:sz w:val="24"/>
              </w:rPr>
              <w:t>Certification</w:t>
            </w:r>
          </w:p>
        </w:tc>
        <w:tc>
          <w:tcPr>
            <w:tcW w:w="4661" w:type="dxa"/>
          </w:tcPr>
          <w:p>
            <w:pPr>
              <w:pStyle w:val="TableParagraph"/>
              <w:rPr>
                <w:rFonts w:ascii="Times New Roman"/>
                <w:sz w:val="24"/>
              </w:rPr>
            </w:pPr>
          </w:p>
        </w:tc>
        <w:tc>
          <w:tcPr>
            <w:tcW w:w="1670" w:type="dxa"/>
          </w:tcPr>
          <w:p>
            <w:pPr>
              <w:pStyle w:val="TableParagraph"/>
              <w:spacing w:before="64"/>
              <w:ind w:right="61"/>
              <w:jc w:val="right"/>
              <w:rPr>
                <w:rFonts w:ascii="Times New Roman"/>
                <w:sz w:val="24"/>
              </w:rPr>
            </w:pPr>
            <w:r>
              <w:rPr>
                <w:rFonts w:ascii="Times New Roman"/>
                <w:spacing w:val="-5"/>
                <w:sz w:val="24"/>
              </w:rPr>
              <w:t>iv</w:t>
            </w:r>
          </w:p>
        </w:tc>
      </w:tr>
      <w:tr>
        <w:trPr>
          <w:trHeight w:val="413" w:hRule="atLeast"/>
        </w:trPr>
        <w:tc>
          <w:tcPr>
            <w:tcW w:w="2612" w:type="dxa"/>
          </w:tcPr>
          <w:p>
            <w:pPr>
              <w:pStyle w:val="TableParagraph"/>
              <w:spacing w:before="63"/>
              <w:ind w:left="50"/>
              <w:rPr>
                <w:rFonts w:ascii="Times New Roman"/>
                <w:sz w:val="24"/>
              </w:rPr>
            </w:pPr>
            <w:r>
              <w:rPr>
                <w:rFonts w:ascii="Times New Roman"/>
                <w:spacing w:val="-2"/>
                <w:sz w:val="24"/>
              </w:rPr>
              <w:t>Acknowledgements</w:t>
            </w:r>
          </w:p>
        </w:tc>
        <w:tc>
          <w:tcPr>
            <w:tcW w:w="4661" w:type="dxa"/>
          </w:tcPr>
          <w:p>
            <w:pPr>
              <w:pStyle w:val="TableParagraph"/>
              <w:rPr>
                <w:rFonts w:ascii="Times New Roman"/>
                <w:sz w:val="24"/>
              </w:rPr>
            </w:pPr>
          </w:p>
        </w:tc>
        <w:tc>
          <w:tcPr>
            <w:tcW w:w="1670" w:type="dxa"/>
          </w:tcPr>
          <w:p>
            <w:pPr>
              <w:pStyle w:val="TableParagraph"/>
              <w:spacing w:before="63"/>
              <w:ind w:right="129"/>
              <w:jc w:val="right"/>
              <w:rPr>
                <w:rFonts w:ascii="Times New Roman"/>
                <w:sz w:val="24"/>
              </w:rPr>
            </w:pPr>
            <w:r>
              <w:rPr>
                <w:rFonts w:ascii="Times New Roman"/>
                <w:spacing w:val="-10"/>
                <w:sz w:val="24"/>
              </w:rPr>
              <w:t>v</w:t>
            </w:r>
          </w:p>
        </w:tc>
      </w:tr>
      <w:tr>
        <w:trPr>
          <w:trHeight w:val="414" w:hRule="atLeast"/>
        </w:trPr>
        <w:tc>
          <w:tcPr>
            <w:tcW w:w="2612" w:type="dxa"/>
          </w:tcPr>
          <w:p>
            <w:pPr>
              <w:pStyle w:val="TableParagraph"/>
              <w:spacing w:before="64"/>
              <w:ind w:left="50"/>
              <w:rPr>
                <w:rFonts w:ascii="Times New Roman"/>
                <w:sz w:val="24"/>
              </w:rPr>
            </w:pPr>
            <w:r>
              <w:rPr>
                <w:rFonts w:ascii="Times New Roman"/>
                <w:sz w:val="24"/>
              </w:rPr>
              <w:t>Table</w:t>
            </w:r>
            <w:r>
              <w:rPr>
                <w:rFonts w:ascii="Times New Roman"/>
                <w:spacing w:val="-4"/>
                <w:sz w:val="24"/>
              </w:rPr>
              <w:t> </w:t>
            </w:r>
            <w:r>
              <w:rPr>
                <w:rFonts w:ascii="Times New Roman"/>
                <w:sz w:val="24"/>
              </w:rPr>
              <w:t>of</w:t>
            </w:r>
            <w:r>
              <w:rPr>
                <w:rFonts w:ascii="Times New Roman"/>
                <w:spacing w:val="-2"/>
                <w:sz w:val="24"/>
              </w:rPr>
              <w:t> Contents</w:t>
            </w:r>
          </w:p>
        </w:tc>
        <w:tc>
          <w:tcPr>
            <w:tcW w:w="4661" w:type="dxa"/>
          </w:tcPr>
          <w:p>
            <w:pPr>
              <w:pStyle w:val="TableParagraph"/>
              <w:rPr>
                <w:rFonts w:ascii="Times New Roman"/>
                <w:sz w:val="24"/>
              </w:rPr>
            </w:pPr>
          </w:p>
        </w:tc>
        <w:tc>
          <w:tcPr>
            <w:tcW w:w="1670" w:type="dxa"/>
          </w:tcPr>
          <w:p>
            <w:pPr>
              <w:pStyle w:val="TableParagraph"/>
              <w:spacing w:before="64"/>
              <w:ind w:right="62"/>
              <w:jc w:val="right"/>
              <w:rPr>
                <w:rFonts w:ascii="Times New Roman"/>
                <w:sz w:val="24"/>
              </w:rPr>
            </w:pPr>
            <w:r>
              <w:rPr>
                <w:rFonts w:ascii="Times New Roman"/>
                <w:spacing w:val="-5"/>
                <w:sz w:val="24"/>
              </w:rPr>
              <w:t>vi</w:t>
            </w:r>
          </w:p>
        </w:tc>
      </w:tr>
      <w:tr>
        <w:trPr>
          <w:trHeight w:val="414" w:hRule="atLeast"/>
        </w:trPr>
        <w:tc>
          <w:tcPr>
            <w:tcW w:w="2612" w:type="dxa"/>
          </w:tcPr>
          <w:p>
            <w:pPr>
              <w:pStyle w:val="TableParagraph"/>
              <w:spacing w:before="63"/>
              <w:ind w:left="50"/>
              <w:rPr>
                <w:rFonts w:ascii="Times New Roman"/>
                <w:sz w:val="24"/>
              </w:rPr>
            </w:pPr>
            <w:r>
              <w:rPr>
                <w:rFonts w:ascii="Times New Roman"/>
                <w:sz w:val="24"/>
              </w:rPr>
              <w:t>List of </w:t>
            </w:r>
            <w:r>
              <w:rPr>
                <w:rFonts w:ascii="Times New Roman"/>
                <w:spacing w:val="-2"/>
                <w:sz w:val="24"/>
              </w:rPr>
              <w:t>Tables</w:t>
            </w:r>
          </w:p>
        </w:tc>
        <w:tc>
          <w:tcPr>
            <w:tcW w:w="4661" w:type="dxa"/>
          </w:tcPr>
          <w:p>
            <w:pPr>
              <w:pStyle w:val="TableParagraph"/>
              <w:rPr>
                <w:rFonts w:ascii="Times New Roman"/>
                <w:sz w:val="24"/>
              </w:rPr>
            </w:pPr>
          </w:p>
        </w:tc>
        <w:tc>
          <w:tcPr>
            <w:tcW w:w="1670" w:type="dxa"/>
          </w:tcPr>
          <w:p>
            <w:pPr>
              <w:pStyle w:val="TableParagraph"/>
              <w:spacing w:before="63"/>
              <w:ind w:right="61"/>
              <w:jc w:val="right"/>
              <w:rPr>
                <w:rFonts w:ascii="Times New Roman"/>
                <w:sz w:val="24"/>
              </w:rPr>
            </w:pPr>
            <w:r>
              <w:rPr>
                <w:rFonts w:ascii="Times New Roman"/>
                <w:spacing w:val="-5"/>
                <w:sz w:val="24"/>
              </w:rPr>
              <w:t>ix</w:t>
            </w:r>
          </w:p>
        </w:tc>
      </w:tr>
      <w:tr>
        <w:trPr>
          <w:trHeight w:val="340" w:hRule="atLeast"/>
        </w:trPr>
        <w:tc>
          <w:tcPr>
            <w:tcW w:w="2612" w:type="dxa"/>
          </w:tcPr>
          <w:p>
            <w:pPr>
              <w:pStyle w:val="TableParagraph"/>
              <w:spacing w:line="256" w:lineRule="exact" w:before="64"/>
              <w:ind w:left="50"/>
              <w:rPr>
                <w:rFonts w:ascii="Times New Roman"/>
                <w:sz w:val="24"/>
              </w:rPr>
            </w:pPr>
            <w:r>
              <w:rPr>
                <w:rFonts w:ascii="Times New Roman"/>
                <w:spacing w:val="-2"/>
                <w:sz w:val="24"/>
              </w:rPr>
              <w:t>Abstract</w:t>
            </w:r>
          </w:p>
        </w:tc>
        <w:tc>
          <w:tcPr>
            <w:tcW w:w="4661" w:type="dxa"/>
          </w:tcPr>
          <w:p>
            <w:pPr>
              <w:pStyle w:val="TableParagraph"/>
              <w:rPr>
                <w:rFonts w:ascii="Times New Roman"/>
                <w:sz w:val="24"/>
              </w:rPr>
            </w:pPr>
          </w:p>
        </w:tc>
        <w:tc>
          <w:tcPr>
            <w:tcW w:w="1670" w:type="dxa"/>
          </w:tcPr>
          <w:p>
            <w:pPr>
              <w:pStyle w:val="TableParagraph"/>
              <w:spacing w:line="256" w:lineRule="exact" w:before="64"/>
              <w:ind w:right="129"/>
              <w:jc w:val="right"/>
              <w:rPr>
                <w:rFonts w:ascii="Times New Roman"/>
                <w:sz w:val="24"/>
              </w:rPr>
            </w:pPr>
            <w:r>
              <w:rPr>
                <w:rFonts w:ascii="Times New Roman"/>
                <w:spacing w:val="-10"/>
                <w:sz w:val="24"/>
              </w:rPr>
              <w:t>x</w:t>
            </w:r>
          </w:p>
        </w:tc>
      </w:tr>
    </w:tbl>
    <w:p>
      <w:pPr>
        <w:pStyle w:val="BodyText"/>
      </w:pPr>
    </w:p>
    <w:p>
      <w:pPr>
        <w:pStyle w:val="BodyText"/>
        <w:spacing w:before="16"/>
      </w:pPr>
    </w:p>
    <w:p>
      <w:pPr>
        <w:pStyle w:val="Heading2"/>
        <w:spacing w:before="0"/>
        <w:ind w:left="940" w:right="0"/>
        <w:jc w:val="left"/>
      </w:pPr>
      <w:r>
        <w:rPr/>
        <w:drawing>
          <wp:anchor distT="0" distB="0" distL="0" distR="0" allowOverlap="1" layoutInCell="1" locked="0" behindDoc="1" simplePos="0" relativeHeight="477666304">
            <wp:simplePos x="0" y="0"/>
            <wp:positionH relativeFrom="page">
              <wp:posOffset>1095451</wp:posOffset>
            </wp:positionH>
            <wp:positionV relativeFrom="paragraph">
              <wp:posOffset>-1167354</wp:posOffset>
            </wp:positionV>
            <wp:extent cx="5106847" cy="5238115"/>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5" cstate="print"/>
                    <a:stretch>
                      <a:fillRect/>
                    </a:stretch>
                  </pic:blipFill>
                  <pic:spPr>
                    <a:xfrm>
                      <a:off x="0" y="0"/>
                      <a:ext cx="5106847" cy="5238115"/>
                    </a:xfrm>
                    <a:prstGeom prst="rect">
                      <a:avLst/>
                    </a:prstGeom>
                  </pic:spPr>
                </pic:pic>
              </a:graphicData>
            </a:graphic>
          </wp:anchor>
        </w:drawing>
      </w:r>
      <w:r>
        <w:rPr/>
        <w:t>CHAPTER</w:t>
      </w:r>
      <w:r>
        <w:rPr>
          <w:spacing w:val="-1"/>
        </w:rPr>
        <w:t> </w:t>
      </w:r>
      <w:r>
        <w:rPr/>
        <w:t>ONE: </w:t>
      </w:r>
      <w:r>
        <w:rPr>
          <w:spacing w:val="-2"/>
        </w:rPr>
        <w:t>INTRODUCTION</w:t>
      </w:r>
    </w:p>
    <w:p>
      <w:pPr>
        <w:spacing w:after="0"/>
        <w:jc w:val="left"/>
        <w:sectPr>
          <w:pgSz w:w="11910" w:h="16840"/>
          <w:pgMar w:header="0" w:footer="971" w:top="1420" w:bottom="1440" w:left="500" w:right="0"/>
        </w:sectPr>
      </w:pPr>
    </w:p>
    <w:sdt>
      <w:sdtPr>
        <w:docPartObj>
          <w:docPartGallery w:val="Table of Contents"/>
          <w:docPartUnique/>
        </w:docPartObj>
      </w:sdtPr>
      <w:sdtEndPr/>
      <w:sdtContent>
        <w:p>
          <w:pPr>
            <w:pStyle w:val="TOC2"/>
            <w:numPr>
              <w:ilvl w:val="1"/>
              <w:numId w:val="2"/>
            </w:numPr>
            <w:tabs>
              <w:tab w:pos="1660" w:val="left" w:leader="none"/>
              <w:tab w:pos="9701" w:val="right" w:leader="none"/>
            </w:tabs>
            <w:spacing w:line="240" w:lineRule="auto" w:before="137" w:after="0"/>
            <w:ind w:left="1660" w:right="0" w:hanging="720"/>
            <w:jc w:val="left"/>
          </w:pPr>
          <w:hyperlink w:history="true" w:anchor="_TOC_250069">
            <w:r>
              <w:rPr/>
              <w:t>Background</w:t>
            </w:r>
            <w:r>
              <w:rPr>
                <w:spacing w:val="-3"/>
              </w:rPr>
              <w:t> </w:t>
            </w:r>
            <w:r>
              <w:rPr/>
              <w:t>to</w:t>
            </w:r>
            <w:r>
              <w:rPr>
                <w:spacing w:val="-1"/>
              </w:rPr>
              <w:t> </w:t>
            </w:r>
            <w:r>
              <w:rPr/>
              <w:t>the</w:t>
            </w:r>
            <w:r>
              <w:rPr>
                <w:spacing w:val="-1"/>
              </w:rPr>
              <w:t> </w:t>
            </w:r>
            <w:r>
              <w:rPr>
                <w:spacing w:val="-2"/>
              </w:rPr>
              <w:t>Study</w:t>
            </w:r>
            <w:r>
              <w:rPr/>
              <w:tab/>
            </w:r>
            <w:r>
              <w:rPr>
                <w:spacing w:val="-12"/>
              </w:rPr>
              <w:t>1</w:t>
            </w:r>
          </w:hyperlink>
        </w:p>
        <w:p>
          <w:pPr>
            <w:pStyle w:val="TOC2"/>
            <w:numPr>
              <w:ilvl w:val="1"/>
              <w:numId w:val="2"/>
            </w:numPr>
            <w:tabs>
              <w:tab w:pos="1660" w:val="left" w:leader="none"/>
              <w:tab w:pos="9701" w:val="right" w:leader="none"/>
            </w:tabs>
            <w:spacing w:line="240" w:lineRule="auto" w:before="140" w:after="0"/>
            <w:ind w:left="1660" w:right="0" w:hanging="720"/>
            <w:jc w:val="left"/>
          </w:pPr>
          <w:hyperlink w:history="true" w:anchor="_TOC_250068">
            <w:r>
              <w:rPr/>
              <w:t>Statement</w:t>
            </w:r>
            <w:r>
              <w:rPr>
                <w:spacing w:val="-1"/>
              </w:rPr>
              <w:t> </w:t>
            </w:r>
            <w:r>
              <w:rPr/>
              <w:t>of</w:t>
            </w:r>
            <w:r>
              <w:rPr>
                <w:spacing w:val="-1"/>
              </w:rPr>
              <w:t> </w:t>
            </w:r>
            <w:r>
              <w:rPr/>
              <w:t>the</w:t>
            </w:r>
            <w:r>
              <w:rPr>
                <w:spacing w:val="-1"/>
              </w:rPr>
              <w:t> </w:t>
            </w:r>
            <w:r>
              <w:rPr/>
              <w:t>Research </w:t>
            </w:r>
            <w:r>
              <w:rPr>
                <w:spacing w:val="-2"/>
              </w:rPr>
              <w:t>Problem</w:t>
            </w:r>
            <w:r>
              <w:rPr/>
              <w:tab/>
            </w:r>
            <w:r>
              <w:rPr>
                <w:spacing w:val="-10"/>
              </w:rPr>
              <w:t>4</w:t>
            </w:r>
          </w:hyperlink>
        </w:p>
        <w:p>
          <w:pPr>
            <w:pStyle w:val="TOC2"/>
            <w:numPr>
              <w:ilvl w:val="1"/>
              <w:numId w:val="3"/>
            </w:numPr>
            <w:tabs>
              <w:tab w:pos="1660" w:val="left" w:leader="none"/>
              <w:tab w:pos="9701" w:val="right" w:leader="none"/>
            </w:tabs>
            <w:spacing w:line="240" w:lineRule="auto" w:before="136" w:after="0"/>
            <w:ind w:left="1660" w:right="0" w:hanging="720"/>
            <w:jc w:val="left"/>
          </w:pPr>
          <w:hyperlink w:history="true" w:anchor="_TOC_250067">
            <w:r>
              <w:rPr/>
              <w:t>Objectives</w:t>
            </w:r>
            <w:r>
              <w:rPr>
                <w:spacing w:val="-4"/>
              </w:rPr>
              <w:t> </w:t>
            </w:r>
            <w:r>
              <w:rPr/>
              <w:t>of</w:t>
            </w:r>
            <w:r>
              <w:rPr>
                <w:spacing w:val="-1"/>
              </w:rPr>
              <w:t> </w:t>
            </w:r>
            <w:r>
              <w:rPr/>
              <w:t>the</w:t>
            </w:r>
            <w:r>
              <w:rPr>
                <w:spacing w:val="-2"/>
              </w:rPr>
              <w:t> study</w:t>
            </w:r>
            <w:r>
              <w:rPr/>
              <w:tab/>
            </w:r>
            <w:r>
              <w:rPr>
                <w:spacing w:val="-10"/>
              </w:rPr>
              <w:t>6</w:t>
            </w:r>
          </w:hyperlink>
        </w:p>
        <w:p>
          <w:pPr>
            <w:pStyle w:val="TOC2"/>
            <w:numPr>
              <w:ilvl w:val="1"/>
              <w:numId w:val="3"/>
            </w:numPr>
            <w:tabs>
              <w:tab w:pos="1660" w:val="left" w:leader="none"/>
              <w:tab w:pos="9701" w:val="right" w:leader="none"/>
            </w:tabs>
            <w:spacing w:line="240" w:lineRule="auto" w:before="140" w:after="0"/>
            <w:ind w:left="1660" w:right="0" w:hanging="720"/>
            <w:jc w:val="left"/>
          </w:pPr>
          <w:hyperlink w:history="true" w:anchor="_TOC_250066">
            <w:r>
              <w:rPr/>
              <w:t>Research</w:t>
            </w:r>
            <w:r>
              <w:rPr>
                <w:spacing w:val="-5"/>
              </w:rPr>
              <w:t> </w:t>
            </w:r>
            <w:r>
              <w:rPr>
                <w:spacing w:val="-2"/>
              </w:rPr>
              <w:t>Questions</w:t>
            </w:r>
            <w:r>
              <w:rPr/>
              <w:tab/>
            </w:r>
            <w:r>
              <w:rPr>
                <w:spacing w:val="-12"/>
              </w:rPr>
              <w:t>7</w:t>
            </w:r>
          </w:hyperlink>
        </w:p>
        <w:p>
          <w:pPr>
            <w:pStyle w:val="TOC2"/>
            <w:numPr>
              <w:ilvl w:val="1"/>
              <w:numId w:val="3"/>
            </w:numPr>
            <w:tabs>
              <w:tab w:pos="1660" w:val="left" w:leader="none"/>
              <w:tab w:pos="9701" w:val="right" w:leader="none"/>
            </w:tabs>
            <w:spacing w:line="240" w:lineRule="auto" w:before="137" w:after="0"/>
            <w:ind w:left="1660" w:right="0" w:hanging="720"/>
            <w:jc w:val="left"/>
          </w:pPr>
          <w:hyperlink w:history="true" w:anchor="_TOC_250065">
            <w:r>
              <w:rPr/>
              <w:t>Research</w:t>
            </w:r>
            <w:r>
              <w:rPr>
                <w:spacing w:val="-3"/>
              </w:rPr>
              <w:t> </w:t>
            </w:r>
            <w:r>
              <w:rPr>
                <w:spacing w:val="-2"/>
              </w:rPr>
              <w:t>Hypotheses</w:t>
            </w:r>
            <w:r>
              <w:rPr/>
              <w:tab/>
            </w:r>
            <w:r>
              <w:rPr>
                <w:spacing w:val="-12"/>
              </w:rPr>
              <w:t>8</w:t>
            </w:r>
          </w:hyperlink>
        </w:p>
        <w:p>
          <w:pPr>
            <w:pStyle w:val="TOC2"/>
            <w:numPr>
              <w:ilvl w:val="1"/>
              <w:numId w:val="3"/>
            </w:numPr>
            <w:tabs>
              <w:tab w:pos="1660" w:val="left" w:leader="none"/>
              <w:tab w:pos="9701" w:val="right" w:leader="none"/>
            </w:tabs>
            <w:spacing w:line="240" w:lineRule="auto" w:before="139" w:after="0"/>
            <w:ind w:left="1660" w:right="0" w:hanging="720"/>
            <w:jc w:val="left"/>
          </w:pPr>
          <w:hyperlink w:history="true" w:anchor="_TOC_250064">
            <w:r>
              <w:rPr/>
              <w:t>Significance</w:t>
            </w:r>
            <w:r>
              <w:rPr>
                <w:spacing w:val="-2"/>
              </w:rPr>
              <w:t> </w:t>
            </w:r>
            <w:r>
              <w:rPr/>
              <w:t>of</w:t>
            </w:r>
            <w:r>
              <w:rPr>
                <w:spacing w:val="-2"/>
              </w:rPr>
              <w:t> </w:t>
            </w:r>
            <w:r>
              <w:rPr/>
              <w:t>the</w:t>
            </w:r>
            <w:r>
              <w:rPr>
                <w:spacing w:val="-2"/>
              </w:rPr>
              <w:t> </w:t>
            </w:r>
            <w:r>
              <w:rPr>
                <w:spacing w:val="-4"/>
              </w:rPr>
              <w:t>Study</w:t>
            </w:r>
            <w:r>
              <w:rPr/>
              <w:tab/>
            </w:r>
            <w:r>
              <w:rPr>
                <w:spacing w:val="-10"/>
              </w:rPr>
              <w:t>9</w:t>
            </w:r>
          </w:hyperlink>
        </w:p>
        <w:p>
          <w:pPr>
            <w:pStyle w:val="TOC2"/>
            <w:numPr>
              <w:ilvl w:val="1"/>
              <w:numId w:val="3"/>
            </w:numPr>
            <w:tabs>
              <w:tab w:pos="1660" w:val="left" w:leader="none"/>
              <w:tab w:pos="9821" w:val="right" w:leader="none"/>
            </w:tabs>
            <w:spacing w:line="240" w:lineRule="auto" w:before="137" w:after="0"/>
            <w:ind w:left="1660" w:right="0" w:hanging="720"/>
            <w:jc w:val="left"/>
          </w:pPr>
          <w:hyperlink w:history="true" w:anchor="_TOC_250063">
            <w:r>
              <w:rPr/>
              <w:t>Scope</w:t>
            </w:r>
            <w:r>
              <w:rPr>
                <w:spacing w:val="-2"/>
              </w:rPr>
              <w:t> </w:t>
            </w:r>
            <w:r>
              <w:rPr/>
              <w:t>of the</w:t>
            </w:r>
            <w:r>
              <w:rPr>
                <w:spacing w:val="-2"/>
              </w:rPr>
              <w:t> Study</w:t>
            </w:r>
            <w:r>
              <w:rPr/>
              <w:tab/>
            </w:r>
            <w:r>
              <w:rPr>
                <w:spacing w:val="-5"/>
              </w:rPr>
              <w:t>10</w:t>
            </w:r>
          </w:hyperlink>
        </w:p>
        <w:p>
          <w:pPr>
            <w:pStyle w:val="TOC2"/>
            <w:numPr>
              <w:ilvl w:val="1"/>
              <w:numId w:val="4"/>
            </w:numPr>
            <w:tabs>
              <w:tab w:pos="1660" w:val="left" w:leader="none"/>
              <w:tab w:pos="9821" w:val="right" w:leader="none"/>
            </w:tabs>
            <w:spacing w:line="240" w:lineRule="auto" w:before="139" w:after="0"/>
            <w:ind w:left="1660" w:right="0" w:hanging="720"/>
            <w:jc w:val="left"/>
          </w:pPr>
          <w:hyperlink w:history="true" w:anchor="_TOC_250062">
            <w:r>
              <w:rPr/>
              <w:t>Limitation of the </w:t>
            </w:r>
            <w:r>
              <w:rPr>
                <w:spacing w:val="-2"/>
              </w:rPr>
              <w:t>study</w:t>
            </w:r>
            <w:r>
              <w:rPr/>
              <w:tab/>
            </w:r>
            <w:r>
              <w:rPr>
                <w:spacing w:val="-5"/>
              </w:rPr>
              <w:t>10</w:t>
            </w:r>
          </w:hyperlink>
        </w:p>
        <w:p>
          <w:pPr>
            <w:pStyle w:val="TOC2"/>
            <w:numPr>
              <w:ilvl w:val="1"/>
              <w:numId w:val="4"/>
            </w:numPr>
            <w:tabs>
              <w:tab w:pos="1660" w:val="left" w:leader="none"/>
              <w:tab w:pos="9821" w:val="right" w:leader="none"/>
            </w:tabs>
            <w:spacing w:line="240" w:lineRule="auto" w:before="137" w:after="0"/>
            <w:ind w:left="1660" w:right="0" w:hanging="720"/>
            <w:jc w:val="left"/>
          </w:pPr>
          <w:hyperlink w:history="true" w:anchor="_TOC_250061">
            <w:r>
              <w:rPr/>
              <w:t>Definition</w:t>
            </w:r>
            <w:r>
              <w:rPr>
                <w:spacing w:val="-4"/>
              </w:rPr>
              <w:t> </w:t>
            </w:r>
            <w:r>
              <w:rPr/>
              <w:t>of</w:t>
            </w:r>
            <w:r>
              <w:rPr>
                <w:spacing w:val="-3"/>
              </w:rPr>
              <w:t> </w:t>
            </w:r>
            <w:r>
              <w:rPr/>
              <w:t>Operational</w:t>
            </w:r>
            <w:r>
              <w:rPr>
                <w:spacing w:val="-1"/>
              </w:rPr>
              <w:t> </w:t>
            </w:r>
            <w:r>
              <w:rPr>
                <w:spacing w:val="-2"/>
              </w:rPr>
              <w:t>Terms</w:t>
            </w:r>
            <w:r>
              <w:rPr/>
              <w:tab/>
            </w:r>
            <w:r>
              <w:rPr>
                <w:spacing w:val="-5"/>
              </w:rPr>
              <w:t>11</w:t>
            </w:r>
          </w:hyperlink>
        </w:p>
        <w:p>
          <w:pPr>
            <w:pStyle w:val="TOC1"/>
          </w:pPr>
          <w:hyperlink w:history="true" w:anchor="_TOC_250060">
            <w:r>
              <w:rPr/>
              <w:t>CHAPTER</w:t>
            </w:r>
            <w:r>
              <w:rPr>
                <w:spacing w:val="-2"/>
              </w:rPr>
              <w:t> </w:t>
            </w:r>
            <w:r>
              <w:rPr/>
              <w:t>TWO:</w:t>
            </w:r>
            <w:r>
              <w:rPr>
                <w:spacing w:val="-2"/>
              </w:rPr>
              <w:t> </w:t>
            </w:r>
            <w:r>
              <w:rPr/>
              <w:t>LITERATURE</w:t>
            </w:r>
            <w:r>
              <w:rPr>
                <w:spacing w:val="-1"/>
              </w:rPr>
              <w:t> </w:t>
            </w:r>
            <w:r>
              <w:rPr>
                <w:spacing w:val="-2"/>
              </w:rPr>
              <w:t>REVIEW</w:t>
            </w:r>
          </w:hyperlink>
        </w:p>
        <w:p>
          <w:pPr>
            <w:pStyle w:val="TOC2"/>
            <w:numPr>
              <w:ilvl w:val="1"/>
              <w:numId w:val="5"/>
            </w:numPr>
            <w:tabs>
              <w:tab w:pos="1660" w:val="left" w:leader="none"/>
              <w:tab w:pos="9821" w:val="right" w:leader="none"/>
            </w:tabs>
            <w:spacing w:line="240" w:lineRule="auto" w:before="139" w:after="0"/>
            <w:ind w:left="1660" w:right="0" w:hanging="720"/>
            <w:jc w:val="left"/>
          </w:pPr>
          <w:hyperlink w:history="true" w:anchor="_TOC_250059">
            <w:r>
              <w:rPr>
                <w:spacing w:val="-2"/>
              </w:rPr>
              <w:t>Introduction</w:t>
            </w:r>
            <w:r>
              <w:rPr/>
              <w:tab/>
            </w:r>
            <w:r>
              <w:rPr>
                <w:spacing w:val="-5"/>
              </w:rPr>
              <w:t>13</w:t>
            </w:r>
          </w:hyperlink>
        </w:p>
        <w:p>
          <w:pPr>
            <w:pStyle w:val="TOC2"/>
            <w:numPr>
              <w:ilvl w:val="1"/>
              <w:numId w:val="5"/>
            </w:numPr>
            <w:tabs>
              <w:tab w:pos="1660" w:val="left" w:leader="none"/>
              <w:tab w:pos="9821" w:val="right" w:leader="none"/>
            </w:tabs>
            <w:spacing w:line="240" w:lineRule="auto" w:before="138" w:after="0"/>
            <w:ind w:left="1660" w:right="0" w:hanging="720"/>
            <w:jc w:val="left"/>
          </w:pPr>
          <w:hyperlink w:history="true" w:anchor="_TOC_250058">
            <w:r>
              <w:rPr/>
              <w:t>Conceptual</w:t>
            </w:r>
            <w:r>
              <w:rPr>
                <w:spacing w:val="-2"/>
              </w:rPr>
              <w:t> Framework</w:t>
            </w:r>
            <w:r>
              <w:rPr/>
              <w:tab/>
            </w:r>
            <w:r>
              <w:rPr>
                <w:spacing w:val="-5"/>
              </w:rPr>
              <w:t>13</w:t>
            </w:r>
          </w:hyperlink>
        </w:p>
        <w:p>
          <w:pPr>
            <w:pStyle w:val="TOC2"/>
            <w:numPr>
              <w:ilvl w:val="2"/>
              <w:numId w:val="5"/>
            </w:numPr>
            <w:tabs>
              <w:tab w:pos="1660" w:val="left" w:leader="none"/>
              <w:tab w:pos="9821" w:val="right" w:leader="none"/>
            </w:tabs>
            <w:spacing w:line="240" w:lineRule="auto" w:before="139" w:after="0"/>
            <w:ind w:left="1660" w:right="0" w:hanging="720"/>
            <w:jc w:val="left"/>
          </w:pPr>
          <w:hyperlink w:history="true" w:anchor="_TOC_250057">
            <w:r>
              <w:rPr/>
              <w:t>Financial</w:t>
            </w:r>
            <w:r>
              <w:rPr>
                <w:spacing w:val="-2"/>
              </w:rPr>
              <w:t> </w:t>
            </w:r>
            <w:r>
              <w:rPr/>
              <w:t>Reporting</w:t>
            </w:r>
            <w:r>
              <w:rPr>
                <w:spacing w:val="-1"/>
              </w:rPr>
              <w:t> </w:t>
            </w:r>
            <w:r>
              <w:rPr>
                <w:spacing w:val="-2"/>
              </w:rPr>
              <w:t>Quality</w:t>
            </w:r>
            <w:r>
              <w:rPr/>
              <w:tab/>
            </w:r>
            <w:r>
              <w:rPr>
                <w:spacing w:val="-7"/>
              </w:rPr>
              <w:t>13</w:t>
            </w:r>
          </w:hyperlink>
        </w:p>
        <w:p>
          <w:pPr>
            <w:pStyle w:val="TOC2"/>
            <w:numPr>
              <w:ilvl w:val="2"/>
              <w:numId w:val="5"/>
            </w:numPr>
            <w:tabs>
              <w:tab w:pos="1660" w:val="left" w:leader="none"/>
              <w:tab w:pos="9821" w:val="right" w:leader="none"/>
            </w:tabs>
            <w:spacing w:line="240" w:lineRule="auto" w:before="137" w:after="0"/>
            <w:ind w:left="1660" w:right="0" w:hanging="720"/>
            <w:jc w:val="left"/>
          </w:pPr>
          <w:hyperlink w:history="true" w:anchor="_TOC_250056">
            <w:r>
              <w:rPr/>
              <w:t>Surrogates</w:t>
            </w:r>
            <w:r>
              <w:rPr>
                <w:spacing w:val="-4"/>
              </w:rPr>
              <w:t> </w:t>
            </w:r>
            <w:r>
              <w:rPr/>
              <w:t>of</w:t>
            </w:r>
            <w:r>
              <w:rPr>
                <w:spacing w:val="-1"/>
              </w:rPr>
              <w:t> </w:t>
            </w:r>
            <w:r>
              <w:rPr/>
              <w:t>Financial Reporting</w:t>
            </w:r>
            <w:r>
              <w:rPr>
                <w:spacing w:val="-1"/>
              </w:rPr>
              <w:t> </w:t>
            </w:r>
            <w:r>
              <w:rPr>
                <w:spacing w:val="-2"/>
              </w:rPr>
              <w:t>Quality</w:t>
            </w:r>
            <w:r>
              <w:rPr/>
              <w:tab/>
            </w:r>
            <w:r>
              <w:rPr>
                <w:spacing w:val="-5"/>
              </w:rPr>
              <w:t>17</w:t>
            </w:r>
          </w:hyperlink>
        </w:p>
        <w:p>
          <w:pPr>
            <w:pStyle w:val="TOC2"/>
            <w:numPr>
              <w:ilvl w:val="2"/>
              <w:numId w:val="5"/>
            </w:numPr>
            <w:tabs>
              <w:tab w:pos="1660" w:val="left" w:leader="none"/>
              <w:tab w:pos="9821" w:val="right" w:leader="none"/>
            </w:tabs>
            <w:spacing w:line="240" w:lineRule="auto" w:before="139" w:after="0"/>
            <w:ind w:left="1660" w:right="0" w:hanging="720"/>
            <w:jc w:val="left"/>
          </w:pPr>
          <w:hyperlink w:history="true" w:anchor="_TOC_250055">
            <w:r>
              <w:rPr/>
              <w:t>International</w:t>
            </w:r>
            <w:r>
              <w:rPr>
                <w:spacing w:val="-1"/>
              </w:rPr>
              <w:t> </w:t>
            </w:r>
            <w:r>
              <w:rPr/>
              <w:t>Financial</w:t>
            </w:r>
            <w:r>
              <w:rPr>
                <w:spacing w:val="-3"/>
              </w:rPr>
              <w:t> </w:t>
            </w:r>
            <w:r>
              <w:rPr/>
              <w:t>Reporting</w:t>
            </w:r>
            <w:r>
              <w:rPr>
                <w:spacing w:val="-1"/>
              </w:rPr>
              <w:t> </w:t>
            </w:r>
            <w:r>
              <w:rPr/>
              <w:t>Standards</w:t>
            </w:r>
            <w:r>
              <w:rPr>
                <w:spacing w:val="-3"/>
              </w:rPr>
              <w:t> </w:t>
            </w:r>
            <w:r>
              <w:rPr/>
              <w:t>(IFRSs)</w:t>
            </w:r>
            <w:r>
              <w:rPr>
                <w:spacing w:val="-2"/>
              </w:rPr>
              <w:t> Adoption</w:t>
            </w:r>
            <w:r>
              <w:rPr/>
              <w:tab/>
            </w:r>
            <w:r>
              <w:rPr>
                <w:spacing w:val="-5"/>
              </w:rPr>
              <w:t>26</w:t>
            </w:r>
          </w:hyperlink>
        </w:p>
        <w:p>
          <w:pPr>
            <w:pStyle w:val="TOC2"/>
            <w:numPr>
              <w:ilvl w:val="2"/>
              <w:numId w:val="5"/>
            </w:numPr>
            <w:tabs>
              <w:tab w:pos="1660" w:val="left" w:leader="none"/>
              <w:tab w:pos="9821" w:val="right" w:leader="none"/>
            </w:tabs>
            <w:spacing w:line="240" w:lineRule="auto" w:before="137" w:after="0"/>
            <w:ind w:left="1660" w:right="0" w:hanging="720"/>
            <w:jc w:val="left"/>
          </w:pPr>
          <w:hyperlink w:history="true" w:anchor="_TOC_250054">
            <w:r>
              <w:rPr/>
              <w:t>IFRS</w:t>
            </w:r>
            <w:r>
              <w:rPr>
                <w:spacing w:val="-1"/>
              </w:rPr>
              <w:t> </w:t>
            </w:r>
            <w:r>
              <w:rPr/>
              <w:t>Adoption</w:t>
            </w:r>
            <w:r>
              <w:rPr>
                <w:spacing w:val="-1"/>
              </w:rPr>
              <w:t> </w:t>
            </w:r>
            <w:r>
              <w:rPr/>
              <w:t>and</w:t>
            </w:r>
            <w:r>
              <w:rPr>
                <w:spacing w:val="-1"/>
              </w:rPr>
              <w:t> </w:t>
            </w:r>
            <w:r>
              <w:rPr/>
              <w:t>Financial</w:t>
            </w:r>
            <w:r>
              <w:rPr>
                <w:spacing w:val="-1"/>
              </w:rPr>
              <w:t> </w:t>
            </w:r>
            <w:r>
              <w:rPr/>
              <w:t>Reporting</w:t>
            </w:r>
            <w:r>
              <w:rPr>
                <w:spacing w:val="-1"/>
              </w:rPr>
              <w:t> </w:t>
            </w:r>
            <w:r>
              <w:rPr>
                <w:spacing w:val="-2"/>
              </w:rPr>
              <w:t>Quality</w:t>
            </w:r>
            <w:r>
              <w:rPr/>
              <w:tab/>
            </w:r>
            <w:r>
              <w:rPr>
                <w:spacing w:val="-5"/>
              </w:rPr>
              <w:t>32</w:t>
            </w:r>
          </w:hyperlink>
        </w:p>
        <w:p>
          <w:pPr>
            <w:pStyle w:val="TOC2"/>
            <w:numPr>
              <w:ilvl w:val="1"/>
              <w:numId w:val="6"/>
            </w:numPr>
            <w:tabs>
              <w:tab w:pos="1660" w:val="left" w:leader="none"/>
              <w:tab w:pos="9821" w:val="right" w:leader="none"/>
            </w:tabs>
            <w:spacing w:line="240" w:lineRule="auto" w:before="139" w:after="0"/>
            <w:ind w:left="1660" w:right="0" w:hanging="720"/>
            <w:jc w:val="left"/>
          </w:pPr>
          <w:hyperlink w:history="true" w:anchor="_TOC_250053">
            <w:r>
              <w:rPr/>
              <w:t>Corporate</w:t>
            </w:r>
            <w:r>
              <w:rPr>
                <w:spacing w:val="-3"/>
              </w:rPr>
              <w:t> </w:t>
            </w:r>
            <w:r>
              <w:rPr>
                <w:spacing w:val="-2"/>
              </w:rPr>
              <w:t>Governance</w:t>
            </w:r>
            <w:r>
              <w:rPr/>
              <w:tab/>
            </w:r>
            <w:r>
              <w:rPr>
                <w:spacing w:val="-7"/>
              </w:rPr>
              <w:t>45</w:t>
            </w:r>
          </w:hyperlink>
        </w:p>
        <w:p>
          <w:pPr>
            <w:pStyle w:val="TOC2"/>
            <w:numPr>
              <w:ilvl w:val="2"/>
              <w:numId w:val="6"/>
            </w:numPr>
            <w:tabs>
              <w:tab w:pos="1660" w:val="left" w:leader="none"/>
              <w:tab w:pos="9821" w:val="right" w:leader="none"/>
            </w:tabs>
            <w:spacing w:line="240" w:lineRule="auto" w:before="137" w:after="0"/>
            <w:ind w:left="1660" w:right="0" w:hanging="720"/>
            <w:jc w:val="left"/>
          </w:pPr>
          <w:hyperlink w:history="true" w:anchor="_TOC_250052">
            <w:r>
              <w:rPr/>
              <w:t>Models</w:t>
            </w:r>
            <w:r>
              <w:rPr>
                <w:spacing w:val="-2"/>
              </w:rPr>
              <w:t> </w:t>
            </w:r>
            <w:r>
              <w:rPr/>
              <w:t>of</w:t>
            </w:r>
            <w:r>
              <w:rPr>
                <w:spacing w:val="-1"/>
              </w:rPr>
              <w:t> </w:t>
            </w:r>
            <w:r>
              <w:rPr/>
              <w:t>Corporate</w:t>
            </w:r>
            <w:r>
              <w:rPr>
                <w:spacing w:val="-1"/>
              </w:rPr>
              <w:t> </w:t>
            </w:r>
            <w:r>
              <w:rPr>
                <w:spacing w:val="-2"/>
              </w:rPr>
              <w:t>Governance</w:t>
            </w:r>
            <w:r>
              <w:rPr/>
              <w:tab/>
            </w:r>
            <w:r>
              <w:rPr>
                <w:spacing w:val="-5"/>
              </w:rPr>
              <w:t>50</w:t>
            </w:r>
          </w:hyperlink>
        </w:p>
        <w:p>
          <w:pPr>
            <w:pStyle w:val="TOC2"/>
            <w:numPr>
              <w:ilvl w:val="2"/>
              <w:numId w:val="6"/>
            </w:numPr>
            <w:tabs>
              <w:tab w:pos="1660" w:val="left" w:leader="none"/>
              <w:tab w:pos="9821" w:val="right" w:leader="none"/>
            </w:tabs>
            <w:spacing w:line="240" w:lineRule="auto" w:before="139" w:after="0"/>
            <w:ind w:left="1660" w:right="0" w:hanging="720"/>
            <w:jc w:val="left"/>
          </w:pPr>
          <w:hyperlink w:history="true" w:anchor="_TOC_250051">
            <w:r>
              <w:rPr/>
              <w:t>Legal</w:t>
            </w:r>
            <w:r>
              <w:rPr>
                <w:spacing w:val="-1"/>
              </w:rPr>
              <w:t> </w:t>
            </w:r>
            <w:r>
              <w:rPr/>
              <w:t>Framework of</w:t>
            </w:r>
            <w:r>
              <w:rPr>
                <w:spacing w:val="-3"/>
              </w:rPr>
              <w:t> </w:t>
            </w:r>
            <w:r>
              <w:rPr/>
              <w:t>Corporate Governance</w:t>
            </w:r>
            <w:r>
              <w:rPr>
                <w:spacing w:val="-2"/>
              </w:rPr>
              <w:t> </w:t>
            </w:r>
            <w:r>
              <w:rPr/>
              <w:t>in </w:t>
            </w:r>
            <w:r>
              <w:rPr>
                <w:spacing w:val="-2"/>
              </w:rPr>
              <w:t>Nigeria</w:t>
            </w:r>
            <w:r>
              <w:rPr/>
              <w:tab/>
            </w:r>
            <w:r>
              <w:rPr>
                <w:spacing w:val="-5"/>
              </w:rPr>
              <w:t>59</w:t>
            </w:r>
          </w:hyperlink>
        </w:p>
        <w:p>
          <w:pPr>
            <w:pStyle w:val="TOC2"/>
            <w:numPr>
              <w:ilvl w:val="1"/>
              <w:numId w:val="6"/>
            </w:numPr>
            <w:tabs>
              <w:tab w:pos="1660" w:val="left" w:leader="none"/>
              <w:tab w:pos="9821" w:val="right" w:leader="none"/>
            </w:tabs>
            <w:spacing w:line="240" w:lineRule="auto" w:before="137" w:after="240"/>
            <w:ind w:left="1660" w:right="0" w:hanging="720"/>
            <w:jc w:val="left"/>
          </w:pPr>
          <w:hyperlink w:history="true" w:anchor="_TOC_250050">
            <w:r>
              <w:rPr/>
              <w:t>Empirical</w:t>
            </w:r>
            <w:r>
              <w:rPr>
                <w:spacing w:val="-2"/>
              </w:rPr>
              <w:t> </w:t>
            </w:r>
            <w:r>
              <w:rPr/>
              <w:t>Review</w:t>
            </w:r>
            <w:r>
              <w:rPr>
                <w:spacing w:val="-2"/>
              </w:rPr>
              <w:t> </w:t>
            </w:r>
            <w:r>
              <w:rPr/>
              <w:t>of</w:t>
            </w:r>
            <w:r>
              <w:rPr>
                <w:spacing w:val="-1"/>
              </w:rPr>
              <w:t> </w:t>
            </w:r>
            <w:r>
              <w:rPr>
                <w:spacing w:val="-2"/>
              </w:rPr>
              <w:t>Literature</w:t>
            </w:r>
            <w:r>
              <w:rPr/>
              <w:tab/>
            </w:r>
            <w:r>
              <w:rPr>
                <w:spacing w:val="-5"/>
              </w:rPr>
              <w:t>76</w:t>
            </w:r>
          </w:hyperlink>
        </w:p>
        <w:p>
          <w:pPr>
            <w:pStyle w:val="TOC2"/>
            <w:numPr>
              <w:ilvl w:val="2"/>
              <w:numId w:val="6"/>
            </w:numPr>
            <w:tabs>
              <w:tab w:pos="1660" w:val="left" w:leader="none"/>
              <w:tab w:pos="9821" w:val="right" w:leader="none"/>
            </w:tabs>
            <w:spacing w:line="240" w:lineRule="auto" w:before="61" w:after="0"/>
            <w:ind w:left="1660" w:right="0" w:hanging="720"/>
            <w:jc w:val="left"/>
          </w:pPr>
          <w:hyperlink w:history="true" w:anchor="_TOC_250049">
            <w:r>
              <w:rPr/>
              <w:t>Board</w:t>
            </w:r>
            <w:r>
              <w:rPr>
                <w:spacing w:val="-1"/>
              </w:rPr>
              <w:t> </w:t>
            </w:r>
            <w:r>
              <w:rPr/>
              <w:t>of</w:t>
            </w:r>
            <w:r>
              <w:rPr>
                <w:spacing w:val="-2"/>
              </w:rPr>
              <w:t> </w:t>
            </w:r>
            <w:r>
              <w:rPr/>
              <w:t>Director Size</w:t>
            </w:r>
            <w:r>
              <w:rPr>
                <w:spacing w:val="-3"/>
              </w:rPr>
              <w:t> </w:t>
            </w:r>
            <w:r>
              <w:rPr/>
              <w:t>and Financial Reporting </w:t>
            </w:r>
            <w:r>
              <w:rPr>
                <w:spacing w:val="-2"/>
              </w:rPr>
              <w:t>Quality</w:t>
            </w:r>
            <w:r>
              <w:rPr/>
              <w:tab/>
            </w:r>
            <w:r>
              <w:rPr>
                <w:spacing w:val="-5"/>
              </w:rPr>
              <w:t>76</w:t>
            </w:r>
          </w:hyperlink>
        </w:p>
        <w:p>
          <w:pPr>
            <w:pStyle w:val="TOC2"/>
            <w:numPr>
              <w:ilvl w:val="2"/>
              <w:numId w:val="6"/>
            </w:numPr>
            <w:tabs>
              <w:tab w:pos="1660" w:val="left" w:leader="none"/>
              <w:tab w:pos="9821" w:val="right" w:leader="none"/>
            </w:tabs>
            <w:spacing w:line="240" w:lineRule="auto" w:before="137" w:after="0"/>
            <w:ind w:left="1660" w:right="0" w:hanging="720"/>
            <w:jc w:val="left"/>
          </w:pPr>
          <w:hyperlink w:history="true" w:anchor="_TOC_250048">
            <w:r>
              <w:rPr/>
              <w:t>Board</w:t>
            </w:r>
            <w:r>
              <w:rPr>
                <w:spacing w:val="-3"/>
              </w:rPr>
              <w:t> </w:t>
            </w:r>
            <w:r>
              <w:rPr/>
              <w:t>of</w:t>
            </w:r>
            <w:r>
              <w:rPr>
                <w:spacing w:val="-3"/>
              </w:rPr>
              <w:t> </w:t>
            </w:r>
            <w:r>
              <w:rPr/>
              <w:t>Director Independence and</w:t>
            </w:r>
            <w:r>
              <w:rPr>
                <w:spacing w:val="-1"/>
              </w:rPr>
              <w:t> </w:t>
            </w:r>
            <w:r>
              <w:rPr/>
              <w:t>Financial</w:t>
            </w:r>
            <w:r>
              <w:rPr>
                <w:spacing w:val="-1"/>
              </w:rPr>
              <w:t> </w:t>
            </w:r>
            <w:r>
              <w:rPr/>
              <w:t>Reporting </w:t>
            </w:r>
            <w:r>
              <w:rPr>
                <w:spacing w:val="-2"/>
              </w:rPr>
              <w:t>Quality</w:t>
            </w:r>
            <w:r>
              <w:rPr/>
              <w:tab/>
            </w:r>
            <w:r>
              <w:rPr>
                <w:spacing w:val="-5"/>
              </w:rPr>
              <w:t>77</w:t>
            </w:r>
          </w:hyperlink>
        </w:p>
        <w:p>
          <w:pPr>
            <w:pStyle w:val="TOC2"/>
            <w:numPr>
              <w:ilvl w:val="2"/>
              <w:numId w:val="6"/>
            </w:numPr>
            <w:tabs>
              <w:tab w:pos="1660" w:val="left" w:leader="none"/>
              <w:tab w:pos="9821" w:val="right" w:leader="none"/>
            </w:tabs>
            <w:spacing w:line="240" w:lineRule="auto" w:before="139" w:after="0"/>
            <w:ind w:left="1660" w:right="0" w:hanging="720"/>
            <w:jc w:val="left"/>
          </w:pPr>
          <w:hyperlink w:history="true" w:anchor="_TOC_250047">
            <w:r>
              <w:rPr/>
              <w:t>Board</w:t>
            </w:r>
            <w:r>
              <w:rPr>
                <w:spacing w:val="-4"/>
              </w:rPr>
              <w:t> </w:t>
            </w:r>
            <w:r>
              <w:rPr/>
              <w:t>financial expertise</w:t>
            </w:r>
            <w:r>
              <w:rPr>
                <w:spacing w:val="1"/>
              </w:rPr>
              <w:t> </w:t>
            </w:r>
            <w:r>
              <w:rPr/>
              <w:t>and</w:t>
            </w:r>
            <w:r>
              <w:rPr>
                <w:spacing w:val="-2"/>
              </w:rPr>
              <w:t> </w:t>
            </w:r>
            <w:r>
              <w:rPr/>
              <w:t>Financial</w:t>
            </w:r>
            <w:r>
              <w:rPr>
                <w:spacing w:val="-2"/>
              </w:rPr>
              <w:t> </w:t>
            </w:r>
            <w:r>
              <w:rPr/>
              <w:t>Reporting</w:t>
            </w:r>
            <w:r>
              <w:rPr>
                <w:spacing w:val="1"/>
              </w:rPr>
              <w:t> </w:t>
            </w:r>
            <w:r>
              <w:rPr>
                <w:spacing w:val="-2"/>
              </w:rPr>
              <w:t>Quality</w:t>
            </w:r>
            <w:r>
              <w:rPr/>
              <w:tab/>
            </w:r>
            <w:r>
              <w:rPr>
                <w:spacing w:val="-5"/>
              </w:rPr>
              <w:t>81</w:t>
            </w:r>
          </w:hyperlink>
        </w:p>
        <w:p>
          <w:pPr>
            <w:pStyle w:val="TOC2"/>
            <w:numPr>
              <w:ilvl w:val="2"/>
              <w:numId w:val="6"/>
            </w:numPr>
            <w:tabs>
              <w:tab w:pos="1660" w:val="left" w:leader="none"/>
              <w:tab w:pos="9821" w:val="right" w:leader="none"/>
            </w:tabs>
            <w:spacing w:line="240" w:lineRule="auto" w:before="137" w:after="0"/>
            <w:ind w:left="1660" w:right="0" w:hanging="720"/>
            <w:jc w:val="left"/>
          </w:pPr>
          <w:hyperlink w:history="true" w:anchor="_TOC_250046">
            <w:r>
              <w:rPr/>
              <w:t>Institutional</w:t>
            </w:r>
            <w:r>
              <w:rPr>
                <w:spacing w:val="-2"/>
              </w:rPr>
              <w:t> </w:t>
            </w:r>
            <w:r>
              <w:rPr/>
              <w:t>Ownership</w:t>
            </w:r>
            <w:r>
              <w:rPr>
                <w:spacing w:val="1"/>
              </w:rPr>
              <w:t> </w:t>
            </w:r>
            <w:r>
              <w:rPr/>
              <w:t>and</w:t>
            </w:r>
            <w:r>
              <w:rPr>
                <w:spacing w:val="-1"/>
              </w:rPr>
              <w:t> </w:t>
            </w:r>
            <w:r>
              <w:rPr/>
              <w:t>Financial</w:t>
            </w:r>
            <w:r>
              <w:rPr>
                <w:spacing w:val="-2"/>
              </w:rPr>
              <w:t> </w:t>
            </w:r>
            <w:r>
              <w:rPr/>
              <w:t>Reporting</w:t>
            </w:r>
            <w:r>
              <w:rPr>
                <w:spacing w:val="-1"/>
              </w:rPr>
              <w:t> </w:t>
            </w:r>
            <w:r>
              <w:rPr>
                <w:spacing w:val="-2"/>
              </w:rPr>
              <w:t>Quality</w:t>
            </w:r>
            <w:r>
              <w:rPr/>
              <w:tab/>
            </w:r>
            <w:r>
              <w:rPr>
                <w:spacing w:val="-5"/>
              </w:rPr>
              <w:t>83</w:t>
            </w:r>
          </w:hyperlink>
        </w:p>
        <w:p>
          <w:pPr>
            <w:pStyle w:val="TOC2"/>
            <w:numPr>
              <w:ilvl w:val="2"/>
              <w:numId w:val="6"/>
            </w:numPr>
            <w:tabs>
              <w:tab w:pos="1660" w:val="left" w:leader="none"/>
              <w:tab w:pos="9821" w:val="right" w:leader="none"/>
            </w:tabs>
            <w:spacing w:line="240" w:lineRule="auto" w:before="139" w:after="0"/>
            <w:ind w:left="1660" w:right="0" w:hanging="720"/>
            <w:jc w:val="left"/>
          </w:pPr>
          <w:hyperlink w:history="true" w:anchor="_TOC_250045">
            <w:r>
              <w:rPr/>
              <w:t>Managerial</w:t>
            </w:r>
            <w:r>
              <w:rPr>
                <w:spacing w:val="-1"/>
              </w:rPr>
              <w:t> </w:t>
            </w:r>
            <w:r>
              <w:rPr/>
              <w:t>Ownership and</w:t>
            </w:r>
            <w:r>
              <w:rPr>
                <w:spacing w:val="-1"/>
              </w:rPr>
              <w:t> </w:t>
            </w:r>
            <w:r>
              <w:rPr/>
              <w:t>Financial</w:t>
            </w:r>
            <w:r>
              <w:rPr>
                <w:spacing w:val="-1"/>
              </w:rPr>
              <w:t> </w:t>
            </w:r>
            <w:r>
              <w:rPr/>
              <w:t>Reporting</w:t>
            </w:r>
            <w:r>
              <w:rPr>
                <w:spacing w:val="-1"/>
              </w:rPr>
              <w:t> </w:t>
            </w:r>
            <w:r>
              <w:rPr>
                <w:spacing w:val="-2"/>
              </w:rPr>
              <w:t>Quality</w:t>
            </w:r>
            <w:r>
              <w:rPr/>
              <w:tab/>
            </w:r>
            <w:r>
              <w:rPr>
                <w:spacing w:val="-5"/>
              </w:rPr>
              <w:t>92</w:t>
            </w:r>
          </w:hyperlink>
        </w:p>
        <w:p>
          <w:pPr>
            <w:pStyle w:val="TOC2"/>
            <w:numPr>
              <w:ilvl w:val="2"/>
              <w:numId w:val="6"/>
            </w:numPr>
            <w:tabs>
              <w:tab w:pos="1660" w:val="left" w:leader="none"/>
              <w:tab w:pos="9821" w:val="right" w:leader="none"/>
            </w:tabs>
            <w:spacing w:line="240" w:lineRule="auto" w:before="137" w:after="0"/>
            <w:ind w:left="1660" w:right="0" w:hanging="720"/>
            <w:jc w:val="left"/>
          </w:pPr>
          <w:hyperlink w:history="true" w:anchor="_TOC_250044">
            <w:r>
              <w:rPr/>
              <w:t>Foreign</w:t>
            </w:r>
            <w:r>
              <w:rPr>
                <w:spacing w:val="-4"/>
              </w:rPr>
              <w:t> </w:t>
            </w:r>
            <w:r>
              <w:rPr/>
              <w:t>Ownership</w:t>
            </w:r>
            <w:r>
              <w:rPr>
                <w:spacing w:val="-2"/>
              </w:rPr>
              <w:t> </w:t>
            </w:r>
            <w:r>
              <w:rPr/>
              <w:t>and</w:t>
            </w:r>
            <w:r>
              <w:rPr>
                <w:spacing w:val="1"/>
              </w:rPr>
              <w:t> </w:t>
            </w:r>
            <w:r>
              <w:rPr/>
              <w:t>Financial</w:t>
            </w:r>
            <w:r>
              <w:rPr>
                <w:spacing w:val="-2"/>
              </w:rPr>
              <w:t> </w:t>
            </w:r>
            <w:r>
              <w:rPr/>
              <w:t>Reporting</w:t>
            </w:r>
            <w:r>
              <w:rPr>
                <w:spacing w:val="-1"/>
              </w:rPr>
              <w:t> </w:t>
            </w:r>
            <w:r>
              <w:rPr>
                <w:spacing w:val="-2"/>
              </w:rPr>
              <w:t>Quality</w:t>
            </w:r>
            <w:r>
              <w:rPr/>
              <w:tab/>
            </w:r>
            <w:r>
              <w:rPr>
                <w:spacing w:val="-7"/>
              </w:rPr>
              <w:t>97</w:t>
            </w:r>
          </w:hyperlink>
        </w:p>
        <w:p>
          <w:pPr>
            <w:pStyle w:val="TOC2"/>
            <w:numPr>
              <w:ilvl w:val="2"/>
              <w:numId w:val="6"/>
            </w:numPr>
            <w:tabs>
              <w:tab w:pos="1660" w:val="left" w:leader="none"/>
              <w:tab w:pos="9821" w:val="right" w:leader="none"/>
            </w:tabs>
            <w:spacing w:line="240" w:lineRule="auto" w:before="139" w:after="0"/>
            <w:ind w:left="1660" w:right="0" w:hanging="720"/>
            <w:jc w:val="left"/>
          </w:pPr>
          <w:hyperlink w:history="true" w:anchor="_TOC_250043">
            <w:r>
              <w:rPr/>
              <w:t>Ownership</w:t>
            </w:r>
            <w:r>
              <w:rPr>
                <w:spacing w:val="-2"/>
              </w:rPr>
              <w:t> </w:t>
            </w:r>
            <w:r>
              <w:rPr/>
              <w:t>Concentration and</w:t>
            </w:r>
            <w:r>
              <w:rPr>
                <w:spacing w:val="-1"/>
              </w:rPr>
              <w:t> </w:t>
            </w:r>
            <w:r>
              <w:rPr/>
              <w:t>Financial</w:t>
            </w:r>
            <w:r>
              <w:rPr>
                <w:spacing w:val="-1"/>
              </w:rPr>
              <w:t> </w:t>
            </w:r>
            <w:r>
              <w:rPr/>
              <w:t>Reporting</w:t>
            </w:r>
            <w:r>
              <w:rPr>
                <w:spacing w:val="-1"/>
              </w:rPr>
              <w:t> </w:t>
            </w:r>
            <w:r>
              <w:rPr>
                <w:spacing w:val="-2"/>
              </w:rPr>
              <w:t>Quality</w:t>
            </w:r>
            <w:r>
              <w:rPr/>
              <w:tab/>
            </w:r>
            <w:r>
              <w:rPr>
                <w:spacing w:val="-5"/>
              </w:rPr>
              <w:t>99</w:t>
            </w:r>
          </w:hyperlink>
        </w:p>
        <w:p>
          <w:pPr>
            <w:pStyle w:val="TOC2"/>
            <w:numPr>
              <w:ilvl w:val="1"/>
              <w:numId w:val="6"/>
            </w:numPr>
            <w:tabs>
              <w:tab w:pos="1660" w:val="left" w:leader="none"/>
              <w:tab w:pos="9941" w:val="right" w:leader="none"/>
            </w:tabs>
            <w:spacing w:line="240" w:lineRule="auto" w:before="137" w:after="0"/>
            <w:ind w:left="1660" w:right="0" w:hanging="720"/>
            <w:jc w:val="left"/>
          </w:pPr>
          <w:r>
            <w:rPr/>
            <w:drawing>
              <wp:anchor distT="0" distB="0" distL="0" distR="0" allowOverlap="1" layoutInCell="1" locked="0" behindDoc="1" simplePos="0" relativeHeight="477666816">
                <wp:simplePos x="0" y="0"/>
                <wp:positionH relativeFrom="page">
                  <wp:posOffset>1095451</wp:posOffset>
                </wp:positionH>
                <wp:positionV relativeFrom="paragraph">
                  <wp:posOffset>59540</wp:posOffset>
                </wp:positionV>
                <wp:extent cx="5106847" cy="523811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5" cstate="print"/>
                        <a:stretch>
                          <a:fillRect/>
                        </a:stretch>
                      </pic:blipFill>
                      <pic:spPr>
                        <a:xfrm>
                          <a:off x="0" y="0"/>
                          <a:ext cx="5106847" cy="5238115"/>
                        </a:xfrm>
                        <a:prstGeom prst="rect">
                          <a:avLst/>
                        </a:prstGeom>
                      </pic:spPr>
                    </pic:pic>
                  </a:graphicData>
                </a:graphic>
              </wp:anchor>
            </w:drawing>
          </w:r>
          <w:hyperlink w:history="true" w:anchor="_TOC_250042">
            <w:r>
              <w:rPr/>
              <w:t>Theoretical</w:t>
            </w:r>
            <w:r>
              <w:rPr>
                <w:spacing w:val="-4"/>
              </w:rPr>
              <w:t> </w:t>
            </w:r>
            <w:r>
              <w:rPr>
                <w:spacing w:val="-2"/>
              </w:rPr>
              <w:t>Framework</w:t>
            </w:r>
            <w:r>
              <w:rPr/>
              <w:tab/>
            </w:r>
            <w:r>
              <w:rPr>
                <w:spacing w:val="-5"/>
              </w:rPr>
              <w:t>103</w:t>
            </w:r>
          </w:hyperlink>
        </w:p>
        <w:p>
          <w:pPr>
            <w:pStyle w:val="TOC2"/>
            <w:numPr>
              <w:ilvl w:val="2"/>
              <w:numId w:val="6"/>
            </w:numPr>
            <w:tabs>
              <w:tab w:pos="1660" w:val="left" w:leader="none"/>
              <w:tab w:pos="9941" w:val="right" w:leader="none"/>
            </w:tabs>
            <w:spacing w:line="240" w:lineRule="auto" w:before="140" w:after="0"/>
            <w:ind w:left="1660" w:right="0" w:hanging="720"/>
            <w:jc w:val="left"/>
          </w:pPr>
          <w:hyperlink w:history="true" w:anchor="_TOC_250041">
            <w:r>
              <w:rPr/>
              <w:t>Stakeholder</w:t>
            </w:r>
            <w:r>
              <w:rPr>
                <w:spacing w:val="-4"/>
              </w:rPr>
              <w:t> </w:t>
            </w:r>
            <w:r>
              <w:rPr>
                <w:spacing w:val="-2"/>
              </w:rPr>
              <w:t>Theory</w:t>
            </w:r>
            <w:r>
              <w:rPr/>
              <w:tab/>
            </w:r>
            <w:r>
              <w:rPr>
                <w:spacing w:val="-5"/>
              </w:rPr>
              <w:t>103</w:t>
            </w:r>
          </w:hyperlink>
        </w:p>
        <w:p>
          <w:pPr>
            <w:pStyle w:val="TOC2"/>
            <w:numPr>
              <w:ilvl w:val="2"/>
              <w:numId w:val="6"/>
            </w:numPr>
            <w:tabs>
              <w:tab w:pos="1660" w:val="left" w:leader="none"/>
              <w:tab w:pos="9941" w:val="right" w:leader="none"/>
            </w:tabs>
            <w:spacing w:line="240" w:lineRule="auto" w:before="136" w:after="0"/>
            <w:ind w:left="1660" w:right="0" w:hanging="720"/>
            <w:jc w:val="left"/>
          </w:pPr>
          <w:hyperlink w:history="true" w:anchor="_TOC_250040">
            <w:r>
              <w:rPr/>
              <w:t>Agency</w:t>
            </w:r>
            <w:r>
              <w:rPr>
                <w:spacing w:val="-5"/>
              </w:rPr>
              <w:t> </w:t>
            </w:r>
            <w:r>
              <w:rPr>
                <w:spacing w:val="-2"/>
              </w:rPr>
              <w:t>Theory</w:t>
            </w:r>
            <w:r>
              <w:rPr/>
              <w:tab/>
            </w:r>
            <w:r>
              <w:rPr>
                <w:spacing w:val="-5"/>
              </w:rPr>
              <w:t>104</w:t>
            </w:r>
          </w:hyperlink>
        </w:p>
        <w:p>
          <w:pPr>
            <w:pStyle w:val="TOC1"/>
          </w:pPr>
          <w:hyperlink w:history="true" w:anchor="_TOC_250039">
            <w:r>
              <w:rPr/>
              <w:t>CHAPTER</w:t>
            </w:r>
            <w:r>
              <w:rPr>
                <w:spacing w:val="-1"/>
              </w:rPr>
              <w:t> </w:t>
            </w:r>
            <w:r>
              <w:rPr/>
              <w:t>THREE: </w:t>
            </w:r>
            <w:r>
              <w:rPr>
                <w:spacing w:val="-2"/>
              </w:rPr>
              <w:t>METHODOLOGY</w:t>
            </w:r>
          </w:hyperlink>
        </w:p>
        <w:p>
          <w:pPr>
            <w:pStyle w:val="TOC2"/>
            <w:numPr>
              <w:ilvl w:val="1"/>
              <w:numId w:val="7"/>
            </w:numPr>
            <w:tabs>
              <w:tab w:pos="1660" w:val="left" w:leader="none"/>
              <w:tab w:pos="9941" w:val="right" w:leader="none"/>
            </w:tabs>
            <w:spacing w:line="240" w:lineRule="auto" w:before="140" w:after="0"/>
            <w:ind w:left="1660" w:right="0" w:hanging="720"/>
            <w:jc w:val="left"/>
          </w:pPr>
          <w:hyperlink w:history="true" w:anchor="_TOC_250038">
            <w:r>
              <w:rPr>
                <w:spacing w:val="-2"/>
              </w:rPr>
              <w:t>Introduction</w:t>
            </w:r>
            <w:r>
              <w:rPr/>
              <w:tab/>
            </w:r>
            <w:r>
              <w:rPr>
                <w:spacing w:val="-5"/>
              </w:rPr>
              <w:t>108</w:t>
            </w:r>
          </w:hyperlink>
        </w:p>
        <w:p>
          <w:pPr>
            <w:pStyle w:val="TOC2"/>
            <w:numPr>
              <w:ilvl w:val="1"/>
              <w:numId w:val="8"/>
            </w:numPr>
            <w:tabs>
              <w:tab w:pos="1660" w:val="left" w:leader="none"/>
              <w:tab w:pos="9941" w:val="right" w:leader="none"/>
            </w:tabs>
            <w:spacing w:line="240" w:lineRule="auto" w:before="137" w:after="0"/>
            <w:ind w:left="1660" w:right="0" w:hanging="720"/>
            <w:jc w:val="left"/>
          </w:pPr>
          <w:hyperlink w:history="true" w:anchor="_TOC_250037">
            <w:r>
              <w:rPr/>
              <w:t>Research</w:t>
            </w:r>
            <w:r>
              <w:rPr>
                <w:spacing w:val="-3"/>
              </w:rPr>
              <w:t> </w:t>
            </w:r>
            <w:r>
              <w:rPr>
                <w:spacing w:val="-2"/>
              </w:rPr>
              <w:t>Design</w:t>
            </w:r>
            <w:r>
              <w:rPr/>
              <w:tab/>
            </w:r>
            <w:r>
              <w:rPr>
                <w:spacing w:val="-5"/>
              </w:rPr>
              <w:t>108</w:t>
            </w:r>
          </w:hyperlink>
        </w:p>
        <w:p>
          <w:pPr>
            <w:pStyle w:val="TOC2"/>
            <w:numPr>
              <w:ilvl w:val="1"/>
              <w:numId w:val="9"/>
            </w:numPr>
            <w:tabs>
              <w:tab w:pos="1660" w:val="left" w:leader="none"/>
              <w:tab w:pos="9941" w:val="right" w:leader="none"/>
            </w:tabs>
            <w:spacing w:line="240" w:lineRule="auto" w:before="139" w:after="0"/>
            <w:ind w:left="1660" w:right="0" w:hanging="720"/>
            <w:jc w:val="left"/>
          </w:pPr>
          <w:hyperlink w:history="true" w:anchor="_TOC_250036">
            <w:r>
              <w:rPr/>
              <w:t>Population</w:t>
            </w:r>
            <w:r>
              <w:rPr>
                <w:spacing w:val="-1"/>
              </w:rPr>
              <w:t> </w:t>
            </w:r>
            <w:r>
              <w:rPr/>
              <w:t>and</w:t>
            </w:r>
            <w:r>
              <w:rPr>
                <w:spacing w:val="-2"/>
              </w:rPr>
              <w:t> </w:t>
            </w:r>
            <w:r>
              <w:rPr/>
              <w:t>Sample</w:t>
            </w:r>
            <w:r>
              <w:rPr>
                <w:spacing w:val="-1"/>
              </w:rPr>
              <w:t> </w:t>
            </w:r>
            <w:r>
              <w:rPr>
                <w:spacing w:val="-4"/>
              </w:rPr>
              <w:t>Size</w:t>
            </w:r>
            <w:r>
              <w:rPr/>
              <w:tab/>
            </w:r>
            <w:r>
              <w:rPr>
                <w:spacing w:val="-5"/>
              </w:rPr>
              <w:t>108</w:t>
            </w:r>
          </w:hyperlink>
        </w:p>
        <w:p>
          <w:pPr>
            <w:pStyle w:val="TOC2"/>
            <w:numPr>
              <w:ilvl w:val="1"/>
              <w:numId w:val="9"/>
            </w:numPr>
            <w:tabs>
              <w:tab w:pos="1660" w:val="left" w:leader="none"/>
              <w:tab w:pos="9941" w:val="right" w:leader="none"/>
            </w:tabs>
            <w:spacing w:line="240" w:lineRule="auto" w:before="137" w:after="0"/>
            <w:ind w:left="1660" w:right="0" w:hanging="720"/>
            <w:jc w:val="left"/>
          </w:pPr>
          <w:hyperlink w:history="true" w:anchor="_TOC_250035">
            <w:r>
              <w:rPr/>
              <w:t>Data</w:t>
            </w:r>
            <w:r>
              <w:rPr>
                <w:spacing w:val="-2"/>
              </w:rPr>
              <w:t> </w:t>
            </w:r>
            <w:r>
              <w:rPr/>
              <w:t>Type and</w:t>
            </w:r>
            <w:r>
              <w:rPr>
                <w:spacing w:val="-1"/>
              </w:rPr>
              <w:t> </w:t>
            </w:r>
            <w:r>
              <w:rPr>
                <w:spacing w:val="-2"/>
              </w:rPr>
              <w:t>Sources</w:t>
            </w:r>
            <w:r>
              <w:rPr/>
              <w:tab/>
            </w:r>
            <w:r>
              <w:rPr>
                <w:spacing w:val="-5"/>
              </w:rPr>
              <w:t>109</w:t>
            </w:r>
          </w:hyperlink>
        </w:p>
        <w:p>
          <w:pPr>
            <w:pStyle w:val="TOC2"/>
            <w:numPr>
              <w:ilvl w:val="1"/>
              <w:numId w:val="9"/>
            </w:numPr>
            <w:tabs>
              <w:tab w:pos="1660" w:val="left" w:leader="none"/>
              <w:tab w:pos="9941" w:val="right" w:leader="none"/>
            </w:tabs>
            <w:spacing w:line="240" w:lineRule="auto" w:before="139" w:after="0"/>
            <w:ind w:left="1660" w:right="0" w:hanging="720"/>
            <w:jc w:val="left"/>
          </w:pPr>
          <w:hyperlink w:history="true" w:anchor="_TOC_250034">
            <w:r>
              <w:rPr/>
              <w:t>Model</w:t>
            </w:r>
            <w:r>
              <w:rPr>
                <w:spacing w:val="-3"/>
              </w:rPr>
              <w:t> </w:t>
            </w:r>
            <w:r>
              <w:rPr>
                <w:spacing w:val="-2"/>
              </w:rPr>
              <w:t>Specification</w:t>
            </w:r>
            <w:r>
              <w:rPr/>
              <w:tab/>
            </w:r>
            <w:r>
              <w:rPr>
                <w:spacing w:val="-5"/>
              </w:rPr>
              <w:t>109</w:t>
            </w:r>
          </w:hyperlink>
        </w:p>
        <w:p>
          <w:pPr>
            <w:pStyle w:val="TOC2"/>
            <w:numPr>
              <w:ilvl w:val="2"/>
              <w:numId w:val="9"/>
            </w:numPr>
            <w:tabs>
              <w:tab w:pos="1659" w:val="left" w:leader="none"/>
              <w:tab w:pos="9941" w:val="right" w:leader="none"/>
            </w:tabs>
            <w:spacing w:line="240" w:lineRule="auto" w:before="137" w:after="0"/>
            <w:ind w:left="1659" w:right="0" w:hanging="719"/>
            <w:jc w:val="left"/>
          </w:pPr>
          <w:hyperlink w:history="true" w:anchor="_TOC_250033">
            <w:r>
              <w:rPr/>
              <w:t>Panel</w:t>
            </w:r>
            <w:r>
              <w:rPr>
                <w:spacing w:val="-2"/>
              </w:rPr>
              <w:t> Model</w:t>
            </w:r>
            <w:r>
              <w:rPr/>
              <w:tab/>
            </w:r>
            <w:r>
              <w:rPr>
                <w:spacing w:val="-5"/>
              </w:rPr>
              <w:t>109</w:t>
            </w:r>
          </w:hyperlink>
        </w:p>
        <w:p>
          <w:pPr>
            <w:pStyle w:val="TOC2"/>
            <w:numPr>
              <w:ilvl w:val="2"/>
              <w:numId w:val="9"/>
            </w:numPr>
            <w:tabs>
              <w:tab w:pos="1659" w:val="left" w:leader="none"/>
              <w:tab w:pos="9941" w:val="right" w:leader="none"/>
            </w:tabs>
            <w:spacing w:line="240" w:lineRule="auto" w:before="139" w:after="0"/>
            <w:ind w:left="1659" w:right="0" w:hanging="719"/>
            <w:jc w:val="left"/>
          </w:pPr>
          <w:hyperlink w:history="true" w:anchor="_TOC_250032">
            <w:r>
              <w:rPr/>
              <w:t>Difference-In-Difference</w:t>
            </w:r>
            <w:r>
              <w:rPr>
                <w:spacing w:val="-5"/>
              </w:rPr>
              <w:t> </w:t>
            </w:r>
            <w:r>
              <w:rPr>
                <w:spacing w:val="-2"/>
              </w:rPr>
              <w:t>Model</w:t>
            </w:r>
            <w:r>
              <w:rPr/>
              <w:tab/>
            </w:r>
            <w:r>
              <w:rPr>
                <w:spacing w:val="-5"/>
              </w:rPr>
              <w:t>111</w:t>
            </w:r>
          </w:hyperlink>
        </w:p>
        <w:p>
          <w:pPr>
            <w:pStyle w:val="TOC2"/>
            <w:tabs>
              <w:tab w:pos="1660" w:val="left" w:leader="none"/>
              <w:tab w:pos="9941" w:val="right" w:leader="none"/>
            </w:tabs>
            <w:ind w:left="940" w:firstLine="0"/>
          </w:pPr>
          <w:hyperlink w:history="true" w:anchor="_TOC_250031">
            <w:r>
              <w:rPr>
                <w:spacing w:val="-5"/>
              </w:rPr>
              <w:t>3.6</w:t>
            </w:r>
            <w:r>
              <w:rPr/>
              <w:tab/>
              <w:t>Measurement</w:t>
            </w:r>
            <w:r>
              <w:rPr>
                <w:spacing w:val="-1"/>
              </w:rPr>
              <w:t> </w:t>
            </w:r>
            <w:r>
              <w:rPr/>
              <w:t>of</w:t>
            </w:r>
            <w:r>
              <w:rPr>
                <w:spacing w:val="-1"/>
              </w:rPr>
              <w:t> </w:t>
            </w:r>
            <w:r>
              <w:rPr>
                <w:spacing w:val="-2"/>
              </w:rPr>
              <w:t>Variables</w:t>
            </w:r>
            <w:r>
              <w:rPr/>
              <w:tab/>
            </w:r>
            <w:r>
              <w:rPr>
                <w:spacing w:val="-5"/>
              </w:rPr>
              <w:t>113</w:t>
            </w:r>
          </w:hyperlink>
        </w:p>
        <w:p>
          <w:pPr>
            <w:pStyle w:val="TOC2"/>
            <w:numPr>
              <w:ilvl w:val="1"/>
              <w:numId w:val="10"/>
            </w:numPr>
            <w:tabs>
              <w:tab w:pos="1660" w:val="left" w:leader="none"/>
              <w:tab w:pos="9941" w:val="right" w:leader="none"/>
            </w:tabs>
            <w:spacing w:line="240" w:lineRule="auto" w:before="139" w:after="0"/>
            <w:ind w:left="1660" w:right="0" w:hanging="720"/>
            <w:jc w:val="left"/>
          </w:pPr>
          <w:hyperlink w:history="true" w:anchor="_TOC_250030">
            <w:r>
              <w:rPr/>
              <w:t>Data</w:t>
            </w:r>
            <w:r>
              <w:rPr>
                <w:spacing w:val="-2"/>
              </w:rPr>
              <w:t> </w:t>
            </w:r>
            <w:r>
              <w:rPr/>
              <w:t>Estimation</w:t>
            </w:r>
            <w:r>
              <w:rPr>
                <w:spacing w:val="-1"/>
              </w:rPr>
              <w:t> </w:t>
            </w:r>
            <w:r>
              <w:rPr>
                <w:spacing w:val="-2"/>
              </w:rPr>
              <w:t>Techniques</w:t>
            </w:r>
            <w:r>
              <w:rPr/>
              <w:tab/>
            </w:r>
            <w:r>
              <w:rPr>
                <w:spacing w:val="-5"/>
              </w:rPr>
              <w:t>114</w:t>
            </w:r>
          </w:hyperlink>
        </w:p>
        <w:p>
          <w:pPr>
            <w:pStyle w:val="TOC2"/>
            <w:numPr>
              <w:ilvl w:val="2"/>
              <w:numId w:val="10"/>
            </w:numPr>
            <w:tabs>
              <w:tab w:pos="1660" w:val="left" w:leader="none"/>
              <w:tab w:pos="9941" w:val="right" w:leader="none"/>
            </w:tabs>
            <w:spacing w:line="240" w:lineRule="auto" w:before="137" w:after="0"/>
            <w:ind w:left="1660" w:right="0" w:hanging="720"/>
            <w:jc w:val="left"/>
          </w:pPr>
          <w:hyperlink w:history="true" w:anchor="_TOC_250029">
            <w:r>
              <w:rPr/>
              <w:t>Normality</w:t>
            </w:r>
            <w:r>
              <w:rPr>
                <w:spacing w:val="-2"/>
              </w:rPr>
              <w:t> </w:t>
            </w:r>
            <w:r>
              <w:rPr>
                <w:spacing w:val="-4"/>
              </w:rPr>
              <w:t>Test</w:t>
            </w:r>
            <w:r>
              <w:rPr/>
              <w:tab/>
            </w:r>
            <w:r>
              <w:rPr>
                <w:spacing w:val="-5"/>
              </w:rPr>
              <w:t>115</w:t>
            </w:r>
          </w:hyperlink>
        </w:p>
        <w:p>
          <w:pPr>
            <w:pStyle w:val="TOC2"/>
            <w:numPr>
              <w:ilvl w:val="2"/>
              <w:numId w:val="10"/>
            </w:numPr>
            <w:tabs>
              <w:tab w:pos="1660" w:val="left" w:leader="none"/>
              <w:tab w:pos="9941" w:val="right" w:leader="none"/>
            </w:tabs>
            <w:spacing w:line="240" w:lineRule="auto" w:before="139" w:after="0"/>
            <w:ind w:left="1660" w:right="0" w:hanging="720"/>
            <w:jc w:val="left"/>
          </w:pPr>
          <w:hyperlink w:history="true" w:anchor="_TOC_250028">
            <w:r>
              <w:rPr/>
              <w:t>Testing</w:t>
            </w:r>
            <w:r>
              <w:rPr>
                <w:spacing w:val="-2"/>
              </w:rPr>
              <w:t> </w:t>
            </w:r>
            <w:r>
              <w:rPr/>
              <w:t>for</w:t>
            </w:r>
            <w:r>
              <w:rPr>
                <w:spacing w:val="-2"/>
              </w:rPr>
              <w:t> Multicollinearity</w:t>
            </w:r>
            <w:r>
              <w:rPr/>
              <w:tab/>
            </w:r>
            <w:r>
              <w:rPr>
                <w:spacing w:val="-5"/>
              </w:rPr>
              <w:t>115</w:t>
            </w:r>
          </w:hyperlink>
        </w:p>
        <w:p>
          <w:pPr>
            <w:pStyle w:val="TOC2"/>
            <w:numPr>
              <w:ilvl w:val="2"/>
              <w:numId w:val="10"/>
            </w:numPr>
            <w:tabs>
              <w:tab w:pos="1660" w:val="left" w:leader="none"/>
              <w:tab w:pos="9941" w:val="right" w:leader="none"/>
            </w:tabs>
            <w:spacing w:line="240" w:lineRule="auto" w:before="137" w:after="0"/>
            <w:ind w:left="1660" w:right="0" w:hanging="720"/>
            <w:jc w:val="left"/>
          </w:pPr>
          <w:hyperlink w:history="true" w:anchor="_TOC_250027">
            <w:r>
              <w:rPr/>
              <w:t>Serial</w:t>
            </w:r>
            <w:r>
              <w:rPr>
                <w:spacing w:val="-5"/>
              </w:rPr>
              <w:t> </w:t>
            </w:r>
            <w:r>
              <w:rPr/>
              <w:t>Correlation</w:t>
            </w:r>
            <w:r>
              <w:rPr>
                <w:spacing w:val="-2"/>
              </w:rPr>
              <w:t> </w:t>
            </w:r>
            <w:r>
              <w:rPr>
                <w:spacing w:val="-4"/>
              </w:rPr>
              <w:t>Test</w:t>
            </w:r>
            <w:r>
              <w:rPr/>
              <w:tab/>
            </w:r>
            <w:r>
              <w:rPr>
                <w:spacing w:val="-5"/>
              </w:rPr>
              <w:t>116</w:t>
            </w:r>
          </w:hyperlink>
        </w:p>
        <w:p>
          <w:pPr>
            <w:pStyle w:val="TOC2"/>
            <w:numPr>
              <w:ilvl w:val="2"/>
              <w:numId w:val="10"/>
            </w:numPr>
            <w:tabs>
              <w:tab w:pos="1660" w:val="left" w:leader="none"/>
              <w:tab w:pos="9941" w:val="right" w:leader="none"/>
            </w:tabs>
            <w:spacing w:line="240" w:lineRule="auto" w:before="139" w:after="0"/>
            <w:ind w:left="1660" w:right="0" w:hanging="720"/>
            <w:jc w:val="left"/>
          </w:pPr>
          <w:hyperlink w:history="true" w:anchor="_TOC_250026">
            <w:r>
              <w:rPr/>
              <w:t>Heteroscedasticity</w:t>
            </w:r>
            <w:r>
              <w:rPr>
                <w:spacing w:val="-8"/>
              </w:rPr>
              <w:t> </w:t>
            </w:r>
            <w:r>
              <w:rPr>
                <w:spacing w:val="-4"/>
              </w:rPr>
              <w:t>Test</w:t>
            </w:r>
            <w:r>
              <w:rPr/>
              <w:tab/>
            </w:r>
            <w:r>
              <w:rPr>
                <w:spacing w:val="-5"/>
              </w:rPr>
              <w:t>116</w:t>
            </w:r>
          </w:hyperlink>
        </w:p>
        <w:p>
          <w:pPr>
            <w:pStyle w:val="TOC2"/>
            <w:tabs>
              <w:tab w:pos="9941" w:val="right" w:leader="none"/>
            </w:tabs>
            <w:spacing w:before="138"/>
            <w:ind w:left="940" w:firstLine="0"/>
          </w:pPr>
          <w:hyperlink w:history="true" w:anchor="_TOC_250025">
            <w:r>
              <w:rPr/>
              <w:t>3.7.5.</w:t>
            </w:r>
            <w:r>
              <w:rPr>
                <w:spacing w:val="29"/>
              </w:rPr>
              <w:t>  </w:t>
            </w:r>
            <w:r>
              <w:rPr/>
              <w:t>Ramsey RESET </w:t>
            </w:r>
            <w:r>
              <w:rPr>
                <w:spacing w:val="-4"/>
              </w:rPr>
              <w:t>Test</w:t>
            </w:r>
            <w:r>
              <w:rPr/>
              <w:tab/>
            </w:r>
            <w:r>
              <w:rPr>
                <w:spacing w:val="-5"/>
              </w:rPr>
              <w:t>117</w:t>
            </w:r>
          </w:hyperlink>
        </w:p>
        <w:p>
          <w:pPr>
            <w:pStyle w:val="TOC2"/>
            <w:tabs>
              <w:tab w:pos="1660" w:val="left" w:leader="none"/>
              <w:tab w:pos="9941" w:val="right" w:leader="none"/>
            </w:tabs>
            <w:spacing w:before="139"/>
            <w:ind w:left="940" w:firstLine="0"/>
          </w:pPr>
          <w:hyperlink w:history="true" w:anchor="_TOC_250024">
            <w:r>
              <w:rPr>
                <w:spacing w:val="-2"/>
              </w:rPr>
              <w:t>3.7.6</w:t>
            </w:r>
            <w:r>
              <w:rPr/>
              <w:tab/>
              <w:t>Co-integration</w:t>
            </w:r>
            <w:r>
              <w:rPr>
                <w:spacing w:val="-4"/>
              </w:rPr>
              <w:t> Test</w:t>
            </w:r>
            <w:r>
              <w:rPr/>
              <w:tab/>
            </w:r>
            <w:r>
              <w:rPr>
                <w:spacing w:val="-5"/>
              </w:rPr>
              <w:t>117</w:t>
            </w:r>
          </w:hyperlink>
        </w:p>
        <w:p>
          <w:pPr>
            <w:pStyle w:val="TOC1"/>
          </w:pPr>
          <w:hyperlink w:history="true" w:anchor="_TOC_250023">
            <w:r>
              <w:rPr/>
              <w:t>CHAPTER</w:t>
            </w:r>
            <w:r>
              <w:rPr>
                <w:spacing w:val="-3"/>
              </w:rPr>
              <w:t> </w:t>
            </w:r>
            <w:r>
              <w:rPr/>
              <w:t>FOUR:</w:t>
            </w:r>
            <w:r>
              <w:rPr>
                <w:spacing w:val="-2"/>
              </w:rPr>
              <w:t> </w:t>
            </w:r>
            <w:r>
              <w:rPr/>
              <w:t>PRESENTATION</w:t>
            </w:r>
            <w:r>
              <w:rPr>
                <w:spacing w:val="-1"/>
              </w:rPr>
              <w:t> </w:t>
            </w:r>
            <w:r>
              <w:rPr/>
              <w:t>AND</w:t>
            </w:r>
            <w:r>
              <w:rPr>
                <w:spacing w:val="-1"/>
              </w:rPr>
              <w:t> </w:t>
            </w:r>
            <w:r>
              <w:rPr/>
              <w:t>ANALYSES</w:t>
            </w:r>
            <w:r>
              <w:rPr>
                <w:spacing w:val="-1"/>
              </w:rPr>
              <w:t> </w:t>
            </w:r>
            <w:r>
              <w:rPr/>
              <w:t>OF </w:t>
            </w:r>
            <w:r>
              <w:rPr>
                <w:spacing w:val="-2"/>
              </w:rPr>
              <w:t>RESULTS</w:t>
            </w:r>
          </w:hyperlink>
        </w:p>
        <w:p>
          <w:pPr>
            <w:pStyle w:val="TOC2"/>
            <w:numPr>
              <w:ilvl w:val="1"/>
              <w:numId w:val="11"/>
            </w:numPr>
            <w:tabs>
              <w:tab w:pos="1660" w:val="left" w:leader="none"/>
              <w:tab w:pos="9941" w:val="right" w:leader="none"/>
            </w:tabs>
            <w:spacing w:line="240" w:lineRule="auto" w:before="137" w:after="0"/>
            <w:ind w:left="1660" w:right="0" w:hanging="720"/>
            <w:jc w:val="left"/>
          </w:pPr>
          <w:r>
            <w:rPr>
              <w:spacing w:val="-2"/>
            </w:rPr>
            <w:t>Introduction</w:t>
          </w:r>
          <w:r>
            <w:rPr/>
            <w:tab/>
          </w:r>
          <w:r>
            <w:rPr>
              <w:spacing w:val="-5"/>
            </w:rPr>
            <w:t>118</w:t>
          </w:r>
        </w:p>
        <w:p>
          <w:pPr>
            <w:pStyle w:val="TOC2"/>
            <w:numPr>
              <w:ilvl w:val="1"/>
              <w:numId w:val="11"/>
            </w:numPr>
            <w:tabs>
              <w:tab w:pos="1660" w:val="left" w:leader="none"/>
              <w:tab w:pos="9941" w:val="right" w:leader="none"/>
            </w:tabs>
            <w:spacing w:line="240" w:lineRule="auto" w:before="139" w:after="0"/>
            <w:ind w:left="1660" w:right="0" w:hanging="720"/>
            <w:jc w:val="left"/>
          </w:pPr>
          <w:hyperlink w:history="true" w:anchor="_TOC_250022">
            <w:r>
              <w:rPr/>
              <w:t>Presentation</w:t>
            </w:r>
            <w:r>
              <w:rPr>
                <w:spacing w:val="-4"/>
              </w:rPr>
              <w:t> </w:t>
            </w:r>
            <w:r>
              <w:rPr/>
              <w:t>of</w:t>
            </w:r>
            <w:r>
              <w:rPr>
                <w:spacing w:val="-1"/>
              </w:rPr>
              <w:t> </w:t>
            </w:r>
            <w:r>
              <w:rPr>
                <w:spacing w:val="-2"/>
              </w:rPr>
              <w:t>Results</w:t>
            </w:r>
            <w:r>
              <w:rPr/>
              <w:tab/>
            </w:r>
            <w:r>
              <w:rPr>
                <w:spacing w:val="-5"/>
              </w:rPr>
              <w:t>118</w:t>
            </w:r>
          </w:hyperlink>
        </w:p>
        <w:p>
          <w:pPr>
            <w:pStyle w:val="TOC2"/>
            <w:numPr>
              <w:ilvl w:val="2"/>
              <w:numId w:val="11"/>
            </w:numPr>
            <w:tabs>
              <w:tab w:pos="1660" w:val="left" w:leader="none"/>
              <w:tab w:pos="9941" w:val="right" w:leader="none"/>
            </w:tabs>
            <w:spacing w:line="240" w:lineRule="auto" w:before="137" w:after="0"/>
            <w:ind w:left="1660" w:right="0" w:hanging="720"/>
            <w:jc w:val="left"/>
          </w:pPr>
          <w:hyperlink w:history="true" w:anchor="_TOC_250021">
            <w:r>
              <w:rPr/>
              <w:t>Descriptive</w:t>
            </w:r>
            <w:r>
              <w:rPr>
                <w:spacing w:val="-4"/>
              </w:rPr>
              <w:t> </w:t>
            </w:r>
            <w:r>
              <w:rPr>
                <w:spacing w:val="-2"/>
              </w:rPr>
              <w:t>Statistics</w:t>
            </w:r>
            <w:r>
              <w:rPr/>
              <w:tab/>
            </w:r>
            <w:r>
              <w:rPr>
                <w:spacing w:val="-5"/>
              </w:rPr>
              <w:t>118</w:t>
            </w:r>
          </w:hyperlink>
        </w:p>
        <w:p>
          <w:pPr>
            <w:pStyle w:val="TOC2"/>
            <w:numPr>
              <w:ilvl w:val="2"/>
              <w:numId w:val="11"/>
            </w:numPr>
            <w:tabs>
              <w:tab w:pos="1660" w:val="left" w:leader="none"/>
              <w:tab w:pos="9941" w:val="right" w:leader="none"/>
            </w:tabs>
            <w:spacing w:line="240" w:lineRule="auto" w:before="139" w:after="0"/>
            <w:ind w:left="1660" w:right="0" w:hanging="720"/>
            <w:jc w:val="left"/>
          </w:pPr>
          <w:hyperlink w:history="true" w:anchor="_TOC_250020">
            <w:r>
              <w:rPr/>
              <w:t>Pearson</w:t>
            </w:r>
            <w:r>
              <w:rPr>
                <w:spacing w:val="-2"/>
              </w:rPr>
              <w:t> </w:t>
            </w:r>
            <w:r>
              <w:rPr/>
              <w:t>Correlation</w:t>
            </w:r>
            <w:r>
              <w:rPr>
                <w:spacing w:val="-2"/>
              </w:rPr>
              <w:t> Statistics</w:t>
            </w:r>
            <w:r>
              <w:rPr/>
              <w:tab/>
            </w:r>
            <w:r>
              <w:rPr>
                <w:spacing w:val="-5"/>
              </w:rPr>
              <w:t>120</w:t>
            </w:r>
          </w:hyperlink>
        </w:p>
        <w:p>
          <w:pPr>
            <w:pStyle w:val="TOC2"/>
            <w:numPr>
              <w:ilvl w:val="1"/>
              <w:numId w:val="11"/>
            </w:numPr>
            <w:tabs>
              <w:tab w:pos="1660" w:val="left" w:leader="none"/>
              <w:tab w:pos="9941" w:val="right" w:leader="none"/>
            </w:tabs>
            <w:spacing w:line="240" w:lineRule="auto" w:before="137" w:after="20"/>
            <w:ind w:left="1660" w:right="0" w:hanging="720"/>
            <w:jc w:val="left"/>
          </w:pPr>
          <w:hyperlink w:history="true" w:anchor="_TOC_250019">
            <w:r>
              <w:rPr/>
              <w:t>Multicollinearity</w:t>
            </w:r>
            <w:r>
              <w:rPr>
                <w:spacing w:val="-2"/>
              </w:rPr>
              <w:t> Analysis</w:t>
            </w:r>
            <w:r>
              <w:rPr/>
              <w:tab/>
            </w:r>
            <w:r>
              <w:rPr>
                <w:spacing w:val="-5"/>
              </w:rPr>
              <w:t>123</w:t>
            </w:r>
          </w:hyperlink>
        </w:p>
        <w:p>
          <w:pPr>
            <w:pStyle w:val="TOC2"/>
            <w:numPr>
              <w:ilvl w:val="1"/>
              <w:numId w:val="11"/>
            </w:numPr>
            <w:tabs>
              <w:tab w:pos="1660" w:val="left" w:leader="none"/>
              <w:tab w:pos="9941" w:val="right" w:leader="none"/>
            </w:tabs>
            <w:spacing w:line="240" w:lineRule="auto" w:before="61" w:after="0"/>
            <w:ind w:left="1660" w:right="0" w:hanging="720"/>
            <w:jc w:val="left"/>
          </w:pPr>
          <w:hyperlink w:history="true" w:anchor="_TOC_250018">
            <w:r>
              <w:rPr/>
              <w:t>Panel</w:t>
            </w:r>
            <w:r>
              <w:rPr>
                <w:spacing w:val="-3"/>
              </w:rPr>
              <w:t> </w:t>
            </w:r>
            <w:r>
              <w:rPr/>
              <w:t>Co-</w:t>
            </w:r>
            <w:r>
              <w:rPr>
                <w:spacing w:val="-2"/>
              </w:rPr>
              <w:t>integration</w:t>
            </w:r>
            <w:r>
              <w:rPr/>
              <w:tab/>
            </w:r>
            <w:r>
              <w:rPr>
                <w:spacing w:val="-5"/>
              </w:rPr>
              <w:t>124</w:t>
            </w:r>
          </w:hyperlink>
        </w:p>
        <w:p>
          <w:pPr>
            <w:pStyle w:val="TOC2"/>
            <w:tabs>
              <w:tab w:pos="9941" w:val="right" w:leader="none"/>
            </w:tabs>
            <w:ind w:left="940" w:firstLine="0"/>
          </w:pPr>
          <w:hyperlink w:history="true" w:anchor="_TOC_250017">
            <w:r>
              <w:rPr/>
              <w:t>4.2.5.</w:t>
            </w:r>
            <w:r>
              <w:rPr>
                <w:spacing w:val="28"/>
              </w:rPr>
              <w:t>  </w:t>
            </w:r>
            <w:r>
              <w:rPr/>
              <w:t>Panel</w:t>
            </w:r>
            <w:r>
              <w:rPr>
                <w:spacing w:val="1"/>
              </w:rPr>
              <w:t> </w:t>
            </w:r>
            <w:r>
              <w:rPr>
                <w:spacing w:val="-2"/>
              </w:rPr>
              <w:t>Regressions</w:t>
            </w:r>
            <w:r>
              <w:rPr/>
              <w:tab/>
            </w:r>
            <w:r>
              <w:rPr>
                <w:spacing w:val="-5"/>
              </w:rPr>
              <w:t>124</w:t>
            </w:r>
          </w:hyperlink>
        </w:p>
        <w:p>
          <w:pPr>
            <w:pStyle w:val="TOC1"/>
            <w:spacing w:before="955"/>
          </w:pPr>
          <w:r>
            <w:rPr/>
            <w:t>CHAPTER</w:t>
          </w:r>
          <w:r>
            <w:rPr>
              <w:spacing w:val="-4"/>
            </w:rPr>
            <w:t> </w:t>
          </w:r>
          <w:r>
            <w:rPr/>
            <w:t>FIVE:</w:t>
          </w:r>
          <w:r>
            <w:rPr>
              <w:spacing w:val="-2"/>
            </w:rPr>
            <w:t> </w:t>
          </w:r>
          <w:r>
            <w:rPr/>
            <w:t>TEST</w:t>
          </w:r>
          <w:r>
            <w:rPr>
              <w:spacing w:val="-1"/>
            </w:rPr>
            <w:t> </w:t>
          </w:r>
          <w:r>
            <w:rPr/>
            <w:t>OF</w:t>
          </w:r>
          <w:r>
            <w:rPr>
              <w:spacing w:val="-1"/>
            </w:rPr>
            <w:t> </w:t>
          </w:r>
          <w:r>
            <w:rPr/>
            <w:t>HYPOTHESES</w:t>
          </w:r>
          <w:r>
            <w:rPr>
              <w:spacing w:val="-4"/>
            </w:rPr>
            <w:t> </w:t>
          </w:r>
          <w:r>
            <w:rPr/>
            <w:t>AND</w:t>
          </w:r>
          <w:r>
            <w:rPr>
              <w:spacing w:val="-1"/>
            </w:rPr>
            <w:t> </w:t>
          </w:r>
          <w:r>
            <w:rPr/>
            <w:t>DISCUSSION</w:t>
          </w:r>
          <w:r>
            <w:rPr>
              <w:spacing w:val="-1"/>
            </w:rPr>
            <w:t> </w:t>
          </w:r>
          <w:r>
            <w:rPr/>
            <w:t>OF</w:t>
          </w:r>
          <w:r>
            <w:rPr>
              <w:spacing w:val="2"/>
            </w:rPr>
            <w:t> </w:t>
          </w:r>
          <w:r>
            <w:rPr>
              <w:spacing w:val="-2"/>
            </w:rPr>
            <w:t>FINDINGS</w:t>
          </w:r>
        </w:p>
        <w:p>
          <w:pPr>
            <w:pStyle w:val="TOC2"/>
            <w:numPr>
              <w:ilvl w:val="1"/>
              <w:numId w:val="12"/>
            </w:numPr>
            <w:tabs>
              <w:tab w:pos="1660" w:val="left" w:leader="none"/>
              <w:tab w:pos="9941" w:val="right" w:leader="none"/>
            </w:tabs>
            <w:spacing w:line="240" w:lineRule="auto" w:before="139" w:after="0"/>
            <w:ind w:left="1660" w:right="0" w:hanging="720"/>
            <w:jc w:val="left"/>
          </w:pPr>
          <w:hyperlink w:history="true" w:anchor="_TOC_250016">
            <w:r>
              <w:rPr/>
              <w:t>Test</w:t>
            </w:r>
            <w:r>
              <w:rPr>
                <w:spacing w:val="-1"/>
              </w:rPr>
              <w:t> </w:t>
            </w:r>
            <w:r>
              <w:rPr/>
              <w:t>of</w:t>
            </w:r>
            <w:r>
              <w:rPr>
                <w:spacing w:val="-1"/>
              </w:rPr>
              <w:t> </w:t>
            </w:r>
            <w:r>
              <w:rPr>
                <w:spacing w:val="-2"/>
              </w:rPr>
              <w:t>Hypotheses</w:t>
            </w:r>
            <w:r>
              <w:rPr/>
              <w:tab/>
            </w:r>
            <w:r>
              <w:rPr>
                <w:spacing w:val="-5"/>
              </w:rPr>
              <w:t>146</w:t>
            </w:r>
          </w:hyperlink>
        </w:p>
        <w:p>
          <w:pPr>
            <w:pStyle w:val="TOC2"/>
            <w:numPr>
              <w:ilvl w:val="1"/>
              <w:numId w:val="12"/>
            </w:numPr>
            <w:tabs>
              <w:tab w:pos="1660" w:val="left" w:leader="none"/>
              <w:tab w:pos="9941" w:val="right" w:leader="none"/>
            </w:tabs>
            <w:spacing w:line="240" w:lineRule="auto" w:before="137" w:after="0"/>
            <w:ind w:left="1660" w:right="0" w:hanging="720"/>
            <w:jc w:val="left"/>
          </w:pPr>
          <w:hyperlink w:history="true" w:anchor="_TOC_250015">
            <w:r>
              <w:rPr/>
              <w:t>Discussion</w:t>
            </w:r>
            <w:r>
              <w:rPr>
                <w:spacing w:val="-1"/>
              </w:rPr>
              <w:t> </w:t>
            </w:r>
            <w:r>
              <w:rPr/>
              <w:t>of</w:t>
            </w:r>
            <w:r>
              <w:rPr>
                <w:spacing w:val="-1"/>
              </w:rPr>
              <w:t> </w:t>
            </w:r>
            <w:r>
              <w:rPr>
                <w:spacing w:val="-2"/>
              </w:rPr>
              <w:t>Result</w:t>
            </w:r>
            <w:r>
              <w:rPr/>
              <w:tab/>
            </w:r>
            <w:r>
              <w:rPr>
                <w:spacing w:val="-5"/>
              </w:rPr>
              <w:t>152</w:t>
            </w:r>
          </w:hyperlink>
        </w:p>
        <w:p>
          <w:pPr>
            <w:pStyle w:val="TOC2"/>
            <w:numPr>
              <w:ilvl w:val="2"/>
              <w:numId w:val="12"/>
            </w:numPr>
            <w:tabs>
              <w:tab w:pos="1659" w:val="left" w:leader="none"/>
              <w:tab w:pos="9941" w:val="right" w:leader="none"/>
            </w:tabs>
            <w:spacing w:line="240" w:lineRule="auto" w:before="139" w:after="0"/>
            <w:ind w:left="1659" w:right="0" w:hanging="719"/>
            <w:jc w:val="left"/>
          </w:pPr>
          <w:r>
            <w:rPr/>
            <w:drawing>
              <wp:anchor distT="0" distB="0" distL="0" distR="0" allowOverlap="1" layoutInCell="1" locked="0" behindDoc="1" simplePos="0" relativeHeight="477667328">
                <wp:simplePos x="0" y="0"/>
                <wp:positionH relativeFrom="page">
                  <wp:posOffset>1095451</wp:posOffset>
                </wp:positionH>
                <wp:positionV relativeFrom="paragraph">
                  <wp:posOffset>67130</wp:posOffset>
                </wp:positionV>
                <wp:extent cx="5106847" cy="523811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5" cstate="print"/>
                        <a:stretch>
                          <a:fillRect/>
                        </a:stretch>
                      </pic:blipFill>
                      <pic:spPr>
                        <a:xfrm>
                          <a:off x="0" y="0"/>
                          <a:ext cx="5106847" cy="5238115"/>
                        </a:xfrm>
                        <a:prstGeom prst="rect">
                          <a:avLst/>
                        </a:prstGeom>
                      </pic:spPr>
                    </pic:pic>
                  </a:graphicData>
                </a:graphic>
              </wp:anchor>
            </w:drawing>
          </w:r>
          <w:hyperlink w:history="true" w:anchor="_TOC_250014">
            <w:r>
              <w:rPr/>
              <w:t>Post-IFRS</w:t>
            </w:r>
            <w:r>
              <w:rPr>
                <w:spacing w:val="-1"/>
              </w:rPr>
              <w:t> </w:t>
            </w:r>
            <w:r>
              <w:rPr/>
              <w:t>Regime</w:t>
            </w:r>
            <w:r>
              <w:rPr>
                <w:spacing w:val="-2"/>
              </w:rPr>
              <w:t> </w:t>
            </w:r>
            <w:r>
              <w:rPr/>
              <w:t>and</w:t>
            </w:r>
            <w:r>
              <w:rPr>
                <w:spacing w:val="-2"/>
              </w:rPr>
              <w:t> </w:t>
            </w:r>
            <w:r>
              <w:rPr/>
              <w:t>Financial</w:t>
            </w:r>
            <w:r>
              <w:rPr>
                <w:spacing w:val="-2"/>
              </w:rPr>
              <w:t> </w:t>
            </w:r>
            <w:r>
              <w:rPr/>
              <w:t>Reporting</w:t>
            </w:r>
            <w:r>
              <w:rPr>
                <w:spacing w:val="-1"/>
              </w:rPr>
              <w:t> </w:t>
            </w:r>
            <w:r>
              <w:rPr>
                <w:spacing w:val="-2"/>
              </w:rPr>
              <w:t>Quality</w:t>
            </w:r>
            <w:r>
              <w:rPr/>
              <w:tab/>
            </w:r>
            <w:r>
              <w:rPr>
                <w:spacing w:val="-5"/>
              </w:rPr>
              <w:t>152</w:t>
            </w:r>
          </w:hyperlink>
        </w:p>
        <w:p>
          <w:pPr>
            <w:pStyle w:val="TOC2"/>
            <w:numPr>
              <w:ilvl w:val="2"/>
              <w:numId w:val="12"/>
            </w:numPr>
            <w:tabs>
              <w:tab w:pos="1659" w:val="left" w:leader="none"/>
              <w:tab w:pos="9941" w:val="right" w:leader="none"/>
            </w:tabs>
            <w:spacing w:line="240" w:lineRule="auto" w:before="138" w:after="0"/>
            <w:ind w:left="1659" w:right="0" w:hanging="719"/>
            <w:jc w:val="left"/>
          </w:pPr>
          <w:hyperlink w:history="true" w:anchor="_TOC_250013">
            <w:r>
              <w:rPr/>
              <w:t>Board</w:t>
            </w:r>
            <w:r>
              <w:rPr>
                <w:spacing w:val="-1"/>
              </w:rPr>
              <w:t> </w:t>
            </w:r>
            <w:r>
              <w:rPr/>
              <w:t>of</w:t>
            </w:r>
            <w:r>
              <w:rPr>
                <w:spacing w:val="-3"/>
              </w:rPr>
              <w:t> </w:t>
            </w:r>
            <w:r>
              <w:rPr/>
              <w:t>Director Size</w:t>
            </w:r>
            <w:r>
              <w:rPr>
                <w:spacing w:val="-3"/>
              </w:rPr>
              <w:t> </w:t>
            </w:r>
            <w:r>
              <w:rPr/>
              <w:t>and Financial</w:t>
            </w:r>
            <w:r>
              <w:rPr>
                <w:spacing w:val="-1"/>
              </w:rPr>
              <w:t> </w:t>
            </w:r>
            <w:r>
              <w:rPr/>
              <w:t>Reporting </w:t>
            </w:r>
            <w:r>
              <w:rPr>
                <w:spacing w:val="-2"/>
              </w:rPr>
              <w:t>Quality</w:t>
            </w:r>
            <w:r>
              <w:rPr/>
              <w:tab/>
            </w:r>
            <w:r>
              <w:rPr>
                <w:spacing w:val="-5"/>
              </w:rPr>
              <w:t>155</w:t>
            </w:r>
          </w:hyperlink>
        </w:p>
        <w:p>
          <w:pPr>
            <w:pStyle w:val="TOC2"/>
            <w:numPr>
              <w:ilvl w:val="2"/>
              <w:numId w:val="13"/>
            </w:numPr>
            <w:tabs>
              <w:tab w:pos="1660" w:val="left" w:leader="none"/>
              <w:tab w:pos="9941" w:val="right" w:leader="none"/>
            </w:tabs>
            <w:spacing w:line="240" w:lineRule="auto" w:before="139" w:after="0"/>
            <w:ind w:left="1660" w:right="0" w:hanging="720"/>
            <w:jc w:val="left"/>
          </w:pPr>
          <w:hyperlink w:history="true" w:anchor="_TOC_250012">
            <w:r>
              <w:rPr/>
              <w:t>Board</w:t>
            </w:r>
            <w:r>
              <w:rPr>
                <w:spacing w:val="-2"/>
              </w:rPr>
              <w:t> </w:t>
            </w:r>
            <w:r>
              <w:rPr/>
              <w:t>of</w:t>
            </w:r>
            <w:r>
              <w:rPr>
                <w:spacing w:val="-3"/>
              </w:rPr>
              <w:t> </w:t>
            </w:r>
            <w:r>
              <w:rPr/>
              <w:t>Director Independence and</w:t>
            </w:r>
            <w:r>
              <w:rPr>
                <w:spacing w:val="-1"/>
              </w:rPr>
              <w:t> </w:t>
            </w:r>
            <w:r>
              <w:rPr/>
              <w:t>Financial</w:t>
            </w:r>
            <w:r>
              <w:rPr>
                <w:spacing w:val="-1"/>
              </w:rPr>
              <w:t> </w:t>
            </w:r>
            <w:r>
              <w:rPr/>
              <w:t>Reporting</w:t>
            </w:r>
            <w:r>
              <w:rPr>
                <w:spacing w:val="-1"/>
              </w:rPr>
              <w:t> </w:t>
            </w:r>
            <w:r>
              <w:rPr>
                <w:spacing w:val="-2"/>
              </w:rPr>
              <w:t>Quality</w:t>
            </w:r>
            <w:r>
              <w:rPr/>
              <w:tab/>
            </w:r>
            <w:r>
              <w:rPr>
                <w:spacing w:val="-5"/>
              </w:rPr>
              <w:t>156</w:t>
            </w:r>
          </w:hyperlink>
        </w:p>
        <w:p>
          <w:pPr>
            <w:pStyle w:val="TOC2"/>
            <w:numPr>
              <w:ilvl w:val="2"/>
              <w:numId w:val="13"/>
            </w:numPr>
            <w:tabs>
              <w:tab w:pos="1660" w:val="left" w:leader="none"/>
              <w:tab w:pos="9941" w:val="right" w:leader="none"/>
            </w:tabs>
            <w:spacing w:line="240" w:lineRule="auto" w:before="137" w:after="0"/>
            <w:ind w:left="1660" w:right="0" w:hanging="720"/>
            <w:jc w:val="left"/>
          </w:pPr>
          <w:hyperlink w:history="true" w:anchor="_TOC_250011">
            <w:r>
              <w:rPr/>
              <w:t>Board</w:t>
            </w:r>
            <w:r>
              <w:rPr>
                <w:spacing w:val="-2"/>
              </w:rPr>
              <w:t> </w:t>
            </w:r>
            <w:r>
              <w:rPr/>
              <w:t>Financial</w:t>
            </w:r>
            <w:r>
              <w:rPr>
                <w:spacing w:val="-1"/>
              </w:rPr>
              <w:t> </w:t>
            </w:r>
            <w:r>
              <w:rPr/>
              <w:t>Expertise</w:t>
            </w:r>
            <w:r>
              <w:rPr>
                <w:spacing w:val="-2"/>
              </w:rPr>
              <w:t> </w:t>
            </w:r>
            <w:r>
              <w:rPr/>
              <w:t>Reporting</w:t>
            </w:r>
            <w:r>
              <w:rPr>
                <w:spacing w:val="-1"/>
              </w:rPr>
              <w:t> </w:t>
            </w:r>
            <w:r>
              <w:rPr>
                <w:spacing w:val="-2"/>
              </w:rPr>
              <w:t>Quality</w:t>
            </w:r>
            <w:r>
              <w:rPr/>
              <w:tab/>
            </w:r>
            <w:r>
              <w:rPr>
                <w:spacing w:val="-5"/>
              </w:rPr>
              <w:t>157</w:t>
            </w:r>
          </w:hyperlink>
        </w:p>
        <w:p>
          <w:pPr>
            <w:pStyle w:val="TOC2"/>
            <w:tabs>
              <w:tab w:pos="9941" w:val="right" w:leader="none"/>
            </w:tabs>
            <w:spacing w:before="139"/>
            <w:ind w:left="940" w:firstLine="0"/>
          </w:pPr>
          <w:hyperlink w:history="true" w:anchor="_TOC_250010">
            <w:r>
              <w:rPr/>
              <w:t>5.2.5.</w:t>
            </w:r>
            <w:r>
              <w:rPr>
                <w:spacing w:val="26"/>
              </w:rPr>
              <w:t>  </w:t>
            </w:r>
            <w:r>
              <w:rPr/>
              <w:t>Institutional</w:t>
            </w:r>
            <w:r>
              <w:rPr>
                <w:spacing w:val="-1"/>
              </w:rPr>
              <w:t> </w:t>
            </w:r>
            <w:r>
              <w:rPr/>
              <w:t>Ownership</w:t>
            </w:r>
            <w:r>
              <w:rPr>
                <w:spacing w:val="1"/>
              </w:rPr>
              <w:t> </w:t>
            </w:r>
            <w:r>
              <w:rPr/>
              <w:t>and</w:t>
            </w:r>
            <w:r>
              <w:rPr>
                <w:spacing w:val="-1"/>
              </w:rPr>
              <w:t> </w:t>
            </w:r>
            <w:r>
              <w:rPr/>
              <w:t>Financial</w:t>
            </w:r>
            <w:r>
              <w:rPr>
                <w:spacing w:val="-1"/>
              </w:rPr>
              <w:t> </w:t>
            </w:r>
            <w:r>
              <w:rPr/>
              <w:t>Reporting</w:t>
            </w:r>
            <w:r>
              <w:rPr>
                <w:spacing w:val="2"/>
              </w:rPr>
              <w:t> </w:t>
            </w:r>
            <w:r>
              <w:rPr>
                <w:spacing w:val="-2"/>
              </w:rPr>
              <w:t>Quality</w:t>
            </w:r>
            <w:r>
              <w:rPr/>
              <w:tab/>
            </w:r>
            <w:r>
              <w:rPr>
                <w:spacing w:val="-5"/>
              </w:rPr>
              <w:t>158</w:t>
            </w:r>
          </w:hyperlink>
        </w:p>
        <w:p>
          <w:pPr>
            <w:pStyle w:val="TOC2"/>
            <w:numPr>
              <w:ilvl w:val="2"/>
              <w:numId w:val="14"/>
            </w:numPr>
            <w:tabs>
              <w:tab w:pos="1660" w:val="left" w:leader="none"/>
              <w:tab w:pos="9941" w:val="right" w:leader="none"/>
            </w:tabs>
            <w:spacing w:line="240" w:lineRule="auto" w:before="137" w:after="0"/>
            <w:ind w:left="1660" w:right="0" w:hanging="720"/>
            <w:jc w:val="left"/>
          </w:pPr>
          <w:hyperlink w:history="true" w:anchor="_TOC_250009">
            <w:r>
              <w:rPr/>
              <w:t>Managerial</w:t>
            </w:r>
            <w:r>
              <w:rPr>
                <w:spacing w:val="-1"/>
              </w:rPr>
              <w:t> </w:t>
            </w:r>
            <w:r>
              <w:rPr/>
              <w:t>Ownership</w:t>
            </w:r>
            <w:r>
              <w:rPr>
                <w:spacing w:val="-1"/>
              </w:rPr>
              <w:t> </w:t>
            </w:r>
            <w:r>
              <w:rPr/>
              <w:t>and</w:t>
            </w:r>
            <w:r>
              <w:rPr>
                <w:spacing w:val="-1"/>
              </w:rPr>
              <w:t> </w:t>
            </w:r>
            <w:r>
              <w:rPr/>
              <w:t>Financial</w:t>
            </w:r>
            <w:r>
              <w:rPr>
                <w:spacing w:val="-1"/>
              </w:rPr>
              <w:t> </w:t>
            </w:r>
            <w:r>
              <w:rPr/>
              <w:t>Reporting</w:t>
            </w:r>
            <w:r>
              <w:rPr>
                <w:spacing w:val="-1"/>
              </w:rPr>
              <w:t> </w:t>
            </w:r>
            <w:r>
              <w:rPr>
                <w:spacing w:val="-2"/>
              </w:rPr>
              <w:t>Quality</w:t>
            </w:r>
            <w:r>
              <w:rPr/>
              <w:tab/>
            </w:r>
            <w:r>
              <w:rPr>
                <w:spacing w:val="-5"/>
              </w:rPr>
              <w:t>161</w:t>
            </w:r>
          </w:hyperlink>
        </w:p>
        <w:p>
          <w:pPr>
            <w:pStyle w:val="TOC2"/>
            <w:numPr>
              <w:ilvl w:val="2"/>
              <w:numId w:val="14"/>
            </w:numPr>
            <w:tabs>
              <w:tab w:pos="1660" w:val="left" w:leader="none"/>
              <w:tab w:pos="9941" w:val="right" w:leader="none"/>
            </w:tabs>
            <w:spacing w:line="240" w:lineRule="auto" w:before="139" w:after="0"/>
            <w:ind w:left="1660" w:right="0" w:hanging="720"/>
            <w:jc w:val="left"/>
          </w:pPr>
          <w:hyperlink w:history="true" w:anchor="_TOC_250008">
            <w:r>
              <w:rPr/>
              <w:t>Foreign</w:t>
            </w:r>
            <w:r>
              <w:rPr>
                <w:spacing w:val="-2"/>
              </w:rPr>
              <w:t> </w:t>
            </w:r>
            <w:r>
              <w:rPr/>
              <w:t>Ownership</w:t>
            </w:r>
            <w:r>
              <w:rPr>
                <w:spacing w:val="-2"/>
              </w:rPr>
              <w:t> </w:t>
            </w:r>
            <w:r>
              <w:rPr/>
              <w:t>and</w:t>
            </w:r>
            <w:r>
              <w:rPr>
                <w:spacing w:val="1"/>
              </w:rPr>
              <w:t> </w:t>
            </w:r>
            <w:r>
              <w:rPr/>
              <w:t>Financial</w:t>
            </w:r>
            <w:r>
              <w:rPr>
                <w:spacing w:val="-2"/>
              </w:rPr>
              <w:t> </w:t>
            </w:r>
            <w:r>
              <w:rPr/>
              <w:t>Reporting</w:t>
            </w:r>
            <w:r>
              <w:rPr>
                <w:spacing w:val="-1"/>
              </w:rPr>
              <w:t> </w:t>
            </w:r>
            <w:r>
              <w:rPr>
                <w:spacing w:val="-2"/>
              </w:rPr>
              <w:t>Quality</w:t>
            </w:r>
            <w:r>
              <w:rPr/>
              <w:tab/>
            </w:r>
            <w:r>
              <w:rPr>
                <w:spacing w:val="-5"/>
              </w:rPr>
              <w:t>163</w:t>
            </w:r>
          </w:hyperlink>
        </w:p>
        <w:p>
          <w:pPr>
            <w:pStyle w:val="TOC2"/>
            <w:numPr>
              <w:ilvl w:val="2"/>
              <w:numId w:val="14"/>
            </w:numPr>
            <w:tabs>
              <w:tab w:pos="1660" w:val="left" w:leader="none"/>
              <w:tab w:pos="9941" w:val="right" w:leader="none"/>
            </w:tabs>
            <w:spacing w:line="240" w:lineRule="auto" w:before="137" w:after="0"/>
            <w:ind w:left="1660" w:right="0" w:hanging="720"/>
            <w:jc w:val="left"/>
          </w:pPr>
          <w:hyperlink w:history="true" w:anchor="_TOC_250007">
            <w:r>
              <w:rPr/>
              <w:t>Ownership</w:t>
            </w:r>
            <w:r>
              <w:rPr>
                <w:spacing w:val="-2"/>
              </w:rPr>
              <w:t> </w:t>
            </w:r>
            <w:r>
              <w:rPr/>
              <w:t>Concentration</w:t>
            </w:r>
            <w:r>
              <w:rPr>
                <w:spacing w:val="-1"/>
              </w:rPr>
              <w:t> </w:t>
            </w:r>
            <w:r>
              <w:rPr/>
              <w:t>and</w:t>
            </w:r>
            <w:r>
              <w:rPr>
                <w:spacing w:val="-1"/>
              </w:rPr>
              <w:t> </w:t>
            </w:r>
            <w:r>
              <w:rPr/>
              <w:t>Financial</w:t>
            </w:r>
            <w:r>
              <w:rPr>
                <w:spacing w:val="-1"/>
              </w:rPr>
              <w:t> </w:t>
            </w:r>
            <w:r>
              <w:rPr/>
              <w:t>Reporting</w:t>
            </w:r>
            <w:r>
              <w:rPr>
                <w:spacing w:val="-1"/>
              </w:rPr>
              <w:t> </w:t>
            </w:r>
            <w:r>
              <w:rPr>
                <w:spacing w:val="-2"/>
              </w:rPr>
              <w:t>Quality</w:t>
            </w:r>
            <w:r>
              <w:rPr/>
              <w:tab/>
            </w:r>
            <w:r>
              <w:rPr>
                <w:spacing w:val="-5"/>
              </w:rPr>
              <w:t>164</w:t>
            </w:r>
          </w:hyperlink>
        </w:p>
        <w:p>
          <w:pPr>
            <w:pStyle w:val="TOC1"/>
            <w:spacing w:line="362" w:lineRule="auto"/>
            <w:ind w:right="3317"/>
          </w:pPr>
          <w:r>
            <w:rPr/>
            <w:t>CHAPTER</w:t>
          </w:r>
          <w:r>
            <w:rPr>
              <w:spacing w:val="-6"/>
            </w:rPr>
            <w:t> </w:t>
          </w:r>
          <w:r>
            <w:rPr/>
            <w:t>SIX:</w:t>
          </w:r>
          <w:r>
            <w:rPr>
              <w:spacing w:val="-7"/>
            </w:rPr>
            <w:t> </w:t>
          </w:r>
          <w:r>
            <w:rPr/>
            <w:t>SUMMARY</w:t>
          </w:r>
          <w:r>
            <w:rPr>
              <w:spacing w:val="-6"/>
            </w:rPr>
            <w:t> </w:t>
          </w:r>
          <w:r>
            <w:rPr/>
            <w:t>OF</w:t>
          </w:r>
          <w:r>
            <w:rPr>
              <w:spacing w:val="-6"/>
            </w:rPr>
            <w:t> </w:t>
          </w:r>
          <w:r>
            <w:rPr/>
            <w:t>FINDINGS,</w:t>
          </w:r>
          <w:r>
            <w:rPr>
              <w:spacing w:val="-6"/>
            </w:rPr>
            <w:t> </w:t>
          </w:r>
          <w:r>
            <w:rPr/>
            <w:t>CONCLUSION</w:t>
          </w:r>
          <w:r>
            <w:rPr>
              <w:spacing w:val="-6"/>
            </w:rPr>
            <w:t> </w:t>
          </w:r>
          <w:r>
            <w:rPr/>
            <w:t>AND </w:t>
          </w:r>
          <w:r>
            <w:rPr>
              <w:spacing w:val="-2"/>
            </w:rPr>
            <w:t>RECOMMENDATIONS</w:t>
          </w:r>
        </w:p>
        <w:p>
          <w:pPr>
            <w:pStyle w:val="TOC2"/>
            <w:numPr>
              <w:ilvl w:val="1"/>
              <w:numId w:val="15"/>
            </w:numPr>
            <w:tabs>
              <w:tab w:pos="1660" w:val="left" w:leader="none"/>
              <w:tab w:pos="9941" w:val="right" w:leader="none"/>
            </w:tabs>
            <w:spacing w:line="271" w:lineRule="exact" w:before="0" w:after="0"/>
            <w:ind w:left="1660" w:right="0" w:hanging="720"/>
            <w:jc w:val="left"/>
          </w:pPr>
          <w:hyperlink w:history="true" w:anchor="_TOC_250006">
            <w:r>
              <w:rPr/>
              <w:t>Summary</w:t>
            </w:r>
            <w:r>
              <w:rPr>
                <w:spacing w:val="-1"/>
              </w:rPr>
              <w:t> </w:t>
            </w:r>
            <w:r>
              <w:rPr/>
              <w:t>of</w:t>
            </w:r>
            <w:r>
              <w:rPr>
                <w:spacing w:val="-2"/>
              </w:rPr>
              <w:t> Findings</w:t>
            </w:r>
            <w:r>
              <w:rPr/>
              <w:tab/>
            </w:r>
            <w:r>
              <w:rPr>
                <w:spacing w:val="-5"/>
              </w:rPr>
              <w:t>167</w:t>
            </w:r>
          </w:hyperlink>
        </w:p>
        <w:p>
          <w:pPr>
            <w:pStyle w:val="TOC2"/>
            <w:numPr>
              <w:ilvl w:val="1"/>
              <w:numId w:val="16"/>
            </w:numPr>
            <w:tabs>
              <w:tab w:pos="1660" w:val="left" w:leader="none"/>
              <w:tab w:pos="9941" w:val="right" w:leader="none"/>
            </w:tabs>
            <w:spacing w:line="240" w:lineRule="auto" w:before="139" w:after="0"/>
            <w:ind w:left="1660" w:right="0" w:hanging="720"/>
            <w:jc w:val="left"/>
          </w:pPr>
          <w:hyperlink w:history="true" w:anchor="_TOC_250005">
            <w:r>
              <w:rPr>
                <w:spacing w:val="-2"/>
              </w:rPr>
              <w:t>Conclusion</w:t>
            </w:r>
            <w:r>
              <w:rPr/>
              <w:tab/>
            </w:r>
            <w:r>
              <w:rPr>
                <w:spacing w:val="-5"/>
              </w:rPr>
              <w:t>171</w:t>
            </w:r>
          </w:hyperlink>
        </w:p>
        <w:p>
          <w:pPr>
            <w:pStyle w:val="TOC2"/>
            <w:numPr>
              <w:ilvl w:val="1"/>
              <w:numId w:val="17"/>
            </w:numPr>
            <w:tabs>
              <w:tab w:pos="1660" w:val="left" w:leader="none"/>
              <w:tab w:pos="9941" w:val="right" w:leader="none"/>
            </w:tabs>
            <w:spacing w:line="240" w:lineRule="auto" w:before="137" w:after="0"/>
            <w:ind w:left="1660" w:right="0" w:hanging="720"/>
            <w:jc w:val="left"/>
          </w:pPr>
          <w:hyperlink w:history="true" w:anchor="_TOC_250004">
            <w:r>
              <w:rPr>
                <w:spacing w:val="-2"/>
              </w:rPr>
              <w:t>Recommendations</w:t>
            </w:r>
            <w:r>
              <w:rPr/>
              <w:tab/>
            </w:r>
            <w:r>
              <w:rPr>
                <w:spacing w:val="-5"/>
              </w:rPr>
              <w:t>172</w:t>
            </w:r>
          </w:hyperlink>
        </w:p>
        <w:p>
          <w:pPr>
            <w:pStyle w:val="TOC2"/>
            <w:numPr>
              <w:ilvl w:val="1"/>
              <w:numId w:val="17"/>
            </w:numPr>
            <w:tabs>
              <w:tab w:pos="1660" w:val="left" w:leader="none"/>
              <w:tab w:pos="9941" w:val="right" w:leader="none"/>
            </w:tabs>
            <w:spacing w:line="240" w:lineRule="auto" w:before="139" w:after="0"/>
            <w:ind w:left="1660" w:right="0" w:hanging="720"/>
            <w:jc w:val="left"/>
          </w:pPr>
          <w:hyperlink w:history="true" w:anchor="_TOC_250003">
            <w:r>
              <w:rPr/>
              <w:t>Contribution to </w:t>
            </w:r>
            <w:r>
              <w:rPr>
                <w:spacing w:val="-2"/>
              </w:rPr>
              <w:t>Knowledge</w:t>
            </w:r>
            <w:r>
              <w:rPr/>
              <w:tab/>
            </w:r>
            <w:r>
              <w:rPr>
                <w:spacing w:val="-5"/>
              </w:rPr>
              <w:t>174</w:t>
            </w:r>
          </w:hyperlink>
        </w:p>
        <w:p>
          <w:pPr>
            <w:pStyle w:val="TOC2"/>
            <w:numPr>
              <w:ilvl w:val="1"/>
              <w:numId w:val="17"/>
            </w:numPr>
            <w:tabs>
              <w:tab w:pos="1660" w:val="left" w:leader="none"/>
              <w:tab w:pos="9941" w:val="right" w:leader="none"/>
            </w:tabs>
            <w:spacing w:line="240" w:lineRule="auto" w:before="137" w:after="0"/>
            <w:ind w:left="1660" w:right="0" w:hanging="720"/>
            <w:jc w:val="left"/>
          </w:pPr>
          <w:hyperlink w:history="true" w:anchor="_TOC_250002">
            <w:r>
              <w:rPr/>
              <w:t>Suggestions</w:t>
            </w:r>
            <w:r>
              <w:rPr>
                <w:spacing w:val="-2"/>
              </w:rPr>
              <w:t> </w:t>
            </w:r>
            <w:r>
              <w:rPr/>
              <w:t>for</w:t>
            </w:r>
            <w:r>
              <w:rPr>
                <w:spacing w:val="-4"/>
              </w:rPr>
              <w:t> </w:t>
            </w:r>
            <w:r>
              <w:rPr/>
              <w:t>Further </w:t>
            </w:r>
            <w:r>
              <w:rPr>
                <w:spacing w:val="-2"/>
              </w:rPr>
              <w:t>Studies</w:t>
            </w:r>
            <w:r>
              <w:rPr/>
              <w:tab/>
            </w:r>
            <w:r>
              <w:rPr>
                <w:spacing w:val="-5"/>
              </w:rPr>
              <w:t>175</w:t>
            </w:r>
          </w:hyperlink>
        </w:p>
        <w:p>
          <w:pPr>
            <w:pStyle w:val="TOC1"/>
            <w:tabs>
              <w:tab w:pos="9941" w:val="right" w:leader="none"/>
            </w:tabs>
          </w:pPr>
          <w:hyperlink w:history="true" w:anchor="_TOC_250001">
            <w:r>
              <w:rPr>
                <w:spacing w:val="-2"/>
              </w:rPr>
              <w:t>REFERENCES</w:t>
            </w:r>
            <w:r>
              <w:rPr/>
              <w:tab/>
            </w:r>
            <w:r>
              <w:rPr>
                <w:spacing w:val="-5"/>
              </w:rPr>
              <w:t>176</w:t>
            </w:r>
          </w:hyperlink>
        </w:p>
        <w:p>
          <w:pPr>
            <w:pStyle w:val="TOC1"/>
            <w:tabs>
              <w:tab w:pos="9941" w:val="right" w:leader="none"/>
            </w:tabs>
            <w:spacing w:before="137"/>
          </w:pPr>
          <w:hyperlink w:history="true" w:anchor="_TOC_250000">
            <w:r>
              <w:rPr>
                <w:spacing w:val="-2"/>
              </w:rPr>
              <w:t>APPENDIXES</w:t>
            </w:r>
            <w:r>
              <w:rPr/>
              <w:tab/>
            </w:r>
            <w:r>
              <w:rPr>
                <w:spacing w:val="-5"/>
              </w:rPr>
              <w:t>192</w:t>
            </w:r>
          </w:hyperlink>
        </w:p>
      </w:sdtContent>
    </w:sdt>
    <w:p>
      <w:pPr>
        <w:spacing w:after="0"/>
        <w:sectPr>
          <w:type w:val="continuous"/>
          <w:pgSz w:w="11910" w:h="16840"/>
          <w:pgMar w:header="0" w:footer="971" w:top="1380" w:bottom="1440" w:left="500" w:right="0"/>
        </w:sectPr>
      </w:pPr>
    </w:p>
    <w:tbl>
      <w:tblPr>
        <w:tblW w:w="0" w:type="auto"/>
        <w:jc w:val="left"/>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6"/>
        <w:gridCol w:w="6437"/>
        <w:gridCol w:w="1348"/>
      </w:tblGrid>
      <w:tr>
        <w:trPr>
          <w:trHeight w:val="408" w:hRule="atLeast"/>
        </w:trPr>
        <w:tc>
          <w:tcPr>
            <w:tcW w:w="1316" w:type="dxa"/>
          </w:tcPr>
          <w:p>
            <w:pPr>
              <w:pStyle w:val="TableParagraph"/>
              <w:rPr>
                <w:rFonts w:ascii="Times New Roman"/>
                <w:sz w:val="24"/>
              </w:rPr>
            </w:pPr>
          </w:p>
        </w:tc>
        <w:tc>
          <w:tcPr>
            <w:tcW w:w="6437" w:type="dxa"/>
          </w:tcPr>
          <w:p>
            <w:pPr>
              <w:pStyle w:val="TableParagraph"/>
              <w:spacing w:line="266" w:lineRule="exact"/>
              <w:ind w:left="58"/>
              <w:jc w:val="center"/>
              <w:rPr>
                <w:rFonts w:ascii="Times New Roman"/>
                <w:b/>
                <w:sz w:val="24"/>
              </w:rPr>
            </w:pPr>
            <w:r>
              <w:rPr>
                <w:rFonts w:ascii="Times New Roman"/>
                <w:b/>
                <w:sz w:val="24"/>
              </w:rPr>
              <w:t>LIST OF </w:t>
            </w:r>
            <w:r>
              <w:rPr>
                <w:rFonts w:ascii="Times New Roman"/>
                <w:b/>
                <w:spacing w:val="-2"/>
                <w:sz w:val="24"/>
              </w:rPr>
              <w:t>TABLES</w:t>
            </w:r>
          </w:p>
        </w:tc>
        <w:tc>
          <w:tcPr>
            <w:tcW w:w="1348" w:type="dxa"/>
          </w:tcPr>
          <w:p>
            <w:pPr>
              <w:pStyle w:val="TableParagraph"/>
              <w:rPr>
                <w:rFonts w:ascii="Times New Roman"/>
                <w:sz w:val="24"/>
              </w:rPr>
            </w:pPr>
          </w:p>
        </w:tc>
      </w:tr>
      <w:tr>
        <w:trPr>
          <w:trHeight w:val="552"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4.1:</w:t>
            </w:r>
          </w:p>
        </w:tc>
        <w:tc>
          <w:tcPr>
            <w:tcW w:w="6437" w:type="dxa"/>
          </w:tcPr>
          <w:p>
            <w:pPr>
              <w:pStyle w:val="TableParagraph"/>
              <w:spacing w:before="133"/>
              <w:ind w:left="173"/>
              <w:rPr>
                <w:rFonts w:ascii="Times New Roman"/>
                <w:sz w:val="24"/>
              </w:rPr>
            </w:pPr>
            <w:r>
              <w:rPr>
                <w:rFonts w:ascii="Times New Roman"/>
                <w:sz w:val="24"/>
              </w:rPr>
              <w:t>Descriptive</w:t>
            </w:r>
            <w:r>
              <w:rPr>
                <w:rFonts w:ascii="Times New Roman"/>
                <w:spacing w:val="-4"/>
                <w:sz w:val="24"/>
              </w:rPr>
              <w:t> </w:t>
            </w:r>
            <w:r>
              <w:rPr>
                <w:rFonts w:ascii="Times New Roman"/>
                <w:spacing w:val="-2"/>
                <w:sz w:val="24"/>
              </w:rPr>
              <w:t>Statistics</w:t>
            </w:r>
          </w:p>
        </w:tc>
        <w:tc>
          <w:tcPr>
            <w:tcW w:w="1348" w:type="dxa"/>
          </w:tcPr>
          <w:p>
            <w:pPr>
              <w:pStyle w:val="TableParagraph"/>
              <w:spacing w:before="133"/>
              <w:ind w:right="47"/>
              <w:jc w:val="right"/>
              <w:rPr>
                <w:rFonts w:ascii="Times New Roman"/>
                <w:sz w:val="24"/>
              </w:rPr>
            </w:pPr>
            <w:r>
              <w:rPr>
                <w:rFonts w:ascii="Times New Roman"/>
                <w:spacing w:val="-5"/>
                <w:sz w:val="24"/>
              </w:rPr>
              <w:t>118</w:t>
            </w:r>
          </w:p>
        </w:tc>
      </w:tr>
      <w:tr>
        <w:trPr>
          <w:trHeight w:val="551"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4.2:</w:t>
            </w:r>
          </w:p>
        </w:tc>
        <w:tc>
          <w:tcPr>
            <w:tcW w:w="6437" w:type="dxa"/>
          </w:tcPr>
          <w:p>
            <w:pPr>
              <w:pStyle w:val="TableParagraph"/>
              <w:spacing w:before="133"/>
              <w:ind w:left="173"/>
              <w:rPr>
                <w:rFonts w:ascii="Times New Roman"/>
                <w:sz w:val="24"/>
              </w:rPr>
            </w:pPr>
            <w:r>
              <w:rPr>
                <w:rFonts w:ascii="Times New Roman"/>
                <w:sz w:val="24"/>
              </w:rPr>
              <w:t>Pearson</w:t>
            </w:r>
            <w:r>
              <w:rPr>
                <w:rFonts w:ascii="Times New Roman"/>
                <w:spacing w:val="-4"/>
                <w:sz w:val="24"/>
              </w:rPr>
              <w:t> </w:t>
            </w:r>
            <w:r>
              <w:rPr>
                <w:rFonts w:ascii="Times New Roman"/>
                <w:sz w:val="24"/>
              </w:rPr>
              <w:t>Correlation</w:t>
            </w:r>
            <w:r>
              <w:rPr>
                <w:rFonts w:ascii="Times New Roman"/>
                <w:spacing w:val="-2"/>
                <w:sz w:val="24"/>
              </w:rPr>
              <w:t> Result</w:t>
            </w:r>
          </w:p>
        </w:tc>
        <w:tc>
          <w:tcPr>
            <w:tcW w:w="1348" w:type="dxa"/>
          </w:tcPr>
          <w:p>
            <w:pPr>
              <w:pStyle w:val="TableParagraph"/>
              <w:spacing w:before="133"/>
              <w:ind w:right="47"/>
              <w:jc w:val="right"/>
              <w:rPr>
                <w:rFonts w:ascii="Times New Roman"/>
                <w:sz w:val="24"/>
              </w:rPr>
            </w:pPr>
            <w:r>
              <w:rPr>
                <w:rFonts w:ascii="Times New Roman"/>
                <w:spacing w:val="-5"/>
                <w:sz w:val="24"/>
              </w:rPr>
              <w:t>120</w:t>
            </w:r>
          </w:p>
        </w:tc>
      </w:tr>
      <w:tr>
        <w:trPr>
          <w:trHeight w:val="551" w:hRule="atLeast"/>
        </w:trPr>
        <w:tc>
          <w:tcPr>
            <w:tcW w:w="1316" w:type="dxa"/>
          </w:tcPr>
          <w:p>
            <w:pPr>
              <w:pStyle w:val="TableParagraph"/>
              <w:spacing w:before="133"/>
              <w:ind w:right="308"/>
              <w:jc w:val="center"/>
              <w:rPr>
                <w:rFonts w:ascii="Times New Roman"/>
                <w:sz w:val="24"/>
              </w:rPr>
            </w:pPr>
            <w:r>
              <w:rPr>
                <w:rFonts w:ascii="Times New Roman"/>
                <w:sz w:val="24"/>
              </w:rPr>
              <w:t>Table</w:t>
            </w:r>
            <w:r>
              <w:rPr>
                <w:rFonts w:ascii="Times New Roman"/>
                <w:spacing w:val="-2"/>
                <w:sz w:val="24"/>
              </w:rPr>
              <w:t> </w:t>
            </w:r>
            <w:r>
              <w:rPr>
                <w:rFonts w:ascii="Times New Roman"/>
                <w:spacing w:val="-5"/>
                <w:sz w:val="24"/>
              </w:rPr>
              <w:t>4.3</w:t>
            </w:r>
          </w:p>
        </w:tc>
        <w:tc>
          <w:tcPr>
            <w:tcW w:w="6437" w:type="dxa"/>
          </w:tcPr>
          <w:p>
            <w:pPr>
              <w:pStyle w:val="TableParagraph"/>
              <w:spacing w:before="133"/>
              <w:ind w:left="173"/>
              <w:rPr>
                <w:rFonts w:ascii="Times New Roman"/>
                <w:sz w:val="24"/>
              </w:rPr>
            </w:pPr>
            <w:r>
              <w:rPr>
                <w:rFonts w:ascii="Times New Roman"/>
                <w:sz w:val="24"/>
              </w:rPr>
              <w:t>Variance</w:t>
            </w:r>
            <w:r>
              <w:rPr>
                <w:rFonts w:ascii="Times New Roman"/>
                <w:spacing w:val="-3"/>
                <w:sz w:val="24"/>
              </w:rPr>
              <w:t> </w:t>
            </w:r>
            <w:r>
              <w:rPr>
                <w:rFonts w:ascii="Times New Roman"/>
                <w:sz w:val="24"/>
              </w:rPr>
              <w:t>Inflation</w:t>
            </w:r>
            <w:r>
              <w:rPr>
                <w:rFonts w:ascii="Times New Roman"/>
                <w:spacing w:val="-2"/>
                <w:sz w:val="24"/>
              </w:rPr>
              <w:t> </w:t>
            </w:r>
            <w:r>
              <w:rPr>
                <w:rFonts w:ascii="Times New Roman"/>
                <w:sz w:val="24"/>
              </w:rPr>
              <w:t>Factor</w:t>
            </w:r>
            <w:r>
              <w:rPr>
                <w:rFonts w:ascii="Times New Roman"/>
                <w:spacing w:val="-2"/>
                <w:sz w:val="24"/>
              </w:rPr>
              <w:t> </w:t>
            </w:r>
            <w:r>
              <w:rPr>
                <w:rFonts w:ascii="Times New Roman"/>
                <w:spacing w:val="-4"/>
                <w:sz w:val="24"/>
              </w:rPr>
              <w:t>Test</w:t>
            </w:r>
          </w:p>
        </w:tc>
        <w:tc>
          <w:tcPr>
            <w:tcW w:w="1348" w:type="dxa"/>
          </w:tcPr>
          <w:p>
            <w:pPr>
              <w:pStyle w:val="TableParagraph"/>
              <w:spacing w:before="133"/>
              <w:ind w:right="47"/>
              <w:jc w:val="right"/>
              <w:rPr>
                <w:rFonts w:ascii="Times New Roman"/>
                <w:sz w:val="24"/>
              </w:rPr>
            </w:pPr>
            <w:r>
              <w:rPr>
                <w:rFonts w:ascii="Times New Roman"/>
                <w:spacing w:val="-5"/>
                <w:sz w:val="24"/>
              </w:rPr>
              <w:t>123</w:t>
            </w:r>
          </w:p>
        </w:tc>
      </w:tr>
      <w:tr>
        <w:trPr>
          <w:trHeight w:val="552"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4.4:</w:t>
            </w:r>
          </w:p>
        </w:tc>
        <w:tc>
          <w:tcPr>
            <w:tcW w:w="6437" w:type="dxa"/>
          </w:tcPr>
          <w:p>
            <w:pPr>
              <w:pStyle w:val="TableParagraph"/>
              <w:spacing w:before="133"/>
              <w:ind w:left="173"/>
              <w:rPr>
                <w:rFonts w:ascii="Times New Roman"/>
                <w:sz w:val="24"/>
              </w:rPr>
            </w:pPr>
            <w:r>
              <w:rPr>
                <w:rFonts w:ascii="Times New Roman"/>
                <w:sz w:val="24"/>
              </w:rPr>
              <w:t>Kao</w:t>
            </w:r>
            <w:r>
              <w:rPr>
                <w:rFonts w:ascii="Times New Roman"/>
                <w:spacing w:val="-3"/>
                <w:sz w:val="24"/>
              </w:rPr>
              <w:t> </w:t>
            </w:r>
            <w:r>
              <w:rPr>
                <w:rFonts w:ascii="Times New Roman"/>
                <w:sz w:val="24"/>
              </w:rPr>
              <w:t>Panel</w:t>
            </w:r>
            <w:r>
              <w:rPr>
                <w:rFonts w:ascii="Times New Roman"/>
                <w:spacing w:val="-2"/>
                <w:sz w:val="24"/>
              </w:rPr>
              <w:t> </w:t>
            </w:r>
            <w:r>
              <w:rPr>
                <w:rFonts w:ascii="Times New Roman"/>
                <w:sz w:val="24"/>
              </w:rPr>
              <w:t>Cointegration </w:t>
            </w:r>
            <w:r>
              <w:rPr>
                <w:rFonts w:ascii="Times New Roman"/>
                <w:spacing w:val="-4"/>
                <w:sz w:val="24"/>
              </w:rPr>
              <w:t>Test</w:t>
            </w:r>
          </w:p>
        </w:tc>
        <w:tc>
          <w:tcPr>
            <w:tcW w:w="1348" w:type="dxa"/>
          </w:tcPr>
          <w:p>
            <w:pPr>
              <w:pStyle w:val="TableParagraph"/>
              <w:spacing w:before="133"/>
              <w:ind w:right="47"/>
              <w:jc w:val="right"/>
              <w:rPr>
                <w:rFonts w:ascii="Times New Roman"/>
                <w:sz w:val="24"/>
              </w:rPr>
            </w:pPr>
            <w:r>
              <w:rPr>
                <w:rFonts w:ascii="Times New Roman"/>
                <w:spacing w:val="-5"/>
                <w:sz w:val="24"/>
              </w:rPr>
              <w:t>124</w:t>
            </w:r>
          </w:p>
        </w:tc>
      </w:tr>
      <w:tr>
        <w:trPr>
          <w:trHeight w:val="828" w:hRule="atLeast"/>
        </w:trPr>
        <w:tc>
          <w:tcPr>
            <w:tcW w:w="1316" w:type="dxa"/>
          </w:tcPr>
          <w:p>
            <w:pPr>
              <w:pStyle w:val="TableParagraph"/>
              <w:spacing w:before="133"/>
              <w:ind w:right="308"/>
              <w:jc w:val="center"/>
              <w:rPr>
                <w:rFonts w:ascii="Times New Roman"/>
                <w:sz w:val="24"/>
              </w:rPr>
            </w:pPr>
            <w:r>
              <w:rPr>
                <w:rFonts w:ascii="Times New Roman"/>
                <w:sz w:val="24"/>
              </w:rPr>
              <w:t>Table</w:t>
            </w:r>
            <w:r>
              <w:rPr>
                <w:rFonts w:ascii="Times New Roman"/>
                <w:spacing w:val="-2"/>
                <w:sz w:val="24"/>
              </w:rPr>
              <w:t> </w:t>
            </w:r>
            <w:r>
              <w:rPr>
                <w:rFonts w:ascii="Times New Roman"/>
                <w:spacing w:val="-5"/>
                <w:sz w:val="24"/>
              </w:rPr>
              <w:t>4.5</w:t>
            </w:r>
          </w:p>
        </w:tc>
        <w:tc>
          <w:tcPr>
            <w:tcW w:w="6437" w:type="dxa"/>
          </w:tcPr>
          <w:p>
            <w:pPr>
              <w:pStyle w:val="TableParagraph"/>
              <w:spacing w:before="133"/>
              <w:ind w:left="173" w:right="118"/>
              <w:rPr>
                <w:rFonts w:ascii="Times New Roman"/>
                <w:sz w:val="24"/>
              </w:rPr>
            </w:pPr>
            <w:r>
              <w:rPr>
                <w:rFonts w:ascii="Times New Roman"/>
                <w:sz w:val="24"/>
              </w:rPr>
              <w:t>Difference-In-Difference</w:t>
            </w:r>
            <w:r>
              <w:rPr>
                <w:rFonts w:ascii="Times New Roman"/>
                <w:spacing w:val="-7"/>
                <w:sz w:val="24"/>
              </w:rPr>
              <w:t> </w:t>
            </w:r>
            <w:r>
              <w:rPr>
                <w:rFonts w:ascii="Times New Roman"/>
                <w:sz w:val="24"/>
              </w:rPr>
              <w:t>(DD)</w:t>
            </w:r>
            <w:r>
              <w:rPr>
                <w:rFonts w:ascii="Times New Roman"/>
                <w:spacing w:val="-9"/>
                <w:sz w:val="24"/>
              </w:rPr>
              <w:t> </w:t>
            </w:r>
            <w:r>
              <w:rPr>
                <w:rFonts w:ascii="Times New Roman"/>
                <w:sz w:val="24"/>
              </w:rPr>
              <w:t>Estimation</w:t>
            </w:r>
            <w:r>
              <w:rPr>
                <w:rFonts w:ascii="Times New Roman"/>
                <w:spacing w:val="-8"/>
                <w:sz w:val="24"/>
              </w:rPr>
              <w:t> </w:t>
            </w:r>
            <w:r>
              <w:rPr>
                <w:rFonts w:ascii="Times New Roman"/>
                <w:sz w:val="24"/>
              </w:rPr>
              <w:t>of</w:t>
            </w:r>
            <w:r>
              <w:rPr>
                <w:rFonts w:ascii="Times New Roman"/>
                <w:spacing w:val="-7"/>
                <w:sz w:val="24"/>
              </w:rPr>
              <w:t> </w:t>
            </w:r>
            <w:r>
              <w:rPr>
                <w:rFonts w:ascii="Times New Roman"/>
                <w:sz w:val="24"/>
              </w:rPr>
              <w:t>IFRS</w:t>
            </w:r>
            <w:r>
              <w:rPr>
                <w:rFonts w:ascii="Times New Roman"/>
                <w:spacing w:val="-8"/>
                <w:sz w:val="24"/>
              </w:rPr>
              <w:t> </w:t>
            </w:r>
            <w:r>
              <w:rPr>
                <w:rFonts w:ascii="Times New Roman"/>
                <w:sz w:val="24"/>
              </w:rPr>
              <w:t>and Financial Reporting Quality</w:t>
            </w:r>
          </w:p>
        </w:tc>
        <w:tc>
          <w:tcPr>
            <w:tcW w:w="1348" w:type="dxa"/>
          </w:tcPr>
          <w:p>
            <w:pPr>
              <w:pStyle w:val="TableParagraph"/>
              <w:spacing w:before="132"/>
              <w:rPr>
                <w:rFonts w:ascii="Times New Roman"/>
                <w:b/>
                <w:sz w:val="24"/>
              </w:rPr>
            </w:pPr>
          </w:p>
          <w:p>
            <w:pPr>
              <w:pStyle w:val="TableParagraph"/>
              <w:spacing w:before="1"/>
              <w:ind w:right="47"/>
              <w:jc w:val="right"/>
              <w:rPr>
                <w:rFonts w:ascii="Times New Roman"/>
                <w:sz w:val="24"/>
              </w:rPr>
            </w:pPr>
            <w:r>
              <w:rPr>
                <w:rFonts w:ascii="Times New Roman"/>
                <w:spacing w:val="-5"/>
                <w:sz w:val="24"/>
              </w:rPr>
              <w:t>124</w:t>
            </w:r>
          </w:p>
        </w:tc>
      </w:tr>
      <w:tr>
        <w:trPr>
          <w:trHeight w:val="552"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4.6:</w:t>
            </w:r>
          </w:p>
        </w:tc>
        <w:tc>
          <w:tcPr>
            <w:tcW w:w="6437" w:type="dxa"/>
          </w:tcPr>
          <w:p>
            <w:pPr>
              <w:pStyle w:val="TableParagraph"/>
              <w:spacing w:before="133"/>
              <w:ind w:left="173"/>
              <w:rPr>
                <w:rFonts w:ascii="Times New Roman"/>
                <w:i/>
                <w:sz w:val="24"/>
              </w:rPr>
            </w:pPr>
            <w:r>
              <w:rPr>
                <w:rFonts w:ascii="Times New Roman"/>
                <w:sz w:val="24"/>
              </w:rPr>
              <w:t>QUA-FRQ</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Board</w:t>
            </w:r>
            <w:r>
              <w:rPr>
                <w:rFonts w:ascii="Times New Roman"/>
                <w:spacing w:val="-1"/>
                <w:sz w:val="24"/>
              </w:rPr>
              <w:t> </w:t>
            </w:r>
            <w:r>
              <w:rPr>
                <w:rFonts w:ascii="Times New Roman"/>
                <w:sz w:val="24"/>
              </w:rPr>
              <w:t>Structure</w:t>
            </w:r>
            <w:r>
              <w:rPr>
                <w:rFonts w:ascii="Times New Roman"/>
                <w:spacing w:val="-4"/>
                <w:sz w:val="24"/>
              </w:rPr>
              <w:t> </w:t>
            </w:r>
            <w:r>
              <w:rPr>
                <w:rFonts w:ascii="Times New Roman"/>
                <w:sz w:val="24"/>
              </w:rPr>
              <w:t>Regression</w:t>
            </w:r>
            <w:r>
              <w:rPr>
                <w:rFonts w:ascii="Times New Roman"/>
                <w:spacing w:val="1"/>
                <w:sz w:val="24"/>
              </w:rPr>
              <w:t> </w:t>
            </w:r>
            <w:r>
              <w:rPr>
                <w:rFonts w:ascii="Times New Roman"/>
                <w:i/>
                <w:spacing w:val="-2"/>
                <w:sz w:val="24"/>
              </w:rPr>
              <w:t>Result</w:t>
            </w:r>
          </w:p>
        </w:tc>
        <w:tc>
          <w:tcPr>
            <w:tcW w:w="1348" w:type="dxa"/>
          </w:tcPr>
          <w:p>
            <w:pPr>
              <w:pStyle w:val="TableParagraph"/>
              <w:spacing w:before="133"/>
              <w:ind w:right="47"/>
              <w:jc w:val="right"/>
              <w:rPr>
                <w:rFonts w:ascii="Times New Roman"/>
                <w:sz w:val="24"/>
              </w:rPr>
            </w:pPr>
            <w:r>
              <w:rPr>
                <w:rFonts w:ascii="Times New Roman"/>
                <w:spacing w:val="-5"/>
                <w:sz w:val="24"/>
              </w:rPr>
              <w:t>127</w:t>
            </w:r>
          </w:p>
        </w:tc>
      </w:tr>
      <w:tr>
        <w:trPr>
          <w:trHeight w:val="551"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4.7:</w:t>
            </w:r>
          </w:p>
        </w:tc>
        <w:tc>
          <w:tcPr>
            <w:tcW w:w="6437" w:type="dxa"/>
          </w:tcPr>
          <w:p>
            <w:pPr>
              <w:pStyle w:val="TableParagraph"/>
              <w:spacing w:before="133"/>
              <w:ind w:left="173"/>
              <w:rPr>
                <w:rFonts w:ascii="Times New Roman"/>
                <w:sz w:val="24"/>
              </w:rPr>
            </w:pPr>
            <w:r>
              <w:rPr>
                <w:rFonts w:ascii="Times New Roman"/>
                <w:sz w:val="24"/>
              </w:rPr>
              <w:t>QUA-FRQ</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Ownership</w:t>
            </w:r>
            <w:r>
              <w:rPr>
                <w:rFonts w:ascii="Times New Roman"/>
                <w:spacing w:val="-2"/>
                <w:sz w:val="24"/>
              </w:rPr>
              <w:t> </w:t>
            </w:r>
            <w:r>
              <w:rPr>
                <w:rFonts w:ascii="Times New Roman"/>
                <w:sz w:val="24"/>
              </w:rPr>
              <w:t>Structure</w:t>
            </w:r>
            <w:r>
              <w:rPr>
                <w:rFonts w:ascii="Times New Roman"/>
                <w:spacing w:val="-4"/>
                <w:sz w:val="24"/>
              </w:rPr>
              <w:t> </w:t>
            </w:r>
            <w:r>
              <w:rPr>
                <w:rFonts w:ascii="Times New Roman"/>
                <w:sz w:val="24"/>
              </w:rPr>
              <w:t>Regression</w:t>
            </w:r>
            <w:r>
              <w:rPr>
                <w:rFonts w:ascii="Times New Roman"/>
                <w:spacing w:val="1"/>
                <w:sz w:val="24"/>
              </w:rPr>
              <w:t> </w:t>
            </w:r>
            <w:r>
              <w:rPr>
                <w:rFonts w:ascii="Times New Roman"/>
                <w:spacing w:val="-2"/>
                <w:sz w:val="24"/>
              </w:rPr>
              <w:t>Result</w:t>
            </w:r>
          </w:p>
        </w:tc>
        <w:tc>
          <w:tcPr>
            <w:tcW w:w="1348" w:type="dxa"/>
          </w:tcPr>
          <w:p>
            <w:pPr>
              <w:pStyle w:val="TableParagraph"/>
              <w:spacing w:before="133"/>
              <w:ind w:right="47"/>
              <w:jc w:val="right"/>
              <w:rPr>
                <w:rFonts w:ascii="Times New Roman"/>
                <w:sz w:val="24"/>
              </w:rPr>
            </w:pPr>
            <w:r>
              <w:rPr>
                <w:rFonts w:ascii="Times New Roman"/>
                <w:spacing w:val="-5"/>
                <w:sz w:val="24"/>
              </w:rPr>
              <w:t>130</w:t>
            </w:r>
          </w:p>
        </w:tc>
      </w:tr>
      <w:tr>
        <w:trPr>
          <w:trHeight w:val="552"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4.8:</w:t>
            </w:r>
          </w:p>
        </w:tc>
        <w:tc>
          <w:tcPr>
            <w:tcW w:w="6437" w:type="dxa"/>
          </w:tcPr>
          <w:p>
            <w:pPr>
              <w:pStyle w:val="TableParagraph"/>
              <w:spacing w:before="133"/>
              <w:ind w:left="173"/>
              <w:rPr>
                <w:rFonts w:ascii="Times New Roman"/>
                <w:sz w:val="24"/>
              </w:rPr>
            </w:pPr>
            <w:r>
              <w:rPr>
                <w:rFonts w:ascii="Times New Roman"/>
                <w:sz w:val="24"/>
              </w:rPr>
              <w:t>DISACC</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Board</w:t>
            </w:r>
            <w:r>
              <w:rPr>
                <w:rFonts w:ascii="Times New Roman"/>
                <w:spacing w:val="-1"/>
                <w:sz w:val="24"/>
              </w:rPr>
              <w:t> </w:t>
            </w:r>
            <w:r>
              <w:rPr>
                <w:rFonts w:ascii="Times New Roman"/>
                <w:sz w:val="24"/>
              </w:rPr>
              <w:t>Structure</w:t>
            </w:r>
            <w:r>
              <w:rPr>
                <w:rFonts w:ascii="Times New Roman"/>
                <w:spacing w:val="-4"/>
                <w:sz w:val="24"/>
              </w:rPr>
              <w:t> </w:t>
            </w:r>
            <w:r>
              <w:rPr>
                <w:rFonts w:ascii="Times New Roman"/>
                <w:sz w:val="24"/>
              </w:rPr>
              <w:t>Regression</w:t>
            </w:r>
            <w:r>
              <w:rPr>
                <w:rFonts w:ascii="Times New Roman"/>
                <w:spacing w:val="-1"/>
                <w:sz w:val="24"/>
              </w:rPr>
              <w:t> </w:t>
            </w:r>
            <w:r>
              <w:rPr>
                <w:rFonts w:ascii="Times New Roman"/>
                <w:spacing w:val="-2"/>
                <w:sz w:val="24"/>
              </w:rPr>
              <w:t>Result</w:t>
            </w:r>
          </w:p>
        </w:tc>
        <w:tc>
          <w:tcPr>
            <w:tcW w:w="1348" w:type="dxa"/>
          </w:tcPr>
          <w:p>
            <w:pPr>
              <w:pStyle w:val="TableParagraph"/>
              <w:spacing w:before="133"/>
              <w:ind w:right="47"/>
              <w:jc w:val="right"/>
              <w:rPr>
                <w:rFonts w:ascii="Times New Roman"/>
                <w:sz w:val="24"/>
              </w:rPr>
            </w:pPr>
            <w:r>
              <w:rPr>
                <w:rFonts w:ascii="Times New Roman"/>
                <w:spacing w:val="-5"/>
                <w:sz w:val="24"/>
              </w:rPr>
              <w:t>133</w:t>
            </w:r>
          </w:p>
        </w:tc>
      </w:tr>
      <w:tr>
        <w:trPr>
          <w:trHeight w:val="551" w:hRule="atLeast"/>
        </w:trPr>
        <w:tc>
          <w:tcPr>
            <w:tcW w:w="1316" w:type="dxa"/>
          </w:tcPr>
          <w:p>
            <w:pPr>
              <w:pStyle w:val="TableParagraph"/>
              <w:spacing w:before="133"/>
              <w:ind w:right="242"/>
              <w:jc w:val="center"/>
              <w:rPr>
                <w:rFonts w:ascii="Times New Roman"/>
                <w:sz w:val="24"/>
              </w:rPr>
            </w:pPr>
            <w:r>
              <w:rPr>
                <w:rFonts w:ascii="Times New Roman"/>
                <w:sz w:val="24"/>
              </w:rPr>
              <w:t>Table</w:t>
            </w:r>
            <w:r>
              <w:rPr>
                <w:rFonts w:ascii="Times New Roman"/>
                <w:spacing w:val="-2"/>
                <w:sz w:val="24"/>
              </w:rPr>
              <w:t> </w:t>
            </w:r>
            <w:r>
              <w:rPr>
                <w:rFonts w:ascii="Times New Roman"/>
                <w:spacing w:val="-4"/>
                <w:sz w:val="24"/>
              </w:rPr>
              <w:t>4.9:</w:t>
            </w:r>
          </w:p>
        </w:tc>
        <w:tc>
          <w:tcPr>
            <w:tcW w:w="6437" w:type="dxa"/>
          </w:tcPr>
          <w:p>
            <w:pPr>
              <w:pStyle w:val="TableParagraph"/>
              <w:spacing w:before="133"/>
              <w:ind w:left="173"/>
              <w:rPr>
                <w:rFonts w:ascii="Times New Roman"/>
                <w:sz w:val="24"/>
              </w:rPr>
            </w:pPr>
            <w:r>
              <w:rPr>
                <w:rFonts w:ascii="Times New Roman"/>
                <w:sz w:val="24"/>
              </w:rPr>
              <w:t>DISACC</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Ownership Structure</w:t>
            </w:r>
            <w:r>
              <w:rPr>
                <w:rFonts w:ascii="Times New Roman"/>
                <w:spacing w:val="-4"/>
                <w:sz w:val="24"/>
              </w:rPr>
              <w:t> </w:t>
            </w:r>
            <w:r>
              <w:rPr>
                <w:rFonts w:ascii="Times New Roman"/>
                <w:sz w:val="24"/>
              </w:rPr>
              <w:t>Regression</w:t>
            </w:r>
            <w:r>
              <w:rPr>
                <w:rFonts w:ascii="Times New Roman"/>
                <w:spacing w:val="-2"/>
                <w:sz w:val="24"/>
              </w:rPr>
              <w:t> Result</w:t>
            </w:r>
          </w:p>
        </w:tc>
        <w:tc>
          <w:tcPr>
            <w:tcW w:w="1348" w:type="dxa"/>
          </w:tcPr>
          <w:p>
            <w:pPr>
              <w:pStyle w:val="TableParagraph"/>
              <w:spacing w:before="133"/>
              <w:ind w:right="47"/>
              <w:jc w:val="right"/>
              <w:rPr>
                <w:rFonts w:ascii="Times New Roman"/>
                <w:sz w:val="24"/>
              </w:rPr>
            </w:pPr>
            <w:r>
              <w:rPr>
                <w:rFonts w:ascii="Times New Roman"/>
                <w:spacing w:val="-5"/>
                <w:sz w:val="24"/>
              </w:rPr>
              <w:t>136</w:t>
            </w:r>
          </w:p>
        </w:tc>
      </w:tr>
      <w:tr>
        <w:trPr>
          <w:trHeight w:val="552" w:hRule="atLeast"/>
        </w:trPr>
        <w:tc>
          <w:tcPr>
            <w:tcW w:w="1316" w:type="dxa"/>
          </w:tcPr>
          <w:p>
            <w:pPr>
              <w:pStyle w:val="TableParagraph"/>
              <w:spacing w:before="133"/>
              <w:ind w:right="122"/>
              <w:jc w:val="center"/>
              <w:rPr>
                <w:rFonts w:ascii="Times New Roman"/>
                <w:sz w:val="24"/>
              </w:rPr>
            </w:pPr>
            <w:r>
              <w:rPr>
                <w:rFonts w:ascii="Times New Roman"/>
                <w:sz w:val="24"/>
              </w:rPr>
              <w:t>Table</w:t>
            </w:r>
            <w:r>
              <w:rPr>
                <w:rFonts w:ascii="Times New Roman"/>
                <w:spacing w:val="-2"/>
                <w:sz w:val="24"/>
              </w:rPr>
              <w:t> 4.10:</w:t>
            </w:r>
          </w:p>
        </w:tc>
        <w:tc>
          <w:tcPr>
            <w:tcW w:w="6437" w:type="dxa"/>
          </w:tcPr>
          <w:p>
            <w:pPr>
              <w:pStyle w:val="TableParagraph"/>
              <w:spacing w:before="133"/>
              <w:ind w:left="173"/>
              <w:rPr>
                <w:rFonts w:ascii="Times New Roman"/>
                <w:sz w:val="24"/>
              </w:rPr>
            </w:pPr>
            <w:r>
              <w:rPr>
                <w:rFonts w:ascii="Times New Roman"/>
                <w:sz w:val="24"/>
              </w:rPr>
              <w:t>VREL</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Board</w:t>
            </w:r>
            <w:r>
              <w:rPr>
                <w:rFonts w:ascii="Times New Roman"/>
                <w:spacing w:val="-1"/>
                <w:sz w:val="24"/>
              </w:rPr>
              <w:t> </w:t>
            </w:r>
            <w:r>
              <w:rPr>
                <w:rFonts w:ascii="Times New Roman"/>
                <w:sz w:val="24"/>
              </w:rPr>
              <w:t>Structure</w:t>
            </w:r>
            <w:r>
              <w:rPr>
                <w:rFonts w:ascii="Times New Roman"/>
                <w:spacing w:val="-3"/>
                <w:sz w:val="24"/>
              </w:rPr>
              <w:t> </w:t>
            </w:r>
            <w:r>
              <w:rPr>
                <w:rFonts w:ascii="Times New Roman"/>
                <w:sz w:val="24"/>
              </w:rPr>
              <w:t>Regression</w:t>
            </w:r>
            <w:r>
              <w:rPr>
                <w:rFonts w:ascii="Times New Roman"/>
                <w:spacing w:val="-1"/>
                <w:sz w:val="24"/>
              </w:rPr>
              <w:t> </w:t>
            </w:r>
            <w:r>
              <w:rPr>
                <w:rFonts w:ascii="Times New Roman"/>
                <w:spacing w:val="-2"/>
                <w:sz w:val="24"/>
              </w:rPr>
              <w:t>Result</w:t>
            </w:r>
          </w:p>
        </w:tc>
        <w:tc>
          <w:tcPr>
            <w:tcW w:w="1348" w:type="dxa"/>
          </w:tcPr>
          <w:p>
            <w:pPr>
              <w:pStyle w:val="TableParagraph"/>
              <w:spacing w:before="133"/>
              <w:ind w:right="47"/>
              <w:jc w:val="right"/>
              <w:rPr>
                <w:rFonts w:ascii="Times New Roman"/>
                <w:sz w:val="24"/>
              </w:rPr>
            </w:pPr>
            <w:r>
              <w:rPr>
                <w:rFonts w:ascii="Times New Roman"/>
                <w:spacing w:val="-5"/>
                <w:sz w:val="24"/>
              </w:rPr>
              <w:t>139</w:t>
            </w:r>
          </w:p>
        </w:tc>
      </w:tr>
      <w:tr>
        <w:trPr>
          <w:trHeight w:val="408" w:hRule="atLeast"/>
        </w:trPr>
        <w:tc>
          <w:tcPr>
            <w:tcW w:w="1316" w:type="dxa"/>
          </w:tcPr>
          <w:p>
            <w:pPr>
              <w:pStyle w:val="TableParagraph"/>
              <w:spacing w:line="256" w:lineRule="exact" w:before="133"/>
              <w:ind w:right="122"/>
              <w:jc w:val="center"/>
              <w:rPr>
                <w:rFonts w:ascii="Times New Roman"/>
                <w:sz w:val="24"/>
              </w:rPr>
            </w:pPr>
            <w:r>
              <w:rPr>
                <w:rFonts w:ascii="Times New Roman"/>
                <w:sz w:val="24"/>
              </w:rPr>
              <w:t>Table</w:t>
            </w:r>
            <w:r>
              <w:rPr>
                <w:rFonts w:ascii="Times New Roman"/>
                <w:spacing w:val="-2"/>
                <w:sz w:val="24"/>
              </w:rPr>
              <w:t> 4.11:</w:t>
            </w:r>
          </w:p>
        </w:tc>
        <w:tc>
          <w:tcPr>
            <w:tcW w:w="6437" w:type="dxa"/>
          </w:tcPr>
          <w:p>
            <w:pPr>
              <w:pStyle w:val="TableParagraph"/>
              <w:spacing w:line="256" w:lineRule="exact" w:before="133"/>
              <w:ind w:left="173"/>
              <w:rPr>
                <w:rFonts w:ascii="Times New Roman"/>
                <w:sz w:val="24"/>
              </w:rPr>
            </w:pPr>
            <w:r>
              <w:rPr>
                <w:rFonts w:ascii="Times New Roman"/>
                <w:sz w:val="24"/>
              </w:rPr>
              <w:t>VREL</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Ownership</w:t>
            </w:r>
            <w:r>
              <w:rPr>
                <w:rFonts w:ascii="Times New Roman"/>
                <w:spacing w:val="-1"/>
                <w:sz w:val="24"/>
              </w:rPr>
              <w:t> </w:t>
            </w:r>
            <w:r>
              <w:rPr>
                <w:rFonts w:ascii="Times New Roman"/>
                <w:sz w:val="24"/>
              </w:rPr>
              <w:t>Structure</w:t>
            </w:r>
            <w:r>
              <w:rPr>
                <w:rFonts w:ascii="Times New Roman"/>
                <w:spacing w:val="-2"/>
                <w:sz w:val="24"/>
              </w:rPr>
              <w:t> </w:t>
            </w:r>
            <w:r>
              <w:rPr>
                <w:rFonts w:ascii="Times New Roman"/>
                <w:sz w:val="24"/>
              </w:rPr>
              <w:t>Regression</w:t>
            </w:r>
            <w:r>
              <w:rPr>
                <w:rFonts w:ascii="Times New Roman"/>
                <w:spacing w:val="-1"/>
                <w:sz w:val="24"/>
              </w:rPr>
              <w:t> </w:t>
            </w:r>
            <w:r>
              <w:rPr>
                <w:rFonts w:ascii="Times New Roman"/>
                <w:spacing w:val="-2"/>
                <w:sz w:val="24"/>
              </w:rPr>
              <w:t>Result</w:t>
            </w:r>
          </w:p>
        </w:tc>
        <w:tc>
          <w:tcPr>
            <w:tcW w:w="1348" w:type="dxa"/>
          </w:tcPr>
          <w:p>
            <w:pPr>
              <w:pStyle w:val="TableParagraph"/>
              <w:spacing w:line="256" w:lineRule="exact" w:before="133"/>
              <w:ind w:right="47"/>
              <w:jc w:val="right"/>
              <w:rPr>
                <w:rFonts w:ascii="Times New Roman"/>
                <w:sz w:val="24"/>
              </w:rPr>
            </w:pPr>
            <w:r>
              <w:rPr>
                <w:rFonts w:ascii="Times New Roman"/>
                <w:spacing w:val="-5"/>
                <w:sz w:val="24"/>
              </w:rPr>
              <w:t>142</w:t>
            </w:r>
          </w:p>
        </w:tc>
      </w:tr>
    </w:tbl>
    <w:p>
      <w:pPr>
        <w:rPr>
          <w:sz w:val="2"/>
          <w:szCs w:val="2"/>
        </w:rPr>
      </w:pPr>
      <w:r>
        <w:rPr/>
        <w:drawing>
          <wp:anchor distT="0" distB="0" distL="0" distR="0" allowOverlap="1" layoutInCell="1" locked="0" behindDoc="1" simplePos="0" relativeHeight="477667840">
            <wp:simplePos x="0" y="0"/>
            <wp:positionH relativeFrom="page">
              <wp:posOffset>1095451</wp:posOffset>
            </wp:positionH>
            <wp:positionV relativeFrom="page">
              <wp:posOffset>2726054</wp:posOffset>
            </wp:positionV>
            <wp:extent cx="5106847" cy="523811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5" cstate="print"/>
                    <a:stretch>
                      <a:fillRect/>
                    </a:stretch>
                  </pic:blipFill>
                  <pic:spPr>
                    <a:xfrm>
                      <a:off x="0" y="0"/>
                      <a:ext cx="5106847" cy="5238115"/>
                    </a:xfrm>
                    <a:prstGeom prst="rect">
                      <a:avLst/>
                    </a:prstGeom>
                  </pic:spPr>
                </pic:pic>
              </a:graphicData>
            </a:graphic>
          </wp:anchor>
        </w:drawing>
      </w:r>
    </w:p>
    <w:p>
      <w:pPr>
        <w:spacing w:after="0"/>
        <w:rPr>
          <w:sz w:val="2"/>
          <w:szCs w:val="2"/>
        </w:rPr>
        <w:sectPr>
          <w:pgSz w:w="11910" w:h="16840"/>
          <w:pgMar w:header="0" w:footer="971" w:top="1420" w:bottom="1160" w:left="500" w:right="0"/>
        </w:sectPr>
      </w:pPr>
    </w:p>
    <w:p>
      <w:pPr>
        <w:spacing w:before="61"/>
        <w:ind w:left="0" w:right="496" w:firstLine="0"/>
        <w:jc w:val="center"/>
        <w:rPr>
          <w:b/>
          <w:sz w:val="24"/>
        </w:rPr>
      </w:pPr>
      <w:r>
        <w:rPr>
          <w:b/>
          <w:spacing w:val="-2"/>
          <w:sz w:val="24"/>
        </w:rPr>
        <w:t>ABSTRACT</w:t>
      </w:r>
    </w:p>
    <w:p>
      <w:pPr>
        <w:spacing w:before="199"/>
        <w:ind w:left="940" w:right="1433" w:firstLine="0"/>
        <w:jc w:val="both"/>
        <w:rPr>
          <w:sz w:val="23"/>
        </w:rPr>
      </w:pPr>
      <w:r>
        <w:rPr/>
        <w:drawing>
          <wp:anchor distT="0" distB="0" distL="0" distR="0" allowOverlap="1" layoutInCell="1" locked="0" behindDoc="1" simplePos="0" relativeHeight="477668352">
            <wp:simplePos x="0" y="0"/>
            <wp:positionH relativeFrom="page">
              <wp:posOffset>1095451</wp:posOffset>
            </wp:positionH>
            <wp:positionV relativeFrom="paragraph">
              <wp:posOffset>1636790</wp:posOffset>
            </wp:positionV>
            <wp:extent cx="5106847" cy="523811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5" cstate="print"/>
                    <a:stretch>
                      <a:fillRect/>
                    </a:stretch>
                  </pic:blipFill>
                  <pic:spPr>
                    <a:xfrm>
                      <a:off x="0" y="0"/>
                      <a:ext cx="5106847" cy="5238115"/>
                    </a:xfrm>
                    <a:prstGeom prst="rect">
                      <a:avLst/>
                    </a:prstGeom>
                  </pic:spPr>
                </pic:pic>
              </a:graphicData>
            </a:graphic>
          </wp:anchor>
        </w:drawing>
      </w:r>
      <w:r>
        <w:rPr>
          <w:sz w:val="23"/>
        </w:rPr>
        <w:t>The study examined board attributes, ownership structure and reporting quality in a post-IFRS regime.</w:t>
      </w:r>
      <w:r>
        <w:rPr>
          <w:spacing w:val="-6"/>
          <w:sz w:val="23"/>
        </w:rPr>
        <w:t> </w:t>
      </w:r>
      <w:r>
        <w:rPr>
          <w:sz w:val="23"/>
        </w:rPr>
        <w:t>The</w:t>
      </w:r>
      <w:r>
        <w:rPr>
          <w:spacing w:val="-6"/>
          <w:sz w:val="23"/>
        </w:rPr>
        <w:t> </w:t>
      </w:r>
      <w:r>
        <w:rPr>
          <w:sz w:val="23"/>
        </w:rPr>
        <w:t>difficulties</w:t>
      </w:r>
      <w:r>
        <w:rPr>
          <w:spacing w:val="-6"/>
          <w:sz w:val="23"/>
        </w:rPr>
        <w:t> </w:t>
      </w:r>
      <w:r>
        <w:rPr>
          <w:sz w:val="23"/>
        </w:rPr>
        <w:t>to</w:t>
      </w:r>
      <w:r>
        <w:rPr>
          <w:spacing w:val="-7"/>
          <w:sz w:val="23"/>
        </w:rPr>
        <w:t> </w:t>
      </w:r>
      <w:r>
        <w:rPr>
          <w:sz w:val="23"/>
        </w:rPr>
        <w:t>control</w:t>
      </w:r>
      <w:r>
        <w:rPr>
          <w:spacing w:val="-4"/>
          <w:sz w:val="23"/>
        </w:rPr>
        <w:t> </w:t>
      </w:r>
      <w:r>
        <w:rPr>
          <w:sz w:val="23"/>
        </w:rPr>
        <w:t>for</w:t>
      </w:r>
      <w:r>
        <w:rPr>
          <w:spacing w:val="-7"/>
          <w:sz w:val="23"/>
        </w:rPr>
        <w:t> </w:t>
      </w:r>
      <w:r>
        <w:rPr>
          <w:sz w:val="23"/>
        </w:rPr>
        <w:t>confounding</w:t>
      </w:r>
      <w:r>
        <w:rPr>
          <w:spacing w:val="-7"/>
          <w:sz w:val="23"/>
        </w:rPr>
        <w:t> </w:t>
      </w:r>
      <w:r>
        <w:rPr>
          <w:sz w:val="23"/>
        </w:rPr>
        <w:t>factors</w:t>
      </w:r>
      <w:r>
        <w:rPr>
          <w:spacing w:val="-5"/>
          <w:sz w:val="23"/>
        </w:rPr>
        <w:t> </w:t>
      </w:r>
      <w:r>
        <w:rPr>
          <w:sz w:val="23"/>
        </w:rPr>
        <w:t>on</w:t>
      </w:r>
      <w:r>
        <w:rPr>
          <w:spacing w:val="-7"/>
          <w:sz w:val="23"/>
        </w:rPr>
        <w:t> </w:t>
      </w:r>
      <w:r>
        <w:rPr>
          <w:sz w:val="23"/>
        </w:rPr>
        <w:t>accounting</w:t>
      </w:r>
      <w:r>
        <w:rPr>
          <w:spacing w:val="-7"/>
          <w:sz w:val="23"/>
        </w:rPr>
        <w:t> </w:t>
      </w:r>
      <w:r>
        <w:rPr>
          <w:sz w:val="23"/>
        </w:rPr>
        <w:t>quality</w:t>
      </w:r>
      <w:r>
        <w:rPr>
          <w:spacing w:val="-5"/>
          <w:sz w:val="23"/>
        </w:rPr>
        <w:t> </w:t>
      </w:r>
      <w:r>
        <w:rPr>
          <w:sz w:val="23"/>
        </w:rPr>
        <w:t>in</w:t>
      </w:r>
      <w:r>
        <w:rPr>
          <w:spacing w:val="-7"/>
          <w:sz w:val="23"/>
        </w:rPr>
        <w:t> </w:t>
      </w:r>
      <w:r>
        <w:rPr>
          <w:sz w:val="23"/>
        </w:rPr>
        <w:t>IFRS</w:t>
      </w:r>
      <w:r>
        <w:rPr>
          <w:spacing w:val="-6"/>
          <w:sz w:val="23"/>
        </w:rPr>
        <w:t> </w:t>
      </w:r>
      <w:r>
        <w:rPr>
          <w:sz w:val="23"/>
        </w:rPr>
        <w:t>reporting regime</w:t>
      </w:r>
      <w:r>
        <w:rPr>
          <w:spacing w:val="-15"/>
          <w:sz w:val="23"/>
        </w:rPr>
        <w:t> </w:t>
      </w:r>
      <w:r>
        <w:rPr>
          <w:sz w:val="23"/>
        </w:rPr>
        <w:t>and</w:t>
      </w:r>
      <w:r>
        <w:rPr>
          <w:spacing w:val="-13"/>
          <w:sz w:val="23"/>
        </w:rPr>
        <w:t> </w:t>
      </w:r>
      <w:r>
        <w:rPr>
          <w:sz w:val="23"/>
        </w:rPr>
        <w:t>the</w:t>
      </w:r>
      <w:r>
        <w:rPr>
          <w:spacing w:val="-12"/>
          <w:sz w:val="23"/>
        </w:rPr>
        <w:t> </w:t>
      </w:r>
      <w:r>
        <w:rPr>
          <w:sz w:val="23"/>
        </w:rPr>
        <w:t>sensitivity</w:t>
      </w:r>
      <w:r>
        <w:rPr>
          <w:spacing w:val="-15"/>
          <w:sz w:val="23"/>
        </w:rPr>
        <w:t> </w:t>
      </w:r>
      <w:r>
        <w:rPr>
          <w:sz w:val="23"/>
        </w:rPr>
        <w:t>of</w:t>
      </w:r>
      <w:r>
        <w:rPr>
          <w:spacing w:val="-13"/>
          <w:sz w:val="23"/>
        </w:rPr>
        <w:t> </w:t>
      </w:r>
      <w:r>
        <w:rPr>
          <w:sz w:val="23"/>
        </w:rPr>
        <w:t>different</w:t>
      </w:r>
      <w:r>
        <w:rPr>
          <w:spacing w:val="-14"/>
          <w:sz w:val="23"/>
        </w:rPr>
        <w:t> </w:t>
      </w:r>
      <w:r>
        <w:rPr>
          <w:sz w:val="23"/>
        </w:rPr>
        <w:t>measures</w:t>
      </w:r>
      <w:r>
        <w:rPr>
          <w:spacing w:val="-15"/>
          <w:sz w:val="23"/>
        </w:rPr>
        <w:t> </w:t>
      </w:r>
      <w:r>
        <w:rPr>
          <w:sz w:val="23"/>
        </w:rPr>
        <w:t>of</w:t>
      </w:r>
      <w:r>
        <w:rPr>
          <w:spacing w:val="-13"/>
          <w:sz w:val="23"/>
        </w:rPr>
        <w:t> </w:t>
      </w:r>
      <w:r>
        <w:rPr>
          <w:sz w:val="23"/>
        </w:rPr>
        <w:t>reporting</w:t>
      </w:r>
      <w:r>
        <w:rPr>
          <w:spacing w:val="-14"/>
          <w:sz w:val="23"/>
        </w:rPr>
        <w:t> </w:t>
      </w:r>
      <w:r>
        <w:rPr>
          <w:sz w:val="23"/>
        </w:rPr>
        <w:t>quality</w:t>
      </w:r>
      <w:r>
        <w:rPr>
          <w:spacing w:val="-14"/>
          <w:sz w:val="23"/>
        </w:rPr>
        <w:t> </w:t>
      </w:r>
      <w:r>
        <w:rPr>
          <w:sz w:val="23"/>
        </w:rPr>
        <w:t>motivated</w:t>
      </w:r>
      <w:r>
        <w:rPr>
          <w:spacing w:val="-14"/>
          <w:sz w:val="23"/>
        </w:rPr>
        <w:t> </w:t>
      </w:r>
      <w:r>
        <w:rPr>
          <w:sz w:val="23"/>
        </w:rPr>
        <w:t>this</w:t>
      </w:r>
      <w:r>
        <w:rPr>
          <w:spacing w:val="-15"/>
          <w:sz w:val="23"/>
        </w:rPr>
        <w:t> </w:t>
      </w:r>
      <w:r>
        <w:rPr>
          <w:sz w:val="23"/>
        </w:rPr>
        <w:t>study.</w:t>
      </w:r>
      <w:r>
        <w:rPr>
          <w:spacing w:val="-9"/>
          <w:sz w:val="23"/>
        </w:rPr>
        <w:t> </w:t>
      </w:r>
      <w:r>
        <w:rPr>
          <w:sz w:val="23"/>
        </w:rPr>
        <w:t>The</w:t>
      </w:r>
      <w:r>
        <w:rPr>
          <w:spacing w:val="-14"/>
          <w:sz w:val="23"/>
        </w:rPr>
        <w:t> </w:t>
      </w:r>
      <w:r>
        <w:rPr>
          <w:sz w:val="23"/>
        </w:rPr>
        <w:t>study employed a longitudinal research design while the population comprised the entire thirteen (13) Deposit</w:t>
      </w:r>
      <w:r>
        <w:rPr>
          <w:spacing w:val="-6"/>
          <w:sz w:val="23"/>
        </w:rPr>
        <w:t> </w:t>
      </w:r>
      <w:r>
        <w:rPr>
          <w:sz w:val="23"/>
        </w:rPr>
        <w:t>Money</w:t>
      </w:r>
      <w:r>
        <w:rPr>
          <w:spacing w:val="-7"/>
          <w:sz w:val="23"/>
        </w:rPr>
        <w:t> </w:t>
      </w:r>
      <w:r>
        <w:rPr>
          <w:sz w:val="23"/>
        </w:rPr>
        <w:t>Banks</w:t>
      </w:r>
      <w:r>
        <w:rPr>
          <w:spacing w:val="-7"/>
          <w:sz w:val="23"/>
        </w:rPr>
        <w:t> </w:t>
      </w:r>
      <w:r>
        <w:rPr>
          <w:sz w:val="23"/>
        </w:rPr>
        <w:t>(DMBs)</w:t>
      </w:r>
      <w:r>
        <w:rPr>
          <w:spacing w:val="-7"/>
          <w:sz w:val="23"/>
        </w:rPr>
        <w:t> </w:t>
      </w:r>
      <w:r>
        <w:rPr>
          <w:sz w:val="23"/>
        </w:rPr>
        <w:t>listed</w:t>
      </w:r>
      <w:r>
        <w:rPr>
          <w:spacing w:val="-6"/>
          <w:sz w:val="23"/>
        </w:rPr>
        <w:t> </w:t>
      </w:r>
      <w:r>
        <w:rPr>
          <w:sz w:val="23"/>
        </w:rPr>
        <w:t>on</w:t>
      </w:r>
      <w:r>
        <w:rPr>
          <w:spacing w:val="-7"/>
          <w:sz w:val="23"/>
        </w:rPr>
        <w:t> </w:t>
      </w:r>
      <w:r>
        <w:rPr>
          <w:sz w:val="23"/>
        </w:rPr>
        <w:t>the</w:t>
      </w:r>
      <w:r>
        <w:rPr>
          <w:spacing w:val="-7"/>
          <w:sz w:val="23"/>
        </w:rPr>
        <w:t> </w:t>
      </w:r>
      <w:r>
        <w:rPr>
          <w:sz w:val="23"/>
        </w:rPr>
        <w:t>Nigerian</w:t>
      </w:r>
      <w:r>
        <w:rPr>
          <w:spacing w:val="-7"/>
          <w:sz w:val="23"/>
        </w:rPr>
        <w:t> </w:t>
      </w:r>
      <w:r>
        <w:rPr>
          <w:sz w:val="23"/>
        </w:rPr>
        <w:t>Stock</w:t>
      </w:r>
      <w:r>
        <w:rPr>
          <w:spacing w:val="-7"/>
          <w:sz w:val="23"/>
        </w:rPr>
        <w:t> </w:t>
      </w:r>
      <w:r>
        <w:rPr>
          <w:sz w:val="23"/>
        </w:rPr>
        <w:t>Exchange</w:t>
      </w:r>
      <w:r>
        <w:rPr>
          <w:spacing w:val="-7"/>
          <w:sz w:val="23"/>
        </w:rPr>
        <w:t> </w:t>
      </w:r>
      <w:r>
        <w:rPr>
          <w:sz w:val="23"/>
        </w:rPr>
        <w:t>(NSE)</w:t>
      </w:r>
      <w:r>
        <w:rPr>
          <w:spacing w:val="-7"/>
          <w:sz w:val="23"/>
        </w:rPr>
        <w:t> </w:t>
      </w:r>
      <w:r>
        <w:rPr>
          <w:sz w:val="23"/>
        </w:rPr>
        <w:t>as</w:t>
      </w:r>
      <w:r>
        <w:rPr>
          <w:spacing w:val="-8"/>
          <w:sz w:val="23"/>
        </w:rPr>
        <w:t> </w:t>
      </w:r>
      <w:r>
        <w:rPr>
          <w:sz w:val="23"/>
        </w:rPr>
        <w:t>at</w:t>
      </w:r>
      <w:r>
        <w:rPr>
          <w:spacing w:val="-7"/>
          <w:sz w:val="23"/>
        </w:rPr>
        <w:t> </w:t>
      </w:r>
      <w:r>
        <w:rPr>
          <w:sz w:val="23"/>
        </w:rPr>
        <w:t>31st</w:t>
      </w:r>
      <w:r>
        <w:rPr>
          <w:spacing w:val="-7"/>
          <w:sz w:val="23"/>
        </w:rPr>
        <w:t> </w:t>
      </w:r>
      <w:r>
        <w:rPr>
          <w:sz w:val="23"/>
        </w:rPr>
        <w:t>December, 2019. The study used</w:t>
      </w:r>
      <w:r>
        <w:rPr>
          <w:spacing w:val="-2"/>
          <w:sz w:val="23"/>
        </w:rPr>
        <w:t> </w:t>
      </w:r>
      <w:r>
        <w:rPr>
          <w:sz w:val="23"/>
        </w:rPr>
        <w:t>a fifteen-year time frame (2005 to</w:t>
      </w:r>
      <w:r>
        <w:rPr>
          <w:spacing w:val="-3"/>
          <w:sz w:val="23"/>
        </w:rPr>
        <w:t> </w:t>
      </w:r>
      <w:r>
        <w:rPr>
          <w:sz w:val="23"/>
        </w:rPr>
        <w:t>2019)</w:t>
      </w:r>
      <w:r>
        <w:rPr>
          <w:spacing w:val="-3"/>
          <w:sz w:val="23"/>
        </w:rPr>
        <w:t> </w:t>
      </w:r>
      <w:r>
        <w:rPr>
          <w:sz w:val="23"/>
        </w:rPr>
        <w:t>to</w:t>
      </w:r>
      <w:r>
        <w:rPr>
          <w:spacing w:val="-3"/>
          <w:sz w:val="23"/>
        </w:rPr>
        <w:t> </w:t>
      </w:r>
      <w:r>
        <w:rPr>
          <w:sz w:val="23"/>
        </w:rPr>
        <w:t>enable</w:t>
      </w:r>
      <w:r>
        <w:rPr>
          <w:spacing w:val="-2"/>
          <w:sz w:val="23"/>
        </w:rPr>
        <w:t> </w:t>
      </w:r>
      <w:r>
        <w:rPr>
          <w:sz w:val="23"/>
        </w:rPr>
        <w:t>the researcher to split</w:t>
      </w:r>
      <w:r>
        <w:rPr>
          <w:spacing w:val="-2"/>
          <w:sz w:val="23"/>
        </w:rPr>
        <w:t> </w:t>
      </w:r>
      <w:r>
        <w:rPr>
          <w:sz w:val="23"/>
        </w:rPr>
        <w:t>the samples into two groups: pre-IFRS regime samples, otherwise called the control group (2005- 2011);</w:t>
      </w:r>
      <w:r>
        <w:rPr>
          <w:spacing w:val="-5"/>
          <w:sz w:val="23"/>
        </w:rPr>
        <w:t> </w:t>
      </w:r>
      <w:r>
        <w:rPr>
          <w:sz w:val="23"/>
        </w:rPr>
        <w:t>and</w:t>
      </w:r>
      <w:r>
        <w:rPr>
          <w:spacing w:val="-6"/>
          <w:sz w:val="23"/>
        </w:rPr>
        <w:t> </w:t>
      </w:r>
      <w:r>
        <w:rPr>
          <w:sz w:val="23"/>
        </w:rPr>
        <w:t>post-IFRS</w:t>
      </w:r>
      <w:r>
        <w:rPr>
          <w:spacing w:val="-7"/>
          <w:sz w:val="23"/>
        </w:rPr>
        <w:t> </w:t>
      </w:r>
      <w:r>
        <w:rPr>
          <w:sz w:val="23"/>
        </w:rPr>
        <w:t>regime</w:t>
      </w:r>
      <w:r>
        <w:rPr>
          <w:spacing w:val="-5"/>
          <w:sz w:val="23"/>
        </w:rPr>
        <w:t> </w:t>
      </w:r>
      <w:r>
        <w:rPr>
          <w:sz w:val="23"/>
        </w:rPr>
        <w:t>samples,</w:t>
      </w:r>
      <w:r>
        <w:rPr>
          <w:spacing w:val="-6"/>
          <w:sz w:val="23"/>
        </w:rPr>
        <w:t> </w:t>
      </w:r>
      <w:r>
        <w:rPr>
          <w:sz w:val="23"/>
        </w:rPr>
        <w:t>otherwise</w:t>
      </w:r>
      <w:r>
        <w:rPr>
          <w:spacing w:val="-5"/>
          <w:sz w:val="23"/>
        </w:rPr>
        <w:t> </w:t>
      </w:r>
      <w:r>
        <w:rPr>
          <w:sz w:val="23"/>
        </w:rPr>
        <w:t>called</w:t>
      </w:r>
      <w:r>
        <w:rPr>
          <w:spacing w:val="-6"/>
          <w:sz w:val="23"/>
        </w:rPr>
        <w:t> </w:t>
      </w:r>
      <w:r>
        <w:rPr>
          <w:sz w:val="23"/>
        </w:rPr>
        <w:t>the</w:t>
      </w:r>
      <w:r>
        <w:rPr>
          <w:spacing w:val="-5"/>
          <w:sz w:val="23"/>
        </w:rPr>
        <w:t> </w:t>
      </w:r>
      <w:r>
        <w:rPr>
          <w:sz w:val="23"/>
        </w:rPr>
        <w:t>treatment</w:t>
      </w:r>
      <w:r>
        <w:rPr>
          <w:spacing w:val="-5"/>
          <w:sz w:val="23"/>
        </w:rPr>
        <w:t> </w:t>
      </w:r>
      <w:r>
        <w:rPr>
          <w:sz w:val="23"/>
        </w:rPr>
        <w:t>group</w:t>
      </w:r>
      <w:r>
        <w:rPr>
          <w:spacing w:val="-6"/>
          <w:sz w:val="23"/>
        </w:rPr>
        <w:t> </w:t>
      </w:r>
      <w:r>
        <w:rPr>
          <w:sz w:val="23"/>
        </w:rPr>
        <w:t>(2013 –</w:t>
      </w:r>
      <w:r>
        <w:rPr>
          <w:spacing w:val="-6"/>
          <w:sz w:val="23"/>
        </w:rPr>
        <w:t> </w:t>
      </w:r>
      <w:r>
        <w:rPr>
          <w:sz w:val="23"/>
        </w:rPr>
        <w:t>2019).</w:t>
      </w:r>
      <w:r>
        <w:rPr>
          <w:spacing w:val="-6"/>
          <w:sz w:val="23"/>
        </w:rPr>
        <w:t> </w:t>
      </w:r>
      <w:r>
        <w:rPr>
          <w:sz w:val="23"/>
        </w:rPr>
        <w:t>Due</w:t>
      </w:r>
      <w:r>
        <w:rPr>
          <w:spacing w:val="-5"/>
          <w:sz w:val="23"/>
        </w:rPr>
        <w:t> </w:t>
      </w:r>
      <w:r>
        <w:rPr>
          <w:sz w:val="23"/>
        </w:rPr>
        <w:t>to the</w:t>
      </w:r>
      <w:r>
        <w:rPr>
          <w:spacing w:val="-15"/>
          <w:sz w:val="23"/>
        </w:rPr>
        <w:t> </w:t>
      </w:r>
      <w:r>
        <w:rPr>
          <w:sz w:val="23"/>
        </w:rPr>
        <w:t>finite</w:t>
      </w:r>
      <w:r>
        <w:rPr>
          <w:spacing w:val="-14"/>
          <w:sz w:val="23"/>
        </w:rPr>
        <w:t> </w:t>
      </w:r>
      <w:r>
        <w:rPr>
          <w:sz w:val="23"/>
        </w:rPr>
        <w:t>and</w:t>
      </w:r>
      <w:r>
        <w:rPr>
          <w:spacing w:val="-15"/>
          <w:sz w:val="23"/>
        </w:rPr>
        <w:t> </w:t>
      </w:r>
      <w:r>
        <w:rPr>
          <w:sz w:val="23"/>
        </w:rPr>
        <w:t>exhaustive</w:t>
      </w:r>
      <w:r>
        <w:rPr>
          <w:spacing w:val="-14"/>
          <w:sz w:val="23"/>
        </w:rPr>
        <w:t> </w:t>
      </w:r>
      <w:r>
        <w:rPr>
          <w:sz w:val="23"/>
        </w:rPr>
        <w:t>number</w:t>
      </w:r>
      <w:r>
        <w:rPr>
          <w:spacing w:val="-14"/>
          <w:sz w:val="23"/>
        </w:rPr>
        <w:t> </w:t>
      </w:r>
      <w:r>
        <w:rPr>
          <w:sz w:val="23"/>
        </w:rPr>
        <w:t>of</w:t>
      </w:r>
      <w:r>
        <w:rPr>
          <w:spacing w:val="-15"/>
          <w:sz w:val="23"/>
        </w:rPr>
        <w:t> </w:t>
      </w:r>
      <w:r>
        <w:rPr>
          <w:sz w:val="23"/>
        </w:rPr>
        <w:t>the</w:t>
      </w:r>
      <w:r>
        <w:rPr>
          <w:spacing w:val="-11"/>
          <w:sz w:val="23"/>
        </w:rPr>
        <w:t> </w:t>
      </w:r>
      <w:r>
        <w:rPr>
          <w:sz w:val="23"/>
        </w:rPr>
        <w:t>population</w:t>
      </w:r>
      <w:r>
        <w:rPr>
          <w:spacing w:val="-13"/>
          <w:sz w:val="23"/>
        </w:rPr>
        <w:t> </w:t>
      </w:r>
      <w:r>
        <w:rPr>
          <w:sz w:val="23"/>
        </w:rPr>
        <w:t>size,</w:t>
      </w:r>
      <w:r>
        <w:rPr>
          <w:spacing w:val="-15"/>
          <w:sz w:val="23"/>
        </w:rPr>
        <w:t> </w:t>
      </w:r>
      <w:r>
        <w:rPr>
          <w:sz w:val="23"/>
        </w:rPr>
        <w:t>the</w:t>
      </w:r>
      <w:r>
        <w:rPr>
          <w:spacing w:val="-14"/>
          <w:sz w:val="23"/>
        </w:rPr>
        <w:t> </w:t>
      </w:r>
      <w:r>
        <w:rPr>
          <w:sz w:val="23"/>
        </w:rPr>
        <w:t>study</w:t>
      </w:r>
      <w:r>
        <w:rPr>
          <w:spacing w:val="-14"/>
          <w:sz w:val="23"/>
        </w:rPr>
        <w:t> </w:t>
      </w:r>
      <w:r>
        <w:rPr>
          <w:sz w:val="23"/>
        </w:rPr>
        <w:t>took</w:t>
      </w:r>
      <w:r>
        <w:rPr>
          <w:spacing w:val="-14"/>
          <w:sz w:val="23"/>
        </w:rPr>
        <w:t> </w:t>
      </w:r>
      <w:r>
        <w:rPr>
          <w:sz w:val="23"/>
        </w:rPr>
        <w:t>a</w:t>
      </w:r>
      <w:r>
        <w:rPr>
          <w:spacing w:val="-15"/>
          <w:sz w:val="23"/>
        </w:rPr>
        <w:t> </w:t>
      </w:r>
      <w:r>
        <w:rPr>
          <w:sz w:val="23"/>
        </w:rPr>
        <w:t>census</w:t>
      </w:r>
      <w:r>
        <w:rPr>
          <w:spacing w:val="-16"/>
          <w:sz w:val="23"/>
        </w:rPr>
        <w:t> </w:t>
      </w:r>
      <w:r>
        <w:rPr>
          <w:sz w:val="23"/>
        </w:rPr>
        <w:t>of</w:t>
      </w:r>
      <w:r>
        <w:rPr>
          <w:spacing w:val="-13"/>
          <w:sz w:val="23"/>
        </w:rPr>
        <w:t> </w:t>
      </w:r>
      <w:r>
        <w:rPr>
          <w:sz w:val="23"/>
        </w:rPr>
        <w:t>the</w:t>
      </w:r>
      <w:r>
        <w:rPr>
          <w:spacing w:val="-15"/>
          <w:sz w:val="23"/>
        </w:rPr>
        <w:t> </w:t>
      </w:r>
      <w:r>
        <w:rPr>
          <w:sz w:val="23"/>
        </w:rPr>
        <w:t>entire</w:t>
      </w:r>
      <w:r>
        <w:rPr>
          <w:spacing w:val="-14"/>
          <w:sz w:val="23"/>
        </w:rPr>
        <w:t> </w:t>
      </w:r>
      <w:r>
        <w:rPr>
          <w:sz w:val="23"/>
        </w:rPr>
        <w:t>thirteen</w:t>
      </w:r>
    </w:p>
    <w:p>
      <w:pPr>
        <w:spacing w:line="240" w:lineRule="auto" w:before="0"/>
        <w:ind w:left="940" w:right="1433" w:firstLine="0"/>
        <w:jc w:val="both"/>
        <w:rPr>
          <w:sz w:val="23"/>
        </w:rPr>
      </w:pPr>
      <w:r>
        <w:rPr>
          <w:sz w:val="23"/>
        </w:rPr>
        <w:t>(13)</w:t>
      </w:r>
      <w:r>
        <w:rPr>
          <w:spacing w:val="-5"/>
          <w:sz w:val="23"/>
        </w:rPr>
        <w:t> </w:t>
      </w:r>
      <w:r>
        <w:rPr>
          <w:sz w:val="23"/>
        </w:rPr>
        <w:t>DMBs</w:t>
      </w:r>
      <w:r>
        <w:rPr>
          <w:spacing w:val="-6"/>
          <w:sz w:val="23"/>
        </w:rPr>
        <w:t> </w:t>
      </w:r>
      <w:r>
        <w:rPr>
          <w:sz w:val="23"/>
        </w:rPr>
        <w:t>as</w:t>
      </w:r>
      <w:r>
        <w:rPr>
          <w:spacing w:val="-6"/>
          <w:sz w:val="23"/>
        </w:rPr>
        <w:t> </w:t>
      </w:r>
      <w:r>
        <w:rPr>
          <w:sz w:val="23"/>
        </w:rPr>
        <w:t>its</w:t>
      </w:r>
      <w:r>
        <w:rPr>
          <w:spacing w:val="-6"/>
          <w:sz w:val="23"/>
        </w:rPr>
        <w:t> </w:t>
      </w:r>
      <w:r>
        <w:rPr>
          <w:sz w:val="23"/>
        </w:rPr>
        <w:t>sample</w:t>
      </w:r>
      <w:r>
        <w:rPr>
          <w:spacing w:val="-4"/>
          <w:sz w:val="23"/>
        </w:rPr>
        <w:t> </w:t>
      </w:r>
      <w:r>
        <w:rPr>
          <w:sz w:val="23"/>
        </w:rPr>
        <w:t>size.</w:t>
      </w:r>
      <w:r>
        <w:rPr>
          <w:spacing w:val="-4"/>
          <w:sz w:val="23"/>
        </w:rPr>
        <w:t> </w:t>
      </w:r>
      <w:r>
        <w:rPr>
          <w:sz w:val="23"/>
        </w:rPr>
        <w:t>The</w:t>
      </w:r>
      <w:r>
        <w:rPr>
          <w:spacing w:val="-4"/>
          <w:sz w:val="23"/>
        </w:rPr>
        <w:t> </w:t>
      </w:r>
      <w:r>
        <w:rPr>
          <w:sz w:val="23"/>
        </w:rPr>
        <w:t>secondary</w:t>
      </w:r>
      <w:r>
        <w:rPr>
          <w:spacing w:val="-7"/>
          <w:sz w:val="23"/>
        </w:rPr>
        <w:t> </w:t>
      </w:r>
      <w:r>
        <w:rPr>
          <w:sz w:val="23"/>
        </w:rPr>
        <w:t>data</w:t>
      </w:r>
      <w:r>
        <w:rPr>
          <w:spacing w:val="-6"/>
          <w:sz w:val="23"/>
        </w:rPr>
        <w:t> </w:t>
      </w:r>
      <w:r>
        <w:rPr>
          <w:sz w:val="23"/>
        </w:rPr>
        <w:t>were</w:t>
      </w:r>
      <w:r>
        <w:rPr>
          <w:spacing w:val="-4"/>
          <w:sz w:val="23"/>
        </w:rPr>
        <w:t> </w:t>
      </w:r>
      <w:r>
        <w:rPr>
          <w:sz w:val="23"/>
        </w:rPr>
        <w:t>sourced</w:t>
      </w:r>
      <w:r>
        <w:rPr>
          <w:spacing w:val="-7"/>
          <w:sz w:val="23"/>
        </w:rPr>
        <w:t> </w:t>
      </w:r>
      <w:r>
        <w:rPr>
          <w:sz w:val="23"/>
        </w:rPr>
        <w:t>from</w:t>
      </w:r>
      <w:r>
        <w:rPr>
          <w:spacing w:val="-6"/>
          <w:sz w:val="23"/>
        </w:rPr>
        <w:t> </w:t>
      </w:r>
      <w:r>
        <w:rPr>
          <w:sz w:val="23"/>
        </w:rPr>
        <w:t>the</w:t>
      </w:r>
      <w:r>
        <w:rPr>
          <w:spacing w:val="-4"/>
          <w:sz w:val="23"/>
        </w:rPr>
        <w:t> </w:t>
      </w:r>
      <w:r>
        <w:rPr>
          <w:sz w:val="23"/>
        </w:rPr>
        <w:t>audited</w:t>
      </w:r>
      <w:r>
        <w:rPr>
          <w:spacing w:val="-5"/>
          <w:sz w:val="23"/>
        </w:rPr>
        <w:t> </w:t>
      </w:r>
      <w:r>
        <w:rPr>
          <w:sz w:val="23"/>
        </w:rPr>
        <w:t>annual</w:t>
      </w:r>
      <w:r>
        <w:rPr>
          <w:spacing w:val="-6"/>
          <w:sz w:val="23"/>
        </w:rPr>
        <w:t> </w:t>
      </w:r>
      <w:r>
        <w:rPr>
          <w:sz w:val="23"/>
        </w:rPr>
        <w:t>reports</w:t>
      </w:r>
      <w:r>
        <w:rPr>
          <w:spacing w:val="-6"/>
          <w:sz w:val="23"/>
        </w:rPr>
        <w:t> </w:t>
      </w:r>
      <w:r>
        <w:rPr>
          <w:sz w:val="23"/>
        </w:rPr>
        <w:t>of DMBs for the period 2005-2019 financial year. Using the Difference-In-Difference (DD) estimation,</w:t>
      </w:r>
      <w:r>
        <w:rPr>
          <w:spacing w:val="-14"/>
          <w:sz w:val="23"/>
        </w:rPr>
        <w:t> </w:t>
      </w:r>
      <w:r>
        <w:rPr>
          <w:sz w:val="23"/>
        </w:rPr>
        <w:t>result</w:t>
      </w:r>
      <w:r>
        <w:rPr>
          <w:spacing w:val="-14"/>
          <w:sz w:val="23"/>
        </w:rPr>
        <w:t> </w:t>
      </w:r>
      <w:r>
        <w:rPr>
          <w:sz w:val="23"/>
        </w:rPr>
        <w:t>shows</w:t>
      </w:r>
      <w:r>
        <w:rPr>
          <w:spacing w:val="-14"/>
          <w:sz w:val="23"/>
        </w:rPr>
        <w:t> </w:t>
      </w:r>
      <w:r>
        <w:rPr>
          <w:sz w:val="23"/>
        </w:rPr>
        <w:t>that</w:t>
      </w:r>
      <w:r>
        <w:rPr>
          <w:spacing w:val="-13"/>
          <w:sz w:val="23"/>
        </w:rPr>
        <w:t> </w:t>
      </w:r>
      <w:r>
        <w:rPr>
          <w:sz w:val="23"/>
        </w:rPr>
        <w:t>generally,</w:t>
      </w:r>
      <w:r>
        <w:rPr>
          <w:spacing w:val="-13"/>
          <w:sz w:val="23"/>
        </w:rPr>
        <w:t> </w:t>
      </w:r>
      <w:r>
        <w:rPr>
          <w:sz w:val="23"/>
        </w:rPr>
        <w:t>IFRS</w:t>
      </w:r>
      <w:r>
        <w:rPr>
          <w:spacing w:val="-15"/>
          <w:sz w:val="23"/>
        </w:rPr>
        <w:t> </w:t>
      </w:r>
      <w:r>
        <w:rPr>
          <w:sz w:val="23"/>
        </w:rPr>
        <w:t>adoption</w:t>
      </w:r>
      <w:r>
        <w:rPr>
          <w:spacing w:val="-12"/>
          <w:sz w:val="23"/>
        </w:rPr>
        <w:t> </w:t>
      </w:r>
      <w:r>
        <w:rPr>
          <w:sz w:val="23"/>
        </w:rPr>
        <w:t>improves</w:t>
      </w:r>
      <w:r>
        <w:rPr>
          <w:spacing w:val="-14"/>
          <w:sz w:val="23"/>
        </w:rPr>
        <w:t> </w:t>
      </w:r>
      <w:r>
        <w:rPr>
          <w:sz w:val="23"/>
        </w:rPr>
        <w:t>reporting</w:t>
      </w:r>
      <w:r>
        <w:rPr>
          <w:spacing w:val="-13"/>
          <w:sz w:val="23"/>
        </w:rPr>
        <w:t> </w:t>
      </w:r>
      <w:r>
        <w:rPr>
          <w:sz w:val="23"/>
        </w:rPr>
        <w:t>quality</w:t>
      </w:r>
      <w:r>
        <w:rPr>
          <w:spacing w:val="-13"/>
          <w:sz w:val="23"/>
        </w:rPr>
        <w:t> </w:t>
      </w:r>
      <w:r>
        <w:rPr>
          <w:sz w:val="23"/>
        </w:rPr>
        <w:t>using</w:t>
      </w:r>
      <w:r>
        <w:rPr>
          <w:spacing w:val="-15"/>
          <w:sz w:val="23"/>
        </w:rPr>
        <w:t> </w:t>
      </w:r>
      <w:r>
        <w:rPr>
          <w:sz w:val="23"/>
        </w:rPr>
        <w:t>QUA-FRQ (0.0550, p=0.000). For DACC, the result revealed significant impact (0.3509, p=0.000), however the positive coefficient is at variance with theoretical expectation, hence reporting quality is not enhanced. For VREL, it did not improve reporting quality using VREL (8.5416, p=0.3407). For the specific variables, in the post IFRS regime, based on the three measures (qualitative characteristics [QUA-FRQ], discretionary accruals [DACC] and value relevance [VREL] measures) of financial reporting quality used in this study, board size was found to have an insignificant impact across all measures (QUA-FRQ= (-0.00115, p=0.5851; DACC= (-0.006, p=0.7260; VREL= (-0.4814, p=0.7260), board independence was found to have a significant impact across all measures (QUA-FRQ= 0.1067, p=0.033; DACC= 1.4173, p=0.006; VREL= (- 26.338,</w:t>
      </w:r>
      <w:r>
        <w:rPr>
          <w:spacing w:val="-5"/>
          <w:sz w:val="23"/>
        </w:rPr>
        <w:t> </w:t>
      </w:r>
      <w:r>
        <w:rPr>
          <w:sz w:val="23"/>
        </w:rPr>
        <w:t>p=0.000),</w:t>
      </w:r>
      <w:r>
        <w:rPr>
          <w:spacing w:val="-5"/>
          <w:sz w:val="23"/>
        </w:rPr>
        <w:t> </w:t>
      </w:r>
      <w:r>
        <w:rPr>
          <w:sz w:val="23"/>
        </w:rPr>
        <w:t>board</w:t>
      </w:r>
      <w:r>
        <w:rPr>
          <w:spacing w:val="-5"/>
          <w:sz w:val="23"/>
        </w:rPr>
        <w:t> </w:t>
      </w:r>
      <w:r>
        <w:rPr>
          <w:sz w:val="23"/>
        </w:rPr>
        <w:t>financial</w:t>
      </w:r>
      <w:r>
        <w:rPr>
          <w:spacing w:val="-7"/>
          <w:sz w:val="23"/>
        </w:rPr>
        <w:t> </w:t>
      </w:r>
      <w:r>
        <w:rPr>
          <w:sz w:val="23"/>
        </w:rPr>
        <w:t>expertise</w:t>
      </w:r>
      <w:r>
        <w:rPr>
          <w:spacing w:val="-6"/>
          <w:sz w:val="23"/>
        </w:rPr>
        <w:t> </w:t>
      </w:r>
      <w:r>
        <w:rPr>
          <w:sz w:val="23"/>
        </w:rPr>
        <w:t>was</w:t>
      </w:r>
      <w:r>
        <w:rPr>
          <w:spacing w:val="-6"/>
          <w:sz w:val="23"/>
        </w:rPr>
        <w:t> </w:t>
      </w:r>
      <w:r>
        <w:rPr>
          <w:sz w:val="23"/>
        </w:rPr>
        <w:t>found</w:t>
      </w:r>
      <w:r>
        <w:rPr>
          <w:spacing w:val="-5"/>
          <w:sz w:val="23"/>
        </w:rPr>
        <w:t> </w:t>
      </w:r>
      <w:r>
        <w:rPr>
          <w:sz w:val="23"/>
        </w:rPr>
        <w:t>to</w:t>
      </w:r>
      <w:r>
        <w:rPr>
          <w:spacing w:val="-5"/>
          <w:sz w:val="23"/>
        </w:rPr>
        <w:t> </w:t>
      </w:r>
      <w:r>
        <w:rPr>
          <w:sz w:val="23"/>
        </w:rPr>
        <w:t>have</w:t>
      </w:r>
      <w:r>
        <w:rPr>
          <w:spacing w:val="-4"/>
          <w:sz w:val="23"/>
        </w:rPr>
        <w:t> </w:t>
      </w:r>
      <w:r>
        <w:rPr>
          <w:sz w:val="23"/>
        </w:rPr>
        <w:t>a</w:t>
      </w:r>
      <w:r>
        <w:rPr>
          <w:spacing w:val="-6"/>
          <w:sz w:val="23"/>
        </w:rPr>
        <w:t> </w:t>
      </w:r>
      <w:r>
        <w:rPr>
          <w:sz w:val="23"/>
        </w:rPr>
        <w:t>significant</w:t>
      </w:r>
      <w:r>
        <w:rPr>
          <w:spacing w:val="-7"/>
          <w:sz w:val="23"/>
        </w:rPr>
        <w:t> </w:t>
      </w:r>
      <w:r>
        <w:rPr>
          <w:sz w:val="23"/>
        </w:rPr>
        <w:t>impact</w:t>
      </w:r>
      <w:r>
        <w:rPr>
          <w:spacing w:val="-7"/>
          <w:sz w:val="23"/>
        </w:rPr>
        <w:t> </w:t>
      </w:r>
      <w:r>
        <w:rPr>
          <w:sz w:val="23"/>
        </w:rPr>
        <w:t>for</w:t>
      </w:r>
      <w:r>
        <w:rPr>
          <w:spacing w:val="-5"/>
          <w:sz w:val="23"/>
        </w:rPr>
        <w:t> </w:t>
      </w:r>
      <w:r>
        <w:rPr>
          <w:sz w:val="23"/>
        </w:rPr>
        <w:t>at</w:t>
      </w:r>
      <w:r>
        <w:rPr>
          <w:spacing w:val="-4"/>
          <w:sz w:val="23"/>
        </w:rPr>
        <w:t> </w:t>
      </w:r>
      <w:r>
        <w:rPr>
          <w:sz w:val="23"/>
        </w:rPr>
        <w:t>least</w:t>
      </w:r>
      <w:r>
        <w:rPr>
          <w:spacing w:val="-4"/>
          <w:sz w:val="23"/>
        </w:rPr>
        <w:t> </w:t>
      </w:r>
      <w:r>
        <w:rPr>
          <w:sz w:val="23"/>
        </w:rPr>
        <w:t>one; QUA-FRQ (0.0748, p=0.0034). Furthermore, institutional ownership was found to have a significant</w:t>
      </w:r>
      <w:r>
        <w:rPr>
          <w:spacing w:val="-9"/>
          <w:sz w:val="23"/>
        </w:rPr>
        <w:t> </w:t>
      </w:r>
      <w:r>
        <w:rPr>
          <w:sz w:val="23"/>
        </w:rPr>
        <w:t>impact</w:t>
      </w:r>
      <w:r>
        <w:rPr>
          <w:spacing w:val="-9"/>
          <w:sz w:val="23"/>
        </w:rPr>
        <w:t> </w:t>
      </w:r>
      <w:r>
        <w:rPr>
          <w:sz w:val="23"/>
        </w:rPr>
        <w:t>for</w:t>
      </w:r>
      <w:r>
        <w:rPr>
          <w:spacing w:val="-10"/>
          <w:sz w:val="23"/>
        </w:rPr>
        <w:t> </w:t>
      </w:r>
      <w:r>
        <w:rPr>
          <w:sz w:val="23"/>
        </w:rPr>
        <w:t>at</w:t>
      </w:r>
      <w:r>
        <w:rPr>
          <w:spacing w:val="-9"/>
          <w:sz w:val="23"/>
        </w:rPr>
        <w:t> </w:t>
      </w:r>
      <w:r>
        <w:rPr>
          <w:sz w:val="23"/>
        </w:rPr>
        <w:t>least</w:t>
      </w:r>
      <w:r>
        <w:rPr>
          <w:spacing w:val="-7"/>
          <w:sz w:val="23"/>
        </w:rPr>
        <w:t> </w:t>
      </w:r>
      <w:r>
        <w:rPr>
          <w:sz w:val="23"/>
        </w:rPr>
        <w:t>one;</w:t>
      </w:r>
      <w:r>
        <w:rPr>
          <w:spacing w:val="-9"/>
          <w:sz w:val="23"/>
        </w:rPr>
        <w:t> </w:t>
      </w:r>
      <w:r>
        <w:rPr>
          <w:sz w:val="23"/>
        </w:rPr>
        <w:t>VREL</w:t>
      </w:r>
      <w:r>
        <w:rPr>
          <w:spacing w:val="-9"/>
          <w:sz w:val="23"/>
        </w:rPr>
        <w:t> </w:t>
      </w:r>
      <w:r>
        <w:rPr>
          <w:sz w:val="23"/>
        </w:rPr>
        <w:t>(-0.17926,</w:t>
      </w:r>
      <w:r>
        <w:rPr>
          <w:spacing w:val="-10"/>
          <w:sz w:val="23"/>
        </w:rPr>
        <w:t> </w:t>
      </w:r>
      <w:r>
        <w:rPr>
          <w:sz w:val="23"/>
        </w:rPr>
        <w:t>p=0.000),</w:t>
      </w:r>
      <w:r>
        <w:rPr>
          <w:spacing w:val="-7"/>
          <w:sz w:val="23"/>
        </w:rPr>
        <w:t> </w:t>
      </w:r>
      <w:r>
        <w:rPr>
          <w:sz w:val="23"/>
        </w:rPr>
        <w:t>managerial</w:t>
      </w:r>
      <w:r>
        <w:rPr>
          <w:spacing w:val="-9"/>
          <w:sz w:val="23"/>
        </w:rPr>
        <w:t> </w:t>
      </w:r>
      <w:r>
        <w:rPr>
          <w:sz w:val="23"/>
        </w:rPr>
        <w:t>ownership</w:t>
      </w:r>
      <w:r>
        <w:rPr>
          <w:spacing w:val="-7"/>
          <w:sz w:val="23"/>
        </w:rPr>
        <w:t> </w:t>
      </w:r>
      <w:r>
        <w:rPr>
          <w:sz w:val="23"/>
        </w:rPr>
        <w:t>was</w:t>
      </w:r>
      <w:r>
        <w:rPr>
          <w:spacing w:val="-8"/>
          <w:sz w:val="23"/>
        </w:rPr>
        <w:t> </w:t>
      </w:r>
      <w:r>
        <w:rPr>
          <w:sz w:val="23"/>
        </w:rPr>
        <w:t>found</w:t>
      </w:r>
      <w:r>
        <w:rPr>
          <w:spacing w:val="-10"/>
          <w:sz w:val="23"/>
        </w:rPr>
        <w:t> </w:t>
      </w:r>
      <w:r>
        <w:rPr>
          <w:sz w:val="23"/>
        </w:rPr>
        <w:t>to have</w:t>
      </w:r>
      <w:r>
        <w:rPr>
          <w:spacing w:val="-1"/>
          <w:sz w:val="23"/>
        </w:rPr>
        <w:t> </w:t>
      </w:r>
      <w:r>
        <w:rPr>
          <w:sz w:val="23"/>
        </w:rPr>
        <w:t>an insignificant impact across all measures (QUA-FRQ=0.0005, p=0.2696; DACC= 0.0018, p=0.7849;</w:t>
      </w:r>
      <w:r>
        <w:rPr>
          <w:spacing w:val="-15"/>
          <w:sz w:val="23"/>
        </w:rPr>
        <w:t> </w:t>
      </w:r>
      <w:r>
        <w:rPr>
          <w:sz w:val="23"/>
        </w:rPr>
        <w:t>VREL=</w:t>
      </w:r>
      <w:r>
        <w:rPr>
          <w:spacing w:val="-14"/>
          <w:sz w:val="23"/>
        </w:rPr>
        <w:t> </w:t>
      </w:r>
      <w:r>
        <w:rPr>
          <w:sz w:val="23"/>
        </w:rPr>
        <w:t>0.0129,</w:t>
      </w:r>
      <w:r>
        <w:rPr>
          <w:spacing w:val="-15"/>
          <w:sz w:val="23"/>
        </w:rPr>
        <w:t> </w:t>
      </w:r>
      <w:r>
        <w:rPr>
          <w:sz w:val="23"/>
        </w:rPr>
        <w:t>p=0.6857),</w:t>
      </w:r>
      <w:r>
        <w:rPr>
          <w:spacing w:val="-14"/>
          <w:sz w:val="23"/>
        </w:rPr>
        <w:t> </w:t>
      </w:r>
      <w:r>
        <w:rPr>
          <w:sz w:val="23"/>
        </w:rPr>
        <w:t>foreign</w:t>
      </w:r>
      <w:r>
        <w:rPr>
          <w:spacing w:val="-14"/>
          <w:sz w:val="23"/>
        </w:rPr>
        <w:t> </w:t>
      </w:r>
      <w:r>
        <w:rPr>
          <w:sz w:val="23"/>
        </w:rPr>
        <w:t>ownership</w:t>
      </w:r>
      <w:r>
        <w:rPr>
          <w:spacing w:val="-15"/>
          <w:sz w:val="23"/>
        </w:rPr>
        <w:t> </w:t>
      </w:r>
      <w:r>
        <w:rPr>
          <w:sz w:val="23"/>
        </w:rPr>
        <w:t>was</w:t>
      </w:r>
      <w:r>
        <w:rPr>
          <w:spacing w:val="-14"/>
          <w:sz w:val="23"/>
        </w:rPr>
        <w:t> </w:t>
      </w:r>
      <w:r>
        <w:rPr>
          <w:sz w:val="23"/>
        </w:rPr>
        <w:t>found</w:t>
      </w:r>
      <w:r>
        <w:rPr>
          <w:spacing w:val="-14"/>
          <w:sz w:val="23"/>
        </w:rPr>
        <w:t> </w:t>
      </w:r>
      <w:r>
        <w:rPr>
          <w:sz w:val="23"/>
        </w:rPr>
        <w:t>to</w:t>
      </w:r>
      <w:r>
        <w:rPr>
          <w:spacing w:val="-15"/>
          <w:sz w:val="23"/>
        </w:rPr>
        <w:t> </w:t>
      </w:r>
      <w:r>
        <w:rPr>
          <w:sz w:val="23"/>
        </w:rPr>
        <w:t>have</w:t>
      </w:r>
      <w:r>
        <w:rPr>
          <w:spacing w:val="-14"/>
          <w:sz w:val="23"/>
        </w:rPr>
        <w:t> </w:t>
      </w:r>
      <w:r>
        <w:rPr>
          <w:sz w:val="23"/>
        </w:rPr>
        <w:t>an</w:t>
      </w:r>
      <w:r>
        <w:rPr>
          <w:spacing w:val="-15"/>
          <w:sz w:val="23"/>
        </w:rPr>
        <w:t> </w:t>
      </w:r>
      <w:r>
        <w:rPr>
          <w:sz w:val="23"/>
        </w:rPr>
        <w:t>insignificant</w:t>
      </w:r>
      <w:r>
        <w:rPr>
          <w:spacing w:val="-14"/>
          <w:sz w:val="23"/>
        </w:rPr>
        <w:t> </w:t>
      </w:r>
      <w:r>
        <w:rPr>
          <w:sz w:val="23"/>
        </w:rPr>
        <w:t>impact across</w:t>
      </w:r>
      <w:r>
        <w:rPr>
          <w:spacing w:val="27"/>
          <w:sz w:val="23"/>
        </w:rPr>
        <w:t> </w:t>
      </w:r>
      <w:r>
        <w:rPr>
          <w:sz w:val="23"/>
        </w:rPr>
        <w:t>all</w:t>
      </w:r>
      <w:r>
        <w:rPr>
          <w:spacing w:val="28"/>
          <w:sz w:val="23"/>
        </w:rPr>
        <w:t> </w:t>
      </w:r>
      <w:r>
        <w:rPr>
          <w:sz w:val="23"/>
        </w:rPr>
        <w:t>measures</w:t>
      </w:r>
      <w:r>
        <w:rPr>
          <w:spacing w:val="27"/>
          <w:sz w:val="23"/>
        </w:rPr>
        <w:t> </w:t>
      </w:r>
      <w:r>
        <w:rPr>
          <w:sz w:val="23"/>
        </w:rPr>
        <w:t>(QUA-FRQ=0.0009,</w:t>
      </w:r>
      <w:r>
        <w:rPr>
          <w:spacing w:val="28"/>
          <w:sz w:val="23"/>
        </w:rPr>
        <w:t> </w:t>
      </w:r>
      <w:r>
        <w:rPr>
          <w:sz w:val="23"/>
        </w:rPr>
        <w:t>p=0.0153;</w:t>
      </w:r>
      <w:r>
        <w:rPr>
          <w:spacing w:val="28"/>
          <w:sz w:val="23"/>
        </w:rPr>
        <w:t> </w:t>
      </w:r>
      <w:r>
        <w:rPr>
          <w:sz w:val="23"/>
        </w:rPr>
        <w:t>DACC=</w:t>
      </w:r>
      <w:r>
        <w:rPr>
          <w:spacing w:val="28"/>
          <w:sz w:val="23"/>
        </w:rPr>
        <w:t> </w:t>
      </w:r>
      <w:r>
        <w:rPr>
          <w:sz w:val="23"/>
        </w:rPr>
        <w:t>0.008,</w:t>
      </w:r>
      <w:r>
        <w:rPr>
          <w:spacing w:val="28"/>
          <w:sz w:val="23"/>
        </w:rPr>
        <w:t> </w:t>
      </w:r>
      <w:r>
        <w:rPr>
          <w:sz w:val="23"/>
        </w:rPr>
        <w:t>p=0.1715;</w:t>
      </w:r>
      <w:r>
        <w:rPr>
          <w:spacing w:val="28"/>
          <w:sz w:val="23"/>
        </w:rPr>
        <w:t> </w:t>
      </w:r>
      <w:r>
        <w:rPr>
          <w:sz w:val="23"/>
        </w:rPr>
        <w:t>VREL=</w:t>
      </w:r>
      <w:r>
        <w:rPr>
          <w:spacing w:val="29"/>
          <w:sz w:val="23"/>
        </w:rPr>
        <w:t> </w:t>
      </w:r>
      <w:r>
        <w:rPr>
          <w:spacing w:val="-2"/>
          <w:sz w:val="23"/>
        </w:rPr>
        <w:t>0.0852,</w:t>
      </w:r>
    </w:p>
    <w:p>
      <w:pPr>
        <w:spacing w:line="240" w:lineRule="auto" w:before="2"/>
        <w:ind w:left="940" w:right="1433" w:firstLine="0"/>
        <w:jc w:val="both"/>
        <w:rPr>
          <w:sz w:val="23"/>
        </w:rPr>
      </w:pPr>
      <w:r>
        <w:rPr>
          <w:sz w:val="23"/>
        </w:rPr>
        <w:t>p=0.0401)</w:t>
      </w:r>
      <w:r>
        <w:rPr>
          <w:spacing w:val="-12"/>
          <w:sz w:val="23"/>
        </w:rPr>
        <w:t> </w:t>
      </w:r>
      <w:r>
        <w:rPr>
          <w:sz w:val="23"/>
        </w:rPr>
        <w:t>and</w:t>
      </w:r>
      <w:r>
        <w:rPr>
          <w:spacing w:val="-12"/>
          <w:sz w:val="23"/>
        </w:rPr>
        <w:t> </w:t>
      </w:r>
      <w:r>
        <w:rPr>
          <w:sz w:val="23"/>
        </w:rPr>
        <w:t>block</w:t>
      </w:r>
      <w:r>
        <w:rPr>
          <w:spacing w:val="-12"/>
          <w:sz w:val="23"/>
        </w:rPr>
        <w:t> </w:t>
      </w:r>
      <w:r>
        <w:rPr>
          <w:sz w:val="23"/>
        </w:rPr>
        <w:t>ownership</w:t>
      </w:r>
      <w:r>
        <w:rPr>
          <w:spacing w:val="-12"/>
          <w:sz w:val="23"/>
        </w:rPr>
        <w:t> </w:t>
      </w:r>
      <w:r>
        <w:rPr>
          <w:sz w:val="23"/>
        </w:rPr>
        <w:t>was</w:t>
      </w:r>
      <w:r>
        <w:rPr>
          <w:spacing w:val="-13"/>
          <w:sz w:val="23"/>
        </w:rPr>
        <w:t> </w:t>
      </w:r>
      <w:r>
        <w:rPr>
          <w:sz w:val="23"/>
        </w:rPr>
        <w:t>found</w:t>
      </w:r>
      <w:r>
        <w:rPr>
          <w:spacing w:val="-12"/>
          <w:sz w:val="23"/>
        </w:rPr>
        <w:t> </w:t>
      </w:r>
      <w:r>
        <w:rPr>
          <w:sz w:val="23"/>
        </w:rPr>
        <w:t>to</w:t>
      </w:r>
      <w:r>
        <w:rPr>
          <w:spacing w:val="-12"/>
          <w:sz w:val="23"/>
        </w:rPr>
        <w:t> </w:t>
      </w:r>
      <w:r>
        <w:rPr>
          <w:sz w:val="23"/>
        </w:rPr>
        <w:t>have</w:t>
      </w:r>
      <w:r>
        <w:rPr>
          <w:spacing w:val="-14"/>
          <w:sz w:val="23"/>
        </w:rPr>
        <w:t> </w:t>
      </w:r>
      <w:r>
        <w:rPr>
          <w:sz w:val="23"/>
        </w:rPr>
        <w:t>a</w:t>
      </w:r>
      <w:r>
        <w:rPr>
          <w:spacing w:val="-11"/>
          <w:sz w:val="23"/>
        </w:rPr>
        <w:t> </w:t>
      </w:r>
      <w:r>
        <w:rPr>
          <w:sz w:val="23"/>
        </w:rPr>
        <w:t>significant</w:t>
      </w:r>
      <w:r>
        <w:rPr>
          <w:spacing w:val="-12"/>
          <w:sz w:val="23"/>
        </w:rPr>
        <w:t> </w:t>
      </w:r>
      <w:r>
        <w:rPr>
          <w:sz w:val="23"/>
        </w:rPr>
        <w:t>impact</w:t>
      </w:r>
      <w:r>
        <w:rPr>
          <w:spacing w:val="-12"/>
          <w:sz w:val="23"/>
        </w:rPr>
        <w:t> </w:t>
      </w:r>
      <w:r>
        <w:rPr>
          <w:sz w:val="23"/>
        </w:rPr>
        <w:t>across</w:t>
      </w:r>
      <w:r>
        <w:rPr>
          <w:spacing w:val="-13"/>
          <w:sz w:val="23"/>
        </w:rPr>
        <w:t> </w:t>
      </w:r>
      <w:r>
        <w:rPr>
          <w:sz w:val="23"/>
        </w:rPr>
        <w:t>QUA-FRQ</w:t>
      </w:r>
      <w:r>
        <w:rPr>
          <w:spacing w:val="-13"/>
          <w:sz w:val="23"/>
        </w:rPr>
        <w:t> </w:t>
      </w:r>
      <w:r>
        <w:rPr>
          <w:sz w:val="23"/>
        </w:rPr>
        <w:t>(-0.0006, p=0.0233) and VREL (0.1485, p=0.0003) measures. The study concluded that IFRS adoption improved reporting quality although the impact was not without variation across the reporting quality</w:t>
      </w:r>
      <w:r>
        <w:rPr>
          <w:spacing w:val="-5"/>
          <w:sz w:val="23"/>
        </w:rPr>
        <w:t> </w:t>
      </w:r>
      <w:r>
        <w:rPr>
          <w:sz w:val="23"/>
        </w:rPr>
        <w:t>proxy</w:t>
      </w:r>
      <w:r>
        <w:rPr>
          <w:spacing w:val="-5"/>
          <w:sz w:val="23"/>
        </w:rPr>
        <w:t> </w:t>
      </w:r>
      <w:r>
        <w:rPr>
          <w:sz w:val="23"/>
        </w:rPr>
        <w:t>used</w:t>
      </w:r>
      <w:r>
        <w:rPr>
          <w:spacing w:val="-5"/>
          <w:sz w:val="23"/>
        </w:rPr>
        <w:t> </w:t>
      </w:r>
      <w:r>
        <w:rPr>
          <w:sz w:val="23"/>
        </w:rPr>
        <w:t>and</w:t>
      </w:r>
      <w:r>
        <w:rPr>
          <w:spacing w:val="-7"/>
          <w:sz w:val="23"/>
        </w:rPr>
        <w:t> </w:t>
      </w:r>
      <w:r>
        <w:rPr>
          <w:sz w:val="23"/>
        </w:rPr>
        <w:t>the</w:t>
      </w:r>
      <w:r>
        <w:rPr>
          <w:spacing w:val="-6"/>
          <w:sz w:val="23"/>
        </w:rPr>
        <w:t> </w:t>
      </w:r>
      <w:r>
        <w:rPr>
          <w:sz w:val="23"/>
        </w:rPr>
        <w:t>specific</w:t>
      </w:r>
      <w:r>
        <w:rPr>
          <w:spacing w:val="-7"/>
          <w:sz w:val="23"/>
        </w:rPr>
        <w:t> </w:t>
      </w:r>
      <w:r>
        <w:rPr>
          <w:sz w:val="23"/>
        </w:rPr>
        <w:t>corporate</w:t>
      </w:r>
      <w:r>
        <w:rPr>
          <w:spacing w:val="-4"/>
          <w:sz w:val="23"/>
        </w:rPr>
        <w:t> </w:t>
      </w:r>
      <w:r>
        <w:rPr>
          <w:sz w:val="23"/>
        </w:rPr>
        <w:t>governance</w:t>
      </w:r>
      <w:r>
        <w:rPr>
          <w:spacing w:val="-6"/>
          <w:sz w:val="23"/>
        </w:rPr>
        <w:t> </w:t>
      </w:r>
      <w:r>
        <w:rPr>
          <w:sz w:val="23"/>
        </w:rPr>
        <w:t>variables. In</w:t>
      </w:r>
      <w:r>
        <w:rPr>
          <w:spacing w:val="-5"/>
          <w:sz w:val="23"/>
        </w:rPr>
        <w:t> </w:t>
      </w:r>
      <w:r>
        <w:rPr>
          <w:sz w:val="23"/>
        </w:rPr>
        <w:t>the</w:t>
      </w:r>
      <w:r>
        <w:rPr>
          <w:spacing w:val="-4"/>
          <w:sz w:val="23"/>
        </w:rPr>
        <w:t> </w:t>
      </w:r>
      <w:r>
        <w:rPr>
          <w:sz w:val="23"/>
        </w:rPr>
        <w:t>light</w:t>
      </w:r>
      <w:r>
        <w:rPr>
          <w:spacing w:val="-6"/>
          <w:sz w:val="23"/>
        </w:rPr>
        <w:t> </w:t>
      </w:r>
      <w:r>
        <w:rPr>
          <w:sz w:val="23"/>
        </w:rPr>
        <w:t>of</w:t>
      </w:r>
      <w:r>
        <w:rPr>
          <w:spacing w:val="-5"/>
          <w:sz w:val="23"/>
        </w:rPr>
        <w:t> </w:t>
      </w:r>
      <w:r>
        <w:rPr>
          <w:sz w:val="23"/>
        </w:rPr>
        <w:t>the</w:t>
      </w:r>
      <w:r>
        <w:rPr>
          <w:spacing w:val="-4"/>
          <w:sz w:val="23"/>
        </w:rPr>
        <w:t> </w:t>
      </w:r>
      <w:r>
        <w:rPr>
          <w:sz w:val="23"/>
        </w:rPr>
        <w:t>findings,</w:t>
      </w:r>
      <w:r>
        <w:rPr>
          <w:spacing w:val="-7"/>
          <w:sz w:val="23"/>
        </w:rPr>
        <w:t> </w:t>
      </w:r>
      <w:r>
        <w:rPr>
          <w:sz w:val="23"/>
        </w:rPr>
        <w:t>the following recommendations were made. First, stakeholders should ensure that the information on annual</w:t>
      </w:r>
      <w:r>
        <w:rPr>
          <w:spacing w:val="-9"/>
          <w:sz w:val="23"/>
        </w:rPr>
        <w:t> </w:t>
      </w:r>
      <w:r>
        <w:rPr>
          <w:sz w:val="23"/>
        </w:rPr>
        <w:t>reports</w:t>
      </w:r>
      <w:r>
        <w:rPr>
          <w:spacing w:val="-13"/>
          <w:sz w:val="23"/>
        </w:rPr>
        <w:t> </w:t>
      </w:r>
      <w:r>
        <w:rPr>
          <w:sz w:val="23"/>
        </w:rPr>
        <w:t>is</w:t>
      </w:r>
      <w:r>
        <w:rPr>
          <w:spacing w:val="-10"/>
          <w:sz w:val="23"/>
        </w:rPr>
        <w:t> </w:t>
      </w:r>
      <w:r>
        <w:rPr>
          <w:sz w:val="23"/>
        </w:rPr>
        <w:t>critically</w:t>
      </w:r>
      <w:r>
        <w:rPr>
          <w:spacing w:val="-14"/>
          <w:sz w:val="23"/>
        </w:rPr>
        <w:t> </w:t>
      </w:r>
      <w:r>
        <w:rPr>
          <w:sz w:val="23"/>
        </w:rPr>
        <w:t>in</w:t>
      </w:r>
      <w:r>
        <w:rPr>
          <w:spacing w:val="-10"/>
          <w:sz w:val="23"/>
        </w:rPr>
        <w:t> </w:t>
      </w:r>
      <w:r>
        <w:rPr>
          <w:sz w:val="23"/>
        </w:rPr>
        <w:t>line</w:t>
      </w:r>
      <w:r>
        <w:rPr>
          <w:spacing w:val="-11"/>
          <w:sz w:val="23"/>
        </w:rPr>
        <w:t> </w:t>
      </w:r>
      <w:r>
        <w:rPr>
          <w:sz w:val="23"/>
        </w:rPr>
        <w:t>with</w:t>
      </w:r>
      <w:r>
        <w:rPr>
          <w:spacing w:val="-12"/>
          <w:sz w:val="23"/>
        </w:rPr>
        <w:t> </w:t>
      </w:r>
      <w:r>
        <w:rPr>
          <w:sz w:val="23"/>
        </w:rPr>
        <w:t>the</w:t>
      </w:r>
      <w:r>
        <w:rPr>
          <w:spacing w:val="-9"/>
          <w:sz w:val="23"/>
        </w:rPr>
        <w:t> </w:t>
      </w:r>
      <w:r>
        <w:rPr>
          <w:sz w:val="23"/>
        </w:rPr>
        <w:t>IASB</w:t>
      </w:r>
      <w:r>
        <w:rPr>
          <w:spacing w:val="-10"/>
          <w:sz w:val="23"/>
        </w:rPr>
        <w:t> </w:t>
      </w:r>
      <w:r>
        <w:rPr>
          <w:sz w:val="23"/>
        </w:rPr>
        <w:t>qualitative</w:t>
      </w:r>
      <w:r>
        <w:rPr>
          <w:spacing w:val="-11"/>
          <w:sz w:val="23"/>
        </w:rPr>
        <w:t> </w:t>
      </w:r>
      <w:r>
        <w:rPr>
          <w:sz w:val="23"/>
        </w:rPr>
        <w:t>characteristics</w:t>
      </w:r>
      <w:r>
        <w:rPr>
          <w:spacing w:val="-10"/>
          <w:sz w:val="23"/>
        </w:rPr>
        <w:t> </w:t>
      </w:r>
      <w:r>
        <w:rPr>
          <w:sz w:val="23"/>
        </w:rPr>
        <w:t>of</w:t>
      </w:r>
      <w:r>
        <w:rPr>
          <w:spacing w:val="-12"/>
          <w:sz w:val="23"/>
        </w:rPr>
        <w:t> </w:t>
      </w:r>
      <w:r>
        <w:rPr>
          <w:sz w:val="23"/>
        </w:rPr>
        <w:t>financial</w:t>
      </w:r>
      <w:r>
        <w:rPr>
          <w:spacing w:val="-11"/>
          <w:sz w:val="23"/>
        </w:rPr>
        <w:t> </w:t>
      </w:r>
      <w:r>
        <w:rPr>
          <w:sz w:val="23"/>
        </w:rPr>
        <w:t>information. Second, there is the need for the board size of Nigerian banks to be looked at more critically. Though</w:t>
      </w:r>
      <w:r>
        <w:rPr>
          <w:spacing w:val="-13"/>
          <w:sz w:val="23"/>
        </w:rPr>
        <w:t> </w:t>
      </w:r>
      <w:r>
        <w:rPr>
          <w:sz w:val="23"/>
        </w:rPr>
        <w:t>there</w:t>
      </w:r>
      <w:r>
        <w:rPr>
          <w:spacing w:val="-11"/>
          <w:sz w:val="23"/>
        </w:rPr>
        <w:t> </w:t>
      </w:r>
      <w:r>
        <w:rPr>
          <w:sz w:val="23"/>
        </w:rPr>
        <w:t>is</w:t>
      </w:r>
      <w:r>
        <w:rPr>
          <w:spacing w:val="-13"/>
          <w:sz w:val="23"/>
        </w:rPr>
        <w:t> </w:t>
      </w:r>
      <w:r>
        <w:rPr>
          <w:sz w:val="23"/>
        </w:rPr>
        <w:t>yet</w:t>
      </w:r>
      <w:r>
        <w:rPr>
          <w:spacing w:val="-13"/>
          <w:sz w:val="23"/>
        </w:rPr>
        <w:t> </w:t>
      </w:r>
      <w:r>
        <w:rPr>
          <w:sz w:val="23"/>
        </w:rPr>
        <w:t>no</w:t>
      </w:r>
      <w:r>
        <w:rPr>
          <w:spacing w:val="-13"/>
          <w:sz w:val="23"/>
        </w:rPr>
        <w:t> </w:t>
      </w:r>
      <w:r>
        <w:rPr>
          <w:sz w:val="23"/>
        </w:rPr>
        <w:t>consensus</w:t>
      </w:r>
      <w:r>
        <w:rPr>
          <w:spacing w:val="-13"/>
          <w:sz w:val="23"/>
        </w:rPr>
        <w:t> </w:t>
      </w:r>
      <w:r>
        <w:rPr>
          <w:sz w:val="23"/>
        </w:rPr>
        <w:t>regarding</w:t>
      </w:r>
      <w:r>
        <w:rPr>
          <w:spacing w:val="-12"/>
          <w:sz w:val="23"/>
        </w:rPr>
        <w:t> </w:t>
      </w:r>
      <w:r>
        <w:rPr>
          <w:sz w:val="23"/>
        </w:rPr>
        <w:t>what</w:t>
      </w:r>
      <w:r>
        <w:rPr>
          <w:spacing w:val="-13"/>
          <w:sz w:val="23"/>
        </w:rPr>
        <w:t> </w:t>
      </w:r>
      <w:r>
        <w:rPr>
          <w:sz w:val="23"/>
        </w:rPr>
        <w:t>constitutes</w:t>
      </w:r>
      <w:r>
        <w:rPr>
          <w:spacing w:val="-13"/>
          <w:sz w:val="23"/>
        </w:rPr>
        <w:t> </w:t>
      </w:r>
      <w:r>
        <w:rPr>
          <w:sz w:val="23"/>
        </w:rPr>
        <w:t>an</w:t>
      </w:r>
      <w:r>
        <w:rPr>
          <w:spacing w:val="-13"/>
          <w:sz w:val="23"/>
        </w:rPr>
        <w:t> </w:t>
      </w:r>
      <w:r>
        <w:rPr>
          <w:sz w:val="23"/>
        </w:rPr>
        <w:t>optimal</w:t>
      </w:r>
      <w:r>
        <w:rPr>
          <w:spacing w:val="-12"/>
          <w:sz w:val="23"/>
        </w:rPr>
        <w:t> </w:t>
      </w:r>
      <w:r>
        <w:rPr>
          <w:sz w:val="23"/>
        </w:rPr>
        <w:t>board</w:t>
      </w:r>
      <w:r>
        <w:rPr>
          <w:spacing w:val="-12"/>
          <w:sz w:val="23"/>
        </w:rPr>
        <w:t> </w:t>
      </w:r>
      <w:r>
        <w:rPr>
          <w:sz w:val="23"/>
        </w:rPr>
        <w:t>size,</w:t>
      </w:r>
      <w:r>
        <w:rPr>
          <w:spacing w:val="-13"/>
          <w:sz w:val="23"/>
        </w:rPr>
        <w:t> </w:t>
      </w:r>
      <w:r>
        <w:rPr>
          <w:sz w:val="23"/>
        </w:rPr>
        <w:t>there</w:t>
      </w:r>
      <w:r>
        <w:rPr>
          <w:spacing w:val="-11"/>
          <w:sz w:val="23"/>
        </w:rPr>
        <w:t> </w:t>
      </w:r>
      <w:r>
        <w:rPr>
          <w:sz w:val="23"/>
        </w:rPr>
        <w:t>is</w:t>
      </w:r>
      <w:r>
        <w:rPr>
          <w:spacing w:val="-14"/>
          <w:sz w:val="23"/>
        </w:rPr>
        <w:t> </w:t>
      </w:r>
      <w:r>
        <w:rPr>
          <w:sz w:val="23"/>
        </w:rPr>
        <w:t>the</w:t>
      </w:r>
      <w:r>
        <w:rPr>
          <w:spacing w:val="-13"/>
          <w:sz w:val="23"/>
        </w:rPr>
        <w:t> </w:t>
      </w:r>
      <w:r>
        <w:rPr>
          <w:sz w:val="23"/>
        </w:rPr>
        <w:t>need to ensure that the present board size is efficient in improving corporate monitoring and then financial reporting quality. Third, a substantial proportion of corporate board should be non- executive directors with integrity and a reputation for transparency. In addition, such individuals should be involved in sensitive responsibilities that relate to improving reporting credibility. Fourth,</w:t>
      </w:r>
      <w:r>
        <w:rPr>
          <w:spacing w:val="-12"/>
          <w:sz w:val="23"/>
        </w:rPr>
        <w:t> </w:t>
      </w:r>
      <w:r>
        <w:rPr>
          <w:sz w:val="23"/>
        </w:rPr>
        <w:t>there</w:t>
      </w:r>
      <w:r>
        <w:rPr>
          <w:spacing w:val="-13"/>
          <w:sz w:val="23"/>
        </w:rPr>
        <w:t> </w:t>
      </w:r>
      <w:r>
        <w:rPr>
          <w:sz w:val="23"/>
        </w:rPr>
        <w:t>is</w:t>
      </w:r>
      <w:r>
        <w:rPr>
          <w:spacing w:val="-13"/>
          <w:sz w:val="23"/>
        </w:rPr>
        <w:t> </w:t>
      </w:r>
      <w:r>
        <w:rPr>
          <w:sz w:val="23"/>
        </w:rPr>
        <w:t>the</w:t>
      </w:r>
      <w:r>
        <w:rPr>
          <w:spacing w:val="-11"/>
          <w:sz w:val="23"/>
        </w:rPr>
        <w:t> </w:t>
      </w:r>
      <w:r>
        <w:rPr>
          <w:sz w:val="23"/>
        </w:rPr>
        <w:t>need</w:t>
      </w:r>
      <w:r>
        <w:rPr>
          <w:spacing w:val="-14"/>
          <w:sz w:val="23"/>
        </w:rPr>
        <w:t> </w:t>
      </w:r>
      <w:r>
        <w:rPr>
          <w:sz w:val="23"/>
        </w:rPr>
        <w:t>for</w:t>
      </w:r>
      <w:r>
        <w:rPr>
          <w:spacing w:val="-12"/>
          <w:sz w:val="23"/>
        </w:rPr>
        <w:t> </w:t>
      </w:r>
      <w:r>
        <w:rPr>
          <w:sz w:val="23"/>
        </w:rPr>
        <w:t>more</w:t>
      </w:r>
      <w:r>
        <w:rPr>
          <w:spacing w:val="-13"/>
          <w:sz w:val="23"/>
        </w:rPr>
        <w:t> </w:t>
      </w:r>
      <w:r>
        <w:rPr>
          <w:sz w:val="23"/>
        </w:rPr>
        <w:t>financial</w:t>
      </w:r>
      <w:r>
        <w:rPr>
          <w:spacing w:val="-12"/>
          <w:sz w:val="23"/>
        </w:rPr>
        <w:t> </w:t>
      </w:r>
      <w:r>
        <w:rPr>
          <w:sz w:val="23"/>
        </w:rPr>
        <w:t>literacy</w:t>
      </w:r>
      <w:r>
        <w:rPr>
          <w:spacing w:val="-12"/>
          <w:sz w:val="23"/>
        </w:rPr>
        <w:t> </w:t>
      </w:r>
      <w:r>
        <w:rPr>
          <w:sz w:val="23"/>
        </w:rPr>
        <w:t>board</w:t>
      </w:r>
      <w:r>
        <w:rPr>
          <w:spacing w:val="-12"/>
          <w:sz w:val="23"/>
        </w:rPr>
        <w:t> </w:t>
      </w:r>
      <w:r>
        <w:rPr>
          <w:sz w:val="23"/>
        </w:rPr>
        <w:t>members</w:t>
      </w:r>
      <w:r>
        <w:rPr>
          <w:spacing w:val="-13"/>
          <w:sz w:val="23"/>
        </w:rPr>
        <w:t> </w:t>
      </w:r>
      <w:r>
        <w:rPr>
          <w:sz w:val="23"/>
        </w:rPr>
        <w:t>and</w:t>
      </w:r>
      <w:r>
        <w:rPr>
          <w:spacing w:val="-12"/>
          <w:sz w:val="23"/>
        </w:rPr>
        <w:t> </w:t>
      </w:r>
      <w:r>
        <w:rPr>
          <w:sz w:val="23"/>
        </w:rPr>
        <w:t>also</w:t>
      </w:r>
      <w:r>
        <w:rPr>
          <w:spacing w:val="-12"/>
          <w:sz w:val="23"/>
        </w:rPr>
        <w:t> </w:t>
      </w:r>
      <w:r>
        <w:rPr>
          <w:sz w:val="23"/>
        </w:rPr>
        <w:t>the</w:t>
      </w:r>
      <w:r>
        <w:rPr>
          <w:spacing w:val="-13"/>
          <w:sz w:val="23"/>
        </w:rPr>
        <w:t> </w:t>
      </w:r>
      <w:r>
        <w:rPr>
          <w:sz w:val="23"/>
        </w:rPr>
        <w:t>process</w:t>
      </w:r>
      <w:r>
        <w:rPr>
          <w:spacing w:val="-13"/>
          <w:sz w:val="23"/>
        </w:rPr>
        <w:t> </w:t>
      </w:r>
      <w:r>
        <w:rPr>
          <w:sz w:val="23"/>
        </w:rPr>
        <w:t>of</w:t>
      </w:r>
      <w:r>
        <w:rPr>
          <w:spacing w:val="-14"/>
          <w:sz w:val="23"/>
        </w:rPr>
        <w:t> </w:t>
      </w:r>
      <w:r>
        <w:rPr>
          <w:sz w:val="23"/>
        </w:rPr>
        <w:t>financial skill development, a continuous one and, as such, with advances in the techniques of managerial manipulation, board members needed to update and upgrade their financial literacy levels especially incorporating forensic techniques and machine learning abilities which are the new approaches</w:t>
      </w:r>
      <w:r>
        <w:rPr>
          <w:spacing w:val="-6"/>
          <w:sz w:val="23"/>
        </w:rPr>
        <w:t> </w:t>
      </w:r>
      <w:r>
        <w:rPr>
          <w:sz w:val="23"/>
        </w:rPr>
        <w:t>to</w:t>
      </w:r>
      <w:r>
        <w:rPr>
          <w:spacing w:val="-7"/>
          <w:sz w:val="23"/>
        </w:rPr>
        <w:t> </w:t>
      </w:r>
      <w:r>
        <w:rPr>
          <w:sz w:val="23"/>
        </w:rPr>
        <w:t>fraud</w:t>
      </w:r>
      <w:r>
        <w:rPr>
          <w:spacing w:val="-5"/>
          <w:sz w:val="23"/>
        </w:rPr>
        <w:t> </w:t>
      </w:r>
      <w:r>
        <w:rPr>
          <w:sz w:val="23"/>
        </w:rPr>
        <w:t>detection.</w:t>
      </w:r>
      <w:r>
        <w:rPr>
          <w:spacing w:val="-5"/>
          <w:sz w:val="23"/>
        </w:rPr>
        <w:t> </w:t>
      </w:r>
      <w:r>
        <w:rPr>
          <w:sz w:val="23"/>
        </w:rPr>
        <w:t>Fifth,</w:t>
      </w:r>
      <w:r>
        <w:rPr>
          <w:spacing w:val="-7"/>
          <w:sz w:val="23"/>
        </w:rPr>
        <w:t> </w:t>
      </w:r>
      <w:r>
        <w:rPr>
          <w:sz w:val="23"/>
        </w:rPr>
        <w:t>there</w:t>
      </w:r>
      <w:r>
        <w:rPr>
          <w:spacing w:val="-4"/>
          <w:sz w:val="23"/>
        </w:rPr>
        <w:t> </w:t>
      </w:r>
      <w:r>
        <w:rPr>
          <w:sz w:val="23"/>
        </w:rPr>
        <w:t>is</w:t>
      </w:r>
      <w:r>
        <w:rPr>
          <w:spacing w:val="-6"/>
          <w:sz w:val="23"/>
        </w:rPr>
        <w:t> </w:t>
      </w:r>
      <w:r>
        <w:rPr>
          <w:sz w:val="23"/>
        </w:rPr>
        <w:t>the</w:t>
      </w:r>
      <w:r>
        <w:rPr>
          <w:spacing w:val="-4"/>
          <w:sz w:val="23"/>
        </w:rPr>
        <w:t> </w:t>
      </w:r>
      <w:r>
        <w:rPr>
          <w:sz w:val="23"/>
        </w:rPr>
        <w:t>need</w:t>
      </w:r>
      <w:r>
        <w:rPr>
          <w:spacing w:val="-5"/>
          <w:sz w:val="23"/>
        </w:rPr>
        <w:t> </w:t>
      </w:r>
      <w:r>
        <w:rPr>
          <w:sz w:val="23"/>
        </w:rPr>
        <w:t>for</w:t>
      </w:r>
      <w:r>
        <w:rPr>
          <w:spacing w:val="-5"/>
          <w:sz w:val="23"/>
        </w:rPr>
        <w:t> </w:t>
      </w:r>
      <w:r>
        <w:rPr>
          <w:sz w:val="23"/>
        </w:rPr>
        <w:t>more</w:t>
      </w:r>
      <w:r>
        <w:rPr>
          <w:spacing w:val="-4"/>
          <w:sz w:val="23"/>
        </w:rPr>
        <w:t> </w:t>
      </w:r>
      <w:r>
        <w:rPr>
          <w:sz w:val="23"/>
        </w:rPr>
        <w:t>institutional</w:t>
      </w:r>
      <w:r>
        <w:rPr>
          <w:spacing w:val="-4"/>
          <w:sz w:val="23"/>
        </w:rPr>
        <w:t> </w:t>
      </w:r>
      <w:r>
        <w:rPr>
          <w:sz w:val="23"/>
        </w:rPr>
        <w:t>presence to</w:t>
      </w:r>
      <w:r>
        <w:rPr>
          <w:spacing w:val="-5"/>
          <w:sz w:val="23"/>
        </w:rPr>
        <w:t> </w:t>
      </w:r>
      <w:r>
        <w:rPr>
          <w:sz w:val="23"/>
        </w:rPr>
        <w:t>be</w:t>
      </w:r>
      <w:r>
        <w:rPr>
          <w:spacing w:val="-4"/>
          <w:sz w:val="23"/>
        </w:rPr>
        <w:t> </w:t>
      </w:r>
      <w:r>
        <w:rPr>
          <w:sz w:val="23"/>
        </w:rPr>
        <w:t>actively involved in ensuring corporate transparency.</w:t>
      </w:r>
    </w:p>
    <w:p>
      <w:pPr>
        <w:tabs>
          <w:tab w:pos="2380" w:val="left" w:leader="none"/>
        </w:tabs>
        <w:spacing w:before="254"/>
        <w:ind w:left="2380" w:right="1436" w:hanging="1440"/>
        <w:jc w:val="left"/>
        <w:rPr>
          <w:sz w:val="23"/>
        </w:rPr>
      </w:pPr>
      <w:r>
        <w:rPr>
          <w:b/>
          <w:spacing w:val="-2"/>
          <w:sz w:val="23"/>
        </w:rPr>
        <w:t>Keywords:</w:t>
      </w:r>
      <w:r>
        <w:rPr>
          <w:b/>
          <w:sz w:val="23"/>
        </w:rPr>
        <w:tab/>
      </w:r>
      <w:r>
        <w:rPr>
          <w:sz w:val="23"/>
        </w:rPr>
        <w:t>IFRS,</w:t>
      </w:r>
      <w:r>
        <w:rPr>
          <w:spacing w:val="40"/>
          <w:sz w:val="23"/>
        </w:rPr>
        <w:t> </w:t>
      </w:r>
      <w:r>
        <w:rPr>
          <w:sz w:val="23"/>
        </w:rPr>
        <w:t>reporting</w:t>
      </w:r>
      <w:r>
        <w:rPr>
          <w:spacing w:val="40"/>
          <w:sz w:val="23"/>
        </w:rPr>
        <w:t> </w:t>
      </w:r>
      <w:r>
        <w:rPr>
          <w:sz w:val="23"/>
        </w:rPr>
        <w:t>quality,</w:t>
      </w:r>
      <w:r>
        <w:rPr>
          <w:spacing w:val="40"/>
          <w:sz w:val="23"/>
        </w:rPr>
        <w:t> </w:t>
      </w:r>
      <w:r>
        <w:rPr>
          <w:sz w:val="23"/>
        </w:rPr>
        <w:t>corporate</w:t>
      </w:r>
      <w:r>
        <w:rPr>
          <w:spacing w:val="40"/>
          <w:sz w:val="23"/>
        </w:rPr>
        <w:t> </w:t>
      </w:r>
      <w:r>
        <w:rPr>
          <w:sz w:val="23"/>
        </w:rPr>
        <w:t>governance,</w:t>
      </w:r>
      <w:r>
        <w:rPr>
          <w:spacing w:val="40"/>
          <w:sz w:val="23"/>
        </w:rPr>
        <w:t> </w:t>
      </w:r>
      <w:r>
        <w:rPr>
          <w:sz w:val="23"/>
        </w:rPr>
        <w:t>ownership</w:t>
      </w:r>
      <w:r>
        <w:rPr>
          <w:spacing w:val="40"/>
          <w:sz w:val="23"/>
        </w:rPr>
        <w:t> </w:t>
      </w:r>
      <w:r>
        <w:rPr>
          <w:sz w:val="23"/>
        </w:rPr>
        <w:t>structure</w:t>
      </w:r>
      <w:r>
        <w:rPr>
          <w:spacing w:val="40"/>
          <w:sz w:val="23"/>
        </w:rPr>
        <w:t> </w:t>
      </w:r>
      <w:r>
        <w:rPr>
          <w:sz w:val="23"/>
        </w:rPr>
        <w:t>and</w:t>
      </w:r>
      <w:r>
        <w:rPr>
          <w:spacing w:val="40"/>
          <w:sz w:val="23"/>
        </w:rPr>
        <w:t> </w:t>
      </w:r>
      <w:r>
        <w:rPr>
          <w:sz w:val="23"/>
        </w:rPr>
        <w:t>board </w:t>
      </w:r>
      <w:r>
        <w:rPr>
          <w:spacing w:val="-2"/>
          <w:sz w:val="23"/>
        </w:rPr>
        <w:t>attributes.</w:t>
      </w:r>
    </w:p>
    <w:p>
      <w:pPr>
        <w:spacing w:line="264" w:lineRule="exact" w:before="0"/>
        <w:ind w:left="940" w:right="0" w:firstLine="0"/>
        <w:jc w:val="both"/>
        <w:rPr>
          <w:sz w:val="23"/>
        </w:rPr>
      </w:pPr>
      <w:r>
        <w:rPr>
          <w:b/>
          <w:sz w:val="23"/>
        </w:rPr>
        <w:t>Word</w:t>
      </w:r>
      <w:r>
        <w:rPr>
          <w:b/>
          <w:spacing w:val="-2"/>
          <w:sz w:val="23"/>
        </w:rPr>
        <w:t> </w:t>
      </w:r>
      <w:r>
        <w:rPr>
          <w:b/>
          <w:sz w:val="23"/>
        </w:rPr>
        <w:t>count:</w:t>
      </w:r>
      <w:r>
        <w:rPr>
          <w:b/>
          <w:spacing w:val="32"/>
          <w:sz w:val="23"/>
        </w:rPr>
        <w:t>  </w:t>
      </w:r>
      <w:r>
        <w:rPr>
          <w:spacing w:val="-5"/>
          <w:sz w:val="23"/>
        </w:rPr>
        <w:t>601</w:t>
      </w:r>
    </w:p>
    <w:p>
      <w:pPr>
        <w:spacing w:after="0" w:line="264" w:lineRule="exact"/>
        <w:jc w:val="both"/>
        <w:rPr>
          <w:sz w:val="23"/>
        </w:rPr>
        <w:sectPr>
          <w:pgSz w:w="11910" w:h="16840"/>
          <w:pgMar w:header="0" w:footer="971" w:top="1360" w:bottom="1160" w:left="500" w:right="0"/>
        </w:sectPr>
      </w:pPr>
    </w:p>
    <w:p>
      <w:pPr>
        <w:pStyle w:val="Heading2"/>
        <w:spacing w:line="480" w:lineRule="auto"/>
        <w:ind w:left="4492" w:right="4991" w:firstLine="1"/>
      </w:pPr>
      <w:r>
        <w:rPr/>
        <w:t>CHAPTER ONE </w:t>
      </w:r>
      <w:r>
        <w:rPr>
          <w:spacing w:val="-2"/>
        </w:rPr>
        <w:t>INTRODUCTION</w:t>
      </w:r>
    </w:p>
    <w:p>
      <w:pPr>
        <w:pStyle w:val="Heading3"/>
        <w:numPr>
          <w:ilvl w:val="1"/>
          <w:numId w:val="18"/>
        </w:numPr>
        <w:tabs>
          <w:tab w:pos="1300" w:val="left" w:leader="none"/>
        </w:tabs>
        <w:spacing w:line="240" w:lineRule="auto" w:before="0" w:after="0"/>
        <w:ind w:left="1300" w:right="0" w:hanging="360"/>
        <w:jc w:val="left"/>
      </w:pPr>
      <w:bookmarkStart w:name="_TOC_250069" w:id="1"/>
      <w:r>
        <w:rPr/>
        <w:t>Background</w:t>
      </w:r>
      <w:r>
        <w:rPr>
          <w:spacing w:val="-2"/>
        </w:rPr>
        <w:t> </w:t>
      </w:r>
      <w:r>
        <w:rPr/>
        <w:t>to</w:t>
      </w:r>
      <w:r>
        <w:rPr>
          <w:spacing w:val="-1"/>
        </w:rPr>
        <w:t> </w:t>
      </w:r>
      <w:r>
        <w:rPr/>
        <w:t>the</w:t>
      </w:r>
      <w:r>
        <w:rPr>
          <w:spacing w:val="-2"/>
        </w:rPr>
        <w:t> </w:t>
      </w:r>
      <w:bookmarkEnd w:id="1"/>
      <w:r>
        <w:rPr>
          <w:spacing w:val="-4"/>
        </w:rPr>
        <w:t>Study</w:t>
      </w:r>
    </w:p>
    <w:p>
      <w:pPr>
        <w:pStyle w:val="BodyText"/>
        <w:rPr>
          <w:b/>
        </w:rPr>
      </w:pPr>
    </w:p>
    <w:p>
      <w:pPr>
        <w:pStyle w:val="BodyText"/>
        <w:spacing w:line="480" w:lineRule="auto"/>
        <w:ind w:left="940" w:right="1434"/>
        <w:jc w:val="both"/>
      </w:pPr>
      <w:r>
        <w:rPr/>
        <w:drawing>
          <wp:anchor distT="0" distB="0" distL="0" distR="0" allowOverlap="1" layoutInCell="1" locked="0" behindDoc="1" simplePos="0" relativeHeight="477668864">
            <wp:simplePos x="0" y="0"/>
            <wp:positionH relativeFrom="page">
              <wp:posOffset>1095451</wp:posOffset>
            </wp:positionH>
            <wp:positionV relativeFrom="paragraph">
              <wp:posOffset>760565</wp:posOffset>
            </wp:positionV>
            <wp:extent cx="5106847" cy="523811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5" cstate="print"/>
                    <a:stretch>
                      <a:fillRect/>
                    </a:stretch>
                  </pic:blipFill>
                  <pic:spPr>
                    <a:xfrm>
                      <a:off x="0" y="0"/>
                      <a:ext cx="5106847" cy="5238115"/>
                    </a:xfrm>
                    <a:prstGeom prst="rect">
                      <a:avLst/>
                    </a:prstGeom>
                  </pic:spPr>
                </pic:pic>
              </a:graphicData>
            </a:graphic>
          </wp:anchor>
        </w:drawing>
      </w:r>
      <w:r>
        <w:rPr/>
        <w:t>Corporate Governance (CG)</w:t>
      </w:r>
      <w:r>
        <w:rPr>
          <w:spacing w:val="-1"/>
        </w:rPr>
        <w:t> </w:t>
      </w:r>
      <w:r>
        <w:rPr/>
        <w:t>became a global issue due to the wave of corporate scandals that occurred in the international community. Several prominent corporate establishments such as Enron, WorldCom, Marconi, Parmelat, etc. were involved in the corporate scandal which weakened investors’ confidence on management teams and financial reports. The reason that was</w:t>
      </w:r>
      <w:r>
        <w:rPr>
          <w:spacing w:val="-7"/>
        </w:rPr>
        <w:t> </w:t>
      </w:r>
      <w:r>
        <w:rPr/>
        <w:t>adduced</w:t>
      </w:r>
      <w:r>
        <w:rPr>
          <w:spacing w:val="-5"/>
        </w:rPr>
        <w:t> </w:t>
      </w:r>
      <w:r>
        <w:rPr/>
        <w:t>for</w:t>
      </w:r>
      <w:r>
        <w:rPr>
          <w:spacing w:val="-6"/>
        </w:rPr>
        <w:t> </w:t>
      </w:r>
      <w:r>
        <w:rPr/>
        <w:t>the</w:t>
      </w:r>
      <w:r>
        <w:rPr>
          <w:spacing w:val="-5"/>
        </w:rPr>
        <w:t> </w:t>
      </w:r>
      <w:r>
        <w:rPr/>
        <w:t>collapse</w:t>
      </w:r>
      <w:r>
        <w:rPr>
          <w:spacing w:val="-7"/>
        </w:rPr>
        <w:t> </w:t>
      </w:r>
      <w:r>
        <w:rPr/>
        <w:t>of</w:t>
      </w:r>
      <w:r>
        <w:rPr>
          <w:spacing w:val="-7"/>
        </w:rPr>
        <w:t> </w:t>
      </w:r>
      <w:r>
        <w:rPr/>
        <w:t>those</w:t>
      </w:r>
      <w:r>
        <w:rPr>
          <w:spacing w:val="-7"/>
        </w:rPr>
        <w:t> </w:t>
      </w:r>
      <w:r>
        <w:rPr/>
        <w:t>corporate</w:t>
      </w:r>
      <w:r>
        <w:rPr>
          <w:spacing w:val="-8"/>
        </w:rPr>
        <w:t> </w:t>
      </w:r>
      <w:r>
        <w:rPr/>
        <w:t>bodies</w:t>
      </w:r>
      <w:r>
        <w:rPr>
          <w:spacing w:val="-7"/>
        </w:rPr>
        <w:t> </w:t>
      </w:r>
      <w:r>
        <w:rPr/>
        <w:t>was</w:t>
      </w:r>
      <w:r>
        <w:rPr>
          <w:spacing w:val="-7"/>
        </w:rPr>
        <w:t> </w:t>
      </w:r>
      <w:r>
        <w:rPr/>
        <w:t>the</w:t>
      </w:r>
      <w:r>
        <w:rPr>
          <w:spacing w:val="-7"/>
        </w:rPr>
        <w:t> </w:t>
      </w:r>
      <w:r>
        <w:rPr/>
        <w:t>wide</w:t>
      </w:r>
      <w:r>
        <w:rPr>
          <w:spacing w:val="-6"/>
        </w:rPr>
        <w:t> </w:t>
      </w:r>
      <w:r>
        <w:rPr/>
        <w:t>spread</w:t>
      </w:r>
      <w:r>
        <w:rPr>
          <w:spacing w:val="-5"/>
        </w:rPr>
        <w:t> </w:t>
      </w:r>
      <w:r>
        <w:rPr/>
        <w:t>failure</w:t>
      </w:r>
      <w:r>
        <w:rPr>
          <w:spacing w:val="-8"/>
        </w:rPr>
        <w:t> </w:t>
      </w:r>
      <w:r>
        <w:rPr/>
        <w:t>in</w:t>
      </w:r>
      <w:r>
        <w:rPr>
          <w:spacing w:val="-5"/>
        </w:rPr>
        <w:t> </w:t>
      </w:r>
      <w:r>
        <w:rPr/>
        <w:t>financial disclosures,</w:t>
      </w:r>
      <w:r>
        <w:rPr>
          <w:spacing w:val="-15"/>
        </w:rPr>
        <w:t> </w:t>
      </w:r>
      <w:r>
        <w:rPr/>
        <w:t>and</w:t>
      </w:r>
      <w:r>
        <w:rPr>
          <w:spacing w:val="-15"/>
        </w:rPr>
        <w:t> </w:t>
      </w:r>
      <w:r>
        <w:rPr/>
        <w:t>it</w:t>
      </w:r>
      <w:r>
        <w:rPr>
          <w:spacing w:val="-14"/>
        </w:rPr>
        <w:t> </w:t>
      </w:r>
      <w:r>
        <w:rPr/>
        <w:t>consequently</w:t>
      </w:r>
      <w:r>
        <w:rPr>
          <w:spacing w:val="-15"/>
        </w:rPr>
        <w:t> </w:t>
      </w:r>
      <w:r>
        <w:rPr/>
        <w:t>raised</w:t>
      </w:r>
      <w:r>
        <w:rPr>
          <w:spacing w:val="-15"/>
        </w:rPr>
        <w:t> </w:t>
      </w:r>
      <w:r>
        <w:rPr/>
        <w:t>criticisms</w:t>
      </w:r>
      <w:r>
        <w:rPr>
          <w:spacing w:val="-15"/>
        </w:rPr>
        <w:t> </w:t>
      </w:r>
      <w:r>
        <w:rPr/>
        <w:t>about</w:t>
      </w:r>
      <w:r>
        <w:rPr>
          <w:spacing w:val="-15"/>
        </w:rPr>
        <w:t> </w:t>
      </w:r>
      <w:r>
        <w:rPr/>
        <w:t>the</w:t>
      </w:r>
      <w:r>
        <w:rPr>
          <w:spacing w:val="-15"/>
        </w:rPr>
        <w:t> </w:t>
      </w:r>
      <w:r>
        <w:rPr/>
        <w:t>financial</w:t>
      </w:r>
      <w:r>
        <w:rPr>
          <w:spacing w:val="-15"/>
        </w:rPr>
        <w:t> </w:t>
      </w:r>
      <w:r>
        <w:rPr/>
        <w:t>reporting</w:t>
      </w:r>
      <w:r>
        <w:rPr>
          <w:spacing w:val="-15"/>
        </w:rPr>
        <w:t> </w:t>
      </w:r>
      <w:r>
        <w:rPr/>
        <w:t>quality</w:t>
      </w:r>
      <w:r>
        <w:rPr>
          <w:spacing w:val="-15"/>
        </w:rPr>
        <w:t> </w:t>
      </w:r>
      <w:r>
        <w:rPr/>
        <w:t>(Agrawal &amp; Chadha, 2005; Brown, Falaschetti &amp; Orlando, 2010). The financial scandals that sank the once ‘’high profile‟ companies around the world confirmed that there was an opaqueness in financial</w:t>
      </w:r>
      <w:r>
        <w:rPr>
          <w:spacing w:val="-11"/>
        </w:rPr>
        <w:t> </w:t>
      </w:r>
      <w:r>
        <w:rPr/>
        <w:t>reporting</w:t>
      </w:r>
      <w:r>
        <w:rPr>
          <w:spacing w:val="-10"/>
        </w:rPr>
        <w:t> </w:t>
      </w:r>
      <w:r>
        <w:rPr/>
        <w:t>that</w:t>
      </w:r>
      <w:r>
        <w:rPr>
          <w:spacing w:val="-11"/>
        </w:rPr>
        <w:t> </w:t>
      </w:r>
      <w:r>
        <w:rPr/>
        <w:t>had</w:t>
      </w:r>
      <w:r>
        <w:rPr>
          <w:spacing w:val="-11"/>
        </w:rPr>
        <w:t> </w:t>
      </w:r>
      <w:r>
        <w:rPr/>
        <w:t>hitherto</w:t>
      </w:r>
      <w:r>
        <w:rPr>
          <w:spacing w:val="-11"/>
        </w:rPr>
        <w:t> </w:t>
      </w:r>
      <w:r>
        <w:rPr/>
        <w:t>not</w:t>
      </w:r>
      <w:r>
        <w:rPr>
          <w:spacing w:val="-10"/>
        </w:rPr>
        <w:t> </w:t>
      </w:r>
      <w:r>
        <w:rPr/>
        <w:t>been</w:t>
      </w:r>
      <w:r>
        <w:rPr>
          <w:spacing w:val="-11"/>
        </w:rPr>
        <w:t> </w:t>
      </w:r>
      <w:r>
        <w:rPr/>
        <w:t>penetrated.</w:t>
      </w:r>
      <w:r>
        <w:rPr>
          <w:spacing w:val="-9"/>
        </w:rPr>
        <w:t> </w:t>
      </w:r>
      <w:r>
        <w:rPr/>
        <w:t>It</w:t>
      </w:r>
      <w:r>
        <w:rPr>
          <w:spacing w:val="-10"/>
        </w:rPr>
        <w:t> </w:t>
      </w:r>
      <w:r>
        <w:rPr/>
        <w:t>became</w:t>
      </w:r>
      <w:r>
        <w:rPr>
          <w:spacing w:val="-11"/>
        </w:rPr>
        <w:t> </w:t>
      </w:r>
      <w:r>
        <w:rPr/>
        <w:t>glaring</w:t>
      </w:r>
      <w:r>
        <w:rPr>
          <w:spacing w:val="-11"/>
        </w:rPr>
        <w:t> </w:t>
      </w:r>
      <w:r>
        <w:rPr/>
        <w:t>that</w:t>
      </w:r>
      <w:r>
        <w:rPr>
          <w:spacing w:val="-11"/>
        </w:rPr>
        <w:t> </w:t>
      </w:r>
      <w:r>
        <w:rPr/>
        <w:t>the</w:t>
      </w:r>
      <w:r>
        <w:rPr>
          <w:spacing w:val="-11"/>
        </w:rPr>
        <w:t> </w:t>
      </w:r>
      <w:r>
        <w:rPr/>
        <w:t>existing</w:t>
      </w:r>
      <w:r>
        <w:rPr>
          <w:spacing w:val="-10"/>
        </w:rPr>
        <w:t> </w:t>
      </w:r>
      <w:r>
        <w:rPr/>
        <w:t>CG mechanisms were inefficient as they failed to protect the investors’ interest. That led to the emergence of reforms in CG framework around the world such as the Sarbanese-Oxley Act (SOX)</w:t>
      </w:r>
      <w:r>
        <w:rPr>
          <w:spacing w:val="-10"/>
        </w:rPr>
        <w:t> </w:t>
      </w:r>
      <w:r>
        <w:rPr/>
        <w:t>which</w:t>
      </w:r>
      <w:r>
        <w:rPr>
          <w:spacing w:val="-10"/>
        </w:rPr>
        <w:t> </w:t>
      </w:r>
      <w:r>
        <w:rPr/>
        <w:t>was</w:t>
      </w:r>
      <w:r>
        <w:rPr>
          <w:spacing w:val="-9"/>
        </w:rPr>
        <w:t> </w:t>
      </w:r>
      <w:r>
        <w:rPr/>
        <w:t>introduced</w:t>
      </w:r>
      <w:r>
        <w:rPr>
          <w:spacing w:val="-10"/>
        </w:rPr>
        <w:t> </w:t>
      </w:r>
      <w:r>
        <w:rPr/>
        <w:t>in</w:t>
      </w:r>
      <w:r>
        <w:rPr>
          <w:spacing w:val="-9"/>
        </w:rPr>
        <w:t> </w:t>
      </w:r>
      <w:r>
        <w:rPr/>
        <w:t>2002</w:t>
      </w:r>
      <w:r>
        <w:rPr>
          <w:spacing w:val="-10"/>
        </w:rPr>
        <w:t> </w:t>
      </w:r>
      <w:r>
        <w:rPr/>
        <w:t>in</w:t>
      </w:r>
      <w:r>
        <w:rPr>
          <w:spacing w:val="-9"/>
        </w:rPr>
        <w:t> </w:t>
      </w:r>
      <w:r>
        <w:rPr/>
        <w:t>the</w:t>
      </w:r>
      <w:r>
        <w:rPr>
          <w:spacing w:val="-10"/>
        </w:rPr>
        <w:t> </w:t>
      </w:r>
      <w:r>
        <w:rPr/>
        <w:t>U.S.</w:t>
      </w:r>
      <w:r>
        <w:rPr>
          <w:spacing w:val="-9"/>
        </w:rPr>
        <w:t> </w:t>
      </w:r>
      <w:r>
        <w:rPr/>
        <w:t>with</w:t>
      </w:r>
      <w:r>
        <w:rPr>
          <w:spacing w:val="-10"/>
        </w:rPr>
        <w:t> </w:t>
      </w:r>
      <w:r>
        <w:rPr/>
        <w:t>a</w:t>
      </w:r>
      <w:r>
        <w:rPr>
          <w:spacing w:val="-11"/>
        </w:rPr>
        <w:t> </w:t>
      </w:r>
      <w:r>
        <w:rPr/>
        <w:t>view</w:t>
      </w:r>
      <w:r>
        <w:rPr>
          <w:spacing w:val="-11"/>
        </w:rPr>
        <w:t> </w:t>
      </w:r>
      <w:r>
        <w:rPr/>
        <w:t>to</w:t>
      </w:r>
      <w:r>
        <w:rPr>
          <w:spacing w:val="-9"/>
        </w:rPr>
        <w:t> </w:t>
      </w:r>
      <w:r>
        <w:rPr/>
        <w:t>improving</w:t>
      </w:r>
      <w:r>
        <w:rPr>
          <w:spacing w:val="-12"/>
        </w:rPr>
        <w:t> </w:t>
      </w:r>
      <w:r>
        <w:rPr/>
        <w:t>CG</w:t>
      </w:r>
      <w:r>
        <w:rPr>
          <w:spacing w:val="-10"/>
        </w:rPr>
        <w:t> </w:t>
      </w:r>
      <w:r>
        <w:rPr/>
        <w:t>practices.</w:t>
      </w:r>
      <w:r>
        <w:rPr>
          <w:spacing w:val="-9"/>
        </w:rPr>
        <w:t> </w:t>
      </w:r>
      <w:r>
        <w:rPr/>
        <w:t>Many other countries, both developed and developing, followed suit. Chang and</w:t>
      </w:r>
      <w:r>
        <w:rPr>
          <w:spacing w:val="-1"/>
        </w:rPr>
        <w:t> </w:t>
      </w:r>
      <w:r>
        <w:rPr/>
        <w:t>Sun (2009) posited that the passage of the SOX marked the beginning of firms’ mandatory disclosure of audit committee composition and other CG information. In Nigeria, the Security and Exchange Commission (SEC) was not left out in the struggle for a better CG framework. To regain investors’ confidence, there was the need to improve the financial information quality and strengthen</w:t>
      </w:r>
      <w:r>
        <w:rPr>
          <w:spacing w:val="-3"/>
        </w:rPr>
        <w:t> </w:t>
      </w:r>
      <w:r>
        <w:rPr/>
        <w:t>the</w:t>
      </w:r>
      <w:r>
        <w:rPr>
          <w:spacing w:val="-2"/>
        </w:rPr>
        <w:t> </w:t>
      </w:r>
      <w:r>
        <w:rPr/>
        <w:t>control</w:t>
      </w:r>
      <w:r>
        <w:rPr>
          <w:spacing w:val="-3"/>
        </w:rPr>
        <w:t> </w:t>
      </w:r>
      <w:r>
        <w:rPr/>
        <w:t>of</w:t>
      </w:r>
      <w:r>
        <w:rPr>
          <w:spacing w:val="-2"/>
        </w:rPr>
        <w:t> </w:t>
      </w:r>
      <w:r>
        <w:rPr/>
        <w:t>managers</w:t>
      </w:r>
      <w:r>
        <w:rPr>
          <w:spacing w:val="-3"/>
        </w:rPr>
        <w:t> </w:t>
      </w:r>
      <w:r>
        <w:rPr/>
        <w:t>by</w:t>
      </w:r>
      <w:r>
        <w:rPr>
          <w:spacing w:val="-2"/>
        </w:rPr>
        <w:t> </w:t>
      </w:r>
      <w:r>
        <w:rPr/>
        <w:t>setting</w:t>
      </w:r>
      <w:r>
        <w:rPr>
          <w:spacing w:val="-3"/>
        </w:rPr>
        <w:t> </w:t>
      </w:r>
      <w:r>
        <w:rPr/>
        <w:t>up</w:t>
      </w:r>
      <w:r>
        <w:rPr>
          <w:spacing w:val="-1"/>
        </w:rPr>
        <w:t> </w:t>
      </w:r>
      <w:r>
        <w:rPr/>
        <w:t>a good</w:t>
      </w:r>
      <w:r>
        <w:rPr>
          <w:spacing w:val="-3"/>
        </w:rPr>
        <w:t> </w:t>
      </w:r>
      <w:r>
        <w:rPr/>
        <w:t>CG</w:t>
      </w:r>
      <w:r>
        <w:rPr>
          <w:spacing w:val="-3"/>
        </w:rPr>
        <w:t> </w:t>
      </w:r>
      <w:r>
        <w:rPr/>
        <w:t>framework (Karamaou</w:t>
      </w:r>
      <w:r>
        <w:rPr>
          <w:spacing w:val="-3"/>
        </w:rPr>
        <w:t> </w:t>
      </w:r>
      <w:r>
        <w:rPr/>
        <w:t>&amp;</w:t>
      </w:r>
      <w:r>
        <w:rPr>
          <w:spacing w:val="-3"/>
        </w:rPr>
        <w:t> </w:t>
      </w:r>
      <w:r>
        <w:rPr/>
        <w:t>Vafeas, 2005;</w:t>
      </w:r>
      <w:r>
        <w:rPr>
          <w:spacing w:val="-1"/>
        </w:rPr>
        <w:t> </w:t>
      </w:r>
      <w:r>
        <w:rPr/>
        <w:t>Beekes</w:t>
      </w:r>
      <w:r>
        <w:rPr>
          <w:spacing w:val="-1"/>
        </w:rPr>
        <w:t> </w:t>
      </w:r>
      <w:r>
        <w:rPr/>
        <w:t>&amp;</w:t>
      </w:r>
      <w:r>
        <w:rPr>
          <w:spacing w:val="-1"/>
        </w:rPr>
        <w:t> </w:t>
      </w:r>
      <w:r>
        <w:rPr/>
        <w:t>Brown,</w:t>
      </w:r>
      <w:r>
        <w:rPr>
          <w:spacing w:val="2"/>
        </w:rPr>
        <w:t> </w:t>
      </w:r>
      <w:r>
        <w:rPr/>
        <w:t>2006;</w:t>
      </w:r>
      <w:r>
        <w:rPr>
          <w:spacing w:val="-1"/>
        </w:rPr>
        <w:t> </w:t>
      </w:r>
      <w:r>
        <w:rPr/>
        <w:t>Brown</w:t>
      </w:r>
      <w:r>
        <w:rPr>
          <w:spacing w:val="-1"/>
        </w:rPr>
        <w:t> </w:t>
      </w:r>
      <w:r>
        <w:rPr/>
        <w:t>&amp;</w:t>
      </w:r>
      <w:r>
        <w:rPr>
          <w:spacing w:val="-1"/>
        </w:rPr>
        <w:t> </w:t>
      </w:r>
      <w:r>
        <w:rPr/>
        <w:t>Caylor,</w:t>
      </w:r>
      <w:r>
        <w:rPr>
          <w:spacing w:val="-1"/>
        </w:rPr>
        <w:t> </w:t>
      </w:r>
      <w:r>
        <w:rPr/>
        <w:t>2006;</w:t>
      </w:r>
      <w:r>
        <w:rPr>
          <w:spacing w:val="-1"/>
        </w:rPr>
        <w:t> </w:t>
      </w:r>
      <w:r>
        <w:rPr/>
        <w:t>Firth,</w:t>
      </w:r>
      <w:r>
        <w:rPr>
          <w:spacing w:val="-1"/>
        </w:rPr>
        <w:t> </w:t>
      </w:r>
      <w:r>
        <w:rPr/>
        <w:t>Fung</w:t>
      </w:r>
      <w:r>
        <w:rPr>
          <w:spacing w:val="-1"/>
        </w:rPr>
        <w:t> </w:t>
      </w:r>
      <w:r>
        <w:rPr/>
        <w:t>&amp;</w:t>
      </w:r>
      <w:r>
        <w:rPr>
          <w:spacing w:val="-1"/>
        </w:rPr>
        <w:t> </w:t>
      </w:r>
      <w:r>
        <w:rPr/>
        <w:t>Rui,</w:t>
      </w:r>
      <w:r>
        <w:rPr>
          <w:spacing w:val="-1"/>
        </w:rPr>
        <w:t> </w:t>
      </w:r>
      <w:r>
        <w:rPr/>
        <w:t>2007;</w:t>
      </w:r>
      <w:r>
        <w:rPr>
          <w:spacing w:val="-1"/>
        </w:rPr>
        <w:t> </w:t>
      </w:r>
      <w:r>
        <w:rPr/>
        <w:t>Petra, </w:t>
      </w:r>
      <w:r>
        <w:rPr>
          <w:spacing w:val="-2"/>
        </w:rPr>
        <w:t>2007).</w:t>
      </w:r>
    </w:p>
    <w:p>
      <w:pPr>
        <w:pStyle w:val="BodyText"/>
        <w:spacing w:line="480" w:lineRule="auto" w:before="242"/>
        <w:ind w:left="940" w:right="1436"/>
        <w:jc w:val="both"/>
      </w:pPr>
      <w:r>
        <w:rPr/>
        <w:t>According</w:t>
      </w:r>
      <w:r>
        <w:rPr>
          <w:spacing w:val="-12"/>
        </w:rPr>
        <w:t> </w:t>
      </w:r>
      <w:r>
        <w:rPr/>
        <w:t>to</w:t>
      </w:r>
      <w:r>
        <w:rPr>
          <w:spacing w:val="-12"/>
        </w:rPr>
        <w:t> </w:t>
      </w:r>
      <w:r>
        <w:rPr/>
        <w:t>Kothari</w:t>
      </w:r>
      <w:r>
        <w:rPr>
          <w:spacing w:val="-12"/>
        </w:rPr>
        <w:t> </w:t>
      </w:r>
      <w:r>
        <w:rPr/>
        <w:t>(2001),</w:t>
      </w:r>
      <w:r>
        <w:rPr>
          <w:spacing w:val="-13"/>
        </w:rPr>
        <w:t> </w:t>
      </w:r>
      <w:r>
        <w:rPr/>
        <w:t>a</w:t>
      </w:r>
      <w:r>
        <w:rPr>
          <w:spacing w:val="-13"/>
        </w:rPr>
        <w:t> </w:t>
      </w:r>
      <w:r>
        <w:rPr/>
        <w:t>main</w:t>
      </w:r>
      <w:r>
        <w:rPr>
          <w:spacing w:val="-12"/>
        </w:rPr>
        <w:t> </w:t>
      </w:r>
      <w:r>
        <w:rPr/>
        <w:t>feature</w:t>
      </w:r>
      <w:r>
        <w:rPr>
          <w:spacing w:val="-13"/>
        </w:rPr>
        <w:t> </w:t>
      </w:r>
      <w:r>
        <w:rPr/>
        <w:t>of</w:t>
      </w:r>
      <w:r>
        <w:rPr>
          <w:spacing w:val="-13"/>
        </w:rPr>
        <w:t> </w:t>
      </w:r>
      <w:r>
        <w:rPr/>
        <w:t>financial</w:t>
      </w:r>
      <w:r>
        <w:rPr>
          <w:spacing w:val="-12"/>
        </w:rPr>
        <w:t> </w:t>
      </w:r>
      <w:r>
        <w:rPr/>
        <w:t>information</w:t>
      </w:r>
      <w:r>
        <w:rPr>
          <w:spacing w:val="-12"/>
        </w:rPr>
        <w:t> </w:t>
      </w:r>
      <w:r>
        <w:rPr/>
        <w:t>systems</w:t>
      </w:r>
      <w:r>
        <w:rPr>
          <w:spacing w:val="-12"/>
        </w:rPr>
        <w:t> </w:t>
      </w:r>
      <w:r>
        <w:rPr/>
        <w:t>is</w:t>
      </w:r>
      <w:r>
        <w:rPr>
          <w:spacing w:val="-12"/>
        </w:rPr>
        <w:t> </w:t>
      </w:r>
      <w:r>
        <w:rPr/>
        <w:t>to</w:t>
      </w:r>
      <w:r>
        <w:rPr>
          <w:spacing w:val="-12"/>
        </w:rPr>
        <w:t> </w:t>
      </w:r>
      <w:r>
        <w:rPr/>
        <w:t>provide</w:t>
      </w:r>
      <w:r>
        <w:rPr>
          <w:spacing w:val="-13"/>
        </w:rPr>
        <w:t> </w:t>
      </w:r>
      <w:r>
        <w:rPr/>
        <w:t>high quality accounting information and a commitment to a transparent information environment. Higher</w:t>
      </w:r>
      <w:r>
        <w:rPr>
          <w:spacing w:val="50"/>
          <w:w w:val="150"/>
        </w:rPr>
        <w:t> </w:t>
      </w:r>
      <w:r>
        <w:rPr/>
        <w:t>quality</w:t>
      </w:r>
      <w:r>
        <w:rPr>
          <w:spacing w:val="53"/>
          <w:w w:val="150"/>
        </w:rPr>
        <w:t> </w:t>
      </w:r>
      <w:r>
        <w:rPr/>
        <w:t>financial</w:t>
      </w:r>
      <w:r>
        <w:rPr>
          <w:spacing w:val="54"/>
          <w:w w:val="150"/>
        </w:rPr>
        <w:t> </w:t>
      </w:r>
      <w:r>
        <w:rPr/>
        <w:t>reporting</w:t>
      </w:r>
      <w:r>
        <w:rPr>
          <w:spacing w:val="53"/>
          <w:w w:val="150"/>
        </w:rPr>
        <w:t> </w:t>
      </w:r>
      <w:r>
        <w:rPr/>
        <w:t>is</w:t>
      </w:r>
      <w:r>
        <w:rPr>
          <w:spacing w:val="53"/>
          <w:w w:val="150"/>
        </w:rPr>
        <w:t> </w:t>
      </w:r>
      <w:r>
        <w:rPr/>
        <w:t>essential</w:t>
      </w:r>
      <w:r>
        <w:rPr>
          <w:spacing w:val="55"/>
          <w:w w:val="150"/>
        </w:rPr>
        <w:t> </w:t>
      </w:r>
      <w:r>
        <w:rPr/>
        <w:t>to</w:t>
      </w:r>
      <w:r>
        <w:rPr>
          <w:spacing w:val="53"/>
          <w:w w:val="150"/>
        </w:rPr>
        <w:t> </w:t>
      </w:r>
      <w:r>
        <w:rPr/>
        <w:t>decrease</w:t>
      </w:r>
      <w:r>
        <w:rPr>
          <w:spacing w:val="54"/>
          <w:w w:val="150"/>
        </w:rPr>
        <w:t> </w:t>
      </w:r>
      <w:r>
        <w:rPr/>
        <w:t>the</w:t>
      </w:r>
      <w:r>
        <w:rPr>
          <w:spacing w:val="58"/>
          <w:w w:val="150"/>
        </w:rPr>
        <w:t> </w:t>
      </w:r>
      <w:r>
        <w:rPr/>
        <w:t>severity</w:t>
      </w:r>
      <w:r>
        <w:rPr>
          <w:spacing w:val="52"/>
          <w:w w:val="150"/>
        </w:rPr>
        <w:t> </w:t>
      </w:r>
      <w:r>
        <w:rPr/>
        <w:t>of</w:t>
      </w:r>
      <w:r>
        <w:rPr>
          <w:spacing w:val="53"/>
          <w:w w:val="150"/>
        </w:rPr>
        <w:t> </w:t>
      </w:r>
      <w:r>
        <w:rPr>
          <w:spacing w:val="-2"/>
        </w:rPr>
        <w:t>information</w:t>
      </w:r>
    </w:p>
    <w:p>
      <w:pPr>
        <w:spacing w:after="0" w:line="480" w:lineRule="auto"/>
        <w:jc w:val="both"/>
        <w:sectPr>
          <w:footerReference w:type="default" r:id="rId7"/>
          <w:pgSz w:w="11910" w:h="16840"/>
          <w:pgMar w:header="0" w:footer="971" w:top="1360" w:bottom="1160" w:left="500" w:right="0"/>
          <w:pgNumType w:start="1"/>
        </w:sectPr>
      </w:pPr>
    </w:p>
    <w:p>
      <w:pPr>
        <w:pStyle w:val="BodyText"/>
        <w:spacing w:line="480" w:lineRule="auto" w:before="61"/>
        <w:ind w:left="940" w:right="1439"/>
        <w:jc w:val="both"/>
      </w:pPr>
      <w:r>
        <w:rPr/>
        <w:drawing>
          <wp:anchor distT="0" distB="0" distL="0" distR="0" allowOverlap="1" layoutInCell="1" locked="0" behindDoc="1" simplePos="0" relativeHeight="477669376">
            <wp:simplePos x="0" y="0"/>
            <wp:positionH relativeFrom="page">
              <wp:posOffset>1095451</wp:posOffset>
            </wp:positionH>
            <wp:positionV relativeFrom="paragraph">
              <wp:posOffset>1850770</wp:posOffset>
            </wp:positionV>
            <wp:extent cx="5106847" cy="523811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5" cstate="print"/>
                    <a:stretch>
                      <a:fillRect/>
                    </a:stretch>
                  </pic:blipFill>
                  <pic:spPr>
                    <a:xfrm>
                      <a:off x="0" y="0"/>
                      <a:ext cx="5106847" cy="5238115"/>
                    </a:xfrm>
                    <a:prstGeom prst="rect">
                      <a:avLst/>
                    </a:prstGeom>
                  </pic:spPr>
                </pic:pic>
              </a:graphicData>
            </a:graphic>
          </wp:anchor>
        </w:drawing>
      </w:r>
      <w:r>
        <w:rPr/>
        <w:t>asymmetry</w:t>
      </w:r>
      <w:r>
        <w:rPr>
          <w:spacing w:val="-3"/>
        </w:rPr>
        <w:t> </w:t>
      </w:r>
      <w:r>
        <w:rPr/>
        <w:t>between</w:t>
      </w:r>
      <w:r>
        <w:rPr>
          <w:spacing w:val="-2"/>
        </w:rPr>
        <w:t> </w:t>
      </w:r>
      <w:r>
        <w:rPr/>
        <w:t>managers</w:t>
      </w:r>
      <w:r>
        <w:rPr>
          <w:spacing w:val="-3"/>
        </w:rPr>
        <w:t> </w:t>
      </w:r>
      <w:r>
        <w:rPr/>
        <w:t>and</w:t>
      </w:r>
      <w:r>
        <w:rPr>
          <w:spacing w:val="-2"/>
        </w:rPr>
        <w:t> </w:t>
      </w:r>
      <w:r>
        <w:rPr/>
        <w:t>market</w:t>
      </w:r>
      <w:r>
        <w:rPr>
          <w:spacing w:val="-2"/>
        </w:rPr>
        <w:t> </w:t>
      </w:r>
      <w:r>
        <w:rPr/>
        <w:t>participants.</w:t>
      </w:r>
      <w:r>
        <w:rPr>
          <w:spacing w:val="-2"/>
        </w:rPr>
        <w:t> </w:t>
      </w:r>
      <w:r>
        <w:rPr/>
        <w:t>Financial</w:t>
      </w:r>
      <w:r>
        <w:rPr>
          <w:spacing w:val="-2"/>
        </w:rPr>
        <w:t> </w:t>
      </w:r>
      <w:r>
        <w:rPr/>
        <w:t>information</w:t>
      </w:r>
      <w:r>
        <w:rPr>
          <w:spacing w:val="-2"/>
        </w:rPr>
        <w:t> </w:t>
      </w:r>
      <w:r>
        <w:rPr/>
        <w:t>therefore</w:t>
      </w:r>
      <w:r>
        <w:rPr>
          <w:spacing w:val="-3"/>
        </w:rPr>
        <w:t> </w:t>
      </w:r>
      <w:r>
        <w:rPr/>
        <w:t>serves as a basis for investment decisions for capital market participants. It is useful to owners, creditors,</w:t>
      </w:r>
      <w:r>
        <w:rPr>
          <w:spacing w:val="-4"/>
        </w:rPr>
        <w:t> </w:t>
      </w:r>
      <w:r>
        <w:rPr/>
        <w:t>firm</w:t>
      </w:r>
      <w:r>
        <w:rPr>
          <w:spacing w:val="-4"/>
        </w:rPr>
        <w:t> </w:t>
      </w:r>
      <w:r>
        <w:rPr/>
        <w:t>partners</w:t>
      </w:r>
      <w:r>
        <w:rPr>
          <w:spacing w:val="-4"/>
        </w:rPr>
        <w:t> </w:t>
      </w:r>
      <w:r>
        <w:rPr/>
        <w:t>and</w:t>
      </w:r>
      <w:r>
        <w:rPr>
          <w:spacing w:val="-4"/>
        </w:rPr>
        <w:t> </w:t>
      </w:r>
      <w:r>
        <w:rPr/>
        <w:t>regulators</w:t>
      </w:r>
      <w:r>
        <w:rPr>
          <w:spacing w:val="-4"/>
        </w:rPr>
        <w:t> </w:t>
      </w:r>
      <w:r>
        <w:rPr/>
        <w:t>because</w:t>
      </w:r>
      <w:r>
        <w:rPr>
          <w:spacing w:val="-4"/>
        </w:rPr>
        <w:t> </w:t>
      </w:r>
      <w:r>
        <w:rPr/>
        <w:t>it</w:t>
      </w:r>
      <w:r>
        <w:rPr>
          <w:spacing w:val="-4"/>
        </w:rPr>
        <w:t> </w:t>
      </w:r>
      <w:r>
        <w:rPr/>
        <w:t>helps</w:t>
      </w:r>
      <w:r>
        <w:rPr>
          <w:spacing w:val="-4"/>
        </w:rPr>
        <w:t> </w:t>
      </w:r>
      <w:r>
        <w:rPr/>
        <w:t>to</w:t>
      </w:r>
      <w:r>
        <w:rPr>
          <w:spacing w:val="-4"/>
        </w:rPr>
        <w:t> </w:t>
      </w:r>
      <w:r>
        <w:rPr/>
        <w:t>determine</w:t>
      </w:r>
      <w:r>
        <w:rPr>
          <w:spacing w:val="-4"/>
        </w:rPr>
        <w:t> </w:t>
      </w:r>
      <w:r>
        <w:rPr/>
        <w:t>a</w:t>
      </w:r>
      <w:r>
        <w:rPr>
          <w:spacing w:val="-4"/>
        </w:rPr>
        <w:t> </w:t>
      </w:r>
      <w:r>
        <w:rPr/>
        <w:t>firm's</w:t>
      </w:r>
      <w:r>
        <w:rPr>
          <w:spacing w:val="-4"/>
        </w:rPr>
        <w:t> </w:t>
      </w:r>
      <w:r>
        <w:rPr/>
        <w:t>past</w:t>
      </w:r>
      <w:r>
        <w:rPr>
          <w:spacing w:val="-4"/>
        </w:rPr>
        <w:t> </w:t>
      </w:r>
      <w:r>
        <w:rPr/>
        <w:t>performance, predict its future profitability and monitor the managers’ actions (Bushman &amp; Smith, 2001; 2003). The several reforms on CG framework across the globe point to the possible linkage between good CG practices and an improved information environment. The linkage has been extensively discussed in studies both in the developed and developing economies. Firms’ disclosure of CG information is to reduce information asymmetry and agency cost stemming from the separation of ownership from control, thus improving investors’ confidence in financial reporting (Vander Bauwhede &amp; Willekens, 2008). About the same time for the glamour for reforms in CG practices, the quest for the standardisation of accounting practices globally</w:t>
      </w:r>
      <w:r>
        <w:rPr>
          <w:spacing w:val="-6"/>
        </w:rPr>
        <w:t> </w:t>
      </w:r>
      <w:r>
        <w:rPr/>
        <w:t>was</w:t>
      </w:r>
      <w:r>
        <w:rPr>
          <w:spacing w:val="-7"/>
        </w:rPr>
        <w:t> </w:t>
      </w:r>
      <w:r>
        <w:rPr/>
        <w:t>further</w:t>
      </w:r>
      <w:r>
        <w:rPr>
          <w:spacing w:val="-8"/>
        </w:rPr>
        <w:t> </w:t>
      </w:r>
      <w:r>
        <w:rPr/>
        <w:t>achieved</w:t>
      </w:r>
      <w:r>
        <w:rPr>
          <w:spacing w:val="-7"/>
        </w:rPr>
        <w:t> </w:t>
      </w:r>
      <w:r>
        <w:rPr/>
        <w:t>by</w:t>
      </w:r>
      <w:r>
        <w:rPr>
          <w:spacing w:val="-7"/>
        </w:rPr>
        <w:t> </w:t>
      </w:r>
      <w:r>
        <w:rPr/>
        <w:t>the</w:t>
      </w:r>
      <w:r>
        <w:rPr>
          <w:spacing w:val="-7"/>
        </w:rPr>
        <w:t> </w:t>
      </w:r>
      <w:r>
        <w:rPr/>
        <w:t>establishment</w:t>
      </w:r>
      <w:r>
        <w:rPr>
          <w:spacing w:val="-6"/>
        </w:rPr>
        <w:t> </w:t>
      </w:r>
      <w:r>
        <w:rPr/>
        <w:t>of</w:t>
      </w:r>
      <w:r>
        <w:rPr>
          <w:spacing w:val="-8"/>
        </w:rPr>
        <w:t> </w:t>
      </w:r>
      <w:r>
        <w:rPr/>
        <w:t>the</w:t>
      </w:r>
      <w:r>
        <w:rPr>
          <w:spacing w:val="-7"/>
        </w:rPr>
        <w:t> </w:t>
      </w:r>
      <w:r>
        <w:rPr/>
        <w:t>International</w:t>
      </w:r>
      <w:r>
        <w:rPr>
          <w:spacing w:val="-6"/>
        </w:rPr>
        <w:t> </w:t>
      </w:r>
      <w:r>
        <w:rPr/>
        <w:t>Accountings</w:t>
      </w:r>
      <w:r>
        <w:rPr>
          <w:spacing w:val="-7"/>
        </w:rPr>
        <w:t> </w:t>
      </w:r>
      <w:r>
        <w:rPr/>
        <w:t>Standards Board (IASB) in 2001. That led to the formulation of the International Financial Reporting Standards (IFRS) by the IASB.</w:t>
      </w:r>
    </w:p>
    <w:p>
      <w:pPr>
        <w:pStyle w:val="BodyText"/>
        <w:spacing w:line="480" w:lineRule="auto" w:before="241"/>
        <w:ind w:left="940" w:right="1435"/>
        <w:jc w:val="both"/>
      </w:pPr>
      <w:r>
        <w:rPr/>
        <w:t>Prior studies reported a number of potential benefits that emerging economies stand to gain from IFRS adoption such as a reduction in the cost of accounting standards elaboration, international legitimacy, access to international markets and a growth of foreign direct investment (Madawaki, 2012; Joshi, Bremser &amp; Al-Ajmi, 2008; Irvine, 2008; Perumpral, Evans,</w:t>
      </w:r>
      <w:r>
        <w:rPr>
          <w:spacing w:val="-15"/>
        </w:rPr>
        <w:t> </w:t>
      </w:r>
      <w:r>
        <w:rPr/>
        <w:t>Agarwal</w:t>
      </w:r>
      <w:r>
        <w:rPr>
          <w:spacing w:val="-15"/>
        </w:rPr>
        <w:t> </w:t>
      </w:r>
      <w:r>
        <w:rPr/>
        <w:t>&amp;</w:t>
      </w:r>
      <w:r>
        <w:rPr>
          <w:spacing w:val="-15"/>
        </w:rPr>
        <w:t> </w:t>
      </w:r>
      <w:r>
        <w:rPr/>
        <w:t>Amenkhienan,</w:t>
      </w:r>
      <w:r>
        <w:rPr>
          <w:spacing w:val="-15"/>
        </w:rPr>
        <w:t> </w:t>
      </w:r>
      <w:r>
        <w:rPr/>
        <w:t>2009;</w:t>
      </w:r>
      <w:r>
        <w:rPr>
          <w:spacing w:val="-15"/>
        </w:rPr>
        <w:t> </w:t>
      </w:r>
      <w:r>
        <w:rPr/>
        <w:t>Whittington,</w:t>
      </w:r>
      <w:r>
        <w:rPr>
          <w:spacing w:val="-15"/>
        </w:rPr>
        <w:t> </w:t>
      </w:r>
      <w:r>
        <w:rPr/>
        <w:t>2005;</w:t>
      </w:r>
      <w:r>
        <w:rPr>
          <w:spacing w:val="-15"/>
        </w:rPr>
        <w:t> </w:t>
      </w:r>
      <w:r>
        <w:rPr/>
        <w:t>Ritsumeikan,</w:t>
      </w:r>
      <w:r>
        <w:rPr>
          <w:spacing w:val="-15"/>
        </w:rPr>
        <w:t> </w:t>
      </w:r>
      <w:r>
        <w:rPr/>
        <w:t>2012).</w:t>
      </w:r>
      <w:r>
        <w:rPr>
          <w:spacing w:val="-15"/>
        </w:rPr>
        <w:t> </w:t>
      </w:r>
      <w:r>
        <w:rPr/>
        <w:t>Gordon,</w:t>
      </w:r>
      <w:r>
        <w:rPr>
          <w:spacing w:val="-15"/>
        </w:rPr>
        <w:t> </w:t>
      </w:r>
      <w:r>
        <w:rPr/>
        <w:t>Loeb and</w:t>
      </w:r>
      <w:r>
        <w:rPr>
          <w:spacing w:val="-1"/>
        </w:rPr>
        <w:t> </w:t>
      </w:r>
      <w:r>
        <w:rPr/>
        <w:t>Zhu</w:t>
      </w:r>
      <w:r>
        <w:rPr>
          <w:spacing w:val="-1"/>
        </w:rPr>
        <w:t> </w:t>
      </w:r>
      <w:r>
        <w:rPr/>
        <w:t>(2012)</w:t>
      </w:r>
      <w:r>
        <w:rPr>
          <w:spacing w:val="-2"/>
        </w:rPr>
        <w:t> </w:t>
      </w:r>
      <w:r>
        <w:rPr/>
        <w:t>claimed</w:t>
      </w:r>
      <w:r>
        <w:rPr>
          <w:spacing w:val="-2"/>
        </w:rPr>
        <w:t> </w:t>
      </w:r>
      <w:r>
        <w:rPr/>
        <w:t>that</w:t>
      </w:r>
      <w:r>
        <w:rPr>
          <w:spacing w:val="-1"/>
        </w:rPr>
        <w:t> </w:t>
      </w:r>
      <w:r>
        <w:rPr/>
        <w:t>IFRS</w:t>
      </w:r>
      <w:r>
        <w:rPr>
          <w:spacing w:val="-1"/>
        </w:rPr>
        <w:t> </w:t>
      </w:r>
      <w:r>
        <w:rPr/>
        <w:t>adoption could</w:t>
      </w:r>
      <w:r>
        <w:rPr>
          <w:spacing w:val="-3"/>
        </w:rPr>
        <w:t> </w:t>
      </w:r>
      <w:r>
        <w:rPr/>
        <w:t>lift</w:t>
      </w:r>
      <w:r>
        <w:rPr>
          <w:spacing w:val="-2"/>
        </w:rPr>
        <w:t> </w:t>
      </w:r>
      <w:r>
        <w:rPr/>
        <w:t>the</w:t>
      </w:r>
      <w:r>
        <w:rPr>
          <w:spacing w:val="-2"/>
        </w:rPr>
        <w:t> </w:t>
      </w:r>
      <w:r>
        <w:rPr/>
        <w:t>transparency</w:t>
      </w:r>
      <w:r>
        <w:rPr>
          <w:spacing w:val="-1"/>
        </w:rPr>
        <w:t> </w:t>
      </w:r>
      <w:r>
        <w:rPr/>
        <w:t>of</w:t>
      </w:r>
      <w:r>
        <w:rPr>
          <w:spacing w:val="-2"/>
        </w:rPr>
        <w:t> </w:t>
      </w:r>
      <w:r>
        <w:rPr/>
        <w:t>financial</w:t>
      </w:r>
      <w:r>
        <w:rPr>
          <w:spacing w:val="-1"/>
        </w:rPr>
        <w:t> </w:t>
      </w:r>
      <w:r>
        <w:rPr/>
        <w:t>statements issued</w:t>
      </w:r>
      <w:r>
        <w:rPr>
          <w:spacing w:val="-5"/>
        </w:rPr>
        <w:t> </w:t>
      </w:r>
      <w:r>
        <w:rPr/>
        <w:t>by</w:t>
      </w:r>
      <w:r>
        <w:rPr>
          <w:spacing w:val="-5"/>
        </w:rPr>
        <w:t> </w:t>
      </w:r>
      <w:r>
        <w:rPr/>
        <w:t>firms</w:t>
      </w:r>
      <w:r>
        <w:rPr>
          <w:spacing w:val="-5"/>
        </w:rPr>
        <w:t> </w:t>
      </w:r>
      <w:r>
        <w:rPr/>
        <w:t>and</w:t>
      </w:r>
      <w:r>
        <w:rPr>
          <w:spacing w:val="-5"/>
        </w:rPr>
        <w:t> </w:t>
      </w:r>
      <w:r>
        <w:rPr/>
        <w:t>thus</w:t>
      </w:r>
      <w:r>
        <w:rPr>
          <w:spacing w:val="-7"/>
        </w:rPr>
        <w:t> </w:t>
      </w:r>
      <w:r>
        <w:rPr/>
        <w:t>grab</w:t>
      </w:r>
      <w:r>
        <w:rPr>
          <w:spacing w:val="-5"/>
        </w:rPr>
        <w:t> </w:t>
      </w:r>
      <w:r>
        <w:rPr/>
        <w:t>the</w:t>
      </w:r>
      <w:r>
        <w:rPr>
          <w:spacing w:val="-5"/>
        </w:rPr>
        <w:t> </w:t>
      </w:r>
      <w:r>
        <w:rPr/>
        <w:t>attention</w:t>
      </w:r>
      <w:r>
        <w:rPr>
          <w:spacing w:val="-5"/>
        </w:rPr>
        <w:t> </w:t>
      </w:r>
      <w:r>
        <w:rPr/>
        <w:t>of</w:t>
      </w:r>
      <w:r>
        <w:rPr>
          <w:spacing w:val="-6"/>
        </w:rPr>
        <w:t> </w:t>
      </w:r>
      <w:r>
        <w:rPr/>
        <w:t>foreign</w:t>
      </w:r>
      <w:r>
        <w:rPr>
          <w:spacing w:val="-5"/>
        </w:rPr>
        <w:t> </w:t>
      </w:r>
      <w:r>
        <w:rPr/>
        <w:t>businesses</w:t>
      </w:r>
      <w:r>
        <w:rPr>
          <w:spacing w:val="-5"/>
        </w:rPr>
        <w:t> </w:t>
      </w:r>
      <w:r>
        <w:rPr/>
        <w:t>and</w:t>
      </w:r>
      <w:r>
        <w:rPr>
          <w:spacing w:val="-5"/>
        </w:rPr>
        <w:t> </w:t>
      </w:r>
      <w:r>
        <w:rPr/>
        <w:t>investors.</w:t>
      </w:r>
      <w:r>
        <w:rPr>
          <w:spacing w:val="-5"/>
        </w:rPr>
        <w:t> </w:t>
      </w:r>
      <w:r>
        <w:rPr/>
        <w:t>In</w:t>
      </w:r>
      <w:r>
        <w:rPr>
          <w:spacing w:val="-5"/>
        </w:rPr>
        <w:t> </w:t>
      </w:r>
      <w:r>
        <w:rPr/>
        <w:t>other</w:t>
      </w:r>
      <w:r>
        <w:rPr>
          <w:spacing w:val="-6"/>
        </w:rPr>
        <w:t> </w:t>
      </w:r>
      <w:r>
        <w:rPr/>
        <w:t>words, emerging countries can increase the volume of foreign investments through IFRS adoption. Ding, Hope, Jeanjean and Stolowy (2006) claimed that the implementation of IFRS increased the</w:t>
      </w:r>
      <w:r>
        <w:rPr>
          <w:spacing w:val="-1"/>
        </w:rPr>
        <w:t> </w:t>
      </w:r>
      <w:r>
        <w:rPr/>
        <w:t>level of disclosures in financial reporting process compared to local accounting standards. The</w:t>
      </w:r>
      <w:r>
        <w:rPr>
          <w:spacing w:val="11"/>
        </w:rPr>
        <w:t> </w:t>
      </w:r>
      <w:r>
        <w:rPr/>
        <w:t>adoption</w:t>
      </w:r>
      <w:r>
        <w:rPr>
          <w:spacing w:val="15"/>
        </w:rPr>
        <w:t> </w:t>
      </w:r>
      <w:r>
        <w:rPr/>
        <w:t>of</w:t>
      </w:r>
      <w:r>
        <w:rPr>
          <w:spacing w:val="17"/>
        </w:rPr>
        <w:t> </w:t>
      </w:r>
      <w:r>
        <w:rPr/>
        <w:t>IFRS</w:t>
      </w:r>
      <w:r>
        <w:rPr>
          <w:spacing w:val="16"/>
        </w:rPr>
        <w:t> </w:t>
      </w:r>
      <w:r>
        <w:rPr/>
        <w:t>has</w:t>
      </w:r>
      <w:r>
        <w:rPr>
          <w:spacing w:val="15"/>
        </w:rPr>
        <w:t> </w:t>
      </w:r>
      <w:r>
        <w:rPr/>
        <w:t>positive</w:t>
      </w:r>
      <w:r>
        <w:rPr>
          <w:spacing w:val="14"/>
        </w:rPr>
        <w:t> </w:t>
      </w:r>
      <w:r>
        <w:rPr/>
        <w:t>impacts</w:t>
      </w:r>
      <w:r>
        <w:rPr>
          <w:spacing w:val="15"/>
        </w:rPr>
        <w:t> </w:t>
      </w:r>
      <w:r>
        <w:rPr/>
        <w:t>on</w:t>
      </w:r>
      <w:r>
        <w:rPr>
          <w:spacing w:val="15"/>
        </w:rPr>
        <w:t> </w:t>
      </w:r>
      <w:r>
        <w:rPr/>
        <w:t>international</w:t>
      </w:r>
      <w:r>
        <w:rPr>
          <w:spacing w:val="16"/>
        </w:rPr>
        <w:t> </w:t>
      </w:r>
      <w:r>
        <w:rPr/>
        <w:t>trade</w:t>
      </w:r>
      <w:r>
        <w:rPr>
          <w:spacing w:val="14"/>
        </w:rPr>
        <w:t> </w:t>
      </w:r>
      <w:r>
        <w:rPr/>
        <w:t>and</w:t>
      </w:r>
      <w:r>
        <w:rPr>
          <w:spacing w:val="15"/>
        </w:rPr>
        <w:t> </w:t>
      </w:r>
      <w:r>
        <w:rPr/>
        <w:t>significantly</w:t>
      </w:r>
      <w:r>
        <w:rPr>
          <w:spacing w:val="15"/>
        </w:rPr>
        <w:t> </w:t>
      </w:r>
      <w:r>
        <w:rPr>
          <w:spacing w:val="-2"/>
        </w:rPr>
        <w:t>enhances</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69888">
            <wp:simplePos x="0" y="0"/>
            <wp:positionH relativeFrom="page">
              <wp:posOffset>1095451</wp:posOffset>
            </wp:positionH>
            <wp:positionV relativeFrom="paragraph">
              <wp:posOffset>1850770</wp:posOffset>
            </wp:positionV>
            <wp:extent cx="5106847" cy="5238115"/>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5" cstate="print"/>
                    <a:stretch>
                      <a:fillRect/>
                    </a:stretch>
                  </pic:blipFill>
                  <pic:spPr>
                    <a:xfrm>
                      <a:off x="0" y="0"/>
                      <a:ext cx="5106847" cy="5238115"/>
                    </a:xfrm>
                    <a:prstGeom prst="rect">
                      <a:avLst/>
                    </a:prstGeom>
                  </pic:spPr>
                </pic:pic>
              </a:graphicData>
            </a:graphic>
          </wp:anchor>
        </w:drawing>
      </w:r>
      <w:r>
        <w:rPr/>
        <w:t>the comparability of financial statements prepared by firms from different countries. Samuels and</w:t>
      </w:r>
      <w:r>
        <w:rPr>
          <w:spacing w:val="-7"/>
        </w:rPr>
        <w:t> </w:t>
      </w:r>
      <w:r>
        <w:rPr/>
        <w:t>Piper</w:t>
      </w:r>
      <w:r>
        <w:rPr>
          <w:spacing w:val="-8"/>
        </w:rPr>
        <w:t> </w:t>
      </w:r>
      <w:r>
        <w:rPr/>
        <w:t>(1985)</w:t>
      </w:r>
      <w:r>
        <w:rPr>
          <w:spacing w:val="-8"/>
        </w:rPr>
        <w:t> </w:t>
      </w:r>
      <w:r>
        <w:rPr/>
        <w:t>stated</w:t>
      </w:r>
      <w:r>
        <w:rPr>
          <w:spacing w:val="-5"/>
        </w:rPr>
        <w:t> </w:t>
      </w:r>
      <w:r>
        <w:rPr/>
        <w:t>that</w:t>
      </w:r>
      <w:r>
        <w:rPr>
          <w:spacing w:val="-7"/>
        </w:rPr>
        <w:t> </w:t>
      </w:r>
      <w:r>
        <w:rPr/>
        <w:t>the</w:t>
      </w:r>
      <w:r>
        <w:rPr>
          <w:spacing w:val="-8"/>
        </w:rPr>
        <w:t> </w:t>
      </w:r>
      <w:r>
        <w:rPr/>
        <w:t>adoption</w:t>
      </w:r>
      <w:r>
        <w:rPr>
          <w:spacing w:val="-7"/>
        </w:rPr>
        <w:t> </w:t>
      </w:r>
      <w:r>
        <w:rPr/>
        <w:t>of</w:t>
      </w:r>
      <w:r>
        <w:rPr>
          <w:spacing w:val="-6"/>
        </w:rPr>
        <w:t> </w:t>
      </w:r>
      <w:r>
        <w:rPr/>
        <w:t>IFRS</w:t>
      </w:r>
      <w:r>
        <w:rPr>
          <w:spacing w:val="-7"/>
        </w:rPr>
        <w:t> </w:t>
      </w:r>
      <w:r>
        <w:rPr/>
        <w:t>had</w:t>
      </w:r>
      <w:r>
        <w:rPr>
          <w:spacing w:val="-5"/>
        </w:rPr>
        <w:t> </w:t>
      </w:r>
      <w:r>
        <w:rPr/>
        <w:t>a</w:t>
      </w:r>
      <w:r>
        <w:rPr>
          <w:spacing w:val="-8"/>
        </w:rPr>
        <w:t> </w:t>
      </w:r>
      <w:r>
        <w:rPr/>
        <w:t>great</w:t>
      </w:r>
      <w:r>
        <w:rPr>
          <w:spacing w:val="-7"/>
        </w:rPr>
        <w:t> </w:t>
      </w:r>
      <w:r>
        <w:rPr/>
        <w:t>potential</w:t>
      </w:r>
      <w:r>
        <w:rPr>
          <w:spacing w:val="-7"/>
        </w:rPr>
        <w:t> </w:t>
      </w:r>
      <w:r>
        <w:rPr/>
        <w:t>to</w:t>
      </w:r>
      <w:r>
        <w:rPr>
          <w:spacing w:val="-7"/>
        </w:rPr>
        <w:t> </w:t>
      </w:r>
      <w:r>
        <w:rPr/>
        <w:t>facilitate</w:t>
      </w:r>
      <w:r>
        <w:rPr>
          <w:spacing w:val="-8"/>
        </w:rPr>
        <w:t> </w:t>
      </w:r>
      <w:r>
        <w:rPr/>
        <w:t>global</w:t>
      </w:r>
      <w:r>
        <w:rPr>
          <w:spacing w:val="-7"/>
        </w:rPr>
        <w:t> </w:t>
      </w:r>
      <w:r>
        <w:rPr/>
        <w:t>trade activities.</w:t>
      </w:r>
      <w:r>
        <w:rPr>
          <w:spacing w:val="-6"/>
        </w:rPr>
        <w:t> </w:t>
      </w:r>
      <w:r>
        <w:rPr/>
        <w:t>For</w:t>
      </w:r>
      <w:r>
        <w:rPr>
          <w:spacing w:val="-8"/>
        </w:rPr>
        <w:t> </w:t>
      </w:r>
      <w:r>
        <w:rPr/>
        <w:t>multinational</w:t>
      </w:r>
      <w:r>
        <w:rPr>
          <w:spacing w:val="-6"/>
        </w:rPr>
        <w:t> </w:t>
      </w:r>
      <w:r>
        <w:rPr/>
        <w:t>companies,</w:t>
      </w:r>
      <w:r>
        <w:rPr>
          <w:spacing w:val="-7"/>
        </w:rPr>
        <w:t> </w:t>
      </w:r>
      <w:r>
        <w:rPr/>
        <w:t>it</w:t>
      </w:r>
      <w:r>
        <w:rPr>
          <w:spacing w:val="-6"/>
        </w:rPr>
        <w:t> </w:t>
      </w:r>
      <w:r>
        <w:rPr/>
        <w:t>would</w:t>
      </w:r>
      <w:r>
        <w:rPr>
          <w:spacing w:val="-9"/>
        </w:rPr>
        <w:t> </w:t>
      </w:r>
      <w:r>
        <w:rPr/>
        <w:t>help</w:t>
      </w:r>
      <w:r>
        <w:rPr>
          <w:spacing w:val="-6"/>
        </w:rPr>
        <w:t> </w:t>
      </w:r>
      <w:r>
        <w:rPr/>
        <w:t>them</w:t>
      </w:r>
      <w:r>
        <w:rPr>
          <w:spacing w:val="-7"/>
        </w:rPr>
        <w:t> </w:t>
      </w:r>
      <w:r>
        <w:rPr/>
        <w:t>to</w:t>
      </w:r>
      <w:r>
        <w:rPr>
          <w:spacing w:val="-6"/>
        </w:rPr>
        <w:t> </w:t>
      </w:r>
      <w:r>
        <w:rPr/>
        <w:t>fulfil</w:t>
      </w:r>
      <w:r>
        <w:rPr>
          <w:spacing w:val="-5"/>
        </w:rPr>
        <w:t> </w:t>
      </w:r>
      <w:r>
        <w:rPr/>
        <w:t>the</w:t>
      </w:r>
      <w:r>
        <w:rPr>
          <w:spacing w:val="-7"/>
        </w:rPr>
        <w:t> </w:t>
      </w:r>
      <w:r>
        <w:rPr/>
        <w:t>disclosure</w:t>
      </w:r>
      <w:r>
        <w:rPr>
          <w:spacing w:val="-8"/>
        </w:rPr>
        <w:t> </w:t>
      </w:r>
      <w:r>
        <w:rPr/>
        <w:t>requirement for stock exchange across the world (Armstrong, Barth, Jagolizer &amp; Reildl, 2007; Covrig, Defond &amp; Hung, 2007; Daske, Hail &amp; Leuz, 2008).</w:t>
      </w:r>
    </w:p>
    <w:p>
      <w:pPr>
        <w:pStyle w:val="BodyText"/>
        <w:spacing w:line="480" w:lineRule="auto" w:before="240"/>
        <w:ind w:left="940" w:right="1433"/>
        <w:jc w:val="both"/>
      </w:pPr>
      <w:r>
        <w:rPr/>
        <w:t>According to Odia and Ogiedu (2013), it will facilitate easier mobility of professional staffs across national boundaries. Other benefits identified are lower susceptibility to political pressure than national standards, continuation of local implementation guidance for local circumstances and the tendency for accounting standard to be raised to meet the highest possible</w:t>
      </w:r>
      <w:r>
        <w:rPr>
          <w:spacing w:val="-15"/>
        </w:rPr>
        <w:t> </w:t>
      </w:r>
      <w:r>
        <w:rPr/>
        <w:t>quality</w:t>
      </w:r>
      <w:r>
        <w:rPr>
          <w:spacing w:val="-15"/>
        </w:rPr>
        <w:t> </w:t>
      </w:r>
      <w:r>
        <w:rPr/>
        <w:t>level</w:t>
      </w:r>
      <w:r>
        <w:rPr>
          <w:spacing w:val="-15"/>
        </w:rPr>
        <w:t> </w:t>
      </w:r>
      <w:r>
        <w:rPr/>
        <w:t>throughout</w:t>
      </w:r>
      <w:r>
        <w:rPr>
          <w:spacing w:val="-15"/>
        </w:rPr>
        <w:t> </w:t>
      </w:r>
      <w:r>
        <w:rPr/>
        <w:t>the</w:t>
      </w:r>
      <w:r>
        <w:rPr>
          <w:spacing w:val="-15"/>
        </w:rPr>
        <w:t> </w:t>
      </w:r>
      <w:r>
        <w:rPr/>
        <w:t>world</w:t>
      </w:r>
      <w:r>
        <w:rPr>
          <w:spacing w:val="-15"/>
        </w:rPr>
        <w:t> </w:t>
      </w:r>
      <w:r>
        <w:rPr/>
        <w:t>(Choi,</w:t>
      </w:r>
      <w:r>
        <w:rPr>
          <w:spacing w:val="-15"/>
        </w:rPr>
        <w:t> </w:t>
      </w:r>
      <w:r>
        <w:rPr/>
        <w:t>Frost,</w:t>
      </w:r>
      <w:r>
        <w:rPr>
          <w:spacing w:val="-15"/>
        </w:rPr>
        <w:t> </w:t>
      </w:r>
      <w:r>
        <w:rPr/>
        <w:t>Caood</w:t>
      </w:r>
      <w:r>
        <w:rPr>
          <w:spacing w:val="-13"/>
        </w:rPr>
        <w:t> </w:t>
      </w:r>
      <w:r>
        <w:rPr/>
        <w:t>&amp;</w:t>
      </w:r>
      <w:r>
        <w:rPr>
          <w:spacing w:val="-15"/>
        </w:rPr>
        <w:t> </w:t>
      </w:r>
      <w:r>
        <w:rPr/>
        <w:t>Meck,</w:t>
      </w:r>
      <w:r>
        <w:rPr>
          <w:spacing w:val="-15"/>
        </w:rPr>
        <w:t> </w:t>
      </w:r>
      <w:r>
        <w:rPr/>
        <w:t>1999;</w:t>
      </w:r>
      <w:r>
        <w:rPr>
          <w:spacing w:val="-15"/>
        </w:rPr>
        <w:t> </w:t>
      </w:r>
      <w:r>
        <w:rPr/>
        <w:t>Alfredson,</w:t>
      </w:r>
      <w:r>
        <w:rPr>
          <w:spacing w:val="-15"/>
        </w:rPr>
        <w:t> </w:t>
      </w:r>
      <w:r>
        <w:rPr/>
        <w:t>Leo, Picker,</w:t>
      </w:r>
      <w:r>
        <w:rPr>
          <w:spacing w:val="-8"/>
        </w:rPr>
        <w:t> </w:t>
      </w:r>
      <w:r>
        <w:rPr/>
        <w:t>Pacter</w:t>
      </w:r>
      <w:r>
        <w:rPr>
          <w:spacing w:val="-8"/>
        </w:rPr>
        <w:t> </w:t>
      </w:r>
      <w:r>
        <w:rPr/>
        <w:t>&amp;</w:t>
      </w:r>
      <w:r>
        <w:rPr>
          <w:spacing w:val="-5"/>
        </w:rPr>
        <w:t> </w:t>
      </w:r>
      <w:r>
        <w:rPr/>
        <w:t>Radford,</w:t>
      </w:r>
      <w:r>
        <w:rPr>
          <w:spacing w:val="-7"/>
        </w:rPr>
        <w:t> </w:t>
      </w:r>
      <w:r>
        <w:rPr/>
        <w:t>2004).</w:t>
      </w:r>
      <w:r>
        <w:rPr>
          <w:spacing w:val="-5"/>
        </w:rPr>
        <w:t> </w:t>
      </w:r>
      <w:r>
        <w:rPr/>
        <w:t>Again,</w:t>
      </w:r>
      <w:r>
        <w:rPr>
          <w:spacing w:val="-7"/>
        </w:rPr>
        <w:t> </w:t>
      </w:r>
      <w:r>
        <w:rPr/>
        <w:t>regulators</w:t>
      </w:r>
      <w:r>
        <w:rPr>
          <w:spacing w:val="-5"/>
        </w:rPr>
        <w:t> </w:t>
      </w:r>
      <w:r>
        <w:rPr/>
        <w:t>expect</w:t>
      </w:r>
      <w:r>
        <w:rPr>
          <w:spacing w:val="-7"/>
        </w:rPr>
        <w:t> </w:t>
      </w:r>
      <w:r>
        <w:rPr/>
        <w:t>that</w:t>
      </w:r>
      <w:r>
        <w:rPr>
          <w:spacing w:val="-7"/>
        </w:rPr>
        <w:t> </w:t>
      </w:r>
      <w:r>
        <w:rPr/>
        <w:t>the</w:t>
      </w:r>
      <w:r>
        <w:rPr>
          <w:spacing w:val="-6"/>
        </w:rPr>
        <w:t> </w:t>
      </w:r>
      <w:r>
        <w:rPr/>
        <w:t>use</w:t>
      </w:r>
      <w:r>
        <w:rPr>
          <w:spacing w:val="-6"/>
        </w:rPr>
        <w:t> </w:t>
      </w:r>
      <w:r>
        <w:rPr/>
        <w:t>of</w:t>
      </w:r>
      <w:r>
        <w:rPr>
          <w:spacing w:val="-6"/>
        </w:rPr>
        <w:t> </w:t>
      </w:r>
      <w:r>
        <w:rPr/>
        <w:t>IFRS</w:t>
      </w:r>
      <w:r>
        <w:rPr>
          <w:spacing w:val="-7"/>
        </w:rPr>
        <w:t> </w:t>
      </w:r>
      <w:r>
        <w:rPr/>
        <w:t>would</w:t>
      </w:r>
      <w:r>
        <w:rPr>
          <w:spacing w:val="-7"/>
        </w:rPr>
        <w:t> </w:t>
      </w:r>
      <w:r>
        <w:rPr/>
        <w:t>improve corporate transparency, enhance the comparability of financial statements, and increase the quality of financial reporting, therefore, it would benefit investors (Hagen, 2016). The beneficial effect of IFRS was also confirmed by prior studies which revealed that IFRS led to a decrease in earnings management and that the timeliness of loss recognition and the value relevance of financial statement information had improved (Barth, Landsman &amp; Lang, 2008; Chua, Cheong &amp; Gould, 2012; Gassen &amp; Sellhorn, 2006; Hung &amp; Subramanyam, 2007; Zéghal, Chtourou &amp; Fourati, 2012). There are, however, studies that did not find an increase in</w:t>
      </w:r>
      <w:r>
        <w:rPr>
          <w:spacing w:val="-9"/>
        </w:rPr>
        <w:t> </w:t>
      </w:r>
      <w:r>
        <w:rPr/>
        <w:t>accounting</w:t>
      </w:r>
      <w:r>
        <w:rPr>
          <w:spacing w:val="-10"/>
        </w:rPr>
        <w:t> </w:t>
      </w:r>
      <w:r>
        <w:rPr/>
        <w:t>quality</w:t>
      </w:r>
      <w:r>
        <w:rPr>
          <w:spacing w:val="-9"/>
        </w:rPr>
        <w:t> </w:t>
      </w:r>
      <w:r>
        <w:rPr/>
        <w:t>after</w:t>
      </w:r>
      <w:r>
        <w:rPr>
          <w:spacing w:val="-10"/>
        </w:rPr>
        <w:t> </w:t>
      </w:r>
      <w:r>
        <w:rPr/>
        <w:t>the</w:t>
      </w:r>
      <w:r>
        <w:rPr>
          <w:spacing w:val="-10"/>
        </w:rPr>
        <w:t> </w:t>
      </w:r>
      <w:r>
        <w:rPr/>
        <w:t>adoption</w:t>
      </w:r>
      <w:r>
        <w:rPr>
          <w:spacing w:val="-10"/>
        </w:rPr>
        <w:t> </w:t>
      </w:r>
      <w:r>
        <w:rPr/>
        <w:t>of</w:t>
      </w:r>
      <w:r>
        <w:rPr>
          <w:spacing w:val="-8"/>
        </w:rPr>
        <w:t> </w:t>
      </w:r>
      <w:r>
        <w:rPr/>
        <w:t>IFRS</w:t>
      </w:r>
      <w:r>
        <w:rPr>
          <w:spacing w:val="-9"/>
        </w:rPr>
        <w:t> </w:t>
      </w:r>
      <w:r>
        <w:rPr/>
        <w:t>(Van</w:t>
      </w:r>
      <w:r>
        <w:rPr>
          <w:spacing w:val="-10"/>
        </w:rPr>
        <w:t> </w:t>
      </w:r>
      <w:r>
        <w:rPr/>
        <w:t>Tendeloo</w:t>
      </w:r>
      <w:r>
        <w:rPr>
          <w:spacing w:val="-9"/>
        </w:rPr>
        <w:t> </w:t>
      </w:r>
      <w:r>
        <w:rPr/>
        <w:t>&amp;</w:t>
      </w:r>
      <w:r>
        <w:rPr>
          <w:spacing w:val="-9"/>
        </w:rPr>
        <w:t> </w:t>
      </w:r>
      <w:r>
        <w:rPr/>
        <w:t>Vanstraelen,</w:t>
      </w:r>
      <w:r>
        <w:rPr>
          <w:spacing w:val="-10"/>
        </w:rPr>
        <w:t> </w:t>
      </w:r>
      <w:r>
        <w:rPr/>
        <w:t>2005;</w:t>
      </w:r>
      <w:r>
        <w:rPr>
          <w:spacing w:val="-9"/>
        </w:rPr>
        <w:t> </w:t>
      </w:r>
      <w:r>
        <w:rPr/>
        <w:t>Jeanjean &amp; Stolowy, 2008; Doukakis, 2014). Hence, the evidence of IFRS adoption with respect to financial</w:t>
      </w:r>
      <w:r>
        <w:rPr>
          <w:spacing w:val="-7"/>
        </w:rPr>
        <w:t> </w:t>
      </w:r>
      <w:r>
        <w:rPr/>
        <w:t>reporting</w:t>
      </w:r>
      <w:r>
        <w:rPr>
          <w:spacing w:val="-7"/>
        </w:rPr>
        <w:t> </w:t>
      </w:r>
      <w:r>
        <w:rPr/>
        <w:t>quality</w:t>
      </w:r>
      <w:r>
        <w:rPr>
          <w:spacing w:val="-5"/>
        </w:rPr>
        <w:t> </w:t>
      </w:r>
      <w:r>
        <w:rPr/>
        <w:t>was</w:t>
      </w:r>
      <w:r>
        <w:rPr>
          <w:spacing w:val="-7"/>
        </w:rPr>
        <w:t> </w:t>
      </w:r>
      <w:r>
        <w:rPr/>
        <w:t>rather</w:t>
      </w:r>
      <w:r>
        <w:rPr>
          <w:spacing w:val="-7"/>
        </w:rPr>
        <w:t> </w:t>
      </w:r>
      <w:r>
        <w:rPr/>
        <w:t>mixed,</w:t>
      </w:r>
      <w:r>
        <w:rPr>
          <w:spacing w:val="-7"/>
        </w:rPr>
        <w:t> </w:t>
      </w:r>
      <w:r>
        <w:rPr/>
        <w:t>potentially</w:t>
      </w:r>
      <w:r>
        <w:rPr>
          <w:spacing w:val="-6"/>
        </w:rPr>
        <w:t> </w:t>
      </w:r>
      <w:r>
        <w:rPr/>
        <w:t>conditional</w:t>
      </w:r>
      <w:r>
        <w:rPr>
          <w:spacing w:val="-7"/>
        </w:rPr>
        <w:t> </w:t>
      </w:r>
      <w:r>
        <w:rPr/>
        <w:t>on</w:t>
      </w:r>
      <w:r>
        <w:rPr>
          <w:spacing w:val="-8"/>
        </w:rPr>
        <w:t> </w:t>
      </w:r>
      <w:r>
        <w:rPr/>
        <w:t>strictness</w:t>
      </w:r>
      <w:r>
        <w:rPr>
          <w:spacing w:val="-7"/>
        </w:rPr>
        <w:t> </w:t>
      </w:r>
      <w:r>
        <w:rPr/>
        <w:t>of</w:t>
      </w:r>
      <w:r>
        <w:rPr>
          <w:spacing w:val="-7"/>
        </w:rPr>
        <w:t> </w:t>
      </w:r>
      <w:r>
        <w:rPr/>
        <w:t>regulatory and institutional framework which differed across countries of prior studies. Therefore, this study</w:t>
      </w:r>
      <w:r>
        <w:rPr>
          <w:spacing w:val="-10"/>
        </w:rPr>
        <w:t> </w:t>
      </w:r>
      <w:r>
        <w:rPr/>
        <w:t>sought</w:t>
      </w:r>
      <w:r>
        <w:rPr>
          <w:spacing w:val="-12"/>
        </w:rPr>
        <w:t> </w:t>
      </w:r>
      <w:r>
        <w:rPr/>
        <w:t>to</w:t>
      </w:r>
      <w:r>
        <w:rPr>
          <w:spacing w:val="-10"/>
        </w:rPr>
        <w:t> </w:t>
      </w:r>
      <w:r>
        <w:rPr/>
        <w:t>examine</w:t>
      </w:r>
      <w:r>
        <w:rPr>
          <w:spacing w:val="-14"/>
        </w:rPr>
        <w:t> </w:t>
      </w:r>
      <w:r>
        <w:rPr/>
        <w:t>board</w:t>
      </w:r>
      <w:r>
        <w:rPr>
          <w:spacing w:val="-11"/>
        </w:rPr>
        <w:t> </w:t>
      </w:r>
      <w:r>
        <w:rPr/>
        <w:t>composition,</w:t>
      </w:r>
      <w:r>
        <w:rPr>
          <w:spacing w:val="-10"/>
        </w:rPr>
        <w:t> </w:t>
      </w:r>
      <w:r>
        <w:rPr/>
        <w:t>ownership</w:t>
      </w:r>
      <w:r>
        <w:rPr>
          <w:spacing w:val="-11"/>
        </w:rPr>
        <w:t> </w:t>
      </w:r>
      <w:r>
        <w:rPr/>
        <w:t>structure</w:t>
      </w:r>
      <w:r>
        <w:rPr>
          <w:spacing w:val="-12"/>
        </w:rPr>
        <w:t> </w:t>
      </w:r>
      <w:r>
        <w:rPr/>
        <w:t>and</w:t>
      </w:r>
      <w:r>
        <w:rPr>
          <w:spacing w:val="-11"/>
        </w:rPr>
        <w:t> </w:t>
      </w:r>
      <w:r>
        <w:rPr/>
        <w:t>reporting</w:t>
      </w:r>
      <w:r>
        <w:rPr>
          <w:spacing w:val="-10"/>
        </w:rPr>
        <w:t> </w:t>
      </w:r>
      <w:r>
        <w:rPr/>
        <w:t>quality</w:t>
      </w:r>
      <w:r>
        <w:rPr>
          <w:spacing w:val="-10"/>
        </w:rPr>
        <w:t> </w:t>
      </w:r>
      <w:r>
        <w:rPr/>
        <w:t>of</w:t>
      </w:r>
      <w:r>
        <w:rPr>
          <w:spacing w:val="-14"/>
        </w:rPr>
        <w:t> </w:t>
      </w:r>
      <w:r>
        <w:rPr/>
        <w:t>listed companies in Nigeria in a post-IFRS regime.</w:t>
      </w:r>
    </w:p>
    <w:p>
      <w:pPr>
        <w:spacing w:after="0" w:line="480" w:lineRule="auto"/>
        <w:jc w:val="both"/>
        <w:sectPr>
          <w:pgSz w:w="11910" w:h="16840"/>
          <w:pgMar w:header="0" w:footer="971" w:top="1360" w:bottom="1160" w:left="500" w:right="0"/>
        </w:sectPr>
      </w:pPr>
    </w:p>
    <w:p>
      <w:pPr>
        <w:pStyle w:val="Heading3"/>
        <w:numPr>
          <w:ilvl w:val="1"/>
          <w:numId w:val="18"/>
        </w:numPr>
        <w:tabs>
          <w:tab w:pos="1300" w:val="left" w:leader="none"/>
        </w:tabs>
        <w:spacing w:line="240" w:lineRule="auto" w:before="61" w:after="0"/>
        <w:ind w:left="1300" w:right="0" w:hanging="360"/>
        <w:jc w:val="left"/>
      </w:pPr>
      <w:bookmarkStart w:name="_TOC_250068" w:id="2"/>
      <w:r>
        <w:rPr/>
        <w:t>Statement</w:t>
      </w:r>
      <w:r>
        <w:rPr>
          <w:spacing w:val="-2"/>
        </w:rPr>
        <w:t> </w:t>
      </w:r>
      <w:r>
        <w:rPr/>
        <w:t>of</w:t>
      </w:r>
      <w:r>
        <w:rPr>
          <w:spacing w:val="-4"/>
        </w:rPr>
        <w:t> </w:t>
      </w:r>
      <w:r>
        <w:rPr/>
        <w:t>the</w:t>
      </w:r>
      <w:r>
        <w:rPr>
          <w:spacing w:val="-2"/>
        </w:rPr>
        <w:t> </w:t>
      </w:r>
      <w:r>
        <w:rPr/>
        <w:t>Research</w:t>
      </w:r>
      <w:r>
        <w:rPr>
          <w:spacing w:val="-1"/>
        </w:rPr>
        <w:t> </w:t>
      </w:r>
      <w:bookmarkEnd w:id="2"/>
      <w:r>
        <w:rPr>
          <w:spacing w:val="-2"/>
        </w:rPr>
        <w:t>Problem</w:t>
      </w:r>
    </w:p>
    <w:p>
      <w:pPr>
        <w:pStyle w:val="BodyText"/>
        <w:rPr>
          <w:b/>
        </w:rPr>
      </w:pPr>
    </w:p>
    <w:p>
      <w:pPr>
        <w:pStyle w:val="BodyText"/>
        <w:spacing w:line="480" w:lineRule="auto"/>
        <w:ind w:left="940" w:right="1435"/>
        <w:jc w:val="both"/>
      </w:pPr>
      <w:r>
        <w:rPr/>
        <w:drawing>
          <wp:anchor distT="0" distB="0" distL="0" distR="0" allowOverlap="1" layoutInCell="1" locked="0" behindDoc="1" simplePos="0" relativeHeight="477670400">
            <wp:simplePos x="0" y="0"/>
            <wp:positionH relativeFrom="page">
              <wp:posOffset>1095451</wp:posOffset>
            </wp:positionH>
            <wp:positionV relativeFrom="paragraph">
              <wp:posOffset>1461545</wp:posOffset>
            </wp:positionV>
            <wp:extent cx="5106847" cy="523811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5" cstate="print"/>
                    <a:stretch>
                      <a:fillRect/>
                    </a:stretch>
                  </pic:blipFill>
                  <pic:spPr>
                    <a:xfrm>
                      <a:off x="0" y="0"/>
                      <a:ext cx="5106847" cy="5238115"/>
                    </a:xfrm>
                    <a:prstGeom prst="rect">
                      <a:avLst/>
                    </a:prstGeom>
                  </pic:spPr>
                </pic:pic>
              </a:graphicData>
            </a:graphic>
          </wp:anchor>
        </w:drawing>
      </w:r>
      <w:r>
        <w:rPr/>
        <w:t>Literature on IFRS adoption by countries has received academic attention. An interesting discussion regarding this adoption (partial or total change from the national accounting standard to international standard) is on high quality financial reporting. A retinue of studies has</w:t>
      </w:r>
      <w:r>
        <w:rPr>
          <w:spacing w:val="-6"/>
        </w:rPr>
        <w:t> </w:t>
      </w:r>
      <w:r>
        <w:rPr/>
        <w:t>been</w:t>
      </w:r>
      <w:r>
        <w:rPr>
          <w:spacing w:val="-6"/>
        </w:rPr>
        <w:t> </w:t>
      </w:r>
      <w:r>
        <w:rPr/>
        <w:t>done</w:t>
      </w:r>
      <w:r>
        <w:rPr>
          <w:spacing w:val="-7"/>
        </w:rPr>
        <w:t> </w:t>
      </w:r>
      <w:r>
        <w:rPr/>
        <w:t>on</w:t>
      </w:r>
      <w:r>
        <w:rPr>
          <w:spacing w:val="-3"/>
        </w:rPr>
        <w:t> </w:t>
      </w:r>
      <w:r>
        <w:rPr/>
        <w:t>IFRS</w:t>
      </w:r>
      <w:r>
        <w:rPr>
          <w:spacing w:val="-5"/>
        </w:rPr>
        <w:t> </w:t>
      </w:r>
      <w:r>
        <w:rPr/>
        <w:t>adoption,</w:t>
      </w:r>
      <w:r>
        <w:rPr>
          <w:spacing w:val="-6"/>
        </w:rPr>
        <w:t> </w:t>
      </w:r>
      <w:r>
        <w:rPr/>
        <w:t>CG</w:t>
      </w:r>
      <w:r>
        <w:rPr>
          <w:spacing w:val="-6"/>
        </w:rPr>
        <w:t> </w:t>
      </w:r>
      <w:r>
        <w:rPr/>
        <w:t>and</w:t>
      </w:r>
      <w:r>
        <w:rPr>
          <w:spacing w:val="-6"/>
        </w:rPr>
        <w:t> </w:t>
      </w:r>
      <w:r>
        <w:rPr/>
        <w:t>reporting</w:t>
      </w:r>
      <w:r>
        <w:rPr>
          <w:spacing w:val="-6"/>
        </w:rPr>
        <w:t> </w:t>
      </w:r>
      <w:r>
        <w:rPr/>
        <w:t>quality</w:t>
      </w:r>
      <w:r>
        <w:rPr>
          <w:spacing w:val="-5"/>
        </w:rPr>
        <w:t> </w:t>
      </w:r>
      <w:r>
        <w:rPr/>
        <w:t>across</w:t>
      </w:r>
      <w:r>
        <w:rPr>
          <w:spacing w:val="-6"/>
        </w:rPr>
        <w:t> </w:t>
      </w:r>
      <w:r>
        <w:rPr/>
        <w:t>different</w:t>
      </w:r>
      <w:r>
        <w:rPr>
          <w:spacing w:val="-3"/>
        </w:rPr>
        <w:t> </w:t>
      </w:r>
      <w:r>
        <w:rPr/>
        <w:t>economies</w:t>
      </w:r>
      <w:r>
        <w:rPr>
          <w:spacing w:val="-6"/>
        </w:rPr>
        <w:t> </w:t>
      </w:r>
      <w:r>
        <w:rPr/>
        <w:t>(Abata, 2015;</w:t>
      </w:r>
      <w:r>
        <w:rPr>
          <w:spacing w:val="25"/>
        </w:rPr>
        <w:t>  </w:t>
      </w:r>
      <w:r>
        <w:rPr/>
        <w:t>Adeyemi,</w:t>
      </w:r>
      <w:r>
        <w:rPr>
          <w:spacing w:val="29"/>
        </w:rPr>
        <w:t> </w:t>
      </w:r>
      <w:r>
        <w:rPr/>
        <w:t>2016;</w:t>
      </w:r>
      <w:r>
        <w:rPr>
          <w:spacing w:val="30"/>
        </w:rPr>
        <w:t> </w:t>
      </w:r>
      <w:r>
        <w:rPr/>
        <w:t>Adejoh</w:t>
      </w:r>
      <w:r>
        <w:rPr>
          <w:spacing w:val="29"/>
        </w:rPr>
        <w:t> </w:t>
      </w:r>
      <w:r>
        <w:rPr/>
        <w:t>&amp;</w:t>
      </w:r>
      <w:r>
        <w:rPr>
          <w:spacing w:val="28"/>
        </w:rPr>
        <w:t> </w:t>
      </w:r>
      <w:r>
        <w:rPr/>
        <w:t>Hasnah,</w:t>
      </w:r>
      <w:r>
        <w:rPr>
          <w:spacing w:val="27"/>
        </w:rPr>
        <w:t> </w:t>
      </w:r>
      <w:r>
        <w:rPr/>
        <w:t>2014;</w:t>
      </w:r>
      <w:r>
        <w:rPr>
          <w:spacing w:val="29"/>
        </w:rPr>
        <w:t> </w:t>
      </w:r>
      <w:r>
        <w:rPr/>
        <w:t>Abdulrazak,</w:t>
      </w:r>
      <w:r>
        <w:rPr>
          <w:spacing w:val="27"/>
        </w:rPr>
        <w:t> </w:t>
      </w:r>
      <w:r>
        <w:rPr/>
        <w:t>2013;</w:t>
      </w:r>
      <w:r>
        <w:rPr>
          <w:spacing w:val="29"/>
        </w:rPr>
        <w:t> </w:t>
      </w:r>
      <w:r>
        <w:rPr/>
        <w:t>Akpaka,</w:t>
      </w:r>
      <w:r>
        <w:rPr>
          <w:spacing w:val="27"/>
        </w:rPr>
        <w:t> </w:t>
      </w:r>
      <w:r>
        <w:rPr/>
        <w:t>2015;</w:t>
      </w:r>
      <w:r>
        <w:rPr>
          <w:spacing w:val="29"/>
        </w:rPr>
        <w:t> </w:t>
      </w:r>
      <w:r>
        <w:rPr>
          <w:spacing w:val="-2"/>
        </w:rPr>
        <w:t>Ames,</w:t>
      </w:r>
    </w:p>
    <w:p>
      <w:pPr>
        <w:pStyle w:val="BodyText"/>
        <w:spacing w:line="480" w:lineRule="auto" w:before="1"/>
        <w:ind w:left="940" w:right="1437"/>
        <w:jc w:val="both"/>
      </w:pPr>
      <w:r>
        <w:rPr/>
        <w:t>2013;</w:t>
      </w:r>
      <w:r>
        <w:rPr>
          <w:spacing w:val="-15"/>
        </w:rPr>
        <w:t> </w:t>
      </w:r>
      <w:r>
        <w:rPr/>
        <w:t>Cormier,</w:t>
      </w:r>
      <w:r>
        <w:rPr>
          <w:spacing w:val="-15"/>
        </w:rPr>
        <w:t> </w:t>
      </w:r>
      <w:r>
        <w:rPr/>
        <w:t>2013;</w:t>
      </w:r>
      <w:r>
        <w:rPr>
          <w:spacing w:val="-15"/>
        </w:rPr>
        <w:t> </w:t>
      </w:r>
      <w:r>
        <w:rPr/>
        <w:t>Duarte,</w:t>
      </w:r>
      <w:r>
        <w:rPr>
          <w:spacing w:val="-15"/>
        </w:rPr>
        <w:t> </w:t>
      </w:r>
      <w:r>
        <w:rPr/>
        <w:t>Saur-Amaral</w:t>
      </w:r>
      <w:r>
        <w:rPr>
          <w:spacing w:val="-15"/>
        </w:rPr>
        <w:t> </w:t>
      </w:r>
      <w:r>
        <w:rPr/>
        <w:t>&amp;</w:t>
      </w:r>
      <w:r>
        <w:rPr>
          <w:spacing w:val="-15"/>
        </w:rPr>
        <w:t> </w:t>
      </w:r>
      <w:r>
        <w:rPr/>
        <w:t>Azevedo,</w:t>
      </w:r>
      <w:r>
        <w:rPr>
          <w:spacing w:val="-15"/>
        </w:rPr>
        <w:t> </w:t>
      </w:r>
      <w:r>
        <w:rPr/>
        <w:t>2015;</w:t>
      </w:r>
      <w:r>
        <w:rPr>
          <w:spacing w:val="-15"/>
        </w:rPr>
        <w:t> </w:t>
      </w:r>
      <w:r>
        <w:rPr/>
        <w:t>Firoozi,</w:t>
      </w:r>
      <w:r>
        <w:rPr>
          <w:spacing w:val="-15"/>
        </w:rPr>
        <w:t> </w:t>
      </w:r>
      <w:r>
        <w:rPr/>
        <w:t>Magnan</w:t>
      </w:r>
      <w:r>
        <w:rPr>
          <w:spacing w:val="-15"/>
        </w:rPr>
        <w:t> </w:t>
      </w:r>
      <w:r>
        <w:rPr/>
        <w:t>&amp;</w:t>
      </w:r>
      <w:r>
        <w:rPr>
          <w:spacing w:val="-15"/>
        </w:rPr>
        <w:t> </w:t>
      </w:r>
      <w:r>
        <w:rPr/>
        <w:t>Fortin,</w:t>
      </w:r>
      <w:r>
        <w:rPr>
          <w:spacing w:val="-15"/>
        </w:rPr>
        <w:t> </w:t>
      </w:r>
      <w:r>
        <w:rPr/>
        <w:t>2016; Hassan 2015; Hui-Sung &amp; Tzu-Han, 2014; Hyuk, Jae-Gyung &amp; Sang-Ho, 2014; Ibadin &amp; Dabor,</w:t>
      </w:r>
      <w:r>
        <w:rPr>
          <w:spacing w:val="3"/>
        </w:rPr>
        <w:t> </w:t>
      </w:r>
      <w:r>
        <w:rPr/>
        <w:t>2015;</w:t>
      </w:r>
      <w:r>
        <w:rPr>
          <w:spacing w:val="8"/>
        </w:rPr>
        <w:t> </w:t>
      </w:r>
      <w:r>
        <w:rPr/>
        <w:t>Irina-Doina,</w:t>
      </w:r>
      <w:r>
        <w:rPr>
          <w:spacing w:val="5"/>
        </w:rPr>
        <w:t> </w:t>
      </w:r>
      <w:r>
        <w:rPr/>
        <w:t>2015;</w:t>
      </w:r>
      <w:r>
        <w:rPr>
          <w:spacing w:val="6"/>
        </w:rPr>
        <w:t> </w:t>
      </w:r>
      <w:r>
        <w:rPr/>
        <w:t>Jouini,</w:t>
      </w:r>
      <w:r>
        <w:rPr>
          <w:spacing w:val="6"/>
        </w:rPr>
        <w:t> </w:t>
      </w:r>
      <w:r>
        <w:rPr/>
        <w:t>2013;</w:t>
      </w:r>
      <w:r>
        <w:rPr>
          <w:spacing w:val="6"/>
        </w:rPr>
        <w:t> </w:t>
      </w:r>
      <w:r>
        <w:rPr/>
        <w:t>Kaaya,</w:t>
      </w:r>
      <w:r>
        <w:rPr>
          <w:spacing w:val="5"/>
        </w:rPr>
        <w:t> </w:t>
      </w:r>
      <w:r>
        <w:rPr/>
        <w:t>2015;</w:t>
      </w:r>
      <w:r>
        <w:rPr>
          <w:spacing w:val="8"/>
        </w:rPr>
        <w:t> </w:t>
      </w:r>
      <w:r>
        <w:rPr/>
        <w:t>Kargin,</w:t>
      </w:r>
      <w:r>
        <w:rPr>
          <w:spacing w:val="8"/>
        </w:rPr>
        <w:t> </w:t>
      </w:r>
      <w:r>
        <w:rPr/>
        <w:t>2013;</w:t>
      </w:r>
      <w:r>
        <w:rPr>
          <w:spacing w:val="6"/>
        </w:rPr>
        <w:t> </w:t>
      </w:r>
      <w:r>
        <w:rPr/>
        <w:t>Khalid,</w:t>
      </w:r>
      <w:r>
        <w:rPr>
          <w:spacing w:val="5"/>
        </w:rPr>
        <w:t> </w:t>
      </w:r>
      <w:r>
        <w:rPr/>
        <w:t>Arshad</w:t>
      </w:r>
      <w:r>
        <w:rPr>
          <w:spacing w:val="9"/>
        </w:rPr>
        <w:t> </w:t>
      </w:r>
      <w:r>
        <w:rPr>
          <w:spacing w:val="-10"/>
        </w:rPr>
        <w:t>&amp;</w:t>
      </w:r>
    </w:p>
    <w:p>
      <w:pPr>
        <w:pStyle w:val="BodyText"/>
        <w:spacing w:line="480" w:lineRule="auto"/>
        <w:ind w:left="940" w:right="1435"/>
        <w:jc w:val="both"/>
      </w:pPr>
      <w:r>
        <w:rPr/>
        <w:t>Abdul,</w:t>
      </w:r>
      <w:r>
        <w:rPr>
          <w:spacing w:val="-6"/>
        </w:rPr>
        <w:t> </w:t>
      </w:r>
      <w:r>
        <w:rPr/>
        <w:t>2017;</w:t>
      </w:r>
      <w:r>
        <w:rPr>
          <w:spacing w:val="-5"/>
        </w:rPr>
        <w:t> </w:t>
      </w:r>
      <w:r>
        <w:rPr/>
        <w:t>Leung</w:t>
      </w:r>
      <w:r>
        <w:rPr>
          <w:spacing w:val="-6"/>
        </w:rPr>
        <w:t> </w:t>
      </w:r>
      <w:r>
        <w:rPr/>
        <w:t>&amp;</w:t>
      </w:r>
      <w:r>
        <w:rPr>
          <w:spacing w:val="-5"/>
        </w:rPr>
        <w:t> </w:t>
      </w:r>
      <w:r>
        <w:rPr/>
        <w:t>Ilever,</w:t>
      </w:r>
      <w:r>
        <w:rPr>
          <w:spacing w:val="-7"/>
        </w:rPr>
        <w:t> </w:t>
      </w:r>
      <w:r>
        <w:rPr/>
        <w:t>2013;</w:t>
      </w:r>
      <w:r>
        <w:rPr>
          <w:spacing w:val="-5"/>
        </w:rPr>
        <w:t> </w:t>
      </w:r>
      <w:r>
        <w:rPr/>
        <w:t>Muhammed,</w:t>
      </w:r>
      <w:r>
        <w:rPr>
          <w:spacing w:val="-3"/>
        </w:rPr>
        <w:t> </w:t>
      </w:r>
      <w:r>
        <w:rPr/>
        <w:t>2014;</w:t>
      </w:r>
      <w:r>
        <w:rPr>
          <w:spacing w:val="-5"/>
        </w:rPr>
        <w:t> </w:t>
      </w:r>
      <w:r>
        <w:rPr/>
        <w:t>Nesrine</w:t>
      </w:r>
      <w:r>
        <w:rPr>
          <w:spacing w:val="-7"/>
        </w:rPr>
        <w:t> </w:t>
      </w:r>
      <w:r>
        <w:rPr/>
        <w:t>&amp;</w:t>
      </w:r>
      <w:r>
        <w:rPr>
          <w:spacing w:val="-5"/>
        </w:rPr>
        <w:t> </w:t>
      </w:r>
      <w:r>
        <w:rPr/>
        <w:t>Abdelwahed,</w:t>
      </w:r>
      <w:r>
        <w:rPr>
          <w:spacing w:val="-6"/>
        </w:rPr>
        <w:t> </w:t>
      </w:r>
      <w:r>
        <w:rPr/>
        <w:t>2011;</w:t>
      </w:r>
      <w:r>
        <w:rPr>
          <w:spacing w:val="-5"/>
        </w:rPr>
        <w:t> </w:t>
      </w:r>
      <w:r>
        <w:rPr/>
        <w:t>Nnadi, 2016;</w:t>
      </w:r>
      <w:r>
        <w:rPr>
          <w:spacing w:val="-15"/>
        </w:rPr>
        <w:t> </w:t>
      </w:r>
      <w:r>
        <w:rPr/>
        <w:t>Niuosha,</w:t>
      </w:r>
      <w:r>
        <w:rPr>
          <w:spacing w:val="-15"/>
        </w:rPr>
        <w:t> </w:t>
      </w:r>
      <w:r>
        <w:rPr/>
        <w:t>2015;</w:t>
      </w:r>
      <w:r>
        <w:rPr>
          <w:spacing w:val="-15"/>
        </w:rPr>
        <w:t> </w:t>
      </w:r>
      <w:r>
        <w:rPr/>
        <w:t>Odia</w:t>
      </w:r>
      <w:r>
        <w:rPr>
          <w:spacing w:val="-15"/>
        </w:rPr>
        <w:t> </w:t>
      </w:r>
      <w:r>
        <w:rPr/>
        <w:t>&amp;</w:t>
      </w:r>
      <w:r>
        <w:rPr>
          <w:spacing w:val="-15"/>
        </w:rPr>
        <w:t> </w:t>
      </w:r>
      <w:r>
        <w:rPr/>
        <w:t>Ogiedu,</w:t>
      </w:r>
      <w:r>
        <w:rPr>
          <w:spacing w:val="-15"/>
        </w:rPr>
        <w:t> </w:t>
      </w:r>
      <w:r>
        <w:rPr/>
        <w:t>2013;</w:t>
      </w:r>
      <w:r>
        <w:rPr>
          <w:spacing w:val="-15"/>
        </w:rPr>
        <w:t> </w:t>
      </w:r>
      <w:r>
        <w:rPr/>
        <w:t>Ogundana,</w:t>
      </w:r>
      <w:r>
        <w:rPr>
          <w:spacing w:val="-15"/>
        </w:rPr>
        <w:t> </w:t>
      </w:r>
      <w:r>
        <w:rPr/>
        <w:t>Uwuigbe,</w:t>
      </w:r>
      <w:r>
        <w:rPr>
          <w:spacing w:val="-15"/>
        </w:rPr>
        <w:t> </w:t>
      </w:r>
      <w:r>
        <w:rPr/>
        <w:t>Jinadu,</w:t>
      </w:r>
      <w:r>
        <w:rPr>
          <w:spacing w:val="-15"/>
        </w:rPr>
        <w:t> </w:t>
      </w:r>
      <w:r>
        <w:rPr/>
        <w:t>Adesanmi</w:t>
      </w:r>
      <w:r>
        <w:rPr>
          <w:spacing w:val="-15"/>
        </w:rPr>
        <w:t> </w:t>
      </w:r>
      <w:r>
        <w:rPr/>
        <w:t>&amp;</w:t>
      </w:r>
      <w:r>
        <w:rPr>
          <w:spacing w:val="-15"/>
        </w:rPr>
        <w:t> </w:t>
      </w:r>
      <w:r>
        <w:rPr/>
        <w:t>Nwaze, 2017; Onuorah &amp; Imene, 2016; Palea, 2013; Ugbede, Mohd &amp; Ahmad, 2014; Umobong &amp; Akani, 2015; Verriest, Gaeremynck &amp; Thornton, 2011; Yurt &amp; Ergun, 2015; Yusuf, 2014). The</w:t>
      </w:r>
      <w:r>
        <w:rPr>
          <w:spacing w:val="-9"/>
        </w:rPr>
        <w:t> </w:t>
      </w:r>
      <w:r>
        <w:rPr/>
        <w:t>debates</w:t>
      </w:r>
      <w:r>
        <w:rPr>
          <w:spacing w:val="-9"/>
        </w:rPr>
        <w:t> </w:t>
      </w:r>
      <w:r>
        <w:rPr/>
        <w:t>that</w:t>
      </w:r>
      <w:r>
        <w:rPr>
          <w:spacing w:val="-8"/>
        </w:rPr>
        <w:t> </w:t>
      </w:r>
      <w:r>
        <w:rPr/>
        <w:t>financial</w:t>
      </w:r>
      <w:r>
        <w:rPr>
          <w:spacing w:val="-6"/>
        </w:rPr>
        <w:t> </w:t>
      </w:r>
      <w:r>
        <w:rPr/>
        <w:t>reporting</w:t>
      </w:r>
      <w:r>
        <w:rPr>
          <w:spacing w:val="-8"/>
        </w:rPr>
        <w:t> </w:t>
      </w:r>
      <w:r>
        <w:rPr/>
        <w:t>quality</w:t>
      </w:r>
      <w:r>
        <w:rPr>
          <w:spacing w:val="-8"/>
        </w:rPr>
        <w:t> </w:t>
      </w:r>
      <w:r>
        <w:rPr/>
        <w:t>is</w:t>
      </w:r>
      <w:r>
        <w:rPr>
          <w:spacing w:val="-8"/>
        </w:rPr>
        <w:t> </w:t>
      </w:r>
      <w:r>
        <w:rPr/>
        <w:t>enhanced</w:t>
      </w:r>
      <w:r>
        <w:rPr>
          <w:spacing w:val="-8"/>
        </w:rPr>
        <w:t> </w:t>
      </w:r>
      <w:r>
        <w:rPr/>
        <w:t>with</w:t>
      </w:r>
      <w:r>
        <w:rPr>
          <w:spacing w:val="-8"/>
        </w:rPr>
        <w:t> </w:t>
      </w:r>
      <w:r>
        <w:rPr/>
        <w:t>or</w:t>
      </w:r>
      <w:r>
        <w:rPr>
          <w:spacing w:val="-9"/>
        </w:rPr>
        <w:t> </w:t>
      </w:r>
      <w:r>
        <w:rPr/>
        <w:t>without</w:t>
      </w:r>
      <w:r>
        <w:rPr>
          <w:spacing w:val="-8"/>
        </w:rPr>
        <w:t> </w:t>
      </w:r>
      <w:r>
        <w:rPr/>
        <w:t>IFRS</w:t>
      </w:r>
      <w:r>
        <w:rPr>
          <w:spacing w:val="-8"/>
        </w:rPr>
        <w:t> </w:t>
      </w:r>
      <w:r>
        <w:rPr/>
        <w:t>reporting</w:t>
      </w:r>
      <w:r>
        <w:rPr>
          <w:spacing w:val="-8"/>
        </w:rPr>
        <w:t> </w:t>
      </w:r>
      <w:r>
        <w:rPr/>
        <w:t>regime have spurred interest among academics, specifically, in the context of examining whether the impact</w:t>
      </w:r>
      <w:r>
        <w:rPr>
          <w:spacing w:val="-2"/>
        </w:rPr>
        <w:t> </w:t>
      </w:r>
      <w:r>
        <w:rPr/>
        <w:t>of</w:t>
      </w:r>
      <w:r>
        <w:rPr>
          <w:spacing w:val="-1"/>
        </w:rPr>
        <w:t> </w:t>
      </w:r>
      <w:r>
        <w:rPr/>
        <w:t>IFRS</w:t>
      </w:r>
      <w:r>
        <w:rPr>
          <w:spacing w:val="-2"/>
        </w:rPr>
        <w:t> </w:t>
      </w:r>
      <w:r>
        <w:rPr/>
        <w:t>adoption on</w:t>
      </w:r>
      <w:r>
        <w:rPr>
          <w:spacing w:val="-2"/>
        </w:rPr>
        <w:t> </w:t>
      </w:r>
      <w:r>
        <w:rPr/>
        <w:t>financial reporting</w:t>
      </w:r>
      <w:r>
        <w:rPr>
          <w:spacing w:val="-2"/>
        </w:rPr>
        <w:t> </w:t>
      </w:r>
      <w:r>
        <w:rPr/>
        <w:t>quality</w:t>
      </w:r>
      <w:r>
        <w:rPr>
          <w:spacing w:val="-2"/>
        </w:rPr>
        <w:t> </w:t>
      </w:r>
      <w:r>
        <w:rPr/>
        <w:t>is</w:t>
      </w:r>
      <w:r>
        <w:rPr>
          <w:spacing w:val="-2"/>
        </w:rPr>
        <w:t> </w:t>
      </w:r>
      <w:r>
        <w:rPr/>
        <w:t>strengthened</w:t>
      </w:r>
      <w:r>
        <w:rPr>
          <w:spacing w:val="-2"/>
        </w:rPr>
        <w:t> </w:t>
      </w:r>
      <w:r>
        <w:rPr/>
        <w:t>by</w:t>
      </w:r>
      <w:r>
        <w:rPr>
          <w:spacing w:val="-2"/>
        </w:rPr>
        <w:t> </w:t>
      </w:r>
      <w:r>
        <w:rPr/>
        <w:t>CG</w:t>
      </w:r>
      <w:r>
        <w:rPr>
          <w:spacing w:val="-2"/>
        </w:rPr>
        <w:t> </w:t>
      </w:r>
      <w:r>
        <w:rPr/>
        <w:t>practices</w:t>
      </w:r>
      <w:r>
        <w:rPr>
          <w:spacing w:val="-2"/>
        </w:rPr>
        <w:t> </w:t>
      </w:r>
      <w:r>
        <w:rPr/>
        <w:t>or</w:t>
      </w:r>
      <w:r>
        <w:rPr>
          <w:spacing w:val="-1"/>
        </w:rPr>
        <w:t> </w:t>
      </w:r>
      <w:r>
        <w:rPr/>
        <w:t>if</w:t>
      </w:r>
      <w:r>
        <w:rPr>
          <w:spacing w:val="-2"/>
        </w:rPr>
        <w:t> </w:t>
      </w:r>
      <w:r>
        <w:rPr/>
        <w:t>it weakens the impact CG has on reporting quality. The findings in priori studies elicited mixed findings and were very much inconclusive. Although there seems to be a unanimous stance that IFRS adoption impacting reporting quality is conditioned on strict regulatory and institutional framework, however, a key reason why these studies often fail to provide unanimous findings could be due to the differences in regulatory and institutional framework across countries.</w:t>
      </w:r>
    </w:p>
    <w:p>
      <w:pPr>
        <w:pStyle w:val="BodyText"/>
        <w:spacing w:line="480" w:lineRule="auto" w:before="1"/>
        <w:ind w:left="940" w:right="1436"/>
        <w:jc w:val="both"/>
      </w:pPr>
      <w:r>
        <w:rPr/>
        <w:t>Again, methodological directions used by the studies cited above may also be a cause for concern.</w:t>
      </w:r>
      <w:r>
        <w:rPr>
          <w:spacing w:val="-7"/>
        </w:rPr>
        <w:t> </w:t>
      </w:r>
      <w:r>
        <w:rPr/>
        <w:t>For</w:t>
      </w:r>
      <w:r>
        <w:rPr>
          <w:spacing w:val="-8"/>
        </w:rPr>
        <w:t> </w:t>
      </w:r>
      <w:r>
        <w:rPr/>
        <w:t>instance,</w:t>
      </w:r>
      <w:r>
        <w:rPr>
          <w:spacing w:val="-8"/>
        </w:rPr>
        <w:t> </w:t>
      </w:r>
      <w:r>
        <w:rPr/>
        <w:t>prior</w:t>
      </w:r>
      <w:r>
        <w:rPr>
          <w:spacing w:val="-8"/>
        </w:rPr>
        <w:t> </w:t>
      </w:r>
      <w:r>
        <w:rPr/>
        <w:t>studies</w:t>
      </w:r>
      <w:r>
        <w:rPr>
          <w:spacing w:val="-6"/>
        </w:rPr>
        <w:t> </w:t>
      </w:r>
      <w:r>
        <w:rPr/>
        <w:t>had</w:t>
      </w:r>
      <w:r>
        <w:rPr>
          <w:spacing w:val="-8"/>
        </w:rPr>
        <w:t> </w:t>
      </w:r>
      <w:r>
        <w:rPr/>
        <w:t>the</w:t>
      </w:r>
      <w:r>
        <w:rPr>
          <w:spacing w:val="-8"/>
        </w:rPr>
        <w:t> </w:t>
      </w:r>
      <w:r>
        <w:rPr/>
        <w:t>difficulty</w:t>
      </w:r>
      <w:r>
        <w:rPr>
          <w:spacing w:val="-7"/>
        </w:rPr>
        <w:t> </w:t>
      </w:r>
      <w:r>
        <w:rPr/>
        <w:t>in</w:t>
      </w:r>
      <w:r>
        <w:rPr>
          <w:spacing w:val="-8"/>
        </w:rPr>
        <w:t> </w:t>
      </w:r>
      <w:r>
        <w:rPr/>
        <w:t>controlling</w:t>
      </w:r>
      <w:r>
        <w:rPr>
          <w:spacing w:val="-8"/>
        </w:rPr>
        <w:t> </w:t>
      </w:r>
      <w:r>
        <w:rPr/>
        <w:t>the</w:t>
      </w:r>
      <w:r>
        <w:rPr>
          <w:spacing w:val="-8"/>
        </w:rPr>
        <w:t> </w:t>
      </w:r>
      <w:r>
        <w:rPr/>
        <w:t>confounding</w:t>
      </w:r>
      <w:r>
        <w:rPr>
          <w:spacing w:val="-8"/>
        </w:rPr>
        <w:t> </w:t>
      </w:r>
      <w:r>
        <w:rPr/>
        <w:t>factors</w:t>
      </w:r>
      <w:r>
        <w:rPr>
          <w:spacing w:val="-8"/>
        </w:rPr>
        <w:t> </w:t>
      </w:r>
      <w:r>
        <w:rPr/>
        <w:t>on accounting</w:t>
      </w:r>
      <w:r>
        <w:rPr>
          <w:spacing w:val="-11"/>
        </w:rPr>
        <w:t> </w:t>
      </w:r>
      <w:r>
        <w:rPr/>
        <w:t>quality</w:t>
      </w:r>
      <w:r>
        <w:rPr>
          <w:spacing w:val="-8"/>
        </w:rPr>
        <w:t> </w:t>
      </w:r>
      <w:r>
        <w:rPr/>
        <w:t>in</w:t>
      </w:r>
      <w:r>
        <w:rPr>
          <w:spacing w:val="-5"/>
        </w:rPr>
        <w:t> </w:t>
      </w:r>
      <w:r>
        <w:rPr/>
        <w:t>IFRS</w:t>
      </w:r>
      <w:r>
        <w:rPr>
          <w:spacing w:val="-8"/>
        </w:rPr>
        <w:t> </w:t>
      </w:r>
      <w:r>
        <w:rPr/>
        <w:t>reporting</w:t>
      </w:r>
      <w:r>
        <w:rPr>
          <w:spacing w:val="-7"/>
        </w:rPr>
        <w:t> </w:t>
      </w:r>
      <w:r>
        <w:rPr/>
        <w:t>regime.</w:t>
      </w:r>
      <w:r>
        <w:rPr>
          <w:spacing w:val="-9"/>
        </w:rPr>
        <w:t> </w:t>
      </w:r>
      <w:r>
        <w:rPr/>
        <w:t>This</w:t>
      </w:r>
      <w:r>
        <w:rPr>
          <w:spacing w:val="-3"/>
        </w:rPr>
        <w:t> </w:t>
      </w:r>
      <w:r>
        <w:rPr/>
        <w:t>particular</w:t>
      </w:r>
      <w:r>
        <w:rPr>
          <w:spacing w:val="-8"/>
        </w:rPr>
        <w:t> </w:t>
      </w:r>
      <w:r>
        <w:rPr/>
        <w:t>study</w:t>
      </w:r>
      <w:r>
        <w:rPr>
          <w:spacing w:val="-7"/>
        </w:rPr>
        <w:t> </w:t>
      </w:r>
      <w:r>
        <w:rPr/>
        <w:t>toyed</w:t>
      </w:r>
      <w:r>
        <w:rPr>
          <w:spacing w:val="-6"/>
        </w:rPr>
        <w:t> </w:t>
      </w:r>
      <w:r>
        <w:rPr/>
        <w:t>a</w:t>
      </w:r>
      <w:r>
        <w:rPr>
          <w:spacing w:val="-9"/>
        </w:rPr>
        <w:t> </w:t>
      </w:r>
      <w:r>
        <w:rPr/>
        <w:t>totally</w:t>
      </w:r>
      <w:r>
        <w:rPr>
          <w:spacing w:val="-8"/>
        </w:rPr>
        <w:t> </w:t>
      </w:r>
      <w:r>
        <w:rPr/>
        <w:t>different</w:t>
      </w:r>
      <w:r>
        <w:rPr>
          <w:spacing w:val="-7"/>
        </w:rPr>
        <w:t> </w:t>
      </w:r>
      <w:r>
        <w:rPr>
          <w:spacing w:val="-4"/>
        </w:rPr>
        <w:t>line</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670912">
            <wp:simplePos x="0" y="0"/>
            <wp:positionH relativeFrom="page">
              <wp:posOffset>1095451</wp:posOffset>
            </wp:positionH>
            <wp:positionV relativeFrom="paragraph">
              <wp:posOffset>1850770</wp:posOffset>
            </wp:positionV>
            <wp:extent cx="5106847" cy="523811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5" cstate="print"/>
                    <a:stretch>
                      <a:fillRect/>
                    </a:stretch>
                  </pic:blipFill>
                  <pic:spPr>
                    <a:xfrm>
                      <a:off x="0" y="0"/>
                      <a:ext cx="5106847" cy="5238115"/>
                    </a:xfrm>
                    <a:prstGeom prst="rect">
                      <a:avLst/>
                    </a:prstGeom>
                  </pic:spPr>
                </pic:pic>
              </a:graphicData>
            </a:graphic>
          </wp:anchor>
        </w:drawing>
      </w:r>
      <w:r>
        <w:rPr/>
        <w:t>from the</w:t>
      </w:r>
      <w:r>
        <w:rPr>
          <w:spacing w:val="-1"/>
        </w:rPr>
        <w:t> </w:t>
      </w:r>
      <w:r>
        <w:rPr/>
        <w:t>methodological approaches used by many prior</w:t>
      </w:r>
      <w:r>
        <w:rPr>
          <w:spacing w:val="-1"/>
        </w:rPr>
        <w:t> </w:t>
      </w:r>
      <w:r>
        <w:rPr/>
        <w:t>studies. First, this study made</w:t>
      </w:r>
      <w:r>
        <w:rPr>
          <w:spacing w:val="-2"/>
        </w:rPr>
        <w:t> </w:t>
      </w:r>
      <w:r>
        <w:rPr/>
        <w:t>use</w:t>
      </w:r>
      <w:r>
        <w:rPr>
          <w:spacing w:val="-1"/>
        </w:rPr>
        <w:t> </w:t>
      </w:r>
      <w:r>
        <w:rPr/>
        <w:t>of the</w:t>
      </w:r>
      <w:r>
        <w:rPr>
          <w:spacing w:val="-15"/>
        </w:rPr>
        <w:t> </w:t>
      </w:r>
      <w:r>
        <w:rPr/>
        <w:t>Difference-In-Difference</w:t>
      </w:r>
      <w:r>
        <w:rPr>
          <w:spacing w:val="-15"/>
        </w:rPr>
        <w:t> </w:t>
      </w:r>
      <w:r>
        <w:rPr/>
        <w:t>(DD)</w:t>
      </w:r>
      <w:r>
        <w:rPr>
          <w:spacing w:val="-15"/>
        </w:rPr>
        <w:t> </w:t>
      </w:r>
      <w:r>
        <w:rPr/>
        <w:t>estimation</w:t>
      </w:r>
      <w:r>
        <w:rPr>
          <w:spacing w:val="-15"/>
        </w:rPr>
        <w:t> </w:t>
      </w:r>
      <w:r>
        <w:rPr/>
        <w:t>technique.</w:t>
      </w:r>
      <w:r>
        <w:rPr>
          <w:spacing w:val="-15"/>
        </w:rPr>
        <w:t> </w:t>
      </w:r>
      <w:r>
        <w:rPr/>
        <w:t>The</w:t>
      </w:r>
      <w:r>
        <w:rPr>
          <w:spacing w:val="-15"/>
        </w:rPr>
        <w:t> </w:t>
      </w:r>
      <w:r>
        <w:rPr/>
        <w:t>DD</w:t>
      </w:r>
      <w:r>
        <w:rPr>
          <w:spacing w:val="-13"/>
        </w:rPr>
        <w:t> </w:t>
      </w:r>
      <w:r>
        <w:rPr/>
        <w:t>estimation</w:t>
      </w:r>
      <w:r>
        <w:rPr>
          <w:spacing w:val="-14"/>
        </w:rPr>
        <w:t> </w:t>
      </w:r>
      <w:r>
        <w:rPr/>
        <w:t>technique</w:t>
      </w:r>
      <w:r>
        <w:rPr>
          <w:spacing w:val="-15"/>
        </w:rPr>
        <w:t> </w:t>
      </w:r>
      <w:r>
        <w:rPr/>
        <w:t>is</w:t>
      </w:r>
      <w:r>
        <w:rPr>
          <w:spacing w:val="-14"/>
        </w:rPr>
        <w:t> </w:t>
      </w:r>
      <w:r>
        <w:rPr/>
        <w:t>a</w:t>
      </w:r>
      <w:r>
        <w:rPr>
          <w:spacing w:val="-15"/>
        </w:rPr>
        <w:t> </w:t>
      </w:r>
      <w:r>
        <w:rPr/>
        <w:t>tool to estimate treatment effects by comparing the pre and post-treatment differences in the outcome of a treatment (post-IFRS regime) and a control (pre-IFRS regime) groups. It calculates the effect of a treatment on an outcome variable (reporting quality) by comparing the average change over time in the outcome variable for the treatment group to the average change over time for the control group. Therefore, the coefficients of DD indicate whether a change</w:t>
      </w:r>
      <w:r>
        <w:rPr>
          <w:spacing w:val="-1"/>
        </w:rPr>
        <w:t> </w:t>
      </w:r>
      <w:r>
        <w:rPr/>
        <w:t>in</w:t>
      </w:r>
      <w:r>
        <w:rPr>
          <w:spacing w:val="-2"/>
        </w:rPr>
        <w:t> </w:t>
      </w:r>
      <w:r>
        <w:rPr/>
        <w:t>a</w:t>
      </w:r>
      <w:r>
        <w:rPr>
          <w:spacing w:val="-1"/>
        </w:rPr>
        <w:t> </w:t>
      </w:r>
      <w:r>
        <w:rPr/>
        <w:t>reporting</w:t>
      </w:r>
      <w:r>
        <w:rPr>
          <w:spacing w:val="-2"/>
        </w:rPr>
        <w:t> </w:t>
      </w:r>
      <w:r>
        <w:rPr/>
        <w:t>quality</w:t>
      </w:r>
      <w:r>
        <w:rPr>
          <w:spacing w:val="-2"/>
        </w:rPr>
        <w:t> </w:t>
      </w:r>
      <w:r>
        <w:rPr/>
        <w:t>is</w:t>
      </w:r>
      <w:r>
        <w:rPr>
          <w:spacing w:val="-2"/>
        </w:rPr>
        <w:t> </w:t>
      </w:r>
      <w:r>
        <w:rPr/>
        <w:t>as</w:t>
      </w:r>
      <w:r>
        <w:rPr>
          <w:spacing w:val="-2"/>
        </w:rPr>
        <w:t> </w:t>
      </w:r>
      <w:r>
        <w:rPr/>
        <w:t>a</w:t>
      </w:r>
      <w:r>
        <w:rPr>
          <w:spacing w:val="-1"/>
        </w:rPr>
        <w:t> </w:t>
      </w:r>
      <w:r>
        <w:rPr/>
        <w:t>result</w:t>
      </w:r>
      <w:r>
        <w:rPr>
          <w:spacing w:val="-2"/>
        </w:rPr>
        <w:t> </w:t>
      </w:r>
      <w:r>
        <w:rPr/>
        <w:t>of IFRS adoption,</w:t>
      </w:r>
      <w:r>
        <w:rPr>
          <w:spacing w:val="-2"/>
        </w:rPr>
        <w:t> </w:t>
      </w:r>
      <w:r>
        <w:rPr/>
        <w:t>a</w:t>
      </w:r>
      <w:r>
        <w:rPr>
          <w:spacing w:val="-3"/>
        </w:rPr>
        <w:t> </w:t>
      </w:r>
      <w:r>
        <w:rPr/>
        <w:t>perspective</w:t>
      </w:r>
      <w:r>
        <w:rPr>
          <w:spacing w:val="-3"/>
        </w:rPr>
        <w:t> </w:t>
      </w:r>
      <w:r>
        <w:rPr/>
        <w:t>that did</w:t>
      </w:r>
      <w:r>
        <w:rPr>
          <w:spacing w:val="-2"/>
        </w:rPr>
        <w:t> </w:t>
      </w:r>
      <w:r>
        <w:rPr/>
        <w:t>not</w:t>
      </w:r>
      <w:r>
        <w:rPr>
          <w:spacing w:val="-2"/>
        </w:rPr>
        <w:t> </w:t>
      </w:r>
      <w:r>
        <w:rPr/>
        <w:t>receive much attention in prior researches. The benefit of this approach is that it removes biases in post-intervention period comparisons between the treatment and control groups that could be the result of permanent differences between those groups as well as biases from comparisons over time in the treatment group that could be the result of trends due to other causes of the outcome.</w:t>
      </w:r>
      <w:r>
        <w:rPr>
          <w:spacing w:val="-3"/>
        </w:rPr>
        <w:t> </w:t>
      </w:r>
      <w:r>
        <w:rPr/>
        <w:t>However,</w:t>
      </w:r>
      <w:r>
        <w:rPr>
          <w:spacing w:val="-3"/>
        </w:rPr>
        <w:t> </w:t>
      </w:r>
      <w:r>
        <w:rPr/>
        <w:t>to</w:t>
      </w:r>
      <w:r>
        <w:rPr>
          <w:spacing w:val="-3"/>
        </w:rPr>
        <w:t> </w:t>
      </w:r>
      <w:r>
        <w:rPr/>
        <w:t>our</w:t>
      </w:r>
      <w:r>
        <w:rPr>
          <w:spacing w:val="-3"/>
        </w:rPr>
        <w:t> </w:t>
      </w:r>
      <w:r>
        <w:rPr/>
        <w:t>knowledge,</w:t>
      </w:r>
      <w:r>
        <w:rPr>
          <w:spacing w:val="-3"/>
        </w:rPr>
        <w:t> </w:t>
      </w:r>
      <w:r>
        <w:rPr/>
        <w:t>only</w:t>
      </w:r>
      <w:r>
        <w:rPr>
          <w:spacing w:val="-2"/>
        </w:rPr>
        <w:t> </w:t>
      </w:r>
      <w:r>
        <w:rPr/>
        <w:t>a</w:t>
      </w:r>
      <w:r>
        <w:rPr>
          <w:spacing w:val="-3"/>
        </w:rPr>
        <w:t> </w:t>
      </w:r>
      <w:r>
        <w:rPr/>
        <w:t>handful</w:t>
      </w:r>
      <w:r>
        <w:rPr>
          <w:spacing w:val="-3"/>
        </w:rPr>
        <w:t> </w:t>
      </w:r>
      <w:r>
        <w:rPr/>
        <w:t>of</w:t>
      </w:r>
      <w:r>
        <w:rPr>
          <w:spacing w:val="-3"/>
        </w:rPr>
        <w:t> </w:t>
      </w:r>
      <w:r>
        <w:rPr/>
        <w:t>studies</w:t>
      </w:r>
      <w:r>
        <w:rPr>
          <w:spacing w:val="-3"/>
        </w:rPr>
        <w:t> </w:t>
      </w:r>
      <w:r>
        <w:rPr/>
        <w:t>exist,</w:t>
      </w:r>
      <w:r>
        <w:rPr>
          <w:spacing w:val="-3"/>
        </w:rPr>
        <w:t> </w:t>
      </w:r>
      <w:r>
        <w:rPr/>
        <w:t>although</w:t>
      </w:r>
      <w:r>
        <w:rPr>
          <w:spacing w:val="-3"/>
        </w:rPr>
        <w:t> </w:t>
      </w:r>
      <w:r>
        <w:rPr/>
        <w:t>with</w:t>
      </w:r>
      <w:r>
        <w:rPr>
          <w:spacing w:val="-3"/>
        </w:rPr>
        <w:t> </w:t>
      </w:r>
      <w:r>
        <w:rPr/>
        <w:t>a</w:t>
      </w:r>
      <w:r>
        <w:rPr>
          <w:spacing w:val="-3"/>
        </w:rPr>
        <w:t> </w:t>
      </w:r>
      <w:r>
        <w:rPr/>
        <w:t>slightly different approach that has analysed the effect of a specific intervention or treatment (such as a passage of law, enactment of a policy, or a large-scale programme implementation, in this case</w:t>
      </w:r>
      <w:r>
        <w:rPr>
          <w:spacing w:val="-2"/>
        </w:rPr>
        <w:t> </w:t>
      </w:r>
      <w:r>
        <w:rPr/>
        <w:t>IFRS</w:t>
      </w:r>
      <w:r>
        <w:rPr>
          <w:spacing w:val="-3"/>
        </w:rPr>
        <w:t> </w:t>
      </w:r>
      <w:r>
        <w:rPr/>
        <w:t>adoption)</w:t>
      </w:r>
      <w:r>
        <w:rPr>
          <w:spacing w:val="-6"/>
        </w:rPr>
        <w:t> </w:t>
      </w:r>
      <w:r>
        <w:rPr/>
        <w:t>on</w:t>
      </w:r>
      <w:r>
        <w:rPr>
          <w:spacing w:val="-3"/>
        </w:rPr>
        <w:t> </w:t>
      </w:r>
      <w:r>
        <w:rPr/>
        <w:t>an</w:t>
      </w:r>
      <w:r>
        <w:rPr>
          <w:spacing w:val="-6"/>
        </w:rPr>
        <w:t> </w:t>
      </w:r>
      <w:r>
        <w:rPr/>
        <w:t>outcome</w:t>
      </w:r>
      <w:r>
        <w:rPr>
          <w:spacing w:val="-6"/>
        </w:rPr>
        <w:t> </w:t>
      </w:r>
      <w:r>
        <w:rPr/>
        <w:t>variable</w:t>
      </w:r>
      <w:r>
        <w:rPr>
          <w:spacing w:val="-4"/>
        </w:rPr>
        <w:t> </w:t>
      </w:r>
      <w:r>
        <w:rPr/>
        <w:t>particularly</w:t>
      </w:r>
      <w:r>
        <w:rPr>
          <w:spacing w:val="-5"/>
        </w:rPr>
        <w:t> </w:t>
      </w:r>
      <w:r>
        <w:rPr/>
        <w:t>to</w:t>
      </w:r>
      <w:r>
        <w:rPr>
          <w:spacing w:val="-5"/>
        </w:rPr>
        <w:t> </w:t>
      </w:r>
      <w:r>
        <w:rPr/>
        <w:t>control</w:t>
      </w:r>
      <w:r>
        <w:rPr>
          <w:spacing w:val="-3"/>
        </w:rPr>
        <w:t> </w:t>
      </w:r>
      <w:r>
        <w:rPr/>
        <w:t>for</w:t>
      </w:r>
      <w:r>
        <w:rPr>
          <w:spacing w:val="-5"/>
        </w:rPr>
        <w:t> </w:t>
      </w:r>
      <w:r>
        <w:rPr/>
        <w:t>confounding</w:t>
      </w:r>
      <w:r>
        <w:rPr>
          <w:spacing w:val="-5"/>
        </w:rPr>
        <w:t> </w:t>
      </w:r>
      <w:r>
        <w:rPr/>
        <w:t>factors</w:t>
      </w:r>
      <w:r>
        <w:rPr>
          <w:spacing w:val="-4"/>
        </w:rPr>
        <w:t> </w:t>
      </w:r>
      <w:r>
        <w:rPr/>
        <w:t>on the outcome variable such as financial reporting quality. For instance, a particular line of studies</w:t>
      </w:r>
      <w:r>
        <w:rPr>
          <w:spacing w:val="-2"/>
        </w:rPr>
        <w:t> </w:t>
      </w:r>
      <w:r>
        <w:rPr/>
        <w:t>used</w:t>
      </w:r>
      <w:r>
        <w:rPr>
          <w:spacing w:val="-2"/>
        </w:rPr>
        <w:t> </w:t>
      </w:r>
      <w:r>
        <w:rPr/>
        <w:t>the</w:t>
      </w:r>
      <w:r>
        <w:rPr>
          <w:spacing w:val="-3"/>
        </w:rPr>
        <w:t> </w:t>
      </w:r>
      <w:r>
        <w:rPr/>
        <w:t>test</w:t>
      </w:r>
      <w:r>
        <w:rPr>
          <w:spacing w:val="-2"/>
        </w:rPr>
        <w:t> </w:t>
      </w:r>
      <w:r>
        <w:rPr/>
        <w:t>of</w:t>
      </w:r>
      <w:r>
        <w:rPr>
          <w:spacing w:val="-2"/>
        </w:rPr>
        <w:t> </w:t>
      </w:r>
      <w:r>
        <w:rPr/>
        <w:t>significance</w:t>
      </w:r>
      <w:r>
        <w:rPr>
          <w:spacing w:val="-1"/>
        </w:rPr>
        <w:t> </w:t>
      </w:r>
      <w:r>
        <w:rPr/>
        <w:t>difference</w:t>
      </w:r>
      <w:r>
        <w:rPr>
          <w:spacing w:val="-3"/>
        </w:rPr>
        <w:t> </w:t>
      </w:r>
      <w:r>
        <w:rPr/>
        <w:t>approach</w:t>
      </w:r>
      <w:r>
        <w:rPr>
          <w:spacing w:val="-2"/>
        </w:rPr>
        <w:t> </w:t>
      </w:r>
      <w:r>
        <w:rPr/>
        <w:t>(Andre</w:t>
      </w:r>
      <w:r>
        <w:rPr>
          <w:spacing w:val="-3"/>
        </w:rPr>
        <w:t> </w:t>
      </w:r>
      <w:r>
        <w:rPr/>
        <w:t>&amp; Filip,</w:t>
      </w:r>
      <w:r>
        <w:rPr>
          <w:spacing w:val="-2"/>
        </w:rPr>
        <w:t> </w:t>
      </w:r>
      <w:r>
        <w:rPr/>
        <w:t>2013;</w:t>
      </w:r>
      <w:r>
        <w:rPr>
          <w:spacing w:val="-2"/>
        </w:rPr>
        <w:t> </w:t>
      </w:r>
      <w:r>
        <w:rPr/>
        <w:t>Lee,</w:t>
      </w:r>
      <w:r>
        <w:rPr>
          <w:spacing w:val="-2"/>
        </w:rPr>
        <w:t> </w:t>
      </w:r>
      <w:r>
        <w:rPr/>
        <w:t>Walker</w:t>
      </w:r>
      <w:r>
        <w:rPr>
          <w:spacing w:val="-4"/>
        </w:rPr>
        <w:t> </w:t>
      </w:r>
      <w:r>
        <w:rPr/>
        <w:t>&amp; Zeng, 2013; Ogundana et al., 2017; Umobong &amp; Akani, 2015) while others toyed a superior approach, the DD approach (Iyoha &amp; Aggreh, 2020).</w:t>
      </w:r>
    </w:p>
    <w:p>
      <w:pPr>
        <w:pStyle w:val="BodyText"/>
        <w:spacing w:line="480" w:lineRule="auto" w:before="2"/>
        <w:ind w:left="940" w:right="1436"/>
        <w:jc w:val="both"/>
      </w:pPr>
      <w:r>
        <w:rPr/>
        <w:t>Second, several reasons may account for the empirical diversity observed in prior studies. Regrettably,</w:t>
      </w:r>
      <w:r>
        <w:rPr>
          <w:spacing w:val="-5"/>
        </w:rPr>
        <w:t> </w:t>
      </w:r>
      <w:r>
        <w:rPr/>
        <w:t>in</w:t>
      </w:r>
      <w:r>
        <w:rPr>
          <w:spacing w:val="-5"/>
        </w:rPr>
        <w:t> </w:t>
      </w:r>
      <w:r>
        <w:rPr/>
        <w:t>virtually</w:t>
      </w:r>
      <w:r>
        <w:rPr>
          <w:spacing w:val="-6"/>
        </w:rPr>
        <w:t> </w:t>
      </w:r>
      <w:r>
        <w:rPr/>
        <w:t>all</w:t>
      </w:r>
      <w:r>
        <w:rPr>
          <w:spacing w:val="-5"/>
        </w:rPr>
        <w:t> </w:t>
      </w:r>
      <w:r>
        <w:rPr/>
        <w:t>of</w:t>
      </w:r>
      <w:r>
        <w:rPr>
          <w:spacing w:val="-7"/>
        </w:rPr>
        <w:t> </w:t>
      </w:r>
      <w:r>
        <w:rPr/>
        <w:t>the</w:t>
      </w:r>
      <w:r>
        <w:rPr>
          <w:spacing w:val="-6"/>
        </w:rPr>
        <w:t> </w:t>
      </w:r>
      <w:r>
        <w:rPr/>
        <w:t>studies</w:t>
      </w:r>
      <w:r>
        <w:rPr>
          <w:spacing w:val="-6"/>
        </w:rPr>
        <w:t> </w:t>
      </w:r>
      <w:r>
        <w:rPr/>
        <w:t>linking</w:t>
      </w:r>
      <w:r>
        <w:rPr>
          <w:spacing w:val="-8"/>
        </w:rPr>
        <w:t> </w:t>
      </w:r>
      <w:r>
        <w:rPr/>
        <w:t>corporate</w:t>
      </w:r>
      <w:r>
        <w:rPr>
          <w:spacing w:val="-7"/>
        </w:rPr>
        <w:t> </w:t>
      </w:r>
      <w:r>
        <w:rPr/>
        <w:t>governance</w:t>
      </w:r>
      <w:r>
        <w:rPr>
          <w:spacing w:val="-4"/>
        </w:rPr>
        <w:t> </w:t>
      </w:r>
      <w:r>
        <w:rPr/>
        <w:t>and</w:t>
      </w:r>
      <w:r>
        <w:rPr>
          <w:spacing w:val="-6"/>
        </w:rPr>
        <w:t> </w:t>
      </w:r>
      <w:r>
        <w:rPr/>
        <w:t>financial</w:t>
      </w:r>
      <w:r>
        <w:rPr>
          <w:spacing w:val="-6"/>
        </w:rPr>
        <w:t> </w:t>
      </w:r>
      <w:r>
        <w:rPr/>
        <w:t>reporting quality, specifically in the Nigerian context, most of them did not employ multiple measures to proxy financial reporting quality. This is important because of the sensitivity of the results to</w:t>
      </w:r>
      <w:r>
        <w:rPr>
          <w:spacing w:val="2"/>
        </w:rPr>
        <w:t> </w:t>
      </w:r>
      <w:r>
        <w:rPr/>
        <w:t>the</w:t>
      </w:r>
      <w:r>
        <w:rPr>
          <w:spacing w:val="3"/>
        </w:rPr>
        <w:t> </w:t>
      </w:r>
      <w:r>
        <w:rPr/>
        <w:t>type</w:t>
      </w:r>
      <w:r>
        <w:rPr>
          <w:spacing w:val="3"/>
        </w:rPr>
        <w:t> </w:t>
      </w:r>
      <w:r>
        <w:rPr/>
        <w:t>of measures</w:t>
      </w:r>
      <w:r>
        <w:rPr>
          <w:spacing w:val="4"/>
        </w:rPr>
        <w:t> </w:t>
      </w:r>
      <w:r>
        <w:rPr/>
        <w:t>used</w:t>
      </w:r>
      <w:r>
        <w:rPr>
          <w:spacing w:val="3"/>
        </w:rPr>
        <w:t> </w:t>
      </w:r>
      <w:r>
        <w:rPr/>
        <w:t>on</w:t>
      </w:r>
      <w:r>
        <w:rPr>
          <w:spacing w:val="3"/>
        </w:rPr>
        <w:t> </w:t>
      </w:r>
      <w:r>
        <w:rPr/>
        <w:t>one</w:t>
      </w:r>
      <w:r>
        <w:rPr>
          <w:spacing w:val="2"/>
        </w:rPr>
        <w:t> </w:t>
      </w:r>
      <w:r>
        <w:rPr/>
        <w:t>hand</w:t>
      </w:r>
      <w:r>
        <w:rPr>
          <w:spacing w:val="4"/>
        </w:rPr>
        <w:t> </w:t>
      </w:r>
      <w:r>
        <w:rPr/>
        <w:t>and</w:t>
      </w:r>
      <w:r>
        <w:rPr>
          <w:spacing w:val="3"/>
        </w:rPr>
        <w:t> </w:t>
      </w:r>
      <w:r>
        <w:rPr/>
        <w:t>also</w:t>
      </w:r>
      <w:r>
        <w:rPr>
          <w:spacing w:val="1"/>
        </w:rPr>
        <w:t> </w:t>
      </w:r>
      <w:r>
        <w:rPr/>
        <w:t>because</w:t>
      </w:r>
      <w:r>
        <w:rPr>
          <w:spacing w:val="2"/>
        </w:rPr>
        <w:t> </w:t>
      </w:r>
      <w:r>
        <w:rPr/>
        <w:t>each</w:t>
      </w:r>
      <w:r>
        <w:rPr>
          <w:spacing w:val="4"/>
        </w:rPr>
        <w:t> </w:t>
      </w:r>
      <w:r>
        <w:rPr/>
        <w:t>measure</w:t>
      </w:r>
      <w:r>
        <w:rPr>
          <w:spacing w:val="2"/>
        </w:rPr>
        <w:t> </w:t>
      </w:r>
      <w:r>
        <w:rPr/>
        <w:t>has</w:t>
      </w:r>
      <w:r>
        <w:rPr>
          <w:spacing w:val="3"/>
        </w:rPr>
        <w:t> </w:t>
      </w:r>
      <w:r>
        <w:rPr/>
        <w:t>its</w:t>
      </w:r>
      <w:r>
        <w:rPr>
          <w:spacing w:val="10"/>
        </w:rPr>
        <w:t> </w:t>
      </w:r>
      <w:r>
        <w:rPr/>
        <w:t>own</w:t>
      </w:r>
      <w:r>
        <w:rPr>
          <w:spacing w:val="4"/>
        </w:rPr>
        <w:t> </w:t>
      </w:r>
      <w:r>
        <w:rPr>
          <w:spacing w:val="-2"/>
        </w:rPr>
        <w:t>strength</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71424">
            <wp:simplePos x="0" y="0"/>
            <wp:positionH relativeFrom="page">
              <wp:posOffset>1095451</wp:posOffset>
            </wp:positionH>
            <wp:positionV relativeFrom="paragraph">
              <wp:posOffset>1850770</wp:posOffset>
            </wp:positionV>
            <wp:extent cx="5106847" cy="5238115"/>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5" cstate="print"/>
                    <a:stretch>
                      <a:fillRect/>
                    </a:stretch>
                  </pic:blipFill>
                  <pic:spPr>
                    <a:xfrm>
                      <a:off x="0" y="0"/>
                      <a:ext cx="5106847" cy="5238115"/>
                    </a:xfrm>
                    <a:prstGeom prst="rect">
                      <a:avLst/>
                    </a:prstGeom>
                  </pic:spPr>
                </pic:pic>
              </a:graphicData>
            </a:graphic>
          </wp:anchor>
        </w:drawing>
      </w:r>
      <w:r>
        <w:rPr/>
        <w:t>and weakness and therefore, a combination of several measures is more likely to provide a comprehensive research outcome. Therefore, using the DD estimation technique, this study sought to examine how selected board attributes and ownership variables would respond to various financial reporting quality proxies. Finally, a myriad of empirical literature has continued to adopt indirect and non-comprehensive measures such as accrual models, value relevance models, beating analyst forecast, financial restatement, etc, to operationalize reporting quality (Alzoubi, 2014; Baba, 2016; Ellili, 2013; Elmessaoudi, 2015; Francis &amp; Zhang, 2004; Handayani, n.d.; Huang, Rose-Green &amp; Lee, 2012; I. Beslic, Jaksic &amp; Andric, 2015; Kim &amp; Yang, 2014; Mitsuda, n.d.; Teshima &amp; Shuto, 2008; Zhang, 2007). The abovementioned</w:t>
      </w:r>
      <w:r>
        <w:rPr>
          <w:spacing w:val="-11"/>
        </w:rPr>
        <w:t> </w:t>
      </w:r>
      <w:r>
        <w:rPr/>
        <w:t>proxy</w:t>
      </w:r>
      <w:r>
        <w:rPr>
          <w:spacing w:val="-11"/>
        </w:rPr>
        <w:t> </w:t>
      </w:r>
      <w:r>
        <w:rPr/>
        <w:t>for</w:t>
      </w:r>
      <w:r>
        <w:rPr>
          <w:spacing w:val="-11"/>
        </w:rPr>
        <w:t> </w:t>
      </w:r>
      <w:r>
        <w:rPr/>
        <w:t>financial</w:t>
      </w:r>
      <w:r>
        <w:rPr>
          <w:spacing w:val="-11"/>
        </w:rPr>
        <w:t> </w:t>
      </w:r>
      <w:r>
        <w:rPr/>
        <w:t>reporting</w:t>
      </w:r>
      <w:r>
        <w:rPr>
          <w:spacing w:val="-10"/>
        </w:rPr>
        <w:t> </w:t>
      </w:r>
      <w:r>
        <w:rPr/>
        <w:t>quality</w:t>
      </w:r>
      <w:r>
        <w:rPr>
          <w:spacing w:val="-10"/>
        </w:rPr>
        <w:t> </w:t>
      </w:r>
      <w:r>
        <w:rPr/>
        <w:t>as</w:t>
      </w:r>
      <w:r>
        <w:rPr>
          <w:spacing w:val="-10"/>
        </w:rPr>
        <w:t> </w:t>
      </w:r>
      <w:r>
        <w:rPr/>
        <w:t>used</w:t>
      </w:r>
      <w:r>
        <w:rPr>
          <w:spacing w:val="-11"/>
        </w:rPr>
        <w:t> </w:t>
      </w:r>
      <w:r>
        <w:rPr/>
        <w:t>in</w:t>
      </w:r>
      <w:r>
        <w:rPr>
          <w:spacing w:val="-10"/>
        </w:rPr>
        <w:t> </w:t>
      </w:r>
      <w:r>
        <w:rPr/>
        <w:t>most</w:t>
      </w:r>
      <w:r>
        <w:rPr>
          <w:spacing w:val="-10"/>
        </w:rPr>
        <w:t> </w:t>
      </w:r>
      <w:r>
        <w:rPr/>
        <w:t>studies</w:t>
      </w:r>
      <w:r>
        <w:rPr>
          <w:spacing w:val="-13"/>
        </w:rPr>
        <w:t> </w:t>
      </w:r>
      <w:r>
        <w:rPr/>
        <w:t>does</w:t>
      </w:r>
      <w:r>
        <w:rPr>
          <w:spacing w:val="-10"/>
        </w:rPr>
        <w:t> </w:t>
      </w:r>
      <w:r>
        <w:rPr/>
        <w:t>not</w:t>
      </w:r>
      <w:r>
        <w:rPr>
          <w:spacing w:val="-10"/>
        </w:rPr>
        <w:t> </w:t>
      </w:r>
      <w:r>
        <w:rPr/>
        <w:t>take</w:t>
      </w:r>
      <w:r>
        <w:rPr>
          <w:spacing w:val="-12"/>
        </w:rPr>
        <w:t> </w:t>
      </w:r>
      <w:r>
        <w:rPr/>
        <w:t>into consideration the qualitative characteristics of financial information as contained in the International Accounting Standards Board (IASB) conceptual framework. Consequently, it does not provide direct and comprehensive evidence concerning the quality of financial reporting</w:t>
      </w:r>
      <w:r>
        <w:rPr>
          <w:spacing w:val="-10"/>
        </w:rPr>
        <w:t> </w:t>
      </w:r>
      <w:r>
        <w:rPr/>
        <w:t>information</w:t>
      </w:r>
      <w:r>
        <w:rPr>
          <w:spacing w:val="-8"/>
        </w:rPr>
        <w:t> </w:t>
      </w:r>
      <w:r>
        <w:rPr/>
        <w:t>and</w:t>
      </w:r>
      <w:r>
        <w:rPr>
          <w:spacing w:val="-11"/>
        </w:rPr>
        <w:t> </w:t>
      </w:r>
      <w:r>
        <w:rPr/>
        <w:t>its</w:t>
      </w:r>
      <w:r>
        <w:rPr>
          <w:spacing w:val="-10"/>
        </w:rPr>
        <w:t> </w:t>
      </w:r>
      <w:r>
        <w:rPr/>
        <w:t>dimensions</w:t>
      </w:r>
      <w:r>
        <w:rPr>
          <w:spacing w:val="-10"/>
        </w:rPr>
        <w:t> </w:t>
      </w:r>
      <w:r>
        <w:rPr/>
        <w:t>of</w:t>
      </w:r>
      <w:r>
        <w:rPr>
          <w:spacing w:val="-11"/>
        </w:rPr>
        <w:t> </w:t>
      </w:r>
      <w:r>
        <w:rPr/>
        <w:t>decision</w:t>
      </w:r>
      <w:r>
        <w:rPr>
          <w:spacing w:val="-11"/>
        </w:rPr>
        <w:t> </w:t>
      </w:r>
      <w:r>
        <w:rPr/>
        <w:t>usefulness</w:t>
      </w:r>
      <w:r>
        <w:rPr>
          <w:spacing w:val="-10"/>
        </w:rPr>
        <w:t> </w:t>
      </w:r>
      <w:r>
        <w:rPr/>
        <w:t>(Healy</w:t>
      </w:r>
      <w:r>
        <w:rPr>
          <w:spacing w:val="-8"/>
        </w:rPr>
        <w:t> </w:t>
      </w:r>
      <w:r>
        <w:rPr/>
        <w:t>&amp;</w:t>
      </w:r>
      <w:r>
        <w:rPr>
          <w:spacing w:val="-8"/>
        </w:rPr>
        <w:t> </w:t>
      </w:r>
      <w:r>
        <w:rPr/>
        <w:t>Wahlen,</w:t>
      </w:r>
      <w:r>
        <w:rPr>
          <w:spacing w:val="-11"/>
        </w:rPr>
        <w:t> </w:t>
      </w:r>
      <w:r>
        <w:rPr/>
        <w:t>1999).</w:t>
      </w:r>
      <w:r>
        <w:rPr>
          <w:spacing w:val="-11"/>
        </w:rPr>
        <w:t> </w:t>
      </w:r>
      <w:r>
        <w:rPr/>
        <w:t>That could</w:t>
      </w:r>
      <w:r>
        <w:rPr>
          <w:spacing w:val="-7"/>
        </w:rPr>
        <w:t> </w:t>
      </w:r>
      <w:r>
        <w:rPr/>
        <w:t>have</w:t>
      </w:r>
      <w:r>
        <w:rPr>
          <w:spacing w:val="-6"/>
        </w:rPr>
        <w:t> </w:t>
      </w:r>
      <w:r>
        <w:rPr/>
        <w:t>also</w:t>
      </w:r>
      <w:r>
        <w:rPr>
          <w:spacing w:val="-7"/>
        </w:rPr>
        <w:t> </w:t>
      </w:r>
      <w:r>
        <w:rPr/>
        <w:t>accounted</w:t>
      </w:r>
      <w:r>
        <w:rPr>
          <w:spacing w:val="-7"/>
        </w:rPr>
        <w:t> </w:t>
      </w:r>
      <w:r>
        <w:rPr/>
        <w:t>for</w:t>
      </w:r>
      <w:r>
        <w:rPr>
          <w:spacing w:val="-9"/>
        </w:rPr>
        <w:t> </w:t>
      </w:r>
      <w:r>
        <w:rPr/>
        <w:t>the</w:t>
      </w:r>
      <w:r>
        <w:rPr>
          <w:spacing w:val="-8"/>
        </w:rPr>
        <w:t> </w:t>
      </w:r>
      <w:r>
        <w:rPr/>
        <w:t>vacillating</w:t>
      </w:r>
      <w:r>
        <w:rPr>
          <w:spacing w:val="-7"/>
        </w:rPr>
        <w:t> </w:t>
      </w:r>
      <w:r>
        <w:rPr/>
        <w:t>nature</w:t>
      </w:r>
      <w:r>
        <w:rPr>
          <w:spacing w:val="-8"/>
        </w:rPr>
        <w:t> </w:t>
      </w:r>
      <w:r>
        <w:rPr/>
        <w:t>of</w:t>
      </w:r>
      <w:r>
        <w:rPr>
          <w:spacing w:val="-8"/>
        </w:rPr>
        <w:t> </w:t>
      </w:r>
      <w:r>
        <w:rPr/>
        <w:t>findings</w:t>
      </w:r>
      <w:r>
        <w:rPr>
          <w:spacing w:val="-7"/>
        </w:rPr>
        <w:t> </w:t>
      </w:r>
      <w:r>
        <w:rPr/>
        <w:t>in</w:t>
      </w:r>
      <w:r>
        <w:rPr>
          <w:spacing w:val="-7"/>
        </w:rPr>
        <w:t> </w:t>
      </w:r>
      <w:r>
        <w:rPr/>
        <w:t>prior</w:t>
      </w:r>
      <w:r>
        <w:rPr>
          <w:spacing w:val="-8"/>
        </w:rPr>
        <w:t> </w:t>
      </w:r>
      <w:r>
        <w:rPr/>
        <w:t>studies.</w:t>
      </w:r>
      <w:r>
        <w:rPr>
          <w:spacing w:val="-4"/>
        </w:rPr>
        <w:t> </w:t>
      </w:r>
      <w:r>
        <w:rPr/>
        <w:t>Therefore,</w:t>
      </w:r>
      <w:r>
        <w:rPr>
          <w:spacing w:val="-7"/>
        </w:rPr>
        <w:t> </w:t>
      </w:r>
      <w:r>
        <w:rPr/>
        <w:t>this study addressed the inherent weakness of most prior empirics by operationalizing financial reporting quality based on the prescribed qualitative characteristics of financial information.</w:t>
      </w:r>
    </w:p>
    <w:p>
      <w:pPr>
        <w:pStyle w:val="Heading3"/>
        <w:numPr>
          <w:ilvl w:val="1"/>
          <w:numId w:val="19"/>
        </w:numPr>
        <w:tabs>
          <w:tab w:pos="1360" w:val="left" w:leader="none"/>
        </w:tabs>
        <w:spacing w:line="240" w:lineRule="auto" w:before="2" w:after="0"/>
        <w:ind w:left="1360" w:right="0" w:hanging="420"/>
        <w:jc w:val="both"/>
      </w:pPr>
      <w:bookmarkStart w:name="_TOC_250067" w:id="3"/>
      <w:r>
        <w:rPr/>
        <w:t>Objectives</w:t>
      </w:r>
      <w:r>
        <w:rPr>
          <w:spacing w:val="-2"/>
        </w:rPr>
        <w:t> </w:t>
      </w:r>
      <w:r>
        <w:rPr/>
        <w:t>of the</w:t>
      </w:r>
      <w:r>
        <w:rPr>
          <w:spacing w:val="-2"/>
        </w:rPr>
        <w:t> </w:t>
      </w:r>
      <w:bookmarkEnd w:id="3"/>
      <w:r>
        <w:rPr>
          <w:spacing w:val="-4"/>
        </w:rPr>
        <w:t>study</w:t>
      </w:r>
    </w:p>
    <w:p>
      <w:pPr>
        <w:pStyle w:val="BodyText"/>
        <w:spacing w:line="480" w:lineRule="auto" w:before="276"/>
        <w:ind w:left="940" w:right="1437"/>
        <w:jc w:val="both"/>
      </w:pPr>
      <w:r>
        <w:rPr/>
        <w:t>The broad objective of the study was to investigate board composition, ownership structure and</w:t>
      </w:r>
      <w:r>
        <w:rPr>
          <w:spacing w:val="-13"/>
        </w:rPr>
        <w:t> </w:t>
      </w:r>
      <w:r>
        <w:rPr/>
        <w:t>financial</w:t>
      </w:r>
      <w:r>
        <w:rPr>
          <w:spacing w:val="-13"/>
        </w:rPr>
        <w:t> </w:t>
      </w:r>
      <w:r>
        <w:rPr/>
        <w:t>reporting</w:t>
      </w:r>
      <w:r>
        <w:rPr>
          <w:spacing w:val="-13"/>
        </w:rPr>
        <w:t> </w:t>
      </w:r>
      <w:r>
        <w:rPr/>
        <w:t>quality</w:t>
      </w:r>
      <w:r>
        <w:rPr>
          <w:spacing w:val="-13"/>
        </w:rPr>
        <w:t> </w:t>
      </w:r>
      <w:r>
        <w:rPr/>
        <w:t>in</w:t>
      </w:r>
      <w:r>
        <w:rPr>
          <w:spacing w:val="-13"/>
        </w:rPr>
        <w:t> </w:t>
      </w:r>
      <w:r>
        <w:rPr/>
        <w:t>a</w:t>
      </w:r>
      <w:r>
        <w:rPr>
          <w:spacing w:val="-14"/>
        </w:rPr>
        <w:t> </w:t>
      </w:r>
      <w:r>
        <w:rPr/>
        <w:t>post-IFRS</w:t>
      </w:r>
      <w:r>
        <w:rPr>
          <w:spacing w:val="-12"/>
        </w:rPr>
        <w:t> </w:t>
      </w:r>
      <w:r>
        <w:rPr/>
        <w:t>adoption</w:t>
      </w:r>
      <w:r>
        <w:rPr>
          <w:spacing w:val="-13"/>
        </w:rPr>
        <w:t> </w:t>
      </w:r>
      <w:r>
        <w:rPr/>
        <w:t>using</w:t>
      </w:r>
      <w:r>
        <w:rPr>
          <w:spacing w:val="-13"/>
        </w:rPr>
        <w:t> </w:t>
      </w:r>
      <w:r>
        <w:rPr/>
        <w:t>the</w:t>
      </w:r>
      <w:r>
        <w:rPr>
          <w:spacing w:val="-14"/>
        </w:rPr>
        <w:t> </w:t>
      </w:r>
      <w:r>
        <w:rPr/>
        <w:t>DD</w:t>
      </w:r>
      <w:r>
        <w:rPr>
          <w:spacing w:val="-14"/>
        </w:rPr>
        <w:t> </w:t>
      </w:r>
      <w:r>
        <w:rPr/>
        <w:t>estimation</w:t>
      </w:r>
      <w:r>
        <w:rPr>
          <w:spacing w:val="-13"/>
        </w:rPr>
        <w:t> </w:t>
      </w:r>
      <w:r>
        <w:rPr/>
        <w:t>technique.</w:t>
      </w:r>
      <w:r>
        <w:rPr>
          <w:spacing w:val="-14"/>
        </w:rPr>
        <w:t> </w:t>
      </w:r>
      <w:r>
        <w:rPr/>
        <w:t>The specific objectives were to:</w:t>
      </w:r>
    </w:p>
    <w:p>
      <w:pPr>
        <w:pStyle w:val="ListParagraph"/>
        <w:numPr>
          <w:ilvl w:val="0"/>
          <w:numId w:val="20"/>
        </w:numPr>
        <w:tabs>
          <w:tab w:pos="1176" w:val="left" w:leader="none"/>
          <w:tab w:pos="1211" w:val="left" w:leader="none"/>
        </w:tabs>
        <w:spacing w:line="480" w:lineRule="auto" w:before="0" w:after="0"/>
        <w:ind w:left="1211" w:right="1438" w:hanging="272"/>
        <w:jc w:val="both"/>
        <w:rPr>
          <w:sz w:val="24"/>
        </w:rPr>
      </w:pPr>
      <w:r>
        <w:rPr>
          <w:sz w:val="24"/>
        </w:rPr>
        <w:t>examine</w:t>
      </w:r>
      <w:r>
        <w:rPr>
          <w:spacing w:val="-6"/>
          <w:sz w:val="24"/>
        </w:rPr>
        <w:t> </w:t>
      </w:r>
      <w:r>
        <w:rPr>
          <w:sz w:val="24"/>
        </w:rPr>
        <w:t>the</w:t>
      </w:r>
      <w:r>
        <w:rPr>
          <w:spacing w:val="-6"/>
          <w:sz w:val="24"/>
        </w:rPr>
        <w:t> </w:t>
      </w:r>
      <w:r>
        <w:rPr>
          <w:sz w:val="24"/>
        </w:rPr>
        <w:t>impact</w:t>
      </w:r>
      <w:r>
        <w:rPr>
          <w:spacing w:val="-4"/>
          <w:sz w:val="24"/>
        </w:rPr>
        <w:t> </w:t>
      </w:r>
      <w:r>
        <w:rPr>
          <w:sz w:val="24"/>
        </w:rPr>
        <w:t>of</w:t>
      </w:r>
      <w:r>
        <w:rPr>
          <w:spacing w:val="-2"/>
          <w:sz w:val="24"/>
        </w:rPr>
        <w:t> </w:t>
      </w:r>
      <w:r>
        <w:rPr>
          <w:sz w:val="24"/>
        </w:rPr>
        <w:t>post-IFRS</w:t>
      </w:r>
      <w:r>
        <w:rPr>
          <w:spacing w:val="-4"/>
          <w:sz w:val="24"/>
        </w:rPr>
        <w:t> </w:t>
      </w:r>
      <w:r>
        <w:rPr>
          <w:sz w:val="24"/>
        </w:rPr>
        <w:t>regime</w:t>
      </w:r>
      <w:r>
        <w:rPr>
          <w:spacing w:val="-4"/>
          <w:sz w:val="24"/>
        </w:rPr>
        <w:t> </w:t>
      </w:r>
      <w:r>
        <w:rPr>
          <w:sz w:val="24"/>
        </w:rPr>
        <w:t>on</w:t>
      </w:r>
      <w:r>
        <w:rPr>
          <w:spacing w:val="-3"/>
          <w:sz w:val="24"/>
        </w:rPr>
        <w:t> </w:t>
      </w:r>
      <w:r>
        <w:rPr>
          <w:sz w:val="24"/>
        </w:rPr>
        <w:t>the</w:t>
      </w:r>
      <w:r>
        <w:rPr>
          <w:spacing w:val="-3"/>
          <w:sz w:val="24"/>
        </w:rPr>
        <w:t> </w:t>
      </w:r>
      <w:r>
        <w:rPr>
          <w:sz w:val="24"/>
        </w:rPr>
        <w:t>reporting</w:t>
      </w:r>
      <w:r>
        <w:rPr>
          <w:spacing w:val="-5"/>
          <w:sz w:val="24"/>
        </w:rPr>
        <w:t> </w:t>
      </w:r>
      <w:r>
        <w:rPr>
          <w:sz w:val="24"/>
        </w:rPr>
        <w:t>quality</w:t>
      </w:r>
      <w:r>
        <w:rPr>
          <w:spacing w:val="-4"/>
          <w:sz w:val="24"/>
        </w:rPr>
        <w:t> </w:t>
      </w:r>
      <w:r>
        <w:rPr>
          <w:sz w:val="24"/>
        </w:rPr>
        <w:t>of</w:t>
      </w:r>
      <w:r>
        <w:rPr>
          <w:spacing w:val="-3"/>
          <w:sz w:val="24"/>
        </w:rPr>
        <w:t> </w:t>
      </w:r>
      <w:r>
        <w:rPr>
          <w:sz w:val="24"/>
        </w:rPr>
        <w:t>listed</w:t>
      </w:r>
      <w:r>
        <w:rPr>
          <w:spacing w:val="-5"/>
          <w:sz w:val="24"/>
        </w:rPr>
        <w:t> </w:t>
      </w:r>
      <w:r>
        <w:rPr>
          <w:sz w:val="24"/>
        </w:rPr>
        <w:t>companies</w:t>
      </w:r>
      <w:r>
        <w:rPr>
          <w:spacing w:val="-5"/>
          <w:sz w:val="24"/>
        </w:rPr>
        <w:t> </w:t>
      </w:r>
      <w:r>
        <w:rPr>
          <w:sz w:val="24"/>
        </w:rPr>
        <w:t>on</w:t>
      </w:r>
      <w:r>
        <w:rPr>
          <w:spacing w:val="-3"/>
          <w:sz w:val="24"/>
        </w:rPr>
        <w:t> </w:t>
      </w:r>
      <w:r>
        <w:rPr>
          <w:sz w:val="24"/>
        </w:rPr>
        <w:t>the Nigerian Stock Exchange (NSE) in a post-IFRS regime;</w:t>
      </w:r>
    </w:p>
    <w:p>
      <w:pPr>
        <w:pStyle w:val="ListParagraph"/>
        <w:numPr>
          <w:ilvl w:val="0"/>
          <w:numId w:val="20"/>
        </w:numPr>
        <w:tabs>
          <w:tab w:pos="1164" w:val="left" w:leader="none"/>
          <w:tab w:pos="1211" w:val="left" w:leader="none"/>
        </w:tabs>
        <w:spacing w:line="480" w:lineRule="auto" w:before="0" w:after="0"/>
        <w:ind w:left="1211" w:right="1438" w:hanging="272"/>
        <w:jc w:val="both"/>
        <w:rPr>
          <w:sz w:val="24"/>
        </w:rPr>
      </w:pPr>
      <w:r>
        <w:rPr>
          <w:sz w:val="24"/>
        </w:rPr>
        <w:t>ascertain</w:t>
      </w:r>
      <w:r>
        <w:rPr>
          <w:spacing w:val="-15"/>
          <w:sz w:val="24"/>
        </w:rPr>
        <w:t> </w:t>
      </w:r>
      <w:r>
        <w:rPr>
          <w:sz w:val="24"/>
        </w:rPr>
        <w:t>the</w:t>
      </w:r>
      <w:r>
        <w:rPr>
          <w:spacing w:val="-15"/>
          <w:sz w:val="24"/>
        </w:rPr>
        <w:t> </w:t>
      </w:r>
      <w:r>
        <w:rPr>
          <w:sz w:val="24"/>
        </w:rPr>
        <w:t>impact</w:t>
      </w:r>
      <w:r>
        <w:rPr>
          <w:spacing w:val="-15"/>
          <w:sz w:val="24"/>
        </w:rPr>
        <w:t> </w:t>
      </w:r>
      <w:r>
        <w:rPr>
          <w:sz w:val="24"/>
        </w:rPr>
        <w:t>of</w:t>
      </w:r>
      <w:r>
        <w:rPr>
          <w:spacing w:val="-15"/>
          <w:sz w:val="24"/>
        </w:rPr>
        <w:t> </w:t>
      </w:r>
      <w:r>
        <w:rPr>
          <w:sz w:val="24"/>
        </w:rPr>
        <w:t>board</w:t>
      </w:r>
      <w:r>
        <w:rPr>
          <w:spacing w:val="-15"/>
          <w:sz w:val="24"/>
        </w:rPr>
        <w:t> </w:t>
      </w:r>
      <w:r>
        <w:rPr>
          <w:sz w:val="24"/>
        </w:rPr>
        <w:t>size</w:t>
      </w:r>
      <w:r>
        <w:rPr>
          <w:spacing w:val="-15"/>
          <w:sz w:val="24"/>
        </w:rPr>
        <w:t> </w:t>
      </w:r>
      <w:r>
        <w:rPr>
          <w:sz w:val="24"/>
        </w:rPr>
        <w:t>on</w:t>
      </w:r>
      <w:r>
        <w:rPr>
          <w:spacing w:val="-15"/>
          <w:sz w:val="24"/>
        </w:rPr>
        <w:t> </w:t>
      </w:r>
      <w:r>
        <w:rPr>
          <w:sz w:val="24"/>
        </w:rPr>
        <w:t>the</w:t>
      </w:r>
      <w:r>
        <w:rPr>
          <w:spacing w:val="-15"/>
          <w:sz w:val="24"/>
        </w:rPr>
        <w:t> </w:t>
      </w:r>
      <w:r>
        <w:rPr>
          <w:sz w:val="24"/>
        </w:rPr>
        <w:t>reporting</w:t>
      </w:r>
      <w:r>
        <w:rPr>
          <w:spacing w:val="-15"/>
          <w:sz w:val="24"/>
        </w:rPr>
        <w:t> </w:t>
      </w:r>
      <w:r>
        <w:rPr>
          <w:sz w:val="24"/>
        </w:rPr>
        <w:t>quality</w:t>
      </w:r>
      <w:r>
        <w:rPr>
          <w:spacing w:val="-15"/>
          <w:sz w:val="24"/>
        </w:rPr>
        <w:t> </w:t>
      </w:r>
      <w:r>
        <w:rPr>
          <w:sz w:val="24"/>
        </w:rPr>
        <w:t>of</w:t>
      </w:r>
      <w:r>
        <w:rPr>
          <w:spacing w:val="-15"/>
          <w:sz w:val="24"/>
        </w:rPr>
        <w:t> </w:t>
      </w:r>
      <w:r>
        <w:rPr>
          <w:sz w:val="24"/>
        </w:rPr>
        <w:t>listed</w:t>
      </w:r>
      <w:r>
        <w:rPr>
          <w:spacing w:val="-15"/>
          <w:sz w:val="24"/>
        </w:rPr>
        <w:t> </w:t>
      </w:r>
      <w:r>
        <w:rPr>
          <w:sz w:val="24"/>
        </w:rPr>
        <w:t>companies</w:t>
      </w:r>
      <w:r>
        <w:rPr>
          <w:spacing w:val="-15"/>
          <w:sz w:val="24"/>
        </w:rPr>
        <w:t> </w:t>
      </w:r>
      <w:r>
        <w:rPr>
          <w:sz w:val="24"/>
        </w:rPr>
        <w:t>on</w:t>
      </w:r>
      <w:r>
        <w:rPr>
          <w:spacing w:val="-15"/>
          <w:sz w:val="24"/>
        </w:rPr>
        <w:t> </w:t>
      </w:r>
      <w:r>
        <w:rPr>
          <w:sz w:val="24"/>
        </w:rPr>
        <w:t>the</w:t>
      </w:r>
      <w:r>
        <w:rPr>
          <w:spacing w:val="-15"/>
          <w:sz w:val="24"/>
        </w:rPr>
        <w:t> </w:t>
      </w:r>
      <w:r>
        <w:rPr>
          <w:sz w:val="24"/>
        </w:rPr>
        <w:t>Nigerian Stock Exchange (NSE) in a post-IFRS regime;</w:t>
      </w:r>
    </w:p>
    <w:p>
      <w:pPr>
        <w:spacing w:after="0" w:line="480" w:lineRule="auto"/>
        <w:jc w:val="both"/>
        <w:rPr>
          <w:sz w:val="24"/>
        </w:rPr>
        <w:sectPr>
          <w:pgSz w:w="11910" w:h="16840"/>
          <w:pgMar w:header="0" w:footer="971" w:top="1360" w:bottom="1160" w:left="500" w:right="0"/>
        </w:sectPr>
      </w:pPr>
    </w:p>
    <w:p>
      <w:pPr>
        <w:pStyle w:val="ListParagraph"/>
        <w:numPr>
          <w:ilvl w:val="0"/>
          <w:numId w:val="20"/>
        </w:numPr>
        <w:tabs>
          <w:tab w:pos="1193" w:val="left" w:leader="none"/>
          <w:tab w:pos="1211" w:val="left" w:leader="none"/>
        </w:tabs>
        <w:spacing w:line="480" w:lineRule="auto" w:before="61" w:after="0"/>
        <w:ind w:left="1211" w:right="1436" w:hanging="272"/>
        <w:jc w:val="left"/>
        <w:rPr>
          <w:sz w:val="24"/>
        </w:rPr>
      </w:pPr>
      <w:r>
        <w:rPr>
          <w:sz w:val="24"/>
        </w:rPr>
        <w:t>investigate the impact of board independence on the reporting quality of listed companies on the Nigerian Stock Exchange (NSE) in a post-IFRS regime;</w:t>
      </w:r>
    </w:p>
    <w:p>
      <w:pPr>
        <w:pStyle w:val="ListParagraph"/>
        <w:numPr>
          <w:ilvl w:val="0"/>
          <w:numId w:val="20"/>
        </w:numPr>
        <w:tabs>
          <w:tab w:pos="1193" w:val="left" w:leader="none"/>
          <w:tab w:pos="1211" w:val="left" w:leader="none"/>
        </w:tabs>
        <w:spacing w:line="480" w:lineRule="auto" w:before="0" w:after="0"/>
        <w:ind w:left="1211" w:right="1438" w:hanging="272"/>
        <w:jc w:val="left"/>
        <w:rPr>
          <w:sz w:val="24"/>
        </w:rPr>
      </w:pPr>
      <w:r>
        <w:rPr>
          <w:sz w:val="24"/>
        </w:rPr>
        <w:t>assess the impact of board financial expertise on the reporting quality of listed companies on the Nigerian Stock Exchange (NSE) in a post-IFRS regime;</w:t>
      </w:r>
    </w:p>
    <w:p>
      <w:pPr>
        <w:pStyle w:val="ListParagraph"/>
        <w:numPr>
          <w:ilvl w:val="0"/>
          <w:numId w:val="20"/>
        </w:numPr>
        <w:tabs>
          <w:tab w:pos="1185" w:val="left" w:leader="none"/>
          <w:tab w:pos="1211" w:val="left" w:leader="none"/>
        </w:tabs>
        <w:spacing w:line="480" w:lineRule="auto" w:before="0" w:after="0"/>
        <w:ind w:left="1211" w:right="1437" w:hanging="272"/>
        <w:jc w:val="left"/>
        <w:rPr>
          <w:sz w:val="24"/>
        </w:rPr>
      </w:pPr>
      <w:r>
        <w:rPr/>
        <w:drawing>
          <wp:anchor distT="0" distB="0" distL="0" distR="0" allowOverlap="1" layoutInCell="1" locked="0" behindDoc="1" simplePos="0" relativeHeight="477671936">
            <wp:simplePos x="0" y="0"/>
            <wp:positionH relativeFrom="page">
              <wp:posOffset>1095451</wp:posOffset>
            </wp:positionH>
            <wp:positionV relativeFrom="paragraph">
              <wp:posOffset>410075</wp:posOffset>
            </wp:positionV>
            <wp:extent cx="5106847" cy="523811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ascertain the impact of institutional ownership on the reporting quality of listed companies on the Nigerian Stock Exchange (NSE) in a post-IFRS regime;</w:t>
      </w:r>
    </w:p>
    <w:p>
      <w:pPr>
        <w:pStyle w:val="ListParagraph"/>
        <w:numPr>
          <w:ilvl w:val="0"/>
          <w:numId w:val="20"/>
        </w:numPr>
        <w:tabs>
          <w:tab w:pos="1179" w:val="left" w:leader="none"/>
          <w:tab w:pos="1211" w:val="left" w:leader="none"/>
        </w:tabs>
        <w:spacing w:line="480" w:lineRule="auto" w:before="1" w:after="0"/>
        <w:ind w:left="1211" w:right="1437" w:hanging="272"/>
        <w:jc w:val="left"/>
        <w:rPr>
          <w:sz w:val="24"/>
        </w:rPr>
      </w:pPr>
      <w:r>
        <w:rPr>
          <w:sz w:val="24"/>
        </w:rPr>
        <w:t>investigate</w:t>
      </w:r>
      <w:r>
        <w:rPr>
          <w:spacing w:val="-4"/>
          <w:sz w:val="24"/>
        </w:rPr>
        <w:t> </w:t>
      </w:r>
      <w:r>
        <w:rPr>
          <w:sz w:val="24"/>
        </w:rPr>
        <w:t>the</w:t>
      </w:r>
      <w:r>
        <w:rPr>
          <w:spacing w:val="-5"/>
          <w:sz w:val="24"/>
        </w:rPr>
        <w:t> </w:t>
      </w:r>
      <w:r>
        <w:rPr>
          <w:sz w:val="24"/>
        </w:rPr>
        <w:t>impact</w:t>
      </w:r>
      <w:r>
        <w:rPr>
          <w:spacing w:val="-6"/>
          <w:sz w:val="24"/>
        </w:rPr>
        <w:t> </w:t>
      </w:r>
      <w:r>
        <w:rPr>
          <w:sz w:val="24"/>
        </w:rPr>
        <w:t>of</w:t>
      </w:r>
      <w:r>
        <w:rPr>
          <w:spacing w:val="-4"/>
          <w:sz w:val="24"/>
        </w:rPr>
        <w:t> </w:t>
      </w:r>
      <w:r>
        <w:rPr>
          <w:sz w:val="24"/>
        </w:rPr>
        <w:t>managerial</w:t>
      </w:r>
      <w:r>
        <w:rPr>
          <w:spacing w:val="-4"/>
          <w:sz w:val="24"/>
        </w:rPr>
        <w:t> </w:t>
      </w:r>
      <w:r>
        <w:rPr>
          <w:sz w:val="24"/>
        </w:rPr>
        <w:t>ownership</w:t>
      </w:r>
      <w:r>
        <w:rPr>
          <w:spacing w:val="-4"/>
          <w:sz w:val="24"/>
        </w:rPr>
        <w:t> </w:t>
      </w:r>
      <w:r>
        <w:rPr>
          <w:sz w:val="24"/>
        </w:rPr>
        <w:t>on</w:t>
      </w:r>
      <w:r>
        <w:rPr>
          <w:spacing w:val="-2"/>
          <w:sz w:val="24"/>
        </w:rPr>
        <w:t> </w:t>
      </w:r>
      <w:r>
        <w:rPr>
          <w:sz w:val="24"/>
        </w:rPr>
        <w:t>the</w:t>
      </w:r>
      <w:r>
        <w:rPr>
          <w:spacing w:val="-5"/>
          <w:sz w:val="24"/>
        </w:rPr>
        <w:t> </w:t>
      </w:r>
      <w:r>
        <w:rPr>
          <w:sz w:val="24"/>
        </w:rPr>
        <w:t>reporting</w:t>
      </w:r>
      <w:r>
        <w:rPr>
          <w:spacing w:val="-4"/>
          <w:sz w:val="24"/>
        </w:rPr>
        <w:t> </w:t>
      </w:r>
      <w:r>
        <w:rPr>
          <w:sz w:val="24"/>
        </w:rPr>
        <w:t>quality</w:t>
      </w:r>
      <w:r>
        <w:rPr>
          <w:spacing w:val="-4"/>
          <w:sz w:val="24"/>
        </w:rPr>
        <w:t> </w:t>
      </w:r>
      <w:r>
        <w:rPr>
          <w:sz w:val="24"/>
        </w:rPr>
        <w:t>of</w:t>
      </w:r>
      <w:r>
        <w:rPr>
          <w:spacing w:val="-4"/>
          <w:sz w:val="24"/>
        </w:rPr>
        <w:t> </w:t>
      </w:r>
      <w:r>
        <w:rPr>
          <w:sz w:val="24"/>
        </w:rPr>
        <w:t>listed</w:t>
      </w:r>
      <w:r>
        <w:rPr>
          <w:spacing w:val="-4"/>
          <w:sz w:val="24"/>
        </w:rPr>
        <w:t> </w:t>
      </w:r>
      <w:r>
        <w:rPr>
          <w:sz w:val="24"/>
        </w:rPr>
        <w:t>companies on the Nigerian Stock Exchange (NSE) in a post-IFRS regime;</w:t>
      </w:r>
    </w:p>
    <w:p>
      <w:pPr>
        <w:pStyle w:val="ListParagraph"/>
        <w:numPr>
          <w:ilvl w:val="0"/>
          <w:numId w:val="20"/>
        </w:numPr>
        <w:tabs>
          <w:tab w:pos="1174" w:val="left" w:leader="none"/>
          <w:tab w:pos="1211" w:val="left" w:leader="none"/>
        </w:tabs>
        <w:spacing w:line="480" w:lineRule="auto" w:before="0" w:after="0"/>
        <w:ind w:left="1211" w:right="1437" w:hanging="272"/>
        <w:jc w:val="left"/>
        <w:rPr>
          <w:sz w:val="24"/>
        </w:rPr>
      </w:pPr>
      <w:r>
        <w:rPr>
          <w:sz w:val="24"/>
        </w:rPr>
        <w:t>examine</w:t>
      </w:r>
      <w:r>
        <w:rPr>
          <w:spacing w:val="-8"/>
          <w:sz w:val="24"/>
        </w:rPr>
        <w:t> </w:t>
      </w:r>
      <w:r>
        <w:rPr>
          <w:sz w:val="24"/>
        </w:rPr>
        <w:t>the</w:t>
      </w:r>
      <w:r>
        <w:rPr>
          <w:spacing w:val="-7"/>
          <w:sz w:val="24"/>
        </w:rPr>
        <w:t> </w:t>
      </w:r>
      <w:r>
        <w:rPr>
          <w:sz w:val="24"/>
        </w:rPr>
        <w:t>impact</w:t>
      </w:r>
      <w:r>
        <w:rPr>
          <w:spacing w:val="-7"/>
          <w:sz w:val="24"/>
        </w:rPr>
        <w:t> </w:t>
      </w:r>
      <w:r>
        <w:rPr>
          <w:sz w:val="24"/>
        </w:rPr>
        <w:t>of</w:t>
      </w:r>
      <w:r>
        <w:rPr>
          <w:spacing w:val="-7"/>
          <w:sz w:val="24"/>
        </w:rPr>
        <w:t> </w:t>
      </w:r>
      <w:r>
        <w:rPr>
          <w:sz w:val="24"/>
        </w:rPr>
        <w:t>foreign</w:t>
      </w:r>
      <w:r>
        <w:rPr>
          <w:spacing w:val="-7"/>
          <w:sz w:val="24"/>
        </w:rPr>
        <w:t> </w:t>
      </w:r>
      <w:r>
        <w:rPr>
          <w:sz w:val="24"/>
        </w:rPr>
        <w:t>ownership</w:t>
      </w:r>
      <w:r>
        <w:rPr>
          <w:spacing w:val="-7"/>
          <w:sz w:val="24"/>
        </w:rPr>
        <w:t> </w:t>
      </w:r>
      <w:r>
        <w:rPr>
          <w:sz w:val="24"/>
        </w:rPr>
        <w:t>on</w:t>
      </w:r>
      <w:r>
        <w:rPr>
          <w:spacing w:val="-6"/>
          <w:sz w:val="24"/>
        </w:rPr>
        <w:t> </w:t>
      </w:r>
      <w:r>
        <w:rPr>
          <w:sz w:val="24"/>
        </w:rPr>
        <w:t>the</w:t>
      </w:r>
      <w:r>
        <w:rPr>
          <w:spacing w:val="-6"/>
          <w:sz w:val="24"/>
        </w:rPr>
        <w:t> </w:t>
      </w:r>
      <w:r>
        <w:rPr>
          <w:sz w:val="24"/>
        </w:rPr>
        <w:t>reporting</w:t>
      </w:r>
      <w:r>
        <w:rPr>
          <w:spacing w:val="-7"/>
          <w:sz w:val="24"/>
        </w:rPr>
        <w:t> </w:t>
      </w:r>
      <w:r>
        <w:rPr>
          <w:sz w:val="24"/>
        </w:rPr>
        <w:t>quality</w:t>
      </w:r>
      <w:r>
        <w:rPr>
          <w:spacing w:val="-7"/>
          <w:sz w:val="24"/>
        </w:rPr>
        <w:t> </w:t>
      </w:r>
      <w:r>
        <w:rPr>
          <w:sz w:val="24"/>
        </w:rPr>
        <w:t>of</w:t>
      </w:r>
      <w:r>
        <w:rPr>
          <w:spacing w:val="-8"/>
          <w:sz w:val="24"/>
        </w:rPr>
        <w:t> </w:t>
      </w:r>
      <w:r>
        <w:rPr>
          <w:sz w:val="24"/>
        </w:rPr>
        <w:t>listed</w:t>
      </w:r>
      <w:r>
        <w:rPr>
          <w:spacing w:val="-6"/>
          <w:sz w:val="24"/>
        </w:rPr>
        <w:t> </w:t>
      </w:r>
      <w:r>
        <w:rPr>
          <w:sz w:val="24"/>
        </w:rPr>
        <w:t>companies</w:t>
      </w:r>
      <w:r>
        <w:rPr>
          <w:spacing w:val="-7"/>
          <w:sz w:val="24"/>
        </w:rPr>
        <w:t> </w:t>
      </w:r>
      <w:r>
        <w:rPr>
          <w:sz w:val="24"/>
        </w:rPr>
        <w:t>on</w:t>
      </w:r>
      <w:r>
        <w:rPr>
          <w:spacing w:val="-7"/>
          <w:sz w:val="24"/>
        </w:rPr>
        <w:t> </w:t>
      </w:r>
      <w:r>
        <w:rPr>
          <w:sz w:val="24"/>
        </w:rPr>
        <w:t>the Nigerian Stock Exchange (NSE) in a post-IFRS regime; and</w:t>
      </w:r>
    </w:p>
    <w:p>
      <w:pPr>
        <w:pStyle w:val="ListParagraph"/>
        <w:numPr>
          <w:ilvl w:val="0"/>
          <w:numId w:val="20"/>
        </w:numPr>
        <w:tabs>
          <w:tab w:pos="1211" w:val="left" w:leader="none"/>
          <w:tab w:pos="1248" w:val="left" w:leader="none"/>
        </w:tabs>
        <w:spacing w:line="480" w:lineRule="auto" w:before="0" w:after="0"/>
        <w:ind w:left="1211" w:right="1436" w:hanging="272"/>
        <w:jc w:val="left"/>
        <w:rPr>
          <w:sz w:val="24"/>
        </w:rPr>
      </w:pPr>
      <w:r>
        <w:rPr>
          <w:sz w:val="24"/>
        </w:rPr>
        <w:tab/>
        <w:t>investigate</w:t>
      </w:r>
      <w:r>
        <w:rPr>
          <w:spacing w:val="40"/>
          <w:sz w:val="24"/>
        </w:rPr>
        <w:t> </w:t>
      </w:r>
      <w:r>
        <w:rPr>
          <w:sz w:val="24"/>
        </w:rPr>
        <w:t>the</w:t>
      </w:r>
      <w:r>
        <w:rPr>
          <w:spacing w:val="40"/>
          <w:sz w:val="24"/>
        </w:rPr>
        <w:t> </w:t>
      </w:r>
      <w:r>
        <w:rPr>
          <w:sz w:val="24"/>
        </w:rPr>
        <w:t>impact</w:t>
      </w:r>
      <w:r>
        <w:rPr>
          <w:spacing w:val="40"/>
          <w:sz w:val="24"/>
        </w:rPr>
        <w:t> </w:t>
      </w:r>
      <w:r>
        <w:rPr>
          <w:sz w:val="24"/>
        </w:rPr>
        <w:t>of</w:t>
      </w:r>
      <w:r>
        <w:rPr>
          <w:spacing w:val="40"/>
          <w:sz w:val="24"/>
        </w:rPr>
        <w:t> </w:t>
      </w:r>
      <w:r>
        <w:rPr>
          <w:sz w:val="24"/>
        </w:rPr>
        <w:t>ownership</w:t>
      </w:r>
      <w:r>
        <w:rPr>
          <w:spacing w:val="40"/>
          <w:sz w:val="24"/>
        </w:rPr>
        <w:t> </w:t>
      </w:r>
      <w:r>
        <w:rPr>
          <w:sz w:val="24"/>
        </w:rPr>
        <w:t>concentration</w:t>
      </w:r>
      <w:r>
        <w:rPr>
          <w:spacing w:val="40"/>
          <w:sz w:val="24"/>
        </w:rPr>
        <w:t> </w:t>
      </w:r>
      <w:r>
        <w:rPr>
          <w:sz w:val="24"/>
        </w:rPr>
        <w:t>on</w:t>
      </w:r>
      <w:r>
        <w:rPr>
          <w:spacing w:val="71"/>
          <w:sz w:val="24"/>
        </w:rPr>
        <w:t> </w:t>
      </w:r>
      <w:r>
        <w:rPr>
          <w:sz w:val="24"/>
        </w:rPr>
        <w:t>the</w:t>
      </w:r>
      <w:r>
        <w:rPr>
          <w:spacing w:val="40"/>
          <w:sz w:val="24"/>
        </w:rPr>
        <w:t> </w:t>
      </w:r>
      <w:r>
        <w:rPr>
          <w:sz w:val="24"/>
        </w:rPr>
        <w:t>reporting</w:t>
      </w:r>
      <w:r>
        <w:rPr>
          <w:spacing w:val="68"/>
          <w:sz w:val="24"/>
        </w:rPr>
        <w:t> </w:t>
      </w:r>
      <w:r>
        <w:rPr>
          <w:sz w:val="24"/>
        </w:rPr>
        <w:t>quality</w:t>
      </w:r>
      <w:r>
        <w:rPr>
          <w:spacing w:val="40"/>
          <w:sz w:val="24"/>
        </w:rPr>
        <w:t> </w:t>
      </w:r>
      <w:r>
        <w:rPr>
          <w:sz w:val="24"/>
        </w:rPr>
        <w:t>of</w:t>
      </w:r>
      <w:r>
        <w:rPr>
          <w:spacing w:val="40"/>
          <w:sz w:val="24"/>
        </w:rPr>
        <w:t> </w:t>
      </w:r>
      <w:r>
        <w:rPr>
          <w:sz w:val="24"/>
        </w:rPr>
        <w:t>listed</w:t>
      </w:r>
      <w:r>
        <w:rPr>
          <w:spacing w:val="40"/>
          <w:sz w:val="24"/>
        </w:rPr>
        <w:t> </w:t>
      </w:r>
      <w:r>
        <w:rPr>
          <w:sz w:val="24"/>
        </w:rPr>
        <w:t>companies on the Nigerian Stock Exchange (NSE) in a post-IFRS regime.</w:t>
      </w:r>
    </w:p>
    <w:p>
      <w:pPr>
        <w:pStyle w:val="BodyText"/>
      </w:pPr>
    </w:p>
    <w:p>
      <w:pPr>
        <w:pStyle w:val="BodyText"/>
      </w:pPr>
    </w:p>
    <w:p>
      <w:pPr>
        <w:pStyle w:val="Heading3"/>
        <w:numPr>
          <w:ilvl w:val="1"/>
          <w:numId w:val="19"/>
        </w:numPr>
        <w:tabs>
          <w:tab w:pos="1360" w:val="left" w:leader="none"/>
        </w:tabs>
        <w:spacing w:line="240" w:lineRule="auto" w:before="0" w:after="0"/>
        <w:ind w:left="1360" w:right="0" w:hanging="420"/>
        <w:jc w:val="left"/>
      </w:pPr>
      <w:bookmarkStart w:name="_TOC_250066" w:id="4"/>
      <w:r>
        <w:rPr/>
        <w:t>Research</w:t>
      </w:r>
      <w:r>
        <w:rPr>
          <w:spacing w:val="-5"/>
        </w:rPr>
        <w:t> </w:t>
      </w:r>
      <w:bookmarkEnd w:id="4"/>
      <w:r>
        <w:rPr>
          <w:spacing w:val="-2"/>
        </w:rPr>
        <w:t>Questions</w:t>
      </w:r>
    </w:p>
    <w:p>
      <w:pPr>
        <w:pStyle w:val="BodyText"/>
        <w:rPr>
          <w:b/>
        </w:rPr>
      </w:pPr>
    </w:p>
    <w:p>
      <w:pPr>
        <w:pStyle w:val="ListParagraph"/>
        <w:numPr>
          <w:ilvl w:val="0"/>
          <w:numId w:val="21"/>
        </w:numPr>
        <w:tabs>
          <w:tab w:pos="1165" w:val="left" w:leader="none"/>
          <w:tab w:pos="1300" w:val="left" w:leader="none"/>
        </w:tabs>
        <w:spacing w:line="480" w:lineRule="auto" w:before="0" w:after="0"/>
        <w:ind w:left="1300" w:right="1438" w:hanging="360"/>
        <w:jc w:val="left"/>
        <w:rPr>
          <w:sz w:val="24"/>
        </w:rPr>
      </w:pPr>
      <w:r>
        <w:rPr>
          <w:sz w:val="24"/>
        </w:rPr>
        <w:t>What</w:t>
      </w:r>
      <w:r>
        <w:rPr>
          <w:spacing w:val="-15"/>
          <w:sz w:val="24"/>
        </w:rPr>
        <w:t> </w:t>
      </w:r>
      <w:r>
        <w:rPr>
          <w:sz w:val="24"/>
        </w:rPr>
        <w:t>is</w:t>
      </w:r>
      <w:r>
        <w:rPr>
          <w:spacing w:val="-15"/>
          <w:sz w:val="24"/>
        </w:rPr>
        <w:t> </w:t>
      </w:r>
      <w:r>
        <w:rPr>
          <w:sz w:val="24"/>
        </w:rPr>
        <w:t>the</w:t>
      </w:r>
      <w:r>
        <w:rPr>
          <w:spacing w:val="-15"/>
          <w:sz w:val="24"/>
        </w:rPr>
        <w:t> </w:t>
      </w:r>
      <w:r>
        <w:rPr>
          <w:sz w:val="24"/>
        </w:rPr>
        <w:t>impact</w:t>
      </w:r>
      <w:r>
        <w:rPr>
          <w:spacing w:val="-15"/>
          <w:sz w:val="24"/>
        </w:rPr>
        <w:t> </w:t>
      </w:r>
      <w:r>
        <w:rPr>
          <w:sz w:val="24"/>
        </w:rPr>
        <w:t>of</w:t>
      </w:r>
      <w:r>
        <w:rPr>
          <w:spacing w:val="-15"/>
          <w:sz w:val="24"/>
        </w:rPr>
        <w:t> </w:t>
      </w:r>
      <w:r>
        <w:rPr>
          <w:sz w:val="24"/>
        </w:rPr>
        <w:t>post-IFRS</w:t>
      </w:r>
      <w:r>
        <w:rPr>
          <w:spacing w:val="-15"/>
          <w:sz w:val="24"/>
        </w:rPr>
        <w:t> </w:t>
      </w:r>
      <w:r>
        <w:rPr>
          <w:sz w:val="24"/>
        </w:rPr>
        <w:t>regime</w:t>
      </w:r>
      <w:r>
        <w:rPr>
          <w:spacing w:val="-15"/>
          <w:sz w:val="24"/>
        </w:rPr>
        <w:t> </w:t>
      </w:r>
      <w:r>
        <w:rPr>
          <w:sz w:val="24"/>
        </w:rPr>
        <w:t>on</w:t>
      </w:r>
      <w:r>
        <w:rPr>
          <w:spacing w:val="-15"/>
          <w:sz w:val="24"/>
        </w:rPr>
        <w:t> </w:t>
      </w:r>
      <w:r>
        <w:rPr>
          <w:sz w:val="24"/>
        </w:rPr>
        <w:t>the</w:t>
      </w:r>
      <w:r>
        <w:rPr>
          <w:spacing w:val="-15"/>
          <w:sz w:val="24"/>
        </w:rPr>
        <w:t> </w:t>
      </w:r>
      <w:r>
        <w:rPr>
          <w:sz w:val="24"/>
        </w:rPr>
        <w:t>financial</w:t>
      </w:r>
      <w:r>
        <w:rPr>
          <w:spacing w:val="-15"/>
          <w:sz w:val="24"/>
        </w:rPr>
        <w:t> </w:t>
      </w:r>
      <w:r>
        <w:rPr>
          <w:sz w:val="24"/>
        </w:rPr>
        <w:t>reporting</w:t>
      </w:r>
      <w:r>
        <w:rPr>
          <w:spacing w:val="-15"/>
          <w:sz w:val="24"/>
        </w:rPr>
        <w:t> </w:t>
      </w:r>
      <w:r>
        <w:rPr>
          <w:sz w:val="24"/>
        </w:rPr>
        <w:t>quality</w:t>
      </w:r>
      <w:r>
        <w:rPr>
          <w:spacing w:val="-15"/>
          <w:sz w:val="24"/>
        </w:rPr>
        <w:t> </w:t>
      </w:r>
      <w:r>
        <w:rPr>
          <w:sz w:val="24"/>
        </w:rPr>
        <w:t>of</w:t>
      </w:r>
      <w:r>
        <w:rPr>
          <w:spacing w:val="-16"/>
          <w:sz w:val="24"/>
        </w:rPr>
        <w:t> </w:t>
      </w:r>
      <w:r>
        <w:rPr>
          <w:sz w:val="24"/>
        </w:rPr>
        <w:t>listed</w:t>
      </w:r>
      <w:r>
        <w:rPr>
          <w:spacing w:val="-15"/>
          <w:sz w:val="24"/>
        </w:rPr>
        <w:t> </w:t>
      </w:r>
      <w:r>
        <w:rPr>
          <w:sz w:val="24"/>
        </w:rPr>
        <w:t>companies on the Nigerian Stock Exchange (NSE) in a post-IFRS regime?</w:t>
      </w:r>
    </w:p>
    <w:p>
      <w:pPr>
        <w:pStyle w:val="ListParagraph"/>
        <w:numPr>
          <w:ilvl w:val="0"/>
          <w:numId w:val="21"/>
        </w:numPr>
        <w:tabs>
          <w:tab w:pos="1172" w:val="left" w:leader="none"/>
          <w:tab w:pos="1300" w:val="left" w:leader="none"/>
        </w:tabs>
        <w:spacing w:line="480" w:lineRule="auto" w:before="1" w:after="0"/>
        <w:ind w:left="1300" w:right="1436" w:hanging="360"/>
        <w:jc w:val="left"/>
        <w:rPr>
          <w:sz w:val="24"/>
        </w:rPr>
      </w:pPr>
      <w:r>
        <w:rPr>
          <w:sz w:val="24"/>
        </w:rPr>
        <w:t>What</w:t>
      </w:r>
      <w:r>
        <w:rPr>
          <w:spacing w:val="-9"/>
          <w:sz w:val="24"/>
        </w:rPr>
        <w:t> </w:t>
      </w:r>
      <w:r>
        <w:rPr>
          <w:sz w:val="24"/>
        </w:rPr>
        <w:t>is</w:t>
      </w:r>
      <w:r>
        <w:rPr>
          <w:spacing w:val="-9"/>
          <w:sz w:val="24"/>
        </w:rPr>
        <w:t> </w:t>
      </w:r>
      <w:r>
        <w:rPr>
          <w:sz w:val="24"/>
        </w:rPr>
        <w:t>the</w:t>
      </w:r>
      <w:r>
        <w:rPr>
          <w:spacing w:val="-10"/>
          <w:sz w:val="24"/>
        </w:rPr>
        <w:t> </w:t>
      </w:r>
      <w:r>
        <w:rPr>
          <w:sz w:val="24"/>
        </w:rPr>
        <w:t>impact</w:t>
      </w:r>
      <w:r>
        <w:rPr>
          <w:spacing w:val="-9"/>
          <w:sz w:val="24"/>
        </w:rPr>
        <w:t> </w:t>
      </w:r>
      <w:r>
        <w:rPr>
          <w:sz w:val="24"/>
        </w:rPr>
        <w:t>of</w:t>
      </w:r>
      <w:r>
        <w:rPr>
          <w:spacing w:val="-8"/>
          <w:sz w:val="24"/>
        </w:rPr>
        <w:t> </w:t>
      </w:r>
      <w:r>
        <w:rPr>
          <w:sz w:val="24"/>
        </w:rPr>
        <w:t>board</w:t>
      </w:r>
      <w:r>
        <w:rPr>
          <w:spacing w:val="-10"/>
          <w:sz w:val="24"/>
        </w:rPr>
        <w:t> </w:t>
      </w:r>
      <w:r>
        <w:rPr>
          <w:sz w:val="24"/>
        </w:rPr>
        <w:t>size</w:t>
      </w:r>
      <w:r>
        <w:rPr>
          <w:spacing w:val="-11"/>
          <w:sz w:val="24"/>
        </w:rPr>
        <w:t> </w:t>
      </w:r>
      <w:r>
        <w:rPr>
          <w:sz w:val="24"/>
        </w:rPr>
        <w:t>on</w:t>
      </w:r>
      <w:r>
        <w:rPr>
          <w:spacing w:val="-6"/>
          <w:sz w:val="24"/>
        </w:rPr>
        <w:t> </w:t>
      </w:r>
      <w:r>
        <w:rPr>
          <w:sz w:val="24"/>
        </w:rPr>
        <w:t>the</w:t>
      </w:r>
      <w:r>
        <w:rPr>
          <w:spacing w:val="-10"/>
          <w:sz w:val="24"/>
        </w:rPr>
        <w:t> </w:t>
      </w:r>
      <w:r>
        <w:rPr>
          <w:sz w:val="24"/>
        </w:rPr>
        <w:t>reporting</w:t>
      </w:r>
      <w:r>
        <w:rPr>
          <w:spacing w:val="-9"/>
          <w:sz w:val="24"/>
        </w:rPr>
        <w:t> </w:t>
      </w:r>
      <w:r>
        <w:rPr>
          <w:sz w:val="24"/>
        </w:rPr>
        <w:t>quality</w:t>
      </w:r>
      <w:r>
        <w:rPr>
          <w:spacing w:val="-9"/>
          <w:sz w:val="24"/>
        </w:rPr>
        <w:t> </w:t>
      </w:r>
      <w:r>
        <w:rPr>
          <w:sz w:val="24"/>
        </w:rPr>
        <w:t>of</w:t>
      </w:r>
      <w:r>
        <w:rPr>
          <w:spacing w:val="-10"/>
          <w:sz w:val="24"/>
        </w:rPr>
        <w:t> </w:t>
      </w:r>
      <w:r>
        <w:rPr>
          <w:sz w:val="24"/>
        </w:rPr>
        <w:t>listed</w:t>
      </w:r>
      <w:r>
        <w:rPr>
          <w:spacing w:val="-10"/>
          <w:sz w:val="24"/>
        </w:rPr>
        <w:t> </w:t>
      </w:r>
      <w:r>
        <w:rPr>
          <w:sz w:val="24"/>
        </w:rPr>
        <w:t>companies</w:t>
      </w:r>
      <w:r>
        <w:rPr>
          <w:spacing w:val="-7"/>
          <w:sz w:val="24"/>
        </w:rPr>
        <w:t> </w:t>
      </w:r>
      <w:r>
        <w:rPr>
          <w:sz w:val="24"/>
        </w:rPr>
        <w:t>on</w:t>
      </w:r>
      <w:r>
        <w:rPr>
          <w:spacing w:val="-10"/>
          <w:sz w:val="24"/>
        </w:rPr>
        <w:t> </w:t>
      </w:r>
      <w:r>
        <w:rPr>
          <w:sz w:val="24"/>
        </w:rPr>
        <w:t>the</w:t>
      </w:r>
      <w:r>
        <w:rPr>
          <w:spacing w:val="-10"/>
          <w:sz w:val="24"/>
        </w:rPr>
        <w:t> </w:t>
      </w:r>
      <w:r>
        <w:rPr>
          <w:sz w:val="24"/>
        </w:rPr>
        <w:t>Nigerian Stock Exchange (NSE) in a post-IFRS regime?</w:t>
      </w:r>
    </w:p>
    <w:p>
      <w:pPr>
        <w:pStyle w:val="ListParagraph"/>
        <w:numPr>
          <w:ilvl w:val="0"/>
          <w:numId w:val="21"/>
        </w:numPr>
        <w:tabs>
          <w:tab w:pos="1191" w:val="left" w:leader="none"/>
          <w:tab w:pos="1300" w:val="left" w:leader="none"/>
        </w:tabs>
        <w:spacing w:line="480" w:lineRule="auto" w:before="0" w:after="0"/>
        <w:ind w:left="1300" w:right="1438" w:hanging="360"/>
        <w:jc w:val="left"/>
        <w:rPr>
          <w:sz w:val="24"/>
        </w:rPr>
      </w:pPr>
      <w:r>
        <w:rPr>
          <w:sz w:val="24"/>
        </w:rPr>
        <w:t>What is the impact of board independence on the reporting quality of listed companies on the Nigerian Stock Exchange (NSE) in a post-IFRS regime?</w:t>
      </w:r>
    </w:p>
    <w:p>
      <w:pPr>
        <w:pStyle w:val="ListParagraph"/>
        <w:numPr>
          <w:ilvl w:val="0"/>
          <w:numId w:val="21"/>
        </w:numPr>
        <w:tabs>
          <w:tab w:pos="1182" w:val="left" w:leader="none"/>
          <w:tab w:pos="1300" w:val="left" w:leader="none"/>
        </w:tabs>
        <w:spacing w:line="480" w:lineRule="auto" w:before="0" w:after="0"/>
        <w:ind w:left="1300" w:right="1441" w:hanging="360"/>
        <w:jc w:val="left"/>
        <w:rPr>
          <w:sz w:val="24"/>
        </w:rPr>
      </w:pPr>
      <w:r>
        <w:rPr>
          <w:sz w:val="24"/>
        </w:rPr>
        <w:t>What</w:t>
      </w:r>
      <w:r>
        <w:rPr>
          <w:spacing w:val="-1"/>
          <w:sz w:val="24"/>
        </w:rPr>
        <w:t> </w:t>
      </w:r>
      <w:r>
        <w:rPr>
          <w:sz w:val="24"/>
        </w:rPr>
        <w:t>is</w:t>
      </w:r>
      <w:r>
        <w:rPr>
          <w:spacing w:val="-1"/>
          <w:sz w:val="24"/>
        </w:rPr>
        <w:t> </w:t>
      </w:r>
      <w:r>
        <w:rPr>
          <w:sz w:val="24"/>
        </w:rPr>
        <w:t>the</w:t>
      </w:r>
      <w:r>
        <w:rPr>
          <w:spacing w:val="-2"/>
          <w:sz w:val="24"/>
        </w:rPr>
        <w:t> </w:t>
      </w:r>
      <w:r>
        <w:rPr>
          <w:sz w:val="24"/>
        </w:rPr>
        <w:t>impact</w:t>
      </w:r>
      <w:r>
        <w:rPr>
          <w:spacing w:val="-1"/>
          <w:sz w:val="24"/>
        </w:rPr>
        <w:t> </w:t>
      </w:r>
      <w:r>
        <w:rPr>
          <w:sz w:val="24"/>
        </w:rPr>
        <w:t>of board</w:t>
      </w:r>
      <w:r>
        <w:rPr>
          <w:spacing w:val="-2"/>
          <w:sz w:val="24"/>
        </w:rPr>
        <w:t> </w:t>
      </w:r>
      <w:r>
        <w:rPr>
          <w:sz w:val="24"/>
        </w:rPr>
        <w:t>financial</w:t>
      </w:r>
      <w:r>
        <w:rPr>
          <w:spacing w:val="-1"/>
          <w:sz w:val="24"/>
        </w:rPr>
        <w:t> </w:t>
      </w:r>
      <w:r>
        <w:rPr>
          <w:sz w:val="24"/>
        </w:rPr>
        <w:t>expertise on the</w:t>
      </w:r>
      <w:r>
        <w:rPr>
          <w:spacing w:val="-1"/>
          <w:sz w:val="24"/>
        </w:rPr>
        <w:t> </w:t>
      </w:r>
      <w:r>
        <w:rPr>
          <w:sz w:val="24"/>
        </w:rPr>
        <w:t>reporting</w:t>
      </w:r>
      <w:r>
        <w:rPr>
          <w:spacing w:val="-1"/>
          <w:sz w:val="24"/>
        </w:rPr>
        <w:t> </w:t>
      </w:r>
      <w:r>
        <w:rPr>
          <w:sz w:val="24"/>
        </w:rPr>
        <w:t>quality</w:t>
      </w:r>
      <w:r>
        <w:rPr>
          <w:spacing w:val="-1"/>
          <w:sz w:val="24"/>
        </w:rPr>
        <w:t> </w:t>
      </w:r>
      <w:r>
        <w:rPr>
          <w:sz w:val="24"/>
        </w:rPr>
        <w:t>of</w:t>
      </w:r>
      <w:r>
        <w:rPr>
          <w:spacing w:val="-2"/>
          <w:sz w:val="24"/>
        </w:rPr>
        <w:t> </w:t>
      </w:r>
      <w:r>
        <w:rPr>
          <w:sz w:val="24"/>
        </w:rPr>
        <w:t>listed</w:t>
      </w:r>
      <w:r>
        <w:rPr>
          <w:spacing w:val="-2"/>
          <w:sz w:val="24"/>
        </w:rPr>
        <w:t> </w:t>
      </w:r>
      <w:r>
        <w:rPr>
          <w:sz w:val="24"/>
        </w:rPr>
        <w:t>companies on the Nigerian Stock Exchange (NSE) in a post-IFRS regime?</w:t>
      </w:r>
    </w:p>
    <w:p>
      <w:pPr>
        <w:pStyle w:val="ListParagraph"/>
        <w:numPr>
          <w:ilvl w:val="0"/>
          <w:numId w:val="21"/>
        </w:numPr>
        <w:tabs>
          <w:tab w:pos="1172" w:val="left" w:leader="none"/>
          <w:tab w:pos="1300" w:val="left" w:leader="none"/>
        </w:tabs>
        <w:spacing w:line="480" w:lineRule="auto" w:before="0" w:after="0"/>
        <w:ind w:left="1300" w:right="1436" w:hanging="360"/>
        <w:jc w:val="left"/>
        <w:rPr>
          <w:sz w:val="24"/>
        </w:rPr>
      </w:pPr>
      <w:r>
        <w:rPr>
          <w:sz w:val="24"/>
        </w:rPr>
        <w:t>What</w:t>
      </w:r>
      <w:r>
        <w:rPr>
          <w:spacing w:val="-9"/>
          <w:sz w:val="24"/>
        </w:rPr>
        <w:t> </w:t>
      </w:r>
      <w:r>
        <w:rPr>
          <w:sz w:val="24"/>
        </w:rPr>
        <w:t>is</w:t>
      </w:r>
      <w:r>
        <w:rPr>
          <w:spacing w:val="-7"/>
          <w:sz w:val="24"/>
        </w:rPr>
        <w:t> </w:t>
      </w:r>
      <w:r>
        <w:rPr>
          <w:sz w:val="24"/>
        </w:rPr>
        <w:t>the</w:t>
      </w:r>
      <w:r>
        <w:rPr>
          <w:spacing w:val="-10"/>
          <w:sz w:val="24"/>
        </w:rPr>
        <w:t> </w:t>
      </w:r>
      <w:r>
        <w:rPr>
          <w:sz w:val="24"/>
        </w:rPr>
        <w:t>impact</w:t>
      </w:r>
      <w:r>
        <w:rPr>
          <w:spacing w:val="-9"/>
          <w:sz w:val="24"/>
        </w:rPr>
        <w:t> </w:t>
      </w:r>
      <w:r>
        <w:rPr>
          <w:sz w:val="24"/>
        </w:rPr>
        <w:t>of</w:t>
      </w:r>
      <w:r>
        <w:rPr>
          <w:spacing w:val="-8"/>
          <w:sz w:val="24"/>
        </w:rPr>
        <w:t> </w:t>
      </w:r>
      <w:r>
        <w:rPr>
          <w:sz w:val="24"/>
        </w:rPr>
        <w:t>institutional</w:t>
      </w:r>
      <w:r>
        <w:rPr>
          <w:spacing w:val="-9"/>
          <w:sz w:val="24"/>
        </w:rPr>
        <w:t> </w:t>
      </w:r>
      <w:r>
        <w:rPr>
          <w:sz w:val="24"/>
        </w:rPr>
        <w:t>ownership</w:t>
      </w:r>
      <w:r>
        <w:rPr>
          <w:spacing w:val="-10"/>
          <w:sz w:val="24"/>
        </w:rPr>
        <w:t> </w:t>
      </w:r>
      <w:r>
        <w:rPr>
          <w:sz w:val="24"/>
        </w:rPr>
        <w:t>on</w:t>
      </w:r>
      <w:r>
        <w:rPr>
          <w:spacing w:val="-4"/>
          <w:sz w:val="24"/>
        </w:rPr>
        <w:t> </w:t>
      </w:r>
      <w:r>
        <w:rPr>
          <w:sz w:val="24"/>
        </w:rPr>
        <w:t>the</w:t>
      </w:r>
      <w:r>
        <w:rPr>
          <w:spacing w:val="-10"/>
          <w:sz w:val="24"/>
        </w:rPr>
        <w:t> </w:t>
      </w:r>
      <w:r>
        <w:rPr>
          <w:sz w:val="24"/>
        </w:rPr>
        <w:t>reporting</w:t>
      </w:r>
      <w:r>
        <w:rPr>
          <w:spacing w:val="-10"/>
          <w:sz w:val="24"/>
        </w:rPr>
        <w:t> </w:t>
      </w:r>
      <w:r>
        <w:rPr>
          <w:sz w:val="24"/>
        </w:rPr>
        <w:t>quality</w:t>
      </w:r>
      <w:r>
        <w:rPr>
          <w:spacing w:val="-9"/>
          <w:sz w:val="24"/>
        </w:rPr>
        <w:t> </w:t>
      </w:r>
      <w:r>
        <w:rPr>
          <w:sz w:val="24"/>
        </w:rPr>
        <w:t>of</w:t>
      </w:r>
      <w:r>
        <w:rPr>
          <w:spacing w:val="-10"/>
          <w:sz w:val="24"/>
        </w:rPr>
        <w:t> </w:t>
      </w:r>
      <w:r>
        <w:rPr>
          <w:sz w:val="24"/>
        </w:rPr>
        <w:t>listed</w:t>
      </w:r>
      <w:r>
        <w:rPr>
          <w:spacing w:val="-10"/>
          <w:sz w:val="24"/>
        </w:rPr>
        <w:t> </w:t>
      </w:r>
      <w:r>
        <w:rPr>
          <w:sz w:val="24"/>
        </w:rPr>
        <w:t>companies</w:t>
      </w:r>
      <w:r>
        <w:rPr>
          <w:spacing w:val="-7"/>
          <w:sz w:val="24"/>
        </w:rPr>
        <w:t> </w:t>
      </w:r>
      <w:r>
        <w:rPr>
          <w:sz w:val="24"/>
        </w:rPr>
        <w:t>on the Nigerian Stock Exchange (NSE) in a post-IFRS regime?</w:t>
      </w:r>
    </w:p>
    <w:p>
      <w:pPr>
        <w:spacing w:after="0" w:line="480" w:lineRule="auto"/>
        <w:jc w:val="left"/>
        <w:rPr>
          <w:sz w:val="24"/>
        </w:rPr>
        <w:sectPr>
          <w:pgSz w:w="11910" w:h="16840"/>
          <w:pgMar w:header="0" w:footer="971" w:top="1360" w:bottom="1160" w:left="500" w:right="0"/>
        </w:sectPr>
      </w:pPr>
    </w:p>
    <w:p>
      <w:pPr>
        <w:pStyle w:val="ListParagraph"/>
        <w:numPr>
          <w:ilvl w:val="0"/>
          <w:numId w:val="21"/>
        </w:numPr>
        <w:tabs>
          <w:tab w:pos="1180" w:val="left" w:leader="none"/>
          <w:tab w:pos="1300" w:val="left" w:leader="none"/>
        </w:tabs>
        <w:spacing w:line="480" w:lineRule="auto" w:before="61" w:after="0"/>
        <w:ind w:left="1300" w:right="1436" w:hanging="360"/>
        <w:jc w:val="left"/>
        <w:rPr>
          <w:sz w:val="24"/>
        </w:rPr>
      </w:pPr>
      <w:r>
        <w:rPr>
          <w:sz w:val="24"/>
        </w:rPr>
        <w:t>What</w:t>
      </w:r>
      <w:r>
        <w:rPr>
          <w:spacing w:val="-3"/>
          <w:sz w:val="24"/>
        </w:rPr>
        <w:t> </w:t>
      </w:r>
      <w:r>
        <w:rPr>
          <w:sz w:val="24"/>
        </w:rPr>
        <w:t>is</w:t>
      </w:r>
      <w:r>
        <w:rPr>
          <w:spacing w:val="-3"/>
          <w:sz w:val="24"/>
        </w:rPr>
        <w:t> </w:t>
      </w:r>
      <w:r>
        <w:rPr>
          <w:sz w:val="24"/>
        </w:rPr>
        <w:t>the</w:t>
      </w:r>
      <w:r>
        <w:rPr>
          <w:spacing w:val="-3"/>
          <w:sz w:val="24"/>
        </w:rPr>
        <w:t> </w:t>
      </w:r>
      <w:r>
        <w:rPr>
          <w:sz w:val="24"/>
        </w:rPr>
        <w:t>impact</w:t>
      </w:r>
      <w:r>
        <w:rPr>
          <w:spacing w:val="-3"/>
          <w:sz w:val="24"/>
        </w:rPr>
        <w:t> </w:t>
      </w:r>
      <w:r>
        <w:rPr>
          <w:sz w:val="24"/>
        </w:rPr>
        <w:t>of</w:t>
      </w:r>
      <w:r>
        <w:rPr>
          <w:spacing w:val="-6"/>
          <w:sz w:val="24"/>
        </w:rPr>
        <w:t> </w:t>
      </w:r>
      <w:r>
        <w:rPr>
          <w:sz w:val="24"/>
        </w:rPr>
        <w:t>managerial</w:t>
      </w:r>
      <w:r>
        <w:rPr>
          <w:spacing w:val="-3"/>
          <w:sz w:val="24"/>
        </w:rPr>
        <w:t> </w:t>
      </w:r>
      <w:r>
        <w:rPr>
          <w:sz w:val="24"/>
        </w:rPr>
        <w:t>ownership</w:t>
      </w:r>
      <w:r>
        <w:rPr>
          <w:spacing w:val="-3"/>
          <w:sz w:val="24"/>
        </w:rPr>
        <w:t> </w:t>
      </w:r>
      <w:r>
        <w:rPr>
          <w:sz w:val="24"/>
        </w:rPr>
        <w:t>on</w:t>
      </w:r>
      <w:r>
        <w:rPr>
          <w:spacing w:val="-2"/>
          <w:sz w:val="24"/>
        </w:rPr>
        <w:t> </w:t>
      </w:r>
      <w:r>
        <w:rPr>
          <w:sz w:val="24"/>
        </w:rPr>
        <w:t>the</w:t>
      </w:r>
      <w:r>
        <w:rPr>
          <w:spacing w:val="-4"/>
          <w:sz w:val="24"/>
        </w:rPr>
        <w:t> </w:t>
      </w:r>
      <w:r>
        <w:rPr>
          <w:sz w:val="24"/>
        </w:rPr>
        <w:t>reporting</w:t>
      </w:r>
      <w:r>
        <w:rPr>
          <w:spacing w:val="-3"/>
          <w:sz w:val="24"/>
        </w:rPr>
        <w:t> </w:t>
      </w:r>
      <w:r>
        <w:rPr>
          <w:sz w:val="24"/>
        </w:rPr>
        <w:t>quality</w:t>
      </w:r>
      <w:r>
        <w:rPr>
          <w:spacing w:val="-3"/>
          <w:sz w:val="24"/>
        </w:rPr>
        <w:t> </w:t>
      </w:r>
      <w:r>
        <w:rPr>
          <w:sz w:val="24"/>
        </w:rPr>
        <w:t>of</w:t>
      </w:r>
      <w:r>
        <w:rPr>
          <w:spacing w:val="-3"/>
          <w:sz w:val="24"/>
        </w:rPr>
        <w:t> </w:t>
      </w:r>
      <w:r>
        <w:rPr>
          <w:sz w:val="24"/>
        </w:rPr>
        <w:t>listed</w:t>
      </w:r>
      <w:r>
        <w:rPr>
          <w:spacing w:val="-3"/>
          <w:sz w:val="24"/>
        </w:rPr>
        <w:t> </w:t>
      </w:r>
      <w:r>
        <w:rPr>
          <w:sz w:val="24"/>
        </w:rPr>
        <w:t>companies</w:t>
      </w:r>
      <w:r>
        <w:rPr>
          <w:spacing w:val="-3"/>
          <w:sz w:val="24"/>
        </w:rPr>
        <w:t> </w:t>
      </w:r>
      <w:r>
        <w:rPr>
          <w:sz w:val="24"/>
        </w:rPr>
        <w:t>on the Nigerian Stock Exchange (NSE) in a post-IFRS regime?</w:t>
      </w:r>
    </w:p>
    <w:p>
      <w:pPr>
        <w:pStyle w:val="ListParagraph"/>
        <w:numPr>
          <w:ilvl w:val="0"/>
          <w:numId w:val="21"/>
        </w:numPr>
        <w:tabs>
          <w:tab w:pos="1180" w:val="left" w:leader="none"/>
          <w:tab w:pos="1300" w:val="left" w:leader="none"/>
        </w:tabs>
        <w:spacing w:line="480" w:lineRule="auto" w:before="0" w:after="0"/>
        <w:ind w:left="1300" w:right="1437" w:hanging="360"/>
        <w:jc w:val="left"/>
        <w:rPr>
          <w:sz w:val="24"/>
        </w:rPr>
      </w:pPr>
      <w:r>
        <w:rPr>
          <w:sz w:val="24"/>
        </w:rPr>
        <w:t>What</w:t>
      </w:r>
      <w:r>
        <w:rPr>
          <w:spacing w:val="-2"/>
          <w:sz w:val="24"/>
        </w:rPr>
        <w:t> </w:t>
      </w:r>
      <w:r>
        <w:rPr>
          <w:sz w:val="24"/>
        </w:rPr>
        <w:t>is</w:t>
      </w:r>
      <w:r>
        <w:rPr>
          <w:spacing w:val="-2"/>
          <w:sz w:val="24"/>
        </w:rPr>
        <w:t> </w:t>
      </w:r>
      <w:r>
        <w:rPr>
          <w:sz w:val="24"/>
        </w:rPr>
        <w:t>the</w:t>
      </w:r>
      <w:r>
        <w:rPr>
          <w:spacing w:val="-3"/>
          <w:sz w:val="24"/>
        </w:rPr>
        <w:t> </w:t>
      </w:r>
      <w:r>
        <w:rPr>
          <w:sz w:val="24"/>
        </w:rPr>
        <w:t>impact</w:t>
      </w:r>
      <w:r>
        <w:rPr>
          <w:spacing w:val="-2"/>
          <w:sz w:val="24"/>
        </w:rPr>
        <w:t> </w:t>
      </w:r>
      <w:r>
        <w:rPr>
          <w:sz w:val="24"/>
        </w:rPr>
        <w:t>of</w:t>
      </w:r>
      <w:r>
        <w:rPr>
          <w:spacing w:val="-2"/>
          <w:sz w:val="24"/>
        </w:rPr>
        <w:t> </w:t>
      </w:r>
      <w:r>
        <w:rPr>
          <w:sz w:val="24"/>
        </w:rPr>
        <w:t>foreign</w:t>
      </w:r>
      <w:r>
        <w:rPr>
          <w:spacing w:val="-2"/>
          <w:sz w:val="24"/>
        </w:rPr>
        <w:t> </w:t>
      </w:r>
      <w:r>
        <w:rPr>
          <w:sz w:val="24"/>
        </w:rPr>
        <w:t>ownership</w:t>
      </w:r>
      <w:r>
        <w:rPr>
          <w:spacing w:val="-2"/>
          <w:sz w:val="24"/>
        </w:rPr>
        <w:t> </w:t>
      </w:r>
      <w:r>
        <w:rPr>
          <w:sz w:val="24"/>
        </w:rPr>
        <w:t>on the reporting</w:t>
      </w:r>
      <w:r>
        <w:rPr>
          <w:spacing w:val="-2"/>
          <w:sz w:val="24"/>
        </w:rPr>
        <w:t> </w:t>
      </w:r>
      <w:r>
        <w:rPr>
          <w:sz w:val="24"/>
        </w:rPr>
        <w:t>quality</w:t>
      </w:r>
      <w:r>
        <w:rPr>
          <w:spacing w:val="-2"/>
          <w:sz w:val="24"/>
        </w:rPr>
        <w:t> </w:t>
      </w:r>
      <w:r>
        <w:rPr>
          <w:sz w:val="24"/>
        </w:rPr>
        <w:t>of</w:t>
      </w:r>
      <w:r>
        <w:rPr>
          <w:spacing w:val="-2"/>
          <w:sz w:val="24"/>
        </w:rPr>
        <w:t> </w:t>
      </w:r>
      <w:r>
        <w:rPr>
          <w:sz w:val="24"/>
        </w:rPr>
        <w:t>listed</w:t>
      </w:r>
      <w:r>
        <w:rPr>
          <w:spacing w:val="-1"/>
          <w:sz w:val="24"/>
        </w:rPr>
        <w:t> </w:t>
      </w:r>
      <w:r>
        <w:rPr>
          <w:sz w:val="24"/>
        </w:rPr>
        <w:t>companies</w:t>
      </w:r>
      <w:r>
        <w:rPr>
          <w:spacing w:val="-2"/>
          <w:sz w:val="24"/>
        </w:rPr>
        <w:t> </w:t>
      </w:r>
      <w:r>
        <w:rPr>
          <w:sz w:val="24"/>
        </w:rPr>
        <w:t>on</w:t>
      </w:r>
      <w:r>
        <w:rPr>
          <w:spacing w:val="-2"/>
          <w:sz w:val="24"/>
        </w:rPr>
        <w:t> </w:t>
      </w:r>
      <w:r>
        <w:rPr>
          <w:sz w:val="24"/>
        </w:rPr>
        <w:t>the Nigerian Stock Exchange (NSE) in a post-IFRS regime?</w:t>
      </w:r>
    </w:p>
    <w:p>
      <w:pPr>
        <w:pStyle w:val="ListParagraph"/>
        <w:numPr>
          <w:ilvl w:val="0"/>
          <w:numId w:val="21"/>
        </w:numPr>
        <w:tabs>
          <w:tab w:pos="1182" w:val="left" w:leader="none"/>
          <w:tab w:pos="1300" w:val="left" w:leader="none"/>
        </w:tabs>
        <w:spacing w:line="480" w:lineRule="auto" w:before="0" w:after="0"/>
        <w:ind w:left="1300" w:right="1439" w:hanging="360"/>
        <w:jc w:val="left"/>
        <w:rPr>
          <w:sz w:val="24"/>
        </w:rPr>
      </w:pPr>
      <w:r>
        <w:rPr/>
        <w:drawing>
          <wp:anchor distT="0" distB="0" distL="0" distR="0" allowOverlap="1" layoutInCell="1" locked="0" behindDoc="1" simplePos="0" relativeHeight="477672448">
            <wp:simplePos x="0" y="0"/>
            <wp:positionH relativeFrom="page">
              <wp:posOffset>1095451</wp:posOffset>
            </wp:positionH>
            <wp:positionV relativeFrom="paragraph">
              <wp:posOffset>410075</wp:posOffset>
            </wp:positionV>
            <wp:extent cx="5106847" cy="523811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What is the</w:t>
      </w:r>
      <w:r>
        <w:rPr>
          <w:spacing w:val="-1"/>
          <w:sz w:val="24"/>
        </w:rPr>
        <w:t> </w:t>
      </w:r>
      <w:r>
        <w:rPr>
          <w:sz w:val="24"/>
        </w:rPr>
        <w:t>impact of ownership concentration on the reporting quality of</w:t>
      </w:r>
      <w:r>
        <w:rPr>
          <w:spacing w:val="-1"/>
          <w:sz w:val="24"/>
        </w:rPr>
        <w:t> </w:t>
      </w:r>
      <w:r>
        <w:rPr>
          <w:sz w:val="24"/>
        </w:rPr>
        <w:t>listed</w:t>
      </w:r>
      <w:r>
        <w:rPr>
          <w:spacing w:val="-1"/>
          <w:sz w:val="24"/>
        </w:rPr>
        <w:t> </w:t>
      </w:r>
      <w:r>
        <w:rPr>
          <w:sz w:val="24"/>
        </w:rPr>
        <w:t>companies on the Nigerian Stock Exchange (NSE) in a post-IFRS regime?</w:t>
      </w:r>
    </w:p>
    <w:p>
      <w:pPr>
        <w:pStyle w:val="BodyText"/>
      </w:pPr>
    </w:p>
    <w:p>
      <w:pPr>
        <w:pStyle w:val="BodyText"/>
        <w:spacing w:before="1"/>
      </w:pPr>
    </w:p>
    <w:p>
      <w:pPr>
        <w:pStyle w:val="Heading3"/>
        <w:numPr>
          <w:ilvl w:val="1"/>
          <w:numId w:val="19"/>
        </w:numPr>
        <w:tabs>
          <w:tab w:pos="1360" w:val="left" w:leader="none"/>
        </w:tabs>
        <w:spacing w:line="240" w:lineRule="auto" w:before="0" w:after="0"/>
        <w:ind w:left="1360" w:right="0" w:hanging="420"/>
        <w:jc w:val="left"/>
      </w:pPr>
      <w:bookmarkStart w:name="_TOC_250065" w:id="5"/>
      <w:r>
        <w:rPr/>
        <w:t>Research</w:t>
      </w:r>
      <w:r>
        <w:rPr>
          <w:spacing w:val="-3"/>
        </w:rPr>
        <w:t> </w:t>
      </w:r>
      <w:bookmarkEnd w:id="5"/>
      <w:r>
        <w:rPr>
          <w:spacing w:val="-2"/>
        </w:rPr>
        <w:t>Hypotheses</w:t>
      </w:r>
    </w:p>
    <w:p>
      <w:pPr>
        <w:pStyle w:val="BodyText"/>
        <w:spacing w:line="477" w:lineRule="auto" w:before="275"/>
        <w:ind w:left="1480" w:right="1436" w:hanging="540"/>
      </w:pPr>
      <w:r>
        <w:rPr>
          <w:position w:val="2"/>
        </w:rPr>
        <w:t>H</w:t>
      </w:r>
      <w:r>
        <w:rPr>
          <w:sz w:val="16"/>
        </w:rPr>
        <w:t>01</w:t>
      </w:r>
      <w:r>
        <w:rPr>
          <w:b/>
          <w:position w:val="2"/>
        </w:rPr>
        <w:t>:</w:t>
      </w:r>
      <w:r>
        <w:rPr>
          <w:b/>
          <w:spacing w:val="-10"/>
          <w:position w:val="2"/>
        </w:rPr>
        <w:t> </w:t>
      </w:r>
      <w:r>
        <w:rPr>
          <w:position w:val="2"/>
        </w:rPr>
        <w:t>Post-IFRS</w:t>
      </w:r>
      <w:r>
        <w:rPr>
          <w:spacing w:val="-9"/>
          <w:position w:val="2"/>
        </w:rPr>
        <w:t> </w:t>
      </w:r>
      <w:r>
        <w:rPr>
          <w:position w:val="2"/>
        </w:rPr>
        <w:t>regime</w:t>
      </w:r>
      <w:r>
        <w:rPr>
          <w:spacing w:val="-10"/>
          <w:position w:val="2"/>
        </w:rPr>
        <w:t> </w:t>
      </w:r>
      <w:r>
        <w:rPr>
          <w:position w:val="2"/>
        </w:rPr>
        <w:t>has</w:t>
      </w:r>
      <w:r>
        <w:rPr>
          <w:spacing w:val="-9"/>
          <w:position w:val="2"/>
        </w:rPr>
        <w:t> </w:t>
      </w:r>
      <w:r>
        <w:rPr>
          <w:position w:val="2"/>
        </w:rPr>
        <w:t>no</w:t>
      </w:r>
      <w:r>
        <w:rPr>
          <w:spacing w:val="-8"/>
          <w:position w:val="2"/>
        </w:rPr>
        <w:t> </w:t>
      </w:r>
      <w:r>
        <w:rPr>
          <w:position w:val="2"/>
        </w:rPr>
        <w:t>significant</w:t>
      </w:r>
      <w:r>
        <w:rPr>
          <w:spacing w:val="-9"/>
          <w:position w:val="2"/>
        </w:rPr>
        <w:t> </w:t>
      </w:r>
      <w:r>
        <w:rPr>
          <w:position w:val="2"/>
        </w:rPr>
        <w:t>impact</w:t>
      </w:r>
      <w:r>
        <w:rPr>
          <w:spacing w:val="-9"/>
          <w:position w:val="2"/>
        </w:rPr>
        <w:t> </w:t>
      </w:r>
      <w:r>
        <w:rPr>
          <w:position w:val="2"/>
        </w:rPr>
        <w:t>on</w:t>
      </w:r>
      <w:r>
        <w:rPr>
          <w:spacing w:val="-8"/>
          <w:position w:val="2"/>
        </w:rPr>
        <w:t> </w:t>
      </w:r>
      <w:r>
        <w:rPr>
          <w:position w:val="2"/>
        </w:rPr>
        <w:t>the</w:t>
      </w:r>
      <w:r>
        <w:rPr>
          <w:spacing w:val="-10"/>
          <w:position w:val="2"/>
        </w:rPr>
        <w:t> </w:t>
      </w:r>
      <w:r>
        <w:rPr>
          <w:position w:val="2"/>
        </w:rPr>
        <w:t>financial</w:t>
      </w:r>
      <w:r>
        <w:rPr>
          <w:spacing w:val="-9"/>
          <w:position w:val="2"/>
        </w:rPr>
        <w:t> </w:t>
      </w:r>
      <w:r>
        <w:rPr>
          <w:position w:val="2"/>
        </w:rPr>
        <w:t>reporting</w:t>
      </w:r>
      <w:r>
        <w:rPr>
          <w:spacing w:val="-9"/>
          <w:position w:val="2"/>
        </w:rPr>
        <w:t> </w:t>
      </w:r>
      <w:r>
        <w:rPr>
          <w:position w:val="2"/>
        </w:rPr>
        <w:t>quality</w:t>
      </w:r>
      <w:r>
        <w:rPr>
          <w:spacing w:val="-9"/>
          <w:position w:val="2"/>
        </w:rPr>
        <w:t> </w:t>
      </w:r>
      <w:r>
        <w:rPr>
          <w:position w:val="2"/>
        </w:rPr>
        <w:t>measures</w:t>
      </w:r>
      <w:r>
        <w:rPr>
          <w:spacing w:val="-9"/>
          <w:position w:val="2"/>
        </w:rPr>
        <w:t> </w:t>
      </w:r>
      <w:r>
        <w:rPr>
          <w:position w:val="2"/>
        </w:rPr>
        <w:t>of </w:t>
      </w:r>
      <w:r>
        <w:rPr/>
        <w:t>firms listed on the Nigerian Stock Exchange (NSE)</w:t>
      </w:r>
    </w:p>
    <w:p>
      <w:pPr>
        <w:pStyle w:val="BodyText"/>
        <w:spacing w:line="477" w:lineRule="auto" w:before="3"/>
        <w:ind w:left="1480" w:right="1436" w:hanging="540"/>
      </w:pPr>
      <w:r>
        <w:rPr>
          <w:position w:val="2"/>
        </w:rPr>
        <w:t>H</w:t>
      </w:r>
      <w:r>
        <w:rPr>
          <w:sz w:val="16"/>
        </w:rPr>
        <w:t>02</w:t>
      </w:r>
      <w:r>
        <w:rPr>
          <w:position w:val="2"/>
        </w:rPr>
        <w:t>: Board size has no significant impact on the reporting quality of listed companies on the </w:t>
      </w:r>
      <w:r>
        <w:rPr/>
        <w:t>Nigerian Stock Exchange (NSE) in a post-IFRS regime.</w:t>
      </w:r>
    </w:p>
    <w:p>
      <w:pPr>
        <w:pStyle w:val="BodyText"/>
        <w:spacing w:line="477" w:lineRule="auto" w:before="3"/>
        <w:ind w:left="1480" w:right="1436" w:hanging="540"/>
      </w:pPr>
      <w:r>
        <w:rPr>
          <w:position w:val="2"/>
        </w:rPr>
        <w:t>H</w:t>
      </w:r>
      <w:r>
        <w:rPr>
          <w:sz w:val="16"/>
        </w:rPr>
        <w:t>03</w:t>
      </w:r>
      <w:r>
        <w:rPr>
          <w:position w:val="2"/>
        </w:rPr>
        <w:t>:</w:t>
      </w:r>
      <w:r>
        <w:rPr>
          <w:spacing w:val="-12"/>
          <w:position w:val="2"/>
        </w:rPr>
        <w:t> </w:t>
      </w:r>
      <w:r>
        <w:rPr>
          <w:position w:val="2"/>
        </w:rPr>
        <w:t>Board</w:t>
      </w:r>
      <w:r>
        <w:rPr>
          <w:spacing w:val="-13"/>
          <w:position w:val="2"/>
        </w:rPr>
        <w:t> </w:t>
      </w:r>
      <w:r>
        <w:rPr>
          <w:position w:val="2"/>
        </w:rPr>
        <w:t>independence</w:t>
      </w:r>
      <w:r>
        <w:rPr>
          <w:spacing w:val="-11"/>
          <w:position w:val="2"/>
        </w:rPr>
        <w:t> </w:t>
      </w:r>
      <w:r>
        <w:rPr>
          <w:position w:val="2"/>
        </w:rPr>
        <w:t>has</w:t>
      </w:r>
      <w:r>
        <w:rPr>
          <w:spacing w:val="-12"/>
          <w:position w:val="2"/>
        </w:rPr>
        <w:t> </w:t>
      </w:r>
      <w:r>
        <w:rPr>
          <w:position w:val="2"/>
        </w:rPr>
        <w:t>no</w:t>
      </w:r>
      <w:r>
        <w:rPr>
          <w:spacing w:val="-10"/>
          <w:position w:val="2"/>
        </w:rPr>
        <w:t> </w:t>
      </w:r>
      <w:r>
        <w:rPr>
          <w:position w:val="2"/>
        </w:rPr>
        <w:t>significant</w:t>
      </w:r>
      <w:r>
        <w:rPr>
          <w:spacing w:val="-12"/>
          <w:position w:val="2"/>
        </w:rPr>
        <w:t> </w:t>
      </w:r>
      <w:r>
        <w:rPr>
          <w:position w:val="2"/>
        </w:rPr>
        <w:t>impact</w:t>
      </w:r>
      <w:r>
        <w:rPr>
          <w:spacing w:val="-12"/>
          <w:position w:val="2"/>
        </w:rPr>
        <w:t> </w:t>
      </w:r>
      <w:r>
        <w:rPr>
          <w:position w:val="2"/>
        </w:rPr>
        <w:t>on</w:t>
      </w:r>
      <w:r>
        <w:rPr>
          <w:spacing w:val="-9"/>
          <w:position w:val="2"/>
        </w:rPr>
        <w:t> </w:t>
      </w:r>
      <w:r>
        <w:rPr>
          <w:position w:val="2"/>
        </w:rPr>
        <w:t>the</w:t>
      </w:r>
      <w:r>
        <w:rPr>
          <w:spacing w:val="-10"/>
          <w:position w:val="2"/>
        </w:rPr>
        <w:t> </w:t>
      </w:r>
      <w:r>
        <w:rPr>
          <w:position w:val="2"/>
        </w:rPr>
        <w:t>reporting</w:t>
      </w:r>
      <w:r>
        <w:rPr>
          <w:spacing w:val="-12"/>
          <w:position w:val="2"/>
        </w:rPr>
        <w:t> </w:t>
      </w:r>
      <w:r>
        <w:rPr>
          <w:position w:val="2"/>
        </w:rPr>
        <w:t>quality</w:t>
      </w:r>
      <w:r>
        <w:rPr>
          <w:spacing w:val="-9"/>
          <w:position w:val="2"/>
        </w:rPr>
        <w:t> </w:t>
      </w:r>
      <w:r>
        <w:rPr>
          <w:position w:val="2"/>
        </w:rPr>
        <w:t>of</w:t>
      </w:r>
      <w:r>
        <w:rPr>
          <w:spacing w:val="-13"/>
          <w:position w:val="2"/>
        </w:rPr>
        <w:t> </w:t>
      </w:r>
      <w:r>
        <w:rPr>
          <w:position w:val="2"/>
        </w:rPr>
        <w:t>listed</w:t>
      </w:r>
      <w:r>
        <w:rPr>
          <w:spacing w:val="-12"/>
          <w:position w:val="2"/>
        </w:rPr>
        <w:t> </w:t>
      </w:r>
      <w:r>
        <w:rPr>
          <w:position w:val="2"/>
        </w:rPr>
        <w:t>companies </w:t>
      </w:r>
      <w:r>
        <w:rPr/>
        <w:t>on the Nigerian Stock Exchange (NSE) in a post-IFRS regime.</w:t>
      </w:r>
    </w:p>
    <w:p>
      <w:pPr>
        <w:pStyle w:val="BodyText"/>
        <w:spacing w:line="477" w:lineRule="auto" w:before="3"/>
        <w:ind w:left="1480" w:right="1436" w:hanging="540"/>
      </w:pPr>
      <w:r>
        <w:rPr>
          <w:position w:val="2"/>
        </w:rPr>
        <w:t>H</w:t>
      </w:r>
      <w:r>
        <w:rPr>
          <w:sz w:val="16"/>
        </w:rPr>
        <w:t>04</w:t>
      </w:r>
      <w:r>
        <w:rPr>
          <w:position w:val="2"/>
        </w:rPr>
        <w:t>:</w:t>
      </w:r>
      <w:r>
        <w:rPr>
          <w:spacing w:val="35"/>
          <w:position w:val="2"/>
        </w:rPr>
        <w:t> </w:t>
      </w:r>
      <w:r>
        <w:rPr>
          <w:position w:val="2"/>
        </w:rPr>
        <w:t>Board</w:t>
      </w:r>
      <w:r>
        <w:rPr>
          <w:spacing w:val="36"/>
          <w:position w:val="2"/>
        </w:rPr>
        <w:t> </w:t>
      </w:r>
      <w:r>
        <w:rPr>
          <w:position w:val="2"/>
        </w:rPr>
        <w:t>financial</w:t>
      </w:r>
      <w:r>
        <w:rPr>
          <w:spacing w:val="37"/>
          <w:position w:val="2"/>
        </w:rPr>
        <w:t> </w:t>
      </w:r>
      <w:r>
        <w:rPr>
          <w:position w:val="2"/>
        </w:rPr>
        <w:t>expertise</w:t>
      </w:r>
      <w:r>
        <w:rPr>
          <w:spacing w:val="37"/>
          <w:position w:val="2"/>
        </w:rPr>
        <w:t> </w:t>
      </w:r>
      <w:r>
        <w:rPr>
          <w:position w:val="2"/>
        </w:rPr>
        <w:t>has</w:t>
      </w:r>
      <w:r>
        <w:rPr>
          <w:spacing w:val="37"/>
          <w:position w:val="2"/>
        </w:rPr>
        <w:t> </w:t>
      </w:r>
      <w:r>
        <w:rPr>
          <w:position w:val="2"/>
        </w:rPr>
        <w:t>no</w:t>
      </w:r>
      <w:r>
        <w:rPr>
          <w:spacing w:val="37"/>
          <w:position w:val="2"/>
        </w:rPr>
        <w:t> </w:t>
      </w:r>
      <w:r>
        <w:rPr>
          <w:position w:val="2"/>
        </w:rPr>
        <w:t>significant</w:t>
      </w:r>
      <w:r>
        <w:rPr>
          <w:spacing w:val="38"/>
          <w:position w:val="2"/>
        </w:rPr>
        <w:t> </w:t>
      </w:r>
      <w:r>
        <w:rPr>
          <w:position w:val="2"/>
        </w:rPr>
        <w:t>impact</w:t>
      </w:r>
      <w:r>
        <w:rPr>
          <w:spacing w:val="38"/>
          <w:position w:val="2"/>
        </w:rPr>
        <w:t> </w:t>
      </w:r>
      <w:r>
        <w:rPr>
          <w:position w:val="2"/>
        </w:rPr>
        <w:t>on</w:t>
      </w:r>
      <w:r>
        <w:rPr>
          <w:spacing w:val="40"/>
          <w:position w:val="2"/>
        </w:rPr>
        <w:t> </w:t>
      </w:r>
      <w:r>
        <w:rPr>
          <w:position w:val="2"/>
        </w:rPr>
        <w:t>the</w:t>
      </w:r>
      <w:r>
        <w:rPr>
          <w:spacing w:val="37"/>
          <w:position w:val="2"/>
        </w:rPr>
        <w:t> </w:t>
      </w:r>
      <w:r>
        <w:rPr>
          <w:position w:val="2"/>
        </w:rPr>
        <w:t>reporting</w:t>
      </w:r>
      <w:r>
        <w:rPr>
          <w:spacing w:val="37"/>
          <w:position w:val="2"/>
        </w:rPr>
        <w:t> </w:t>
      </w:r>
      <w:r>
        <w:rPr>
          <w:position w:val="2"/>
        </w:rPr>
        <w:t>quality</w:t>
      </w:r>
      <w:r>
        <w:rPr>
          <w:spacing w:val="38"/>
          <w:position w:val="2"/>
        </w:rPr>
        <w:t> </w:t>
      </w:r>
      <w:r>
        <w:rPr>
          <w:position w:val="2"/>
        </w:rPr>
        <w:t>of</w:t>
      </w:r>
      <w:r>
        <w:rPr>
          <w:spacing w:val="36"/>
          <w:position w:val="2"/>
        </w:rPr>
        <w:t> </w:t>
      </w:r>
      <w:r>
        <w:rPr>
          <w:position w:val="2"/>
        </w:rPr>
        <w:t>listed </w:t>
      </w:r>
      <w:r>
        <w:rPr/>
        <w:t>companies on the Nigerian Stock Exchange (NSE) in a post-IFRS regime.</w:t>
      </w:r>
    </w:p>
    <w:p>
      <w:pPr>
        <w:pStyle w:val="BodyText"/>
        <w:spacing w:line="477" w:lineRule="auto" w:before="3"/>
        <w:ind w:left="1480" w:right="1436" w:hanging="540"/>
      </w:pPr>
      <w:r>
        <w:rPr>
          <w:position w:val="2"/>
        </w:rPr>
        <w:t>H</w:t>
      </w:r>
      <w:r>
        <w:rPr>
          <w:sz w:val="16"/>
        </w:rPr>
        <w:t>05</w:t>
      </w:r>
      <w:r>
        <w:rPr>
          <w:position w:val="2"/>
        </w:rPr>
        <w:t>.</w:t>
      </w:r>
      <w:r>
        <w:rPr>
          <w:spacing w:val="40"/>
          <w:position w:val="2"/>
        </w:rPr>
        <w:t> </w:t>
      </w:r>
      <w:r>
        <w:rPr>
          <w:position w:val="2"/>
        </w:rPr>
        <w:t>Institutional</w:t>
      </w:r>
      <w:r>
        <w:rPr>
          <w:spacing w:val="40"/>
          <w:position w:val="2"/>
        </w:rPr>
        <w:t> </w:t>
      </w:r>
      <w:r>
        <w:rPr>
          <w:position w:val="2"/>
        </w:rPr>
        <w:t>ownership</w:t>
      </w:r>
      <w:r>
        <w:rPr>
          <w:spacing w:val="40"/>
          <w:position w:val="2"/>
        </w:rPr>
        <w:t> </w:t>
      </w:r>
      <w:r>
        <w:rPr>
          <w:position w:val="2"/>
        </w:rPr>
        <w:t>has</w:t>
      </w:r>
      <w:r>
        <w:rPr>
          <w:spacing w:val="40"/>
          <w:position w:val="2"/>
        </w:rPr>
        <w:t> </w:t>
      </w:r>
      <w:r>
        <w:rPr>
          <w:position w:val="2"/>
        </w:rPr>
        <w:t>no</w:t>
      </w:r>
      <w:r>
        <w:rPr>
          <w:spacing w:val="40"/>
          <w:position w:val="2"/>
        </w:rPr>
        <w:t> </w:t>
      </w:r>
      <w:r>
        <w:rPr>
          <w:position w:val="2"/>
        </w:rPr>
        <w:t>significant</w:t>
      </w:r>
      <w:r>
        <w:rPr>
          <w:spacing w:val="40"/>
          <w:position w:val="2"/>
        </w:rPr>
        <w:t> </w:t>
      </w:r>
      <w:r>
        <w:rPr>
          <w:position w:val="2"/>
        </w:rPr>
        <w:t>impact</w:t>
      </w:r>
      <w:r>
        <w:rPr>
          <w:spacing w:val="40"/>
          <w:position w:val="2"/>
        </w:rPr>
        <w:t> </w:t>
      </w:r>
      <w:r>
        <w:rPr>
          <w:position w:val="2"/>
        </w:rPr>
        <w:t>on</w:t>
      </w:r>
      <w:r>
        <w:rPr>
          <w:spacing w:val="40"/>
          <w:position w:val="2"/>
        </w:rPr>
        <w:t> </w:t>
      </w:r>
      <w:r>
        <w:rPr>
          <w:position w:val="2"/>
        </w:rPr>
        <w:t>the</w:t>
      </w:r>
      <w:r>
        <w:rPr>
          <w:spacing w:val="40"/>
          <w:position w:val="2"/>
        </w:rPr>
        <w:t> </w:t>
      </w:r>
      <w:r>
        <w:rPr>
          <w:position w:val="2"/>
        </w:rPr>
        <w:t>reporting</w:t>
      </w:r>
      <w:r>
        <w:rPr>
          <w:spacing w:val="40"/>
          <w:position w:val="2"/>
        </w:rPr>
        <w:t> </w:t>
      </w:r>
      <w:r>
        <w:rPr>
          <w:position w:val="2"/>
        </w:rPr>
        <w:t>quality</w:t>
      </w:r>
      <w:r>
        <w:rPr>
          <w:spacing w:val="40"/>
          <w:position w:val="2"/>
        </w:rPr>
        <w:t> </w:t>
      </w:r>
      <w:r>
        <w:rPr>
          <w:position w:val="2"/>
        </w:rPr>
        <w:t>of</w:t>
      </w:r>
      <w:r>
        <w:rPr>
          <w:spacing w:val="40"/>
          <w:position w:val="2"/>
        </w:rPr>
        <w:t> </w:t>
      </w:r>
      <w:r>
        <w:rPr>
          <w:position w:val="2"/>
        </w:rPr>
        <w:t>listed</w:t>
      </w:r>
      <w:r>
        <w:rPr>
          <w:spacing w:val="40"/>
          <w:position w:val="2"/>
        </w:rPr>
        <w:t> </w:t>
      </w:r>
      <w:r>
        <w:rPr/>
        <w:t>companies on the Nigerian Stock Exchange (NSE) in a post-IFRS regime.</w:t>
      </w:r>
    </w:p>
    <w:p>
      <w:pPr>
        <w:pStyle w:val="BodyText"/>
        <w:spacing w:line="480" w:lineRule="auto" w:before="3"/>
        <w:ind w:left="1480" w:right="1436" w:hanging="540"/>
      </w:pPr>
      <w:r>
        <w:rPr>
          <w:position w:val="2"/>
        </w:rPr>
        <w:t>H</w:t>
      </w:r>
      <w:r>
        <w:rPr>
          <w:sz w:val="16"/>
        </w:rPr>
        <w:t>06</w:t>
      </w:r>
      <w:r>
        <w:rPr>
          <w:position w:val="2"/>
        </w:rPr>
        <w:t>.</w:t>
      </w:r>
      <w:r>
        <w:rPr>
          <w:spacing w:val="40"/>
          <w:position w:val="2"/>
        </w:rPr>
        <w:t> </w:t>
      </w:r>
      <w:r>
        <w:rPr>
          <w:position w:val="2"/>
        </w:rPr>
        <w:t>Managerial</w:t>
      </w:r>
      <w:r>
        <w:rPr>
          <w:spacing w:val="40"/>
          <w:position w:val="2"/>
        </w:rPr>
        <w:t> </w:t>
      </w:r>
      <w:r>
        <w:rPr>
          <w:position w:val="2"/>
        </w:rPr>
        <w:t>ownership</w:t>
      </w:r>
      <w:r>
        <w:rPr>
          <w:spacing w:val="40"/>
          <w:position w:val="2"/>
        </w:rPr>
        <w:t> </w:t>
      </w:r>
      <w:r>
        <w:rPr>
          <w:position w:val="2"/>
        </w:rPr>
        <w:t>has</w:t>
      </w:r>
      <w:r>
        <w:rPr>
          <w:spacing w:val="40"/>
          <w:position w:val="2"/>
        </w:rPr>
        <w:t> </w:t>
      </w:r>
      <w:r>
        <w:rPr>
          <w:position w:val="2"/>
        </w:rPr>
        <w:t>no</w:t>
      </w:r>
      <w:r>
        <w:rPr>
          <w:spacing w:val="40"/>
          <w:position w:val="2"/>
        </w:rPr>
        <w:t> </w:t>
      </w:r>
      <w:r>
        <w:rPr>
          <w:position w:val="2"/>
        </w:rPr>
        <w:t>significant</w:t>
      </w:r>
      <w:r>
        <w:rPr>
          <w:spacing w:val="40"/>
          <w:position w:val="2"/>
        </w:rPr>
        <w:t> </w:t>
      </w:r>
      <w:r>
        <w:rPr>
          <w:position w:val="2"/>
        </w:rPr>
        <w:t>impact</w:t>
      </w:r>
      <w:r>
        <w:rPr>
          <w:spacing w:val="40"/>
          <w:position w:val="2"/>
        </w:rPr>
        <w:t> </w:t>
      </w:r>
      <w:r>
        <w:rPr>
          <w:position w:val="2"/>
        </w:rPr>
        <w:t>on</w:t>
      </w:r>
      <w:r>
        <w:rPr>
          <w:spacing w:val="66"/>
          <w:position w:val="2"/>
        </w:rPr>
        <w:t> </w:t>
      </w:r>
      <w:r>
        <w:rPr>
          <w:position w:val="2"/>
        </w:rPr>
        <w:t>the</w:t>
      </w:r>
      <w:r>
        <w:rPr>
          <w:spacing w:val="40"/>
          <w:position w:val="2"/>
        </w:rPr>
        <w:t> </w:t>
      </w:r>
      <w:r>
        <w:rPr>
          <w:position w:val="2"/>
        </w:rPr>
        <w:t>reporting</w:t>
      </w:r>
      <w:r>
        <w:rPr>
          <w:spacing w:val="40"/>
          <w:position w:val="2"/>
        </w:rPr>
        <w:t> </w:t>
      </w:r>
      <w:r>
        <w:rPr>
          <w:position w:val="2"/>
        </w:rPr>
        <w:t>quality</w:t>
      </w:r>
      <w:r>
        <w:rPr>
          <w:spacing w:val="40"/>
          <w:position w:val="2"/>
        </w:rPr>
        <w:t> </w:t>
      </w:r>
      <w:r>
        <w:rPr>
          <w:position w:val="2"/>
        </w:rPr>
        <w:t>of</w:t>
      </w:r>
      <w:r>
        <w:rPr>
          <w:spacing w:val="40"/>
          <w:position w:val="2"/>
        </w:rPr>
        <w:t> </w:t>
      </w:r>
      <w:r>
        <w:rPr>
          <w:position w:val="2"/>
        </w:rPr>
        <w:t>listed</w:t>
      </w:r>
      <w:r>
        <w:rPr>
          <w:spacing w:val="80"/>
          <w:position w:val="2"/>
        </w:rPr>
        <w:t> </w:t>
      </w:r>
      <w:r>
        <w:rPr/>
        <w:t>companies on the Nigerian Stock Exchange (NSE) in a post-IFRS regime.</w:t>
      </w:r>
    </w:p>
    <w:p>
      <w:pPr>
        <w:pStyle w:val="BodyText"/>
        <w:spacing w:line="477" w:lineRule="auto"/>
        <w:ind w:left="1480" w:right="1436" w:hanging="540"/>
      </w:pPr>
      <w:r>
        <w:rPr>
          <w:position w:val="2"/>
        </w:rPr>
        <w:t>H</w:t>
      </w:r>
      <w:r>
        <w:rPr>
          <w:sz w:val="16"/>
        </w:rPr>
        <w:t>07</w:t>
      </w:r>
      <w:r>
        <w:rPr>
          <w:position w:val="2"/>
        </w:rPr>
        <w:t>. Foreign ownership has no significant impact on the reporting quality of listed companies </w:t>
      </w:r>
      <w:r>
        <w:rPr/>
        <w:t>on the Nigerian Stock Exchange (NSE) in a post-IFRS regime.</w:t>
      </w:r>
    </w:p>
    <w:p>
      <w:pPr>
        <w:pStyle w:val="BodyText"/>
        <w:spacing w:line="477" w:lineRule="auto" w:before="1"/>
        <w:ind w:left="1480" w:right="1436" w:hanging="540"/>
      </w:pPr>
      <w:r>
        <w:rPr>
          <w:position w:val="2"/>
        </w:rPr>
        <w:t>H</w:t>
      </w:r>
      <w:r>
        <w:rPr>
          <w:sz w:val="16"/>
        </w:rPr>
        <w:t>08</w:t>
      </w:r>
      <w:r>
        <w:rPr>
          <w:position w:val="2"/>
        </w:rPr>
        <w:t>.</w:t>
      </w:r>
      <w:r>
        <w:rPr>
          <w:spacing w:val="40"/>
          <w:position w:val="2"/>
        </w:rPr>
        <w:t> </w:t>
      </w:r>
      <w:r>
        <w:rPr>
          <w:position w:val="2"/>
        </w:rPr>
        <w:t>Ownership</w:t>
      </w:r>
      <w:r>
        <w:rPr>
          <w:spacing w:val="39"/>
          <w:position w:val="2"/>
        </w:rPr>
        <w:t> </w:t>
      </w:r>
      <w:r>
        <w:rPr>
          <w:position w:val="2"/>
        </w:rPr>
        <w:t>concentration</w:t>
      </w:r>
      <w:r>
        <w:rPr>
          <w:spacing w:val="39"/>
          <w:position w:val="2"/>
        </w:rPr>
        <w:t> </w:t>
      </w:r>
      <w:r>
        <w:rPr>
          <w:position w:val="2"/>
        </w:rPr>
        <w:t>has</w:t>
      </w:r>
      <w:r>
        <w:rPr>
          <w:spacing w:val="40"/>
          <w:position w:val="2"/>
        </w:rPr>
        <w:t> </w:t>
      </w:r>
      <w:r>
        <w:rPr>
          <w:position w:val="2"/>
        </w:rPr>
        <w:t>no</w:t>
      </w:r>
      <w:r>
        <w:rPr>
          <w:spacing w:val="40"/>
          <w:position w:val="2"/>
        </w:rPr>
        <w:t> </w:t>
      </w:r>
      <w:r>
        <w:rPr>
          <w:position w:val="2"/>
        </w:rPr>
        <w:t>significant</w:t>
      </w:r>
      <w:r>
        <w:rPr>
          <w:spacing w:val="40"/>
          <w:position w:val="2"/>
        </w:rPr>
        <w:t> </w:t>
      </w:r>
      <w:r>
        <w:rPr>
          <w:position w:val="2"/>
        </w:rPr>
        <w:t>impact</w:t>
      </w:r>
      <w:r>
        <w:rPr>
          <w:spacing w:val="40"/>
          <w:position w:val="2"/>
        </w:rPr>
        <w:t> </w:t>
      </w:r>
      <w:r>
        <w:rPr>
          <w:position w:val="2"/>
        </w:rPr>
        <w:t>on</w:t>
      </w:r>
      <w:r>
        <w:rPr>
          <w:spacing w:val="40"/>
          <w:position w:val="2"/>
        </w:rPr>
        <w:t> </w:t>
      </w:r>
      <w:r>
        <w:rPr>
          <w:position w:val="2"/>
        </w:rPr>
        <w:t>the</w:t>
      </w:r>
      <w:r>
        <w:rPr>
          <w:spacing w:val="40"/>
          <w:position w:val="2"/>
        </w:rPr>
        <w:t> </w:t>
      </w:r>
      <w:r>
        <w:rPr>
          <w:position w:val="2"/>
        </w:rPr>
        <w:t>reporting</w:t>
      </w:r>
      <w:r>
        <w:rPr>
          <w:spacing w:val="40"/>
          <w:position w:val="2"/>
        </w:rPr>
        <w:t> </w:t>
      </w:r>
      <w:r>
        <w:rPr>
          <w:position w:val="2"/>
        </w:rPr>
        <w:t>quality</w:t>
      </w:r>
      <w:r>
        <w:rPr>
          <w:spacing w:val="40"/>
          <w:position w:val="2"/>
        </w:rPr>
        <w:t> </w:t>
      </w:r>
      <w:r>
        <w:rPr>
          <w:position w:val="2"/>
        </w:rPr>
        <w:t>of</w:t>
      </w:r>
      <w:r>
        <w:rPr>
          <w:spacing w:val="39"/>
          <w:position w:val="2"/>
        </w:rPr>
        <w:t> </w:t>
      </w:r>
      <w:r>
        <w:rPr>
          <w:position w:val="2"/>
        </w:rPr>
        <w:t>listed </w:t>
      </w:r>
      <w:r>
        <w:rPr/>
        <w:t>companies on the Nigerian Stock Exchange (NSE) in a post-IFRS regime.</w:t>
      </w:r>
    </w:p>
    <w:p>
      <w:pPr>
        <w:spacing w:after="0" w:line="477" w:lineRule="auto"/>
        <w:sectPr>
          <w:pgSz w:w="11910" w:h="16840"/>
          <w:pgMar w:header="0" w:footer="971" w:top="1360" w:bottom="1160" w:left="500" w:right="0"/>
        </w:sectPr>
      </w:pPr>
    </w:p>
    <w:p>
      <w:pPr>
        <w:pStyle w:val="Heading3"/>
        <w:numPr>
          <w:ilvl w:val="1"/>
          <w:numId w:val="19"/>
        </w:numPr>
        <w:tabs>
          <w:tab w:pos="1660" w:val="left" w:leader="none"/>
        </w:tabs>
        <w:spacing w:line="240" w:lineRule="auto" w:before="61" w:after="0"/>
        <w:ind w:left="1660" w:right="0" w:hanging="720"/>
        <w:jc w:val="left"/>
      </w:pPr>
      <w:bookmarkStart w:name="_TOC_250064" w:id="6"/>
      <w:r>
        <w:rPr/>
        <w:t>Significance</w:t>
      </w:r>
      <w:r>
        <w:rPr>
          <w:spacing w:val="-2"/>
        </w:rPr>
        <w:t> </w:t>
      </w:r>
      <w:r>
        <w:rPr/>
        <w:t>of</w:t>
      </w:r>
      <w:r>
        <w:rPr>
          <w:spacing w:val="-1"/>
        </w:rPr>
        <w:t> </w:t>
      </w:r>
      <w:r>
        <w:rPr/>
        <w:t>the</w:t>
      </w:r>
      <w:r>
        <w:rPr>
          <w:spacing w:val="-2"/>
        </w:rPr>
        <w:t> </w:t>
      </w:r>
      <w:bookmarkEnd w:id="6"/>
      <w:r>
        <w:rPr>
          <w:spacing w:val="-4"/>
        </w:rPr>
        <w:t>Study</w:t>
      </w:r>
    </w:p>
    <w:p>
      <w:pPr>
        <w:pStyle w:val="BodyText"/>
        <w:rPr>
          <w:b/>
        </w:rPr>
      </w:pPr>
    </w:p>
    <w:p>
      <w:pPr>
        <w:pStyle w:val="BodyText"/>
        <w:spacing w:line="480" w:lineRule="auto"/>
        <w:ind w:left="940" w:right="1433"/>
        <w:jc w:val="both"/>
      </w:pPr>
      <w:r>
        <w:rPr/>
        <w:drawing>
          <wp:anchor distT="0" distB="0" distL="0" distR="0" allowOverlap="1" layoutInCell="1" locked="0" behindDoc="1" simplePos="0" relativeHeight="477672960">
            <wp:simplePos x="0" y="0"/>
            <wp:positionH relativeFrom="page">
              <wp:posOffset>1095451</wp:posOffset>
            </wp:positionH>
            <wp:positionV relativeFrom="paragraph">
              <wp:posOffset>1461545</wp:posOffset>
            </wp:positionV>
            <wp:extent cx="5106847" cy="523811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9"/>
        </w:rPr>
        <w:t> </w:t>
      </w:r>
      <w:r>
        <w:rPr/>
        <w:t>study</w:t>
      </w:r>
      <w:r>
        <w:rPr>
          <w:spacing w:val="-8"/>
        </w:rPr>
        <w:t> </w:t>
      </w:r>
      <w:r>
        <w:rPr/>
        <w:t>would</w:t>
      </w:r>
      <w:r>
        <w:rPr>
          <w:spacing w:val="-8"/>
        </w:rPr>
        <w:t> </w:t>
      </w:r>
      <w:r>
        <w:rPr/>
        <w:t>be</w:t>
      </w:r>
      <w:r>
        <w:rPr>
          <w:spacing w:val="-9"/>
        </w:rPr>
        <w:t> </w:t>
      </w:r>
      <w:r>
        <w:rPr/>
        <w:t>significant</w:t>
      </w:r>
      <w:r>
        <w:rPr>
          <w:spacing w:val="-8"/>
        </w:rPr>
        <w:t> </w:t>
      </w:r>
      <w:r>
        <w:rPr/>
        <w:t>to</w:t>
      </w:r>
      <w:r>
        <w:rPr>
          <w:spacing w:val="-8"/>
        </w:rPr>
        <w:t> </w:t>
      </w:r>
      <w:r>
        <w:rPr/>
        <w:t>the</w:t>
      </w:r>
      <w:r>
        <w:rPr>
          <w:spacing w:val="-9"/>
        </w:rPr>
        <w:t> </w:t>
      </w:r>
      <w:r>
        <w:rPr/>
        <w:t>academic</w:t>
      </w:r>
      <w:r>
        <w:rPr>
          <w:spacing w:val="-9"/>
        </w:rPr>
        <w:t> </w:t>
      </w:r>
      <w:r>
        <w:rPr/>
        <w:t>community</w:t>
      </w:r>
      <w:r>
        <w:rPr>
          <w:spacing w:val="-8"/>
        </w:rPr>
        <w:t> </w:t>
      </w:r>
      <w:r>
        <w:rPr/>
        <w:t>and</w:t>
      </w:r>
      <w:r>
        <w:rPr>
          <w:spacing w:val="-8"/>
        </w:rPr>
        <w:t> </w:t>
      </w:r>
      <w:r>
        <w:rPr/>
        <w:t>the</w:t>
      </w:r>
      <w:r>
        <w:rPr>
          <w:spacing w:val="-9"/>
        </w:rPr>
        <w:t> </w:t>
      </w:r>
      <w:r>
        <w:rPr/>
        <w:t>results</w:t>
      </w:r>
      <w:r>
        <w:rPr>
          <w:spacing w:val="-8"/>
        </w:rPr>
        <w:t> </w:t>
      </w:r>
      <w:r>
        <w:rPr/>
        <w:t>relevant</w:t>
      </w:r>
      <w:r>
        <w:rPr>
          <w:spacing w:val="-8"/>
        </w:rPr>
        <w:t> </w:t>
      </w:r>
      <w:r>
        <w:rPr/>
        <w:t>to</w:t>
      </w:r>
      <w:r>
        <w:rPr>
          <w:spacing w:val="-8"/>
        </w:rPr>
        <w:t> </w:t>
      </w:r>
      <w:r>
        <w:rPr/>
        <w:t>different types of stakeholders. The significance of the study is that it adds to the growing body of literature on the analyses of post-IFRS adoption of the financial reporting quality conditioned on CG framework. Specifically, the methodological approach which the study toed provided an adequate and a comprehensive estimation of the discourse, a weakness which was hitherto not</w:t>
      </w:r>
      <w:r>
        <w:rPr>
          <w:spacing w:val="-8"/>
        </w:rPr>
        <w:t> </w:t>
      </w:r>
      <w:r>
        <w:rPr/>
        <w:t>been</w:t>
      </w:r>
      <w:r>
        <w:rPr>
          <w:spacing w:val="-8"/>
        </w:rPr>
        <w:t> </w:t>
      </w:r>
      <w:r>
        <w:rPr/>
        <w:t>addressed</w:t>
      </w:r>
      <w:r>
        <w:rPr>
          <w:spacing w:val="-9"/>
        </w:rPr>
        <w:t> </w:t>
      </w:r>
      <w:r>
        <w:rPr/>
        <w:t>in</w:t>
      </w:r>
      <w:r>
        <w:rPr>
          <w:spacing w:val="-8"/>
        </w:rPr>
        <w:t> </w:t>
      </w:r>
      <w:r>
        <w:rPr/>
        <w:t>prior</w:t>
      </w:r>
      <w:r>
        <w:rPr>
          <w:spacing w:val="-9"/>
        </w:rPr>
        <w:t> </w:t>
      </w:r>
      <w:r>
        <w:rPr/>
        <w:t>researches.</w:t>
      </w:r>
      <w:r>
        <w:rPr>
          <w:spacing w:val="-8"/>
        </w:rPr>
        <w:t> </w:t>
      </w:r>
      <w:r>
        <w:rPr/>
        <w:t>Again,</w:t>
      </w:r>
      <w:r>
        <w:rPr>
          <w:spacing w:val="-6"/>
        </w:rPr>
        <w:t> </w:t>
      </w:r>
      <w:r>
        <w:rPr/>
        <w:t>employing</w:t>
      </w:r>
      <w:r>
        <w:rPr>
          <w:spacing w:val="-8"/>
        </w:rPr>
        <w:t> </w:t>
      </w:r>
      <w:r>
        <w:rPr/>
        <w:t>multiple</w:t>
      </w:r>
      <w:r>
        <w:rPr>
          <w:spacing w:val="-9"/>
        </w:rPr>
        <w:t> </w:t>
      </w:r>
      <w:r>
        <w:rPr/>
        <w:t>measures</w:t>
      </w:r>
      <w:r>
        <w:rPr>
          <w:spacing w:val="-8"/>
        </w:rPr>
        <w:t> </w:t>
      </w:r>
      <w:r>
        <w:rPr/>
        <w:t>to</w:t>
      </w:r>
      <w:r>
        <w:rPr>
          <w:spacing w:val="-8"/>
        </w:rPr>
        <w:t> </w:t>
      </w:r>
      <w:r>
        <w:rPr/>
        <w:t>proxy</w:t>
      </w:r>
      <w:r>
        <w:rPr>
          <w:spacing w:val="-9"/>
        </w:rPr>
        <w:t> </w:t>
      </w:r>
      <w:r>
        <w:rPr/>
        <w:t>financial reporting quality is also a plus to academic literature. This is important because of the sensitivity of the results of the type of measures used, on one hand, and also because each measure had its own strength and weakness and therefore, a combination of several measures was more likely to provide a comprehensive research outcome. The IASB conceptual framework benchmark which the study used in operationalizing reporting quality is also an improvement in literature, unlike the traditional accrual based measures which most prior studies used. The</w:t>
      </w:r>
      <w:r>
        <w:rPr>
          <w:spacing w:val="-2"/>
        </w:rPr>
        <w:t> </w:t>
      </w:r>
      <w:r>
        <w:rPr/>
        <w:t>result of</w:t>
      </w:r>
      <w:r>
        <w:rPr>
          <w:spacing w:val="-1"/>
        </w:rPr>
        <w:t> </w:t>
      </w:r>
      <w:r>
        <w:rPr/>
        <w:t>this study would be</w:t>
      </w:r>
      <w:r>
        <w:rPr>
          <w:spacing w:val="-1"/>
        </w:rPr>
        <w:t> </w:t>
      </w:r>
      <w:r>
        <w:rPr/>
        <w:t>relevant to different types</w:t>
      </w:r>
      <w:r>
        <w:rPr>
          <w:spacing w:val="-1"/>
        </w:rPr>
        <w:t> </w:t>
      </w:r>
      <w:r>
        <w:rPr/>
        <w:t>of stakeholders. The study provided elaborate and current information to policy makers such as the Security and Exchange Commission (SEC) and managers of public companies in Nigeria on CG as determinants of reporting quality in post-IFRS regime. Second, it would help explain the impact of CG on the reporting quality of firms listed on the Nigerian Stock Exchange from a different</w:t>
      </w:r>
      <w:r>
        <w:rPr>
          <w:spacing w:val="-1"/>
        </w:rPr>
        <w:t> </w:t>
      </w:r>
      <w:r>
        <w:rPr/>
        <w:t>institutional</w:t>
      </w:r>
      <w:r>
        <w:rPr>
          <w:spacing w:val="-1"/>
        </w:rPr>
        <w:t> </w:t>
      </w:r>
      <w:r>
        <w:rPr/>
        <w:t>and regulatory</w:t>
      </w:r>
      <w:r>
        <w:rPr>
          <w:spacing w:val="-1"/>
        </w:rPr>
        <w:t> </w:t>
      </w:r>
      <w:r>
        <w:rPr/>
        <w:t>perspective from</w:t>
      </w:r>
      <w:r>
        <w:rPr>
          <w:spacing w:val="-1"/>
        </w:rPr>
        <w:t> </w:t>
      </w:r>
      <w:r>
        <w:rPr/>
        <w:t>prior</w:t>
      </w:r>
      <w:r>
        <w:rPr>
          <w:spacing w:val="-2"/>
        </w:rPr>
        <w:t> </w:t>
      </w:r>
      <w:r>
        <w:rPr/>
        <w:t>studies.</w:t>
      </w:r>
      <w:r>
        <w:rPr>
          <w:spacing w:val="-1"/>
        </w:rPr>
        <w:t> </w:t>
      </w:r>
      <w:r>
        <w:rPr/>
        <w:t>This</w:t>
      </w:r>
      <w:r>
        <w:rPr>
          <w:spacing w:val="-1"/>
        </w:rPr>
        <w:t> </w:t>
      </w:r>
      <w:r>
        <w:rPr/>
        <w:t>is</w:t>
      </w:r>
      <w:r>
        <w:rPr>
          <w:spacing w:val="-1"/>
        </w:rPr>
        <w:t> </w:t>
      </w:r>
      <w:r>
        <w:rPr/>
        <w:t>important</w:t>
      </w:r>
      <w:r>
        <w:rPr>
          <w:spacing w:val="-1"/>
        </w:rPr>
        <w:t> </w:t>
      </w:r>
      <w:r>
        <w:rPr/>
        <w:t>because relevant laws and regulatory agencies in Sub-Saharan Africa seem weak, and have high information asymmetry and market frictions. Therefore, factors that could shape firms’ reporting quality such as CG would less likely be effective in countries with such a weak regulatory framework. Undertaking this study in Nigeria offered a further richness to accounting literature by examining CG of firms which are often impacted by the institutional settings where these corporate firm are conceived.</w:t>
      </w:r>
    </w:p>
    <w:p>
      <w:pPr>
        <w:spacing w:after="0" w:line="480" w:lineRule="auto"/>
        <w:jc w:val="both"/>
        <w:sectPr>
          <w:pgSz w:w="11910" w:h="16840"/>
          <w:pgMar w:header="0" w:footer="971" w:top="1360" w:bottom="1160" w:left="500" w:right="0"/>
        </w:sectPr>
      </w:pPr>
    </w:p>
    <w:p>
      <w:pPr>
        <w:pStyle w:val="Heading3"/>
        <w:numPr>
          <w:ilvl w:val="1"/>
          <w:numId w:val="19"/>
        </w:numPr>
        <w:tabs>
          <w:tab w:pos="1659" w:val="left" w:leader="none"/>
        </w:tabs>
        <w:spacing w:line="240" w:lineRule="auto" w:before="73" w:after="0"/>
        <w:ind w:left="1659" w:right="0" w:hanging="719"/>
        <w:jc w:val="both"/>
      </w:pPr>
      <w:bookmarkStart w:name="_TOC_250063" w:id="7"/>
      <w:r>
        <w:rPr/>
        <w:t>Scope</w:t>
      </w:r>
      <w:r>
        <w:rPr>
          <w:spacing w:val="-2"/>
        </w:rPr>
        <w:t> </w:t>
      </w:r>
      <w:r>
        <w:rPr/>
        <w:t>of</w:t>
      </w:r>
      <w:r>
        <w:rPr>
          <w:spacing w:val="-1"/>
        </w:rPr>
        <w:t> </w:t>
      </w:r>
      <w:r>
        <w:rPr/>
        <w:t>the</w:t>
      </w:r>
      <w:bookmarkEnd w:id="7"/>
      <w:r>
        <w:rPr>
          <w:spacing w:val="-2"/>
        </w:rPr>
        <w:t> Study</w:t>
      </w:r>
    </w:p>
    <w:p>
      <w:pPr>
        <w:pStyle w:val="BodyText"/>
        <w:rPr>
          <w:b/>
        </w:rPr>
      </w:pPr>
    </w:p>
    <w:p>
      <w:pPr>
        <w:pStyle w:val="BodyText"/>
        <w:spacing w:line="480" w:lineRule="auto"/>
        <w:ind w:left="940" w:right="1435"/>
        <w:jc w:val="both"/>
      </w:pPr>
      <w:r>
        <w:rPr/>
        <w:drawing>
          <wp:anchor distT="0" distB="0" distL="0" distR="0" allowOverlap="1" layoutInCell="1" locked="0" behindDoc="1" simplePos="0" relativeHeight="477673472">
            <wp:simplePos x="0" y="0"/>
            <wp:positionH relativeFrom="page">
              <wp:posOffset>1095451</wp:posOffset>
            </wp:positionH>
            <wp:positionV relativeFrom="paragraph">
              <wp:posOffset>1111025</wp:posOffset>
            </wp:positionV>
            <wp:extent cx="5106847" cy="5238115"/>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5"/>
        </w:rPr>
        <w:t> </w:t>
      </w:r>
      <w:r>
        <w:rPr/>
        <w:t>study</w:t>
      </w:r>
      <w:r>
        <w:rPr>
          <w:spacing w:val="-3"/>
        </w:rPr>
        <w:t> </w:t>
      </w:r>
      <w:r>
        <w:rPr/>
        <w:t>investigated</w:t>
      </w:r>
      <w:r>
        <w:rPr>
          <w:spacing w:val="-3"/>
        </w:rPr>
        <w:t> </w:t>
      </w:r>
      <w:r>
        <w:rPr/>
        <w:t>board</w:t>
      </w:r>
      <w:r>
        <w:rPr>
          <w:spacing w:val="-3"/>
        </w:rPr>
        <w:t> </w:t>
      </w:r>
      <w:r>
        <w:rPr/>
        <w:t>composition,</w:t>
      </w:r>
      <w:r>
        <w:rPr>
          <w:spacing w:val="-3"/>
        </w:rPr>
        <w:t> </w:t>
      </w:r>
      <w:r>
        <w:rPr/>
        <w:t>ownership</w:t>
      </w:r>
      <w:r>
        <w:rPr>
          <w:spacing w:val="-3"/>
        </w:rPr>
        <w:t> </w:t>
      </w:r>
      <w:r>
        <w:rPr/>
        <w:t>structure</w:t>
      </w:r>
      <w:r>
        <w:rPr>
          <w:spacing w:val="-3"/>
        </w:rPr>
        <w:t> </w:t>
      </w:r>
      <w:r>
        <w:rPr/>
        <w:t>and</w:t>
      </w:r>
      <w:r>
        <w:rPr>
          <w:spacing w:val="-3"/>
        </w:rPr>
        <w:t> </w:t>
      </w:r>
      <w:r>
        <w:rPr/>
        <w:t>financial</w:t>
      </w:r>
      <w:r>
        <w:rPr>
          <w:spacing w:val="-3"/>
        </w:rPr>
        <w:t> </w:t>
      </w:r>
      <w:r>
        <w:rPr/>
        <w:t>reporting</w:t>
      </w:r>
      <w:r>
        <w:rPr>
          <w:spacing w:val="-3"/>
        </w:rPr>
        <w:t> </w:t>
      </w:r>
      <w:r>
        <w:rPr/>
        <w:t>quality in a post-IFRS adoption using the DD estimation technique. The population of the study consisted of the entire thirteen (13) Deposit Money Banks (DMBs) listed on the NSE within the period 2005 to 2019. The choice of the banking sector was that DMBs were the early adopters of IFRS and the time frame of fifteen (15) years was to enable the researcher to undertake a comparison between pre and post IFRS adoption periods.</w:t>
      </w:r>
      <w:r>
        <w:rPr>
          <w:spacing w:val="40"/>
        </w:rPr>
        <w:t> </w:t>
      </w:r>
      <w:r>
        <w:rPr/>
        <w:t>The study consisted of three samples: pre IFRS adoption (2005-2011) otherwise called the control group; the post- IFRS adoption regime (2013-2019) otherwise called the treatment group; and the combined sample (2005-2019). The year 2012 which was the official time of IFRS adoption was consequently excluded from the samples. The variables for the study covered the dependent variable (financial reporting quality) and the key independent variables which were board attributes (BATT) and ownership structure (OWSTRUC). Board attributes were further decomposed into board size, board independence and financial expertise while ownership structure included institutional, managerial, foreign and ownership concentration. In order to forestall a variable omission bias, the study controlled for selected firm attributes (FAT) variables which were firm size, firm age and financial leverage.</w:t>
      </w:r>
    </w:p>
    <w:p>
      <w:pPr>
        <w:pStyle w:val="Heading3"/>
        <w:numPr>
          <w:ilvl w:val="1"/>
          <w:numId w:val="19"/>
        </w:numPr>
        <w:tabs>
          <w:tab w:pos="1659" w:val="left" w:leader="none"/>
        </w:tabs>
        <w:spacing w:line="240" w:lineRule="auto" w:before="2" w:after="0"/>
        <w:ind w:left="1659" w:right="0" w:hanging="719"/>
        <w:jc w:val="both"/>
      </w:pPr>
      <w:bookmarkStart w:name="_TOC_250062" w:id="8"/>
      <w:r>
        <w:rPr/>
        <w:t>Limitation of</w:t>
      </w:r>
      <w:r>
        <w:rPr>
          <w:spacing w:val="-1"/>
        </w:rPr>
        <w:t> </w:t>
      </w:r>
      <w:r>
        <w:rPr/>
        <w:t>the</w:t>
      </w:r>
      <w:r>
        <w:rPr>
          <w:spacing w:val="-1"/>
        </w:rPr>
        <w:t> </w:t>
      </w:r>
      <w:bookmarkEnd w:id="8"/>
      <w:r>
        <w:rPr>
          <w:spacing w:val="-2"/>
        </w:rPr>
        <w:t>Study</w:t>
      </w:r>
    </w:p>
    <w:p>
      <w:pPr>
        <w:pStyle w:val="BodyText"/>
        <w:rPr>
          <w:b/>
        </w:rPr>
      </w:pPr>
    </w:p>
    <w:p>
      <w:pPr>
        <w:pStyle w:val="BodyText"/>
        <w:spacing w:line="480" w:lineRule="auto"/>
        <w:ind w:left="940" w:right="1437"/>
        <w:jc w:val="both"/>
      </w:pPr>
      <w:r>
        <w:rPr/>
        <w:t>The study could not extend the measure of financial reporting quality to the Earnings Responses Coefficient (ERC) due to the inability to measure the variable. Using this measure would have shared light on the perceived weakness associated with the conventional value relevance models. Therefore, attempts should be made in a future study to resolve this gap in </w:t>
      </w:r>
      <w:r>
        <w:rPr>
          <w:spacing w:val="-2"/>
        </w:rPr>
        <w:t>literature.</w:t>
      </w:r>
    </w:p>
    <w:p>
      <w:pPr>
        <w:spacing w:after="0" w:line="480" w:lineRule="auto"/>
        <w:jc w:val="both"/>
        <w:sectPr>
          <w:pgSz w:w="11910" w:h="16840"/>
          <w:pgMar w:header="0" w:footer="971" w:top="1900" w:bottom="1160" w:left="500" w:right="0"/>
        </w:sectPr>
      </w:pPr>
    </w:p>
    <w:p>
      <w:pPr>
        <w:pStyle w:val="Heading3"/>
        <w:numPr>
          <w:ilvl w:val="1"/>
          <w:numId w:val="19"/>
        </w:numPr>
        <w:tabs>
          <w:tab w:pos="1660" w:val="left" w:leader="none"/>
        </w:tabs>
        <w:spacing w:line="240" w:lineRule="auto" w:before="61" w:after="0"/>
        <w:ind w:left="1660" w:right="0" w:hanging="720"/>
        <w:jc w:val="left"/>
      </w:pPr>
      <w:bookmarkStart w:name="_TOC_250061" w:id="9"/>
      <w:r>
        <w:rPr/>
        <w:t>Definition</w:t>
      </w:r>
      <w:r>
        <w:rPr>
          <w:spacing w:val="-2"/>
        </w:rPr>
        <w:t> </w:t>
      </w:r>
      <w:r>
        <w:rPr/>
        <w:t>of</w:t>
      </w:r>
      <w:r>
        <w:rPr>
          <w:spacing w:val="-1"/>
        </w:rPr>
        <w:t> </w:t>
      </w:r>
      <w:r>
        <w:rPr/>
        <w:t>Operational</w:t>
      </w:r>
      <w:r>
        <w:rPr>
          <w:spacing w:val="-1"/>
        </w:rPr>
        <w:t> </w:t>
      </w:r>
      <w:bookmarkEnd w:id="9"/>
      <w:r>
        <w:rPr>
          <w:spacing w:val="-4"/>
        </w:rPr>
        <w:t>Terms</w:t>
      </w:r>
    </w:p>
    <w:p>
      <w:pPr>
        <w:pStyle w:val="BodyText"/>
        <w:rPr>
          <w:b/>
        </w:rPr>
      </w:pPr>
    </w:p>
    <w:p>
      <w:pPr>
        <w:pStyle w:val="BodyText"/>
        <w:spacing w:line="480" w:lineRule="auto"/>
        <w:ind w:left="940" w:right="1436"/>
        <w:jc w:val="both"/>
      </w:pPr>
      <w:r>
        <w:rPr/>
        <w:drawing>
          <wp:anchor distT="0" distB="0" distL="0" distR="0" allowOverlap="1" layoutInCell="1" locked="0" behindDoc="1" simplePos="0" relativeHeight="477673984">
            <wp:simplePos x="0" y="0"/>
            <wp:positionH relativeFrom="page">
              <wp:posOffset>1095451</wp:posOffset>
            </wp:positionH>
            <wp:positionV relativeFrom="paragraph">
              <wp:posOffset>1461545</wp:posOffset>
            </wp:positionV>
            <wp:extent cx="5106847" cy="523811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5" cstate="print"/>
                    <a:stretch>
                      <a:fillRect/>
                    </a:stretch>
                  </pic:blipFill>
                  <pic:spPr>
                    <a:xfrm>
                      <a:off x="0" y="0"/>
                      <a:ext cx="5106847" cy="5238115"/>
                    </a:xfrm>
                    <a:prstGeom prst="rect">
                      <a:avLst/>
                    </a:prstGeom>
                  </pic:spPr>
                </pic:pic>
              </a:graphicData>
            </a:graphic>
          </wp:anchor>
        </w:drawing>
      </w:r>
      <w:r>
        <w:rPr>
          <w:b/>
        </w:rPr>
        <w:t>Financial Reporting Quality: </w:t>
      </w:r>
      <w:r>
        <w:rPr/>
        <w:t>Financial reporting quality represents the extent to which the financial statement information reflects the underlying economic situation. It is the precision with which annual reports convey information about the firm’s operations in order to inform equity investors and other users. A financial report is relevant if it is capable of influencing decision makers by helping them to form predictions about the outcomes of past, present and future events or confirm or correct prior expectations. High quality financial reporting is achieved by full disclosure and a higher level of transparency and it regards corporate transparency as the widespread availability of relevant and reliable information about the periodic performance that is free from errors and misstatement.</w:t>
      </w:r>
    </w:p>
    <w:p>
      <w:pPr>
        <w:pStyle w:val="BodyText"/>
        <w:spacing w:line="480" w:lineRule="auto" w:before="1"/>
        <w:ind w:left="940" w:right="1436"/>
        <w:jc w:val="both"/>
      </w:pPr>
      <w:r>
        <w:rPr>
          <w:b/>
        </w:rPr>
        <w:t>Corporate</w:t>
      </w:r>
      <w:r>
        <w:rPr>
          <w:b/>
          <w:spacing w:val="-3"/>
        </w:rPr>
        <w:t> </w:t>
      </w:r>
      <w:r>
        <w:rPr>
          <w:b/>
        </w:rPr>
        <w:t>Governance</w:t>
      </w:r>
      <w:r>
        <w:rPr/>
        <w:t>: Corporate</w:t>
      </w:r>
      <w:r>
        <w:rPr>
          <w:spacing w:val="-2"/>
        </w:rPr>
        <w:t> </w:t>
      </w:r>
      <w:r>
        <w:rPr/>
        <w:t>governance</w:t>
      </w:r>
      <w:r>
        <w:rPr>
          <w:spacing w:val="-2"/>
        </w:rPr>
        <w:t> </w:t>
      </w:r>
      <w:r>
        <w:rPr/>
        <w:t>is the</w:t>
      </w:r>
      <w:r>
        <w:rPr>
          <w:spacing w:val="-2"/>
        </w:rPr>
        <w:t> </w:t>
      </w:r>
      <w:r>
        <w:rPr/>
        <w:t>system</w:t>
      </w:r>
      <w:r>
        <w:rPr>
          <w:spacing w:val="-1"/>
        </w:rPr>
        <w:t> </w:t>
      </w:r>
      <w:r>
        <w:rPr/>
        <w:t>by</w:t>
      </w:r>
      <w:r>
        <w:rPr>
          <w:spacing w:val="-1"/>
        </w:rPr>
        <w:t> </w:t>
      </w:r>
      <w:r>
        <w:rPr/>
        <w:t>which</w:t>
      </w:r>
      <w:r>
        <w:rPr>
          <w:spacing w:val="-1"/>
        </w:rPr>
        <w:t> </w:t>
      </w:r>
      <w:r>
        <w:rPr/>
        <w:t>business</w:t>
      </w:r>
      <w:r>
        <w:rPr>
          <w:spacing w:val="-1"/>
        </w:rPr>
        <w:t> </w:t>
      </w:r>
      <w:r>
        <w:rPr/>
        <w:t>corporations are directed and controlled. It is a set of rule-based processes of laws, policies and accountability</w:t>
      </w:r>
      <w:r>
        <w:rPr>
          <w:spacing w:val="-5"/>
        </w:rPr>
        <w:t> </w:t>
      </w:r>
      <w:r>
        <w:rPr/>
        <w:t>that</w:t>
      </w:r>
      <w:r>
        <w:rPr>
          <w:spacing w:val="-6"/>
        </w:rPr>
        <w:t> </w:t>
      </w:r>
      <w:r>
        <w:rPr/>
        <w:t>governs</w:t>
      </w:r>
      <w:r>
        <w:rPr>
          <w:spacing w:val="-6"/>
        </w:rPr>
        <w:t> </w:t>
      </w:r>
      <w:r>
        <w:rPr/>
        <w:t>the</w:t>
      </w:r>
      <w:r>
        <w:rPr>
          <w:spacing w:val="-6"/>
        </w:rPr>
        <w:t> </w:t>
      </w:r>
      <w:r>
        <w:rPr/>
        <w:t>relationship</w:t>
      </w:r>
      <w:r>
        <w:rPr>
          <w:spacing w:val="-5"/>
        </w:rPr>
        <w:t> </w:t>
      </w:r>
      <w:r>
        <w:rPr/>
        <w:t>between</w:t>
      </w:r>
      <w:r>
        <w:rPr>
          <w:spacing w:val="-6"/>
        </w:rPr>
        <w:t> </w:t>
      </w:r>
      <w:r>
        <w:rPr/>
        <w:t>the</w:t>
      </w:r>
      <w:r>
        <w:rPr>
          <w:spacing w:val="-6"/>
        </w:rPr>
        <w:t> </w:t>
      </w:r>
      <w:r>
        <w:rPr/>
        <w:t>investors</w:t>
      </w:r>
      <w:r>
        <w:rPr>
          <w:spacing w:val="-6"/>
        </w:rPr>
        <w:t> </w:t>
      </w:r>
      <w:r>
        <w:rPr/>
        <w:t>(stock</w:t>
      </w:r>
      <w:r>
        <w:rPr>
          <w:spacing w:val="-2"/>
        </w:rPr>
        <w:t> </w:t>
      </w:r>
      <w:r>
        <w:rPr/>
        <w:t>holder</w:t>
      </w:r>
      <w:r>
        <w:rPr>
          <w:spacing w:val="-7"/>
        </w:rPr>
        <w:t> </w:t>
      </w:r>
      <w:r>
        <w:rPr/>
        <w:t>of</w:t>
      </w:r>
      <w:r>
        <w:rPr>
          <w:spacing w:val="-7"/>
        </w:rPr>
        <w:t> </w:t>
      </w:r>
      <w:r>
        <w:rPr/>
        <w:t>a</w:t>
      </w:r>
      <w:r>
        <w:rPr>
          <w:spacing w:val="-5"/>
        </w:rPr>
        <w:t> </w:t>
      </w:r>
      <w:r>
        <w:rPr/>
        <w:t>company) and the investee (management). Corporate governance is a set of mechanism through which outside investors protect themselves against expropriation by insiders, i.e., the managers and controlling shareholders. It is intended to address what is known as agency problem between shareholders and managers or between majority shareholders and minority shareholders.</w:t>
      </w:r>
    </w:p>
    <w:p>
      <w:pPr>
        <w:pStyle w:val="BodyText"/>
        <w:spacing w:line="480" w:lineRule="auto" w:before="200"/>
        <w:ind w:left="940" w:right="1436"/>
        <w:jc w:val="both"/>
      </w:pPr>
      <w:r>
        <w:rPr>
          <w:b/>
        </w:rPr>
        <w:t>Accruals: </w:t>
      </w:r>
      <w:r>
        <w:rPr/>
        <w:t>Accruals are the differences between net income and cash flows. For instance, in a credit</w:t>
      </w:r>
      <w:r>
        <w:rPr>
          <w:spacing w:val="-3"/>
        </w:rPr>
        <w:t> </w:t>
      </w:r>
      <w:r>
        <w:rPr/>
        <w:t>transaction,</w:t>
      </w:r>
      <w:r>
        <w:rPr>
          <w:spacing w:val="-3"/>
        </w:rPr>
        <w:t> </w:t>
      </w:r>
      <w:r>
        <w:rPr/>
        <w:t>the</w:t>
      </w:r>
      <w:r>
        <w:rPr>
          <w:spacing w:val="-2"/>
        </w:rPr>
        <w:t> </w:t>
      </w:r>
      <w:r>
        <w:rPr/>
        <w:t>sales</w:t>
      </w:r>
      <w:r>
        <w:rPr>
          <w:spacing w:val="-3"/>
        </w:rPr>
        <w:t> </w:t>
      </w:r>
      <w:r>
        <w:rPr/>
        <w:t>create an</w:t>
      </w:r>
      <w:r>
        <w:rPr>
          <w:spacing w:val="-1"/>
        </w:rPr>
        <w:t> </w:t>
      </w:r>
      <w:r>
        <w:rPr/>
        <w:t>accrual</w:t>
      </w:r>
      <w:r>
        <w:rPr>
          <w:spacing w:val="-3"/>
        </w:rPr>
        <w:t> </w:t>
      </w:r>
      <w:r>
        <w:rPr/>
        <w:t>of</w:t>
      </w:r>
      <w:r>
        <w:rPr>
          <w:spacing w:val="-3"/>
        </w:rPr>
        <w:t> </w:t>
      </w:r>
      <w:r>
        <w:rPr/>
        <w:t>revenue.</w:t>
      </w:r>
      <w:r>
        <w:rPr>
          <w:spacing w:val="-3"/>
        </w:rPr>
        <w:t> </w:t>
      </w:r>
      <w:r>
        <w:rPr/>
        <w:t>Accruals</w:t>
      </w:r>
      <w:r>
        <w:rPr>
          <w:spacing w:val="-3"/>
        </w:rPr>
        <w:t> </w:t>
      </w:r>
      <w:r>
        <w:rPr/>
        <w:t>are</w:t>
      </w:r>
      <w:r>
        <w:rPr>
          <w:spacing w:val="-4"/>
        </w:rPr>
        <w:t> </w:t>
      </w:r>
      <w:r>
        <w:rPr/>
        <w:t>the</w:t>
      </w:r>
      <w:r>
        <w:rPr>
          <w:spacing w:val="-4"/>
        </w:rPr>
        <w:t> </w:t>
      </w:r>
      <w:r>
        <w:rPr/>
        <w:t>differences</w:t>
      </w:r>
      <w:r>
        <w:rPr>
          <w:spacing w:val="-1"/>
        </w:rPr>
        <w:t> </w:t>
      </w:r>
      <w:r>
        <w:rPr/>
        <w:t>between operating cash flows and income before extra-ordinary items, and this makes it possible to manipulate earnings. They are the part of revenue and expenses that do not imply collection and</w:t>
      </w:r>
      <w:r>
        <w:rPr>
          <w:spacing w:val="-10"/>
        </w:rPr>
        <w:t> </w:t>
      </w:r>
      <w:r>
        <w:rPr/>
        <w:t>payments,</w:t>
      </w:r>
      <w:r>
        <w:rPr>
          <w:spacing w:val="-10"/>
        </w:rPr>
        <w:t> </w:t>
      </w:r>
      <w:r>
        <w:rPr/>
        <w:t>and</w:t>
      </w:r>
      <w:r>
        <w:rPr>
          <w:spacing w:val="-8"/>
        </w:rPr>
        <w:t> </w:t>
      </w:r>
      <w:r>
        <w:rPr/>
        <w:t>are</w:t>
      </w:r>
      <w:r>
        <w:rPr>
          <w:spacing w:val="-11"/>
        </w:rPr>
        <w:t> </w:t>
      </w:r>
      <w:r>
        <w:rPr/>
        <w:t>indirectly</w:t>
      </w:r>
      <w:r>
        <w:rPr>
          <w:spacing w:val="-10"/>
        </w:rPr>
        <w:t> </w:t>
      </w:r>
      <w:r>
        <w:rPr/>
        <w:t>calculated</w:t>
      </w:r>
      <w:r>
        <w:rPr>
          <w:spacing w:val="-10"/>
        </w:rPr>
        <w:t> </w:t>
      </w:r>
      <w:r>
        <w:rPr/>
        <w:t>as</w:t>
      </w:r>
      <w:r>
        <w:rPr>
          <w:spacing w:val="-10"/>
        </w:rPr>
        <w:t> </w:t>
      </w:r>
      <w:r>
        <w:rPr/>
        <w:t>the</w:t>
      </w:r>
      <w:r>
        <w:rPr>
          <w:spacing w:val="-9"/>
        </w:rPr>
        <w:t> </w:t>
      </w:r>
      <w:r>
        <w:rPr/>
        <w:t>difference</w:t>
      </w:r>
      <w:r>
        <w:rPr>
          <w:spacing w:val="-11"/>
        </w:rPr>
        <w:t> </w:t>
      </w:r>
      <w:r>
        <w:rPr/>
        <w:t>between</w:t>
      </w:r>
      <w:r>
        <w:rPr>
          <w:spacing w:val="-10"/>
        </w:rPr>
        <w:t> </w:t>
      </w:r>
      <w:r>
        <w:rPr/>
        <w:t>profit</w:t>
      </w:r>
      <w:r>
        <w:rPr>
          <w:spacing w:val="-8"/>
        </w:rPr>
        <w:t> </w:t>
      </w:r>
      <w:r>
        <w:rPr/>
        <w:t>and</w:t>
      </w:r>
      <w:r>
        <w:rPr>
          <w:spacing w:val="-10"/>
        </w:rPr>
        <w:t> </w:t>
      </w:r>
      <w:r>
        <w:rPr/>
        <w:t>operating</w:t>
      </w:r>
      <w:r>
        <w:rPr>
          <w:spacing w:val="-10"/>
        </w:rPr>
        <w:t> </w:t>
      </w:r>
      <w:r>
        <w:rPr/>
        <w:t>cash flows. When companies engage in earnings management, i.e., the selection of accounting policies</w:t>
      </w:r>
      <w:r>
        <w:rPr>
          <w:spacing w:val="-10"/>
        </w:rPr>
        <w:t> </w:t>
      </w:r>
      <w:r>
        <w:rPr/>
        <w:t>to</w:t>
      </w:r>
      <w:r>
        <w:rPr>
          <w:spacing w:val="-9"/>
        </w:rPr>
        <w:t> </w:t>
      </w:r>
      <w:r>
        <w:rPr/>
        <w:t>achieve</w:t>
      </w:r>
      <w:r>
        <w:rPr>
          <w:spacing w:val="-9"/>
        </w:rPr>
        <w:t> </w:t>
      </w:r>
      <w:r>
        <w:rPr/>
        <w:t>a</w:t>
      </w:r>
      <w:r>
        <w:rPr>
          <w:spacing w:val="-11"/>
        </w:rPr>
        <w:t> </w:t>
      </w:r>
      <w:r>
        <w:rPr/>
        <w:t>desired</w:t>
      </w:r>
      <w:r>
        <w:rPr>
          <w:spacing w:val="-10"/>
        </w:rPr>
        <w:t> </w:t>
      </w:r>
      <w:r>
        <w:rPr/>
        <w:t>financial</w:t>
      </w:r>
      <w:r>
        <w:rPr>
          <w:spacing w:val="-9"/>
        </w:rPr>
        <w:t> </w:t>
      </w:r>
      <w:r>
        <w:rPr/>
        <w:t>reporting</w:t>
      </w:r>
      <w:r>
        <w:rPr>
          <w:spacing w:val="-9"/>
        </w:rPr>
        <w:t> </w:t>
      </w:r>
      <w:r>
        <w:rPr/>
        <w:t>result,</w:t>
      </w:r>
      <w:r>
        <w:rPr>
          <w:spacing w:val="-10"/>
        </w:rPr>
        <w:t> </w:t>
      </w:r>
      <w:r>
        <w:rPr/>
        <w:t>they</w:t>
      </w:r>
      <w:r>
        <w:rPr>
          <w:spacing w:val="-10"/>
        </w:rPr>
        <w:t> </w:t>
      </w:r>
      <w:r>
        <w:rPr/>
        <w:t>can</w:t>
      </w:r>
      <w:r>
        <w:rPr>
          <w:spacing w:val="-10"/>
        </w:rPr>
        <w:t> </w:t>
      </w:r>
      <w:r>
        <w:rPr/>
        <w:t>increase</w:t>
      </w:r>
      <w:r>
        <w:rPr>
          <w:spacing w:val="-8"/>
        </w:rPr>
        <w:t> </w:t>
      </w:r>
      <w:r>
        <w:rPr/>
        <w:t>or</w:t>
      </w:r>
      <w:r>
        <w:rPr>
          <w:spacing w:val="-10"/>
        </w:rPr>
        <w:t> </w:t>
      </w:r>
      <w:r>
        <w:rPr/>
        <w:t>decrease</w:t>
      </w:r>
      <w:r>
        <w:rPr>
          <w:spacing w:val="-11"/>
        </w:rPr>
        <w:t> </w:t>
      </w:r>
      <w:r>
        <w:rPr/>
        <w:t>income</w:t>
      </w:r>
      <w:r>
        <w:rPr>
          <w:spacing w:val="-11"/>
        </w:rPr>
        <w:t> </w:t>
      </w:r>
      <w:r>
        <w:rPr/>
        <w:t>by creating</w:t>
      </w:r>
      <w:r>
        <w:rPr>
          <w:spacing w:val="52"/>
        </w:rPr>
        <w:t> </w:t>
      </w:r>
      <w:r>
        <w:rPr/>
        <w:t>accruals</w:t>
      </w:r>
      <w:r>
        <w:rPr>
          <w:spacing w:val="56"/>
        </w:rPr>
        <w:t> </w:t>
      </w:r>
      <w:r>
        <w:rPr/>
        <w:t>which</w:t>
      </w:r>
      <w:r>
        <w:rPr>
          <w:spacing w:val="56"/>
        </w:rPr>
        <w:t> </w:t>
      </w:r>
      <w:r>
        <w:rPr/>
        <w:t>are</w:t>
      </w:r>
      <w:r>
        <w:rPr>
          <w:spacing w:val="53"/>
        </w:rPr>
        <w:t> </w:t>
      </w:r>
      <w:r>
        <w:rPr/>
        <w:t>referred</w:t>
      </w:r>
      <w:r>
        <w:rPr>
          <w:spacing w:val="53"/>
        </w:rPr>
        <w:t> </w:t>
      </w:r>
      <w:r>
        <w:rPr/>
        <w:t>to</w:t>
      </w:r>
      <w:r>
        <w:rPr>
          <w:spacing w:val="53"/>
        </w:rPr>
        <w:t> </w:t>
      </w:r>
      <w:r>
        <w:rPr/>
        <w:t>as</w:t>
      </w:r>
      <w:r>
        <w:rPr>
          <w:spacing w:val="54"/>
        </w:rPr>
        <w:t> </w:t>
      </w:r>
      <w:r>
        <w:rPr/>
        <w:t>non-discretionary</w:t>
      </w:r>
      <w:r>
        <w:rPr>
          <w:spacing w:val="53"/>
        </w:rPr>
        <w:t> </w:t>
      </w:r>
      <w:r>
        <w:rPr/>
        <w:t>accruals.</w:t>
      </w:r>
      <w:r>
        <w:rPr>
          <w:spacing w:val="54"/>
        </w:rPr>
        <w:t> </w:t>
      </w:r>
      <w:r>
        <w:rPr/>
        <w:t>However,</w:t>
      </w:r>
      <w:r>
        <w:rPr>
          <w:spacing w:val="53"/>
        </w:rPr>
        <w:t> </w:t>
      </w:r>
      <w:r>
        <w:rPr/>
        <w:t>it</w:t>
      </w:r>
      <w:r>
        <w:rPr>
          <w:spacing w:val="54"/>
        </w:rPr>
        <w:t> </w:t>
      </w:r>
      <w:r>
        <w:rPr/>
        <w:t>is</w:t>
      </w:r>
      <w:r>
        <w:rPr>
          <w:spacing w:val="54"/>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41"/>
        <w:jc w:val="both"/>
      </w:pPr>
      <w:r>
        <w:rPr/>
        <w:t>discretionary</w:t>
      </w:r>
      <w:r>
        <w:rPr>
          <w:spacing w:val="-11"/>
        </w:rPr>
        <w:t> </w:t>
      </w:r>
      <w:r>
        <w:rPr/>
        <w:t>accruals,</w:t>
      </w:r>
      <w:r>
        <w:rPr>
          <w:spacing w:val="-12"/>
        </w:rPr>
        <w:t> </w:t>
      </w:r>
      <w:r>
        <w:rPr/>
        <w:t>i.e.,</w:t>
      </w:r>
      <w:r>
        <w:rPr>
          <w:spacing w:val="-13"/>
        </w:rPr>
        <w:t> </w:t>
      </w:r>
      <w:r>
        <w:rPr/>
        <w:t>accruals</w:t>
      </w:r>
      <w:r>
        <w:rPr>
          <w:spacing w:val="-10"/>
        </w:rPr>
        <w:t> </w:t>
      </w:r>
      <w:r>
        <w:rPr/>
        <w:t>created</w:t>
      </w:r>
      <w:r>
        <w:rPr>
          <w:spacing w:val="-14"/>
        </w:rPr>
        <w:t> </w:t>
      </w:r>
      <w:r>
        <w:rPr/>
        <w:t>to</w:t>
      </w:r>
      <w:r>
        <w:rPr>
          <w:spacing w:val="-10"/>
        </w:rPr>
        <w:t> </w:t>
      </w:r>
      <w:r>
        <w:rPr/>
        <w:t>manipulate</w:t>
      </w:r>
      <w:r>
        <w:rPr>
          <w:spacing w:val="-14"/>
        </w:rPr>
        <w:t> </w:t>
      </w:r>
      <w:r>
        <w:rPr/>
        <w:t>changes</w:t>
      </w:r>
      <w:r>
        <w:rPr>
          <w:spacing w:val="-13"/>
        </w:rPr>
        <w:t> </w:t>
      </w:r>
      <w:r>
        <w:rPr/>
        <w:t>in</w:t>
      </w:r>
      <w:r>
        <w:rPr>
          <w:spacing w:val="-10"/>
        </w:rPr>
        <w:t> </w:t>
      </w:r>
      <w:r>
        <w:rPr/>
        <w:t>reported</w:t>
      </w:r>
      <w:r>
        <w:rPr>
          <w:spacing w:val="-13"/>
        </w:rPr>
        <w:t> </w:t>
      </w:r>
      <w:r>
        <w:rPr/>
        <w:t>earnings</w:t>
      </w:r>
      <w:r>
        <w:rPr>
          <w:spacing w:val="-13"/>
        </w:rPr>
        <w:t> </w:t>
      </w:r>
      <w:r>
        <w:rPr/>
        <w:t>that</w:t>
      </w:r>
      <w:r>
        <w:rPr>
          <w:spacing w:val="-13"/>
        </w:rPr>
        <w:t> </w:t>
      </w:r>
      <w:r>
        <w:rPr/>
        <w:t>are of concern because managers’ use of discretionary accruals to shift reported income among fiscal periods tends to distort earnings quality.</w:t>
      </w:r>
    </w:p>
    <w:p>
      <w:pPr>
        <w:pStyle w:val="BodyText"/>
        <w:spacing w:line="480" w:lineRule="auto" w:before="199"/>
        <w:ind w:left="940" w:right="1439"/>
        <w:jc w:val="both"/>
      </w:pPr>
      <w:r>
        <w:rPr/>
        <w:drawing>
          <wp:anchor distT="0" distB="0" distL="0" distR="0" allowOverlap="1" layoutInCell="1" locked="0" behindDoc="1" simplePos="0" relativeHeight="477674496">
            <wp:simplePos x="0" y="0"/>
            <wp:positionH relativeFrom="page">
              <wp:posOffset>1095451</wp:posOffset>
            </wp:positionH>
            <wp:positionV relativeFrom="paragraph">
              <wp:posOffset>760565</wp:posOffset>
            </wp:positionV>
            <wp:extent cx="5106847" cy="5238115"/>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5106847" cy="5238115"/>
                    </a:xfrm>
                    <a:prstGeom prst="rect">
                      <a:avLst/>
                    </a:prstGeom>
                  </pic:spPr>
                </pic:pic>
              </a:graphicData>
            </a:graphic>
          </wp:anchor>
        </w:drawing>
      </w:r>
      <w:r>
        <w:rPr>
          <w:b/>
        </w:rPr>
        <w:t>Difference-In-Difference (DD) Estimation Technique: </w:t>
      </w:r>
      <w:r>
        <w:rPr/>
        <w:t>The DD estimation technique is a tool to estimate treatment effects by comparing the pre and post-treatment differences in the outcome of treatment (post-IFRS regime) and control (pre-IFRS regime) groups. It calculates the effect of a treatment on an outcome variable (reporting quality) by comparing the average change over time in the outcome variable for the treatment group, compared to the average change over time for the control group. The coefficients of DD indicate whether a change in reporting quality is as a result of IFRS adoption.</w:t>
      </w:r>
    </w:p>
    <w:p>
      <w:pPr>
        <w:pStyle w:val="BodyText"/>
        <w:spacing w:line="480" w:lineRule="auto" w:before="200"/>
        <w:ind w:left="940" w:right="1439"/>
        <w:jc w:val="both"/>
      </w:pPr>
      <w:r>
        <w:rPr>
          <w:b/>
        </w:rPr>
        <w:t>IFRS Adoption: </w:t>
      </w:r>
      <w:r>
        <w:rPr/>
        <w:t>Adoption means a complete replacement of national accounting standards with IASB’s standards while adaptation is the modification of IASB’s standards to suit peculiarities of local market economy without compromising the accounting standards and disclosure requirements of the IASB’s standards and basis of conclusion.</w:t>
      </w:r>
    </w:p>
    <w:p>
      <w:pPr>
        <w:spacing w:after="0" w:line="480" w:lineRule="auto"/>
        <w:jc w:val="both"/>
        <w:sectPr>
          <w:pgSz w:w="11910" w:h="16840"/>
          <w:pgMar w:header="0" w:footer="971" w:top="1360" w:bottom="1160" w:left="500" w:right="0"/>
        </w:sectPr>
      </w:pPr>
    </w:p>
    <w:p>
      <w:pPr>
        <w:pStyle w:val="Heading2"/>
        <w:spacing w:line="480" w:lineRule="auto"/>
        <w:ind w:left="4490" w:right="4267" w:hanging="1"/>
      </w:pPr>
      <w:bookmarkStart w:name="_TOC_250060" w:id="10"/>
      <w:r>
        <w:rPr/>
        <w:t>CHAPTER TWO LITERATURE</w:t>
      </w:r>
      <w:r>
        <w:rPr>
          <w:spacing w:val="-15"/>
        </w:rPr>
        <w:t> </w:t>
      </w:r>
      <w:bookmarkEnd w:id="10"/>
      <w:r>
        <w:rPr/>
        <w:t>REVIEW</w:t>
      </w:r>
    </w:p>
    <w:p>
      <w:pPr>
        <w:pStyle w:val="Heading3"/>
        <w:numPr>
          <w:ilvl w:val="1"/>
          <w:numId w:val="22"/>
        </w:numPr>
        <w:tabs>
          <w:tab w:pos="1360" w:val="left" w:leader="none"/>
        </w:tabs>
        <w:spacing w:line="240" w:lineRule="auto" w:before="0" w:after="0"/>
        <w:ind w:left="1360" w:right="0" w:hanging="420"/>
        <w:jc w:val="left"/>
      </w:pPr>
      <w:bookmarkStart w:name="_TOC_250059" w:id="11"/>
      <w:bookmarkEnd w:id="11"/>
      <w:r>
        <w:rPr>
          <w:spacing w:val="-2"/>
        </w:rPr>
        <w:t>Introduction</w:t>
      </w:r>
    </w:p>
    <w:p>
      <w:pPr>
        <w:pStyle w:val="BodyText"/>
        <w:rPr>
          <w:b/>
        </w:rPr>
      </w:pPr>
    </w:p>
    <w:p>
      <w:pPr>
        <w:pStyle w:val="BodyText"/>
        <w:spacing w:line="480" w:lineRule="auto"/>
        <w:ind w:left="940" w:right="1438"/>
        <w:jc w:val="both"/>
      </w:pPr>
      <w:r>
        <w:rPr/>
        <w:t>This chapter examines the conceptual framework, review of related studies and theoretical framework for the study.</w:t>
      </w:r>
    </w:p>
    <w:p>
      <w:pPr>
        <w:pStyle w:val="Heading3"/>
        <w:numPr>
          <w:ilvl w:val="1"/>
          <w:numId w:val="22"/>
        </w:numPr>
        <w:tabs>
          <w:tab w:pos="1360" w:val="left" w:leader="none"/>
        </w:tabs>
        <w:spacing w:line="240" w:lineRule="auto" w:before="0" w:after="0"/>
        <w:ind w:left="1360" w:right="0" w:hanging="420"/>
        <w:jc w:val="left"/>
      </w:pPr>
      <w:r>
        <w:rPr/>
        <w:drawing>
          <wp:anchor distT="0" distB="0" distL="0" distR="0" allowOverlap="1" layoutInCell="1" locked="0" behindDoc="1" simplePos="0" relativeHeight="477675008">
            <wp:simplePos x="0" y="0"/>
            <wp:positionH relativeFrom="page">
              <wp:posOffset>1095451</wp:posOffset>
            </wp:positionH>
            <wp:positionV relativeFrom="paragraph">
              <wp:posOffset>59584</wp:posOffset>
            </wp:positionV>
            <wp:extent cx="5106847" cy="523811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5" cstate="print"/>
                    <a:stretch>
                      <a:fillRect/>
                    </a:stretch>
                  </pic:blipFill>
                  <pic:spPr>
                    <a:xfrm>
                      <a:off x="0" y="0"/>
                      <a:ext cx="5106847" cy="5238115"/>
                    </a:xfrm>
                    <a:prstGeom prst="rect">
                      <a:avLst/>
                    </a:prstGeom>
                  </pic:spPr>
                </pic:pic>
              </a:graphicData>
            </a:graphic>
          </wp:anchor>
        </w:drawing>
      </w:r>
      <w:bookmarkStart w:name="_TOC_250058" w:id="12"/>
      <w:r>
        <w:rPr/>
        <w:t>Conceptual</w:t>
      </w:r>
      <w:bookmarkEnd w:id="12"/>
      <w:r>
        <w:rPr>
          <w:spacing w:val="-2"/>
        </w:rPr>
        <w:t> Framework</w:t>
      </w:r>
    </w:p>
    <w:p>
      <w:pPr>
        <w:pStyle w:val="BodyText"/>
        <w:spacing w:before="1"/>
        <w:rPr>
          <w:b/>
        </w:rPr>
      </w:pPr>
    </w:p>
    <w:p>
      <w:pPr>
        <w:pStyle w:val="BodyText"/>
        <w:spacing w:line="480" w:lineRule="auto"/>
        <w:ind w:left="940" w:right="1434"/>
        <w:jc w:val="both"/>
      </w:pPr>
      <w:r>
        <w:rPr/>
        <w:t>The conceptual framework for the study outlines the relationship between IFRS adoption and financial reporting quality. However, due to evidence in literature that IFRS adoption impacting</w:t>
      </w:r>
      <w:r>
        <w:rPr>
          <w:spacing w:val="-2"/>
        </w:rPr>
        <w:t> </w:t>
      </w:r>
      <w:r>
        <w:rPr/>
        <w:t>financial</w:t>
      </w:r>
      <w:r>
        <w:rPr>
          <w:spacing w:val="-2"/>
        </w:rPr>
        <w:t> </w:t>
      </w:r>
      <w:r>
        <w:rPr/>
        <w:t>reporting</w:t>
      </w:r>
      <w:r>
        <w:rPr>
          <w:spacing w:val="-2"/>
        </w:rPr>
        <w:t> </w:t>
      </w:r>
      <w:r>
        <w:rPr/>
        <w:t>quality</w:t>
      </w:r>
      <w:r>
        <w:rPr>
          <w:spacing w:val="-4"/>
        </w:rPr>
        <w:t> </w:t>
      </w:r>
      <w:r>
        <w:rPr/>
        <w:t>is</w:t>
      </w:r>
      <w:r>
        <w:rPr>
          <w:spacing w:val="-2"/>
        </w:rPr>
        <w:t> </w:t>
      </w:r>
      <w:r>
        <w:rPr/>
        <w:t>conditioned</w:t>
      </w:r>
      <w:r>
        <w:rPr>
          <w:spacing w:val="-2"/>
        </w:rPr>
        <w:t> </w:t>
      </w:r>
      <w:r>
        <w:rPr/>
        <w:t>on</w:t>
      </w:r>
      <w:r>
        <w:rPr>
          <w:spacing w:val="-2"/>
        </w:rPr>
        <w:t> </w:t>
      </w:r>
      <w:r>
        <w:rPr/>
        <w:t>institutional</w:t>
      </w:r>
      <w:r>
        <w:rPr>
          <w:spacing w:val="-2"/>
        </w:rPr>
        <w:t> </w:t>
      </w:r>
      <w:r>
        <w:rPr/>
        <w:t>and</w:t>
      </w:r>
      <w:r>
        <w:rPr>
          <w:spacing w:val="-2"/>
        </w:rPr>
        <w:t> </w:t>
      </w:r>
      <w:r>
        <w:rPr/>
        <w:t>regulatory</w:t>
      </w:r>
      <w:r>
        <w:rPr>
          <w:spacing w:val="-2"/>
        </w:rPr>
        <w:t> </w:t>
      </w:r>
      <w:r>
        <w:rPr/>
        <w:t>framework within</w:t>
      </w:r>
      <w:r>
        <w:rPr>
          <w:spacing w:val="-15"/>
        </w:rPr>
        <w:t> </w:t>
      </w:r>
      <w:r>
        <w:rPr/>
        <w:t>a</w:t>
      </w:r>
      <w:r>
        <w:rPr>
          <w:spacing w:val="-15"/>
        </w:rPr>
        <w:t> </w:t>
      </w:r>
      <w:r>
        <w:rPr/>
        <w:t>country,</w:t>
      </w:r>
      <w:r>
        <w:rPr>
          <w:spacing w:val="-15"/>
        </w:rPr>
        <w:t> </w:t>
      </w:r>
      <w:r>
        <w:rPr/>
        <w:t>the</w:t>
      </w:r>
      <w:r>
        <w:rPr>
          <w:spacing w:val="-15"/>
        </w:rPr>
        <w:t> </w:t>
      </w:r>
      <w:r>
        <w:rPr/>
        <w:t>study,</w:t>
      </w:r>
      <w:r>
        <w:rPr>
          <w:spacing w:val="-15"/>
        </w:rPr>
        <w:t> </w:t>
      </w:r>
      <w:r>
        <w:rPr/>
        <w:t>therefore,</w:t>
      </w:r>
      <w:r>
        <w:rPr>
          <w:spacing w:val="-15"/>
        </w:rPr>
        <w:t> </w:t>
      </w:r>
      <w:r>
        <w:rPr/>
        <w:t>focused</w:t>
      </w:r>
      <w:r>
        <w:rPr>
          <w:spacing w:val="-15"/>
        </w:rPr>
        <w:t> </w:t>
      </w:r>
      <w:r>
        <w:rPr/>
        <w:t>on</w:t>
      </w:r>
      <w:r>
        <w:rPr>
          <w:spacing w:val="-15"/>
        </w:rPr>
        <w:t> </w:t>
      </w:r>
      <w:r>
        <w:rPr/>
        <w:t>CG</w:t>
      </w:r>
      <w:r>
        <w:rPr>
          <w:spacing w:val="-15"/>
        </w:rPr>
        <w:t> </w:t>
      </w:r>
      <w:r>
        <w:rPr/>
        <w:t>which</w:t>
      </w:r>
      <w:r>
        <w:rPr>
          <w:spacing w:val="-15"/>
        </w:rPr>
        <w:t> </w:t>
      </w:r>
      <w:r>
        <w:rPr/>
        <w:t>was</w:t>
      </w:r>
      <w:r>
        <w:rPr>
          <w:spacing w:val="-15"/>
        </w:rPr>
        <w:t> </w:t>
      </w:r>
      <w:r>
        <w:rPr/>
        <w:t>further</w:t>
      </w:r>
      <w:r>
        <w:rPr>
          <w:spacing w:val="-15"/>
        </w:rPr>
        <w:t> </w:t>
      </w:r>
      <w:r>
        <w:rPr/>
        <w:t>decomposed</w:t>
      </w:r>
      <w:r>
        <w:rPr>
          <w:spacing w:val="-15"/>
        </w:rPr>
        <w:t> </w:t>
      </w:r>
      <w:r>
        <w:rPr/>
        <w:t>into</w:t>
      </w:r>
      <w:r>
        <w:rPr>
          <w:spacing w:val="-14"/>
        </w:rPr>
        <w:t> </w:t>
      </w:r>
      <w:r>
        <w:rPr/>
        <w:t>board attributes</w:t>
      </w:r>
      <w:r>
        <w:rPr>
          <w:spacing w:val="-6"/>
        </w:rPr>
        <w:t> </w:t>
      </w:r>
      <w:r>
        <w:rPr/>
        <w:t>(BATT)</w:t>
      </w:r>
      <w:r>
        <w:rPr>
          <w:spacing w:val="-7"/>
        </w:rPr>
        <w:t> </w:t>
      </w:r>
      <w:r>
        <w:rPr/>
        <w:t>and</w:t>
      </w:r>
      <w:r>
        <w:rPr>
          <w:spacing w:val="-6"/>
        </w:rPr>
        <w:t> </w:t>
      </w:r>
      <w:r>
        <w:rPr/>
        <w:t>ownership</w:t>
      </w:r>
      <w:r>
        <w:rPr>
          <w:spacing w:val="-6"/>
        </w:rPr>
        <w:t> </w:t>
      </w:r>
      <w:r>
        <w:rPr/>
        <w:t>structure</w:t>
      </w:r>
      <w:r>
        <w:rPr>
          <w:spacing w:val="-7"/>
        </w:rPr>
        <w:t> </w:t>
      </w:r>
      <w:r>
        <w:rPr/>
        <w:t>(OWNSTRUCT).</w:t>
      </w:r>
      <w:r>
        <w:rPr>
          <w:spacing w:val="-6"/>
        </w:rPr>
        <w:t> </w:t>
      </w:r>
      <w:r>
        <w:rPr/>
        <w:t>For</w:t>
      </w:r>
      <w:r>
        <w:rPr>
          <w:spacing w:val="-7"/>
        </w:rPr>
        <w:t> </w:t>
      </w:r>
      <w:r>
        <w:rPr/>
        <w:t>BATT,</w:t>
      </w:r>
      <w:r>
        <w:rPr>
          <w:spacing w:val="-6"/>
        </w:rPr>
        <w:t> </w:t>
      </w:r>
      <w:r>
        <w:rPr/>
        <w:t>the</w:t>
      </w:r>
      <w:r>
        <w:rPr>
          <w:spacing w:val="-6"/>
        </w:rPr>
        <w:t> </w:t>
      </w:r>
      <w:r>
        <w:rPr/>
        <w:t>emphasis</w:t>
      </w:r>
      <w:r>
        <w:rPr>
          <w:spacing w:val="-2"/>
        </w:rPr>
        <w:t> </w:t>
      </w:r>
      <w:r>
        <w:rPr/>
        <w:t>was</w:t>
      </w:r>
      <w:r>
        <w:rPr>
          <w:spacing w:val="-6"/>
        </w:rPr>
        <w:t> </w:t>
      </w:r>
      <w:r>
        <w:rPr/>
        <w:t>on board size, board independence and board financial expertise. For OWNSTRUCT, the emphasis was on institutional, managerial, foreign and ownership concentration structures. In order to forestall variable omission bias, the study also examined key firm attributes such as firm</w:t>
      </w:r>
      <w:r>
        <w:rPr>
          <w:spacing w:val="-15"/>
        </w:rPr>
        <w:t> </w:t>
      </w:r>
      <w:r>
        <w:rPr/>
        <w:t>size,</w:t>
      </w:r>
      <w:r>
        <w:rPr>
          <w:spacing w:val="-14"/>
        </w:rPr>
        <w:t> </w:t>
      </w:r>
      <w:r>
        <w:rPr/>
        <w:t>firm</w:t>
      </w:r>
      <w:r>
        <w:rPr>
          <w:spacing w:val="-14"/>
        </w:rPr>
        <w:t> </w:t>
      </w:r>
      <w:r>
        <w:rPr/>
        <w:t>age</w:t>
      </w:r>
      <w:r>
        <w:rPr>
          <w:spacing w:val="-15"/>
        </w:rPr>
        <w:t> </w:t>
      </w:r>
      <w:r>
        <w:rPr/>
        <w:t>and</w:t>
      </w:r>
      <w:r>
        <w:rPr>
          <w:spacing w:val="-12"/>
        </w:rPr>
        <w:t> </w:t>
      </w:r>
      <w:r>
        <w:rPr/>
        <w:t>financial</w:t>
      </w:r>
      <w:r>
        <w:rPr>
          <w:spacing w:val="-14"/>
        </w:rPr>
        <w:t> </w:t>
      </w:r>
      <w:r>
        <w:rPr/>
        <w:t>leverage.</w:t>
      </w:r>
      <w:r>
        <w:rPr>
          <w:spacing w:val="-12"/>
        </w:rPr>
        <w:t> </w:t>
      </w:r>
      <w:r>
        <w:rPr/>
        <w:t>The</w:t>
      </w:r>
      <w:r>
        <w:rPr>
          <w:spacing w:val="-15"/>
        </w:rPr>
        <w:t> </w:t>
      </w:r>
      <w:r>
        <w:rPr/>
        <w:t>review</w:t>
      </w:r>
      <w:r>
        <w:rPr>
          <w:spacing w:val="-15"/>
        </w:rPr>
        <w:t> </w:t>
      </w:r>
      <w:r>
        <w:rPr/>
        <w:t>begins</w:t>
      </w:r>
      <w:r>
        <w:rPr>
          <w:spacing w:val="-14"/>
        </w:rPr>
        <w:t> </w:t>
      </w:r>
      <w:r>
        <w:rPr/>
        <w:t>with</w:t>
      </w:r>
      <w:r>
        <w:rPr>
          <w:spacing w:val="-14"/>
        </w:rPr>
        <w:t> </w:t>
      </w:r>
      <w:r>
        <w:rPr/>
        <w:t>the</w:t>
      </w:r>
      <w:r>
        <w:rPr>
          <w:spacing w:val="-15"/>
        </w:rPr>
        <w:t> </w:t>
      </w:r>
      <w:r>
        <w:rPr/>
        <w:t>discourse</w:t>
      </w:r>
      <w:r>
        <w:rPr>
          <w:spacing w:val="-15"/>
        </w:rPr>
        <w:t> </w:t>
      </w:r>
      <w:r>
        <w:rPr/>
        <w:t>on</w:t>
      </w:r>
      <w:r>
        <w:rPr>
          <w:spacing w:val="-14"/>
        </w:rPr>
        <w:t> </w:t>
      </w:r>
      <w:r>
        <w:rPr/>
        <w:t>the</w:t>
      </w:r>
      <w:r>
        <w:rPr>
          <w:spacing w:val="-15"/>
        </w:rPr>
        <w:t> </w:t>
      </w:r>
      <w:r>
        <w:rPr/>
        <w:t>financial reporting quality and goes on to discuss the IFRS adoption, BATT and OWNSTRUCT with their respective indicators and empirical relationship with financial reporting quality.</w:t>
      </w:r>
    </w:p>
    <w:p>
      <w:pPr>
        <w:pStyle w:val="BodyText"/>
      </w:pPr>
    </w:p>
    <w:p>
      <w:pPr>
        <w:pStyle w:val="BodyText"/>
      </w:pPr>
    </w:p>
    <w:p>
      <w:pPr>
        <w:pStyle w:val="Heading3"/>
        <w:numPr>
          <w:ilvl w:val="2"/>
          <w:numId w:val="22"/>
        </w:numPr>
        <w:tabs>
          <w:tab w:pos="1480" w:val="left" w:leader="none"/>
        </w:tabs>
        <w:spacing w:line="240" w:lineRule="auto" w:before="1" w:after="0"/>
        <w:ind w:left="1480" w:right="0" w:hanging="540"/>
        <w:jc w:val="left"/>
      </w:pPr>
      <w:bookmarkStart w:name="_TOC_250057" w:id="13"/>
      <w:r>
        <w:rPr/>
        <w:t>Financial</w:t>
      </w:r>
      <w:r>
        <w:rPr>
          <w:spacing w:val="-2"/>
        </w:rPr>
        <w:t> </w:t>
      </w:r>
      <w:r>
        <w:rPr/>
        <w:t>Reporting</w:t>
      </w:r>
      <w:bookmarkEnd w:id="13"/>
      <w:r>
        <w:rPr>
          <w:spacing w:val="-2"/>
        </w:rPr>
        <w:t> Quality</w:t>
      </w:r>
    </w:p>
    <w:p>
      <w:pPr>
        <w:pStyle w:val="BodyText"/>
        <w:rPr>
          <w:b/>
        </w:rPr>
      </w:pPr>
    </w:p>
    <w:p>
      <w:pPr>
        <w:pStyle w:val="BodyText"/>
        <w:spacing w:line="480" w:lineRule="auto"/>
        <w:ind w:left="940" w:right="1433"/>
        <w:jc w:val="both"/>
      </w:pPr>
      <w:r>
        <w:rPr/>
        <w:t>Evidence from literature suggests no uniform definition of financial reporting quality. However, a brief review of prior authors’ perspectives on the discourse is necessary. Bath et al. (2008) opined that financial reporting quality was the ability of accounting measures to reflect the economic position and performance of a firm. Martinez-Ferrero (2014) defined financial reporting quality as the faithfulness of the information conveyed by the financial reporting</w:t>
      </w:r>
      <w:r>
        <w:rPr>
          <w:spacing w:val="28"/>
        </w:rPr>
        <w:t> </w:t>
      </w:r>
      <w:r>
        <w:rPr/>
        <w:t>process.</w:t>
      </w:r>
      <w:r>
        <w:rPr>
          <w:spacing w:val="29"/>
        </w:rPr>
        <w:t> </w:t>
      </w:r>
      <w:r>
        <w:rPr/>
        <w:t>Financial</w:t>
      </w:r>
      <w:r>
        <w:rPr>
          <w:spacing w:val="28"/>
        </w:rPr>
        <w:t> </w:t>
      </w:r>
      <w:r>
        <w:rPr/>
        <w:t>reporting</w:t>
      </w:r>
      <w:r>
        <w:rPr>
          <w:spacing w:val="29"/>
        </w:rPr>
        <w:t> </w:t>
      </w:r>
      <w:r>
        <w:rPr/>
        <w:t>quality</w:t>
      </w:r>
      <w:r>
        <w:rPr>
          <w:spacing w:val="28"/>
        </w:rPr>
        <w:t> </w:t>
      </w:r>
      <w:r>
        <w:rPr/>
        <w:t>requires</w:t>
      </w:r>
      <w:r>
        <w:rPr>
          <w:spacing w:val="29"/>
        </w:rPr>
        <w:t> </w:t>
      </w:r>
      <w:r>
        <w:rPr/>
        <w:t>companies</w:t>
      </w:r>
      <w:r>
        <w:rPr>
          <w:spacing w:val="29"/>
        </w:rPr>
        <w:t> </w:t>
      </w:r>
      <w:r>
        <w:rPr/>
        <w:t>to</w:t>
      </w:r>
      <w:r>
        <w:rPr>
          <w:spacing w:val="29"/>
        </w:rPr>
        <w:t> </w:t>
      </w:r>
      <w:r>
        <w:rPr/>
        <w:t>voluntarily</w:t>
      </w:r>
      <w:r>
        <w:rPr>
          <w:spacing w:val="28"/>
        </w:rPr>
        <w:t> </w:t>
      </w:r>
      <w:r>
        <w:rPr/>
        <w:t>expand</w:t>
      </w:r>
      <w:r>
        <w:rPr>
          <w:spacing w:val="28"/>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75520">
            <wp:simplePos x="0" y="0"/>
            <wp:positionH relativeFrom="page">
              <wp:posOffset>1095451</wp:posOffset>
            </wp:positionH>
            <wp:positionV relativeFrom="paragraph">
              <wp:posOffset>1850770</wp:posOffset>
            </wp:positionV>
            <wp:extent cx="5106847" cy="523811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5" cstate="print"/>
                    <a:stretch>
                      <a:fillRect/>
                    </a:stretch>
                  </pic:blipFill>
                  <pic:spPr>
                    <a:xfrm>
                      <a:off x="0" y="0"/>
                      <a:ext cx="5106847" cy="5238115"/>
                    </a:xfrm>
                    <a:prstGeom prst="rect">
                      <a:avLst/>
                    </a:prstGeom>
                  </pic:spPr>
                </pic:pic>
              </a:graphicData>
            </a:graphic>
          </wp:anchor>
        </w:drawing>
      </w:r>
      <w:r>
        <w:rPr/>
        <w:t>scope and quality of the information they report to ensure that market participants are fully informed in order to make well-grounded decisions on investment, credit, etc.</w:t>
      </w:r>
      <w:r>
        <w:rPr>
          <w:spacing w:val="40"/>
        </w:rPr>
        <w:t> </w:t>
      </w:r>
      <w:r>
        <w:rPr/>
        <w:t>According to Chen, Tang, Jiang and Lin (2010), financial reporting quality represents the extent to which the</w:t>
      </w:r>
      <w:r>
        <w:rPr>
          <w:spacing w:val="-2"/>
        </w:rPr>
        <w:t> </w:t>
      </w:r>
      <w:r>
        <w:rPr/>
        <w:t>financial</w:t>
      </w:r>
      <w:r>
        <w:rPr>
          <w:spacing w:val="-1"/>
        </w:rPr>
        <w:t> </w:t>
      </w:r>
      <w:r>
        <w:rPr/>
        <w:t>statement information</w:t>
      </w:r>
      <w:r>
        <w:rPr>
          <w:spacing w:val="-1"/>
        </w:rPr>
        <w:t> </w:t>
      </w:r>
      <w:r>
        <w:rPr/>
        <w:t>reflects the</w:t>
      </w:r>
      <w:r>
        <w:rPr>
          <w:spacing w:val="-2"/>
        </w:rPr>
        <w:t> </w:t>
      </w:r>
      <w:r>
        <w:rPr/>
        <w:t>underlying</w:t>
      </w:r>
      <w:r>
        <w:rPr>
          <w:spacing w:val="-1"/>
        </w:rPr>
        <w:t> </w:t>
      </w:r>
      <w:r>
        <w:rPr/>
        <w:t>economic</w:t>
      </w:r>
      <w:r>
        <w:rPr>
          <w:spacing w:val="-2"/>
        </w:rPr>
        <w:t> </w:t>
      </w:r>
      <w:r>
        <w:rPr/>
        <w:t>situation. Ahmed (2012) posited that financial report was relevant if it was capable of influencing decision makers by helping them to form predictions about the outcomes of past, present and future events or confirm</w:t>
      </w:r>
      <w:r>
        <w:rPr>
          <w:spacing w:val="-9"/>
        </w:rPr>
        <w:t> </w:t>
      </w:r>
      <w:r>
        <w:rPr/>
        <w:t>or</w:t>
      </w:r>
      <w:r>
        <w:rPr>
          <w:spacing w:val="-9"/>
        </w:rPr>
        <w:t> </w:t>
      </w:r>
      <w:r>
        <w:rPr/>
        <w:t>correct</w:t>
      </w:r>
      <w:r>
        <w:rPr>
          <w:spacing w:val="-9"/>
        </w:rPr>
        <w:t> </w:t>
      </w:r>
      <w:r>
        <w:rPr/>
        <w:t>prior</w:t>
      </w:r>
      <w:r>
        <w:rPr>
          <w:spacing w:val="-9"/>
        </w:rPr>
        <w:t> </w:t>
      </w:r>
      <w:r>
        <w:rPr/>
        <w:t>expectations.</w:t>
      </w:r>
      <w:r>
        <w:rPr>
          <w:spacing w:val="-8"/>
        </w:rPr>
        <w:t> </w:t>
      </w:r>
      <w:r>
        <w:rPr/>
        <w:t>Platikanova</w:t>
      </w:r>
      <w:r>
        <w:rPr>
          <w:spacing w:val="-10"/>
        </w:rPr>
        <w:t> </w:t>
      </w:r>
      <w:r>
        <w:rPr/>
        <w:t>and</w:t>
      </w:r>
      <w:r>
        <w:rPr>
          <w:spacing w:val="-9"/>
        </w:rPr>
        <w:t> </w:t>
      </w:r>
      <w:r>
        <w:rPr/>
        <w:t>Perramon</w:t>
      </w:r>
      <w:r>
        <w:rPr>
          <w:spacing w:val="-9"/>
        </w:rPr>
        <w:t> </w:t>
      </w:r>
      <w:r>
        <w:rPr/>
        <w:t>(2012)</w:t>
      </w:r>
      <w:r>
        <w:rPr>
          <w:spacing w:val="-9"/>
        </w:rPr>
        <w:t> </w:t>
      </w:r>
      <w:r>
        <w:rPr/>
        <w:t>argued</w:t>
      </w:r>
      <w:r>
        <w:rPr>
          <w:spacing w:val="-9"/>
        </w:rPr>
        <w:t> </w:t>
      </w:r>
      <w:r>
        <w:rPr/>
        <w:t>that</w:t>
      </w:r>
      <w:r>
        <w:rPr>
          <w:spacing w:val="-9"/>
        </w:rPr>
        <w:t> </w:t>
      </w:r>
      <w:r>
        <w:rPr/>
        <w:t>the</w:t>
      </w:r>
      <w:r>
        <w:rPr>
          <w:spacing w:val="-9"/>
        </w:rPr>
        <w:t> </w:t>
      </w:r>
      <w:r>
        <w:rPr/>
        <w:t>quality of information was high if users were able to identify similarities in and differences between two sets of economic phenomena, referring to the fact that IFRS is proposed to eliminate informational externalities arising from lack of comparability. Aifuwa and Embele (2019) posited that financial reporting quality was the faithfulness of information conveyed in both financial and non-financial reporting processes. According to Tang, Chen and Zhijun (2008), it is the degree by which financial statements provides us with information that is fair and authentic about the financial position and performance of an enterprise. Shehu (2012) posited that high quality financial reporting was achieved by full disclosure and a higher level of transparency and regarded corporate transparency as the widespread availability of relevant and reliable information about the periodic performance that was free from errors and misstatement.</w:t>
      </w:r>
      <w:r>
        <w:rPr>
          <w:spacing w:val="-15"/>
        </w:rPr>
        <w:t> </w:t>
      </w:r>
      <w:r>
        <w:rPr/>
        <w:t>Verdi</w:t>
      </w:r>
      <w:r>
        <w:rPr>
          <w:spacing w:val="-15"/>
        </w:rPr>
        <w:t> </w:t>
      </w:r>
      <w:r>
        <w:rPr/>
        <w:t>(2006)</w:t>
      </w:r>
      <w:r>
        <w:rPr>
          <w:spacing w:val="-15"/>
        </w:rPr>
        <w:t> </w:t>
      </w:r>
      <w:r>
        <w:rPr/>
        <w:t>opined</w:t>
      </w:r>
      <w:r>
        <w:rPr>
          <w:spacing w:val="-15"/>
        </w:rPr>
        <w:t> </w:t>
      </w:r>
      <w:r>
        <w:rPr/>
        <w:t>that</w:t>
      </w:r>
      <w:r>
        <w:rPr>
          <w:spacing w:val="-15"/>
        </w:rPr>
        <w:t> </w:t>
      </w:r>
      <w:r>
        <w:rPr/>
        <w:t>financial</w:t>
      </w:r>
      <w:r>
        <w:rPr>
          <w:spacing w:val="-15"/>
        </w:rPr>
        <w:t> </w:t>
      </w:r>
      <w:r>
        <w:rPr/>
        <w:t>reporting</w:t>
      </w:r>
      <w:r>
        <w:rPr>
          <w:spacing w:val="-15"/>
        </w:rPr>
        <w:t> </w:t>
      </w:r>
      <w:r>
        <w:rPr/>
        <w:t>quality</w:t>
      </w:r>
      <w:r>
        <w:rPr>
          <w:spacing w:val="-15"/>
        </w:rPr>
        <w:t> </w:t>
      </w:r>
      <w:r>
        <w:rPr/>
        <w:t>was</w:t>
      </w:r>
      <w:r>
        <w:rPr>
          <w:spacing w:val="-15"/>
        </w:rPr>
        <w:t> </w:t>
      </w:r>
      <w:r>
        <w:rPr/>
        <w:t>the</w:t>
      </w:r>
      <w:r>
        <w:rPr>
          <w:spacing w:val="-15"/>
        </w:rPr>
        <w:t> </w:t>
      </w:r>
      <w:r>
        <w:rPr/>
        <w:t>precision</w:t>
      </w:r>
      <w:r>
        <w:rPr>
          <w:spacing w:val="-15"/>
        </w:rPr>
        <w:t> </w:t>
      </w:r>
      <w:r>
        <w:rPr/>
        <w:t>with</w:t>
      </w:r>
      <w:r>
        <w:rPr>
          <w:spacing w:val="-15"/>
        </w:rPr>
        <w:t> </w:t>
      </w:r>
      <w:r>
        <w:rPr/>
        <w:t>which annual reports conveyed information about the firm’s operations in order to inform equity investors and other users. Ewert and Wagenhoper (2010) asserted that financial reporting quality was the product of accounting system that reflected unobservable construct that inherently involved estimations and judgment, and thus had the potential for unintentional errors and intentional bias like earnings management.</w:t>
      </w:r>
    </w:p>
    <w:p>
      <w:pPr>
        <w:pStyle w:val="BodyText"/>
        <w:spacing w:line="480" w:lineRule="auto" w:before="3"/>
        <w:ind w:left="940" w:right="1438"/>
        <w:jc w:val="both"/>
      </w:pPr>
      <w:r>
        <w:rPr/>
        <w:t>Verleun, Georgakopoulos, Sotiropoulos and Vasileiou (2011), in an attempt to explain financial</w:t>
      </w:r>
      <w:r>
        <w:rPr>
          <w:spacing w:val="-7"/>
        </w:rPr>
        <w:t> </w:t>
      </w:r>
      <w:r>
        <w:rPr/>
        <w:t>reporting</w:t>
      </w:r>
      <w:r>
        <w:rPr>
          <w:spacing w:val="-5"/>
        </w:rPr>
        <w:t> </w:t>
      </w:r>
      <w:r>
        <w:rPr/>
        <w:t>quality,</w:t>
      </w:r>
      <w:r>
        <w:rPr>
          <w:spacing w:val="-5"/>
        </w:rPr>
        <w:t> </w:t>
      </w:r>
      <w:r>
        <w:rPr/>
        <w:t>drew</w:t>
      </w:r>
      <w:r>
        <w:rPr>
          <w:spacing w:val="-5"/>
        </w:rPr>
        <w:t> </w:t>
      </w:r>
      <w:r>
        <w:rPr/>
        <w:t>a</w:t>
      </w:r>
      <w:r>
        <w:rPr>
          <w:spacing w:val="-6"/>
        </w:rPr>
        <w:t> </w:t>
      </w:r>
      <w:r>
        <w:rPr/>
        <w:t>distinction</w:t>
      </w:r>
      <w:r>
        <w:rPr>
          <w:spacing w:val="-3"/>
        </w:rPr>
        <w:t> </w:t>
      </w:r>
      <w:r>
        <w:rPr/>
        <w:t>between</w:t>
      </w:r>
      <w:r>
        <w:rPr>
          <w:spacing w:val="-5"/>
        </w:rPr>
        <w:t> </w:t>
      </w:r>
      <w:r>
        <w:rPr/>
        <w:t>reliable</w:t>
      </w:r>
      <w:r>
        <w:rPr>
          <w:spacing w:val="-5"/>
        </w:rPr>
        <w:t> </w:t>
      </w:r>
      <w:r>
        <w:rPr/>
        <w:t>and</w:t>
      </w:r>
      <w:r>
        <w:rPr>
          <w:spacing w:val="-5"/>
        </w:rPr>
        <w:t> </w:t>
      </w:r>
      <w:r>
        <w:rPr/>
        <w:t>relevant</w:t>
      </w:r>
      <w:r>
        <w:rPr>
          <w:spacing w:val="-4"/>
        </w:rPr>
        <w:t> </w:t>
      </w:r>
      <w:r>
        <w:rPr/>
        <w:t>financial</w:t>
      </w:r>
      <w:r>
        <w:rPr>
          <w:spacing w:val="-4"/>
        </w:rPr>
        <w:t> </w:t>
      </w:r>
      <w:r>
        <w:rPr>
          <w:spacing w:val="-2"/>
        </w:rPr>
        <w:t>reporting</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76032">
            <wp:simplePos x="0" y="0"/>
            <wp:positionH relativeFrom="page">
              <wp:posOffset>1095451</wp:posOffset>
            </wp:positionH>
            <wp:positionV relativeFrom="paragraph">
              <wp:posOffset>1850770</wp:posOffset>
            </wp:positionV>
            <wp:extent cx="5106847" cy="5238115"/>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5" cstate="print"/>
                    <a:stretch>
                      <a:fillRect/>
                    </a:stretch>
                  </pic:blipFill>
                  <pic:spPr>
                    <a:xfrm>
                      <a:off x="0" y="0"/>
                      <a:ext cx="5106847" cy="5238115"/>
                    </a:xfrm>
                    <a:prstGeom prst="rect">
                      <a:avLst/>
                    </a:prstGeom>
                  </pic:spPr>
                </pic:pic>
              </a:graphicData>
            </a:graphic>
          </wp:anchor>
        </w:drawing>
      </w:r>
      <w:r>
        <w:rPr/>
        <w:t>statement. This sharp distinction necessitated the categorization of financial reporting quality into: accounting (reliability); and market (relevance) based attributes. The accounting based attributes could be construed in terms of the qualitative characteristics of accounting information. This is classified into fundamental (relevance and faithful representation) and enhancing (understandability, comparability, verifiability and timeliness). According to Verleun et al. (2011), accounting-based attributes are those characteristics of accounting numbers which are influenced only by how the book values of lined items in the financial statements are determined and incorporated, i.e., measurement and recognition. A high level of accounting-based attributes means that the accounting numbers are reliable i.e., the figures which appear on the financial statement are based on facts and not on the mere wishes of the accountant. The examples of accounting based attributes of financial reporting quality are accruals,</w:t>
      </w:r>
      <w:r>
        <w:rPr>
          <w:spacing w:val="-3"/>
        </w:rPr>
        <w:t> </w:t>
      </w:r>
      <w:r>
        <w:rPr/>
        <w:t>persistence</w:t>
      </w:r>
      <w:r>
        <w:rPr>
          <w:spacing w:val="-4"/>
        </w:rPr>
        <w:t> </w:t>
      </w:r>
      <w:r>
        <w:rPr/>
        <w:t>of</w:t>
      </w:r>
      <w:r>
        <w:rPr>
          <w:spacing w:val="-3"/>
        </w:rPr>
        <w:t> </w:t>
      </w:r>
      <w:r>
        <w:rPr/>
        <w:t>earnings,</w:t>
      </w:r>
      <w:r>
        <w:rPr>
          <w:spacing w:val="-3"/>
        </w:rPr>
        <w:t> </w:t>
      </w:r>
      <w:r>
        <w:rPr/>
        <w:t>and</w:t>
      </w:r>
      <w:r>
        <w:rPr>
          <w:spacing w:val="-3"/>
        </w:rPr>
        <w:t> </w:t>
      </w:r>
      <w:r>
        <w:rPr/>
        <w:t>predictability</w:t>
      </w:r>
      <w:r>
        <w:rPr>
          <w:spacing w:val="-3"/>
        </w:rPr>
        <w:t> </w:t>
      </w:r>
      <w:r>
        <w:rPr/>
        <w:t>of</w:t>
      </w:r>
      <w:r>
        <w:rPr>
          <w:spacing w:val="-3"/>
        </w:rPr>
        <w:t> </w:t>
      </w:r>
      <w:r>
        <w:rPr/>
        <w:t>earnings</w:t>
      </w:r>
      <w:r>
        <w:rPr>
          <w:spacing w:val="-3"/>
        </w:rPr>
        <w:t> </w:t>
      </w:r>
      <w:r>
        <w:rPr/>
        <w:t>and</w:t>
      </w:r>
      <w:r>
        <w:rPr>
          <w:spacing w:val="-3"/>
        </w:rPr>
        <w:t> </w:t>
      </w:r>
      <w:r>
        <w:rPr/>
        <w:t>smoothness</w:t>
      </w:r>
      <w:r>
        <w:rPr>
          <w:spacing w:val="-3"/>
        </w:rPr>
        <w:t> </w:t>
      </w:r>
      <w:r>
        <w:rPr/>
        <w:t>of</w:t>
      </w:r>
      <w:r>
        <w:rPr>
          <w:spacing w:val="-4"/>
        </w:rPr>
        <w:t> </w:t>
      </w:r>
      <w:r>
        <w:rPr/>
        <w:t>earnings.</w:t>
      </w:r>
      <w:r>
        <w:rPr>
          <w:spacing w:val="-2"/>
        </w:rPr>
        <w:t> </w:t>
      </w:r>
      <w:r>
        <w:rPr/>
        <w:t>It is based on the idea that the function of earnings is to allocate cash flows into the accounting periods using accruals. However, these attributes do not refer to any market values and they exclude any effects of disclosure quality.</w:t>
      </w:r>
    </w:p>
    <w:p>
      <w:pPr>
        <w:pStyle w:val="BodyText"/>
        <w:spacing w:line="480" w:lineRule="auto" w:before="2"/>
        <w:ind w:left="940" w:right="1436"/>
        <w:jc w:val="both"/>
      </w:pPr>
      <w:r>
        <w:rPr/>
        <w:t>On the other hand, the market based attributes, otherwise called the value relevance research, relate the accounting numbers to the market numbers (returns and/or prices). These attributes include value relevance of accounting numbers, timeliness and conservatism. According to Barth,</w:t>
      </w:r>
      <w:r>
        <w:rPr>
          <w:spacing w:val="-9"/>
        </w:rPr>
        <w:t> </w:t>
      </w:r>
      <w:r>
        <w:rPr/>
        <w:t>Beaver</w:t>
      </w:r>
      <w:r>
        <w:rPr>
          <w:spacing w:val="-9"/>
        </w:rPr>
        <w:t> </w:t>
      </w:r>
      <w:r>
        <w:rPr/>
        <w:t>and</w:t>
      </w:r>
      <w:r>
        <w:rPr>
          <w:spacing w:val="-8"/>
        </w:rPr>
        <w:t> </w:t>
      </w:r>
      <w:r>
        <w:rPr/>
        <w:t>Landman</w:t>
      </w:r>
      <w:r>
        <w:rPr>
          <w:spacing w:val="-9"/>
        </w:rPr>
        <w:t> </w:t>
      </w:r>
      <w:r>
        <w:rPr/>
        <w:t>(2011),</w:t>
      </w:r>
      <w:r>
        <w:rPr>
          <w:spacing w:val="-9"/>
        </w:rPr>
        <w:t> </w:t>
      </w:r>
      <w:r>
        <w:rPr/>
        <w:t>an</w:t>
      </w:r>
      <w:r>
        <w:rPr>
          <w:spacing w:val="-8"/>
        </w:rPr>
        <w:t> </w:t>
      </w:r>
      <w:r>
        <w:rPr/>
        <w:t>accounting</w:t>
      </w:r>
      <w:r>
        <w:rPr>
          <w:spacing w:val="-8"/>
        </w:rPr>
        <w:t> </w:t>
      </w:r>
      <w:r>
        <w:rPr/>
        <w:t>number</w:t>
      </w:r>
      <w:r>
        <w:rPr>
          <w:spacing w:val="-9"/>
        </w:rPr>
        <w:t> </w:t>
      </w:r>
      <w:r>
        <w:rPr/>
        <w:t>is</w:t>
      </w:r>
      <w:r>
        <w:rPr>
          <w:spacing w:val="-8"/>
        </w:rPr>
        <w:t> </w:t>
      </w:r>
      <w:r>
        <w:rPr/>
        <w:t>defined</w:t>
      </w:r>
      <w:r>
        <w:rPr>
          <w:spacing w:val="-8"/>
        </w:rPr>
        <w:t> </w:t>
      </w:r>
      <w:r>
        <w:rPr/>
        <w:t>as</w:t>
      </w:r>
      <w:r>
        <w:rPr>
          <w:spacing w:val="-8"/>
        </w:rPr>
        <w:t> </w:t>
      </w:r>
      <w:r>
        <w:rPr/>
        <w:t>value</w:t>
      </w:r>
      <w:r>
        <w:rPr>
          <w:spacing w:val="-9"/>
        </w:rPr>
        <w:t> </w:t>
      </w:r>
      <w:r>
        <w:rPr/>
        <w:t>relevant</w:t>
      </w:r>
      <w:r>
        <w:rPr>
          <w:spacing w:val="-8"/>
        </w:rPr>
        <w:t> </w:t>
      </w:r>
      <w:r>
        <w:rPr/>
        <w:t>if</w:t>
      </w:r>
      <w:r>
        <w:rPr>
          <w:spacing w:val="-9"/>
        </w:rPr>
        <w:t> </w:t>
      </w:r>
      <w:r>
        <w:rPr/>
        <w:t>it</w:t>
      </w:r>
      <w:r>
        <w:rPr>
          <w:spacing w:val="-8"/>
        </w:rPr>
        <w:t> </w:t>
      </w:r>
      <w:r>
        <w:rPr/>
        <w:t>has a</w:t>
      </w:r>
      <w:r>
        <w:rPr>
          <w:spacing w:val="-6"/>
        </w:rPr>
        <w:t> </w:t>
      </w:r>
      <w:r>
        <w:rPr/>
        <w:t>predicted</w:t>
      </w:r>
      <w:r>
        <w:rPr>
          <w:spacing w:val="-5"/>
        </w:rPr>
        <w:t> </w:t>
      </w:r>
      <w:r>
        <w:rPr/>
        <w:t>association</w:t>
      </w:r>
      <w:r>
        <w:rPr>
          <w:spacing w:val="-5"/>
        </w:rPr>
        <w:t> </w:t>
      </w:r>
      <w:r>
        <w:rPr/>
        <w:t>with</w:t>
      </w:r>
      <w:r>
        <w:rPr>
          <w:spacing w:val="-5"/>
        </w:rPr>
        <w:t> </w:t>
      </w:r>
      <w:r>
        <w:rPr/>
        <w:t>share</w:t>
      </w:r>
      <w:r>
        <w:rPr>
          <w:spacing w:val="-7"/>
        </w:rPr>
        <w:t> </w:t>
      </w:r>
      <w:r>
        <w:rPr/>
        <w:t>prices.</w:t>
      </w:r>
      <w:r>
        <w:rPr>
          <w:spacing w:val="-2"/>
        </w:rPr>
        <w:t> </w:t>
      </w:r>
      <w:r>
        <w:rPr/>
        <w:t>This</w:t>
      </w:r>
      <w:r>
        <w:rPr>
          <w:spacing w:val="-4"/>
        </w:rPr>
        <w:t> </w:t>
      </w:r>
      <w:r>
        <w:rPr/>
        <w:t>happens</w:t>
      </w:r>
      <w:r>
        <w:rPr>
          <w:spacing w:val="-5"/>
        </w:rPr>
        <w:t> </w:t>
      </w:r>
      <w:r>
        <w:rPr/>
        <w:t>only</w:t>
      </w:r>
      <w:r>
        <w:rPr>
          <w:spacing w:val="-4"/>
        </w:rPr>
        <w:t> </w:t>
      </w:r>
      <w:r>
        <w:rPr/>
        <w:t>if</w:t>
      </w:r>
      <w:r>
        <w:rPr>
          <w:spacing w:val="-5"/>
        </w:rPr>
        <w:t> </w:t>
      </w:r>
      <w:r>
        <w:rPr/>
        <w:t>the</w:t>
      </w:r>
      <w:r>
        <w:rPr>
          <w:spacing w:val="-2"/>
        </w:rPr>
        <w:t> </w:t>
      </w:r>
      <w:r>
        <w:rPr/>
        <w:t>amount</w:t>
      </w:r>
      <w:r>
        <w:rPr>
          <w:spacing w:val="-4"/>
        </w:rPr>
        <w:t> </w:t>
      </w:r>
      <w:r>
        <w:rPr/>
        <w:t>reflects</w:t>
      </w:r>
      <w:r>
        <w:rPr>
          <w:spacing w:val="-4"/>
        </w:rPr>
        <w:t> </w:t>
      </w:r>
      <w:r>
        <w:rPr/>
        <w:t>information relevant</w:t>
      </w:r>
      <w:r>
        <w:rPr>
          <w:spacing w:val="-5"/>
        </w:rPr>
        <w:t> </w:t>
      </w:r>
      <w:r>
        <w:rPr/>
        <w:t>to</w:t>
      </w:r>
      <w:r>
        <w:rPr>
          <w:spacing w:val="-7"/>
        </w:rPr>
        <w:t> </w:t>
      </w:r>
      <w:r>
        <w:rPr/>
        <w:t>investors</w:t>
      </w:r>
      <w:r>
        <w:rPr>
          <w:spacing w:val="-7"/>
        </w:rPr>
        <w:t> </w:t>
      </w:r>
      <w:r>
        <w:rPr/>
        <w:t>in</w:t>
      </w:r>
      <w:r>
        <w:rPr>
          <w:spacing w:val="-5"/>
        </w:rPr>
        <w:t> </w:t>
      </w:r>
      <w:r>
        <w:rPr/>
        <w:t>valuing</w:t>
      </w:r>
      <w:r>
        <w:rPr>
          <w:spacing w:val="-7"/>
        </w:rPr>
        <w:t> </w:t>
      </w:r>
      <w:r>
        <w:rPr/>
        <w:t>a</w:t>
      </w:r>
      <w:r>
        <w:rPr>
          <w:spacing w:val="-6"/>
        </w:rPr>
        <w:t> </w:t>
      </w:r>
      <w:r>
        <w:rPr/>
        <w:t>firm,</w:t>
      </w:r>
      <w:r>
        <w:rPr>
          <w:spacing w:val="-7"/>
        </w:rPr>
        <w:t> </w:t>
      </w:r>
      <w:r>
        <w:rPr/>
        <w:t>and</w:t>
      </w:r>
      <w:r>
        <w:rPr>
          <w:spacing w:val="-5"/>
        </w:rPr>
        <w:t> </w:t>
      </w:r>
      <w:r>
        <w:rPr/>
        <w:t>is</w:t>
      </w:r>
      <w:r>
        <w:rPr>
          <w:spacing w:val="-7"/>
        </w:rPr>
        <w:t> </w:t>
      </w:r>
      <w:r>
        <w:rPr/>
        <w:t>measured</w:t>
      </w:r>
      <w:r>
        <w:rPr>
          <w:spacing w:val="-7"/>
        </w:rPr>
        <w:t> </w:t>
      </w:r>
      <w:r>
        <w:rPr/>
        <w:t>reliably</w:t>
      </w:r>
      <w:r>
        <w:rPr>
          <w:spacing w:val="-7"/>
        </w:rPr>
        <w:t> </w:t>
      </w:r>
      <w:r>
        <w:rPr/>
        <w:t>enough</w:t>
      </w:r>
      <w:r>
        <w:rPr>
          <w:spacing w:val="-5"/>
        </w:rPr>
        <w:t> </w:t>
      </w:r>
      <w:r>
        <w:rPr/>
        <w:t>to</w:t>
      </w:r>
      <w:r>
        <w:rPr>
          <w:spacing w:val="-4"/>
        </w:rPr>
        <w:t> </w:t>
      </w:r>
      <w:r>
        <w:rPr/>
        <w:t>be</w:t>
      </w:r>
      <w:r>
        <w:rPr>
          <w:spacing w:val="-8"/>
        </w:rPr>
        <w:t> </w:t>
      </w:r>
      <w:r>
        <w:rPr/>
        <w:t>reflected</w:t>
      </w:r>
      <w:r>
        <w:rPr>
          <w:spacing w:val="-7"/>
        </w:rPr>
        <w:t> </w:t>
      </w:r>
      <w:r>
        <w:rPr/>
        <w:t>in</w:t>
      </w:r>
      <w:r>
        <w:rPr>
          <w:spacing w:val="-7"/>
        </w:rPr>
        <w:t> </w:t>
      </w:r>
      <w:r>
        <w:rPr/>
        <w:t>share prices. The quality of these attributes jointly depends on how financial statements items are incorporated and measured plus their disclosure quality. Therefore, value relevance research interprets</w:t>
      </w:r>
      <w:r>
        <w:rPr>
          <w:spacing w:val="-4"/>
        </w:rPr>
        <w:t> </w:t>
      </w:r>
      <w:r>
        <w:rPr/>
        <w:t>accounting</w:t>
      </w:r>
      <w:r>
        <w:rPr>
          <w:spacing w:val="-4"/>
        </w:rPr>
        <w:t> </w:t>
      </w:r>
      <w:r>
        <w:rPr/>
        <w:t>amounts</w:t>
      </w:r>
      <w:r>
        <w:rPr>
          <w:spacing w:val="-4"/>
        </w:rPr>
        <w:t> </w:t>
      </w:r>
      <w:r>
        <w:rPr/>
        <w:t>that</w:t>
      </w:r>
      <w:r>
        <w:rPr>
          <w:spacing w:val="-4"/>
        </w:rPr>
        <w:t> </w:t>
      </w:r>
      <w:r>
        <w:rPr/>
        <w:t>are</w:t>
      </w:r>
      <w:r>
        <w:rPr>
          <w:spacing w:val="-4"/>
        </w:rPr>
        <w:t> </w:t>
      </w:r>
      <w:r>
        <w:rPr/>
        <w:t>more</w:t>
      </w:r>
      <w:r>
        <w:rPr>
          <w:spacing w:val="-6"/>
        </w:rPr>
        <w:t> </w:t>
      </w:r>
      <w:r>
        <w:rPr/>
        <w:t>value</w:t>
      </w:r>
      <w:r>
        <w:rPr>
          <w:spacing w:val="-4"/>
        </w:rPr>
        <w:t> </w:t>
      </w:r>
      <w:r>
        <w:rPr/>
        <w:t>relevant</w:t>
      </w:r>
      <w:r>
        <w:rPr>
          <w:spacing w:val="-4"/>
        </w:rPr>
        <w:t> </w:t>
      </w:r>
      <w:r>
        <w:rPr/>
        <w:t>as</w:t>
      </w:r>
      <w:r>
        <w:rPr>
          <w:spacing w:val="-4"/>
        </w:rPr>
        <w:t> </w:t>
      </w:r>
      <w:r>
        <w:rPr/>
        <w:t>being</w:t>
      </w:r>
      <w:r>
        <w:rPr>
          <w:spacing w:val="-4"/>
        </w:rPr>
        <w:t> </w:t>
      </w:r>
      <w:r>
        <w:rPr/>
        <w:t>of</w:t>
      </w:r>
      <w:r>
        <w:rPr>
          <w:spacing w:val="-4"/>
        </w:rPr>
        <w:t> </w:t>
      </w:r>
      <w:r>
        <w:rPr/>
        <w:t>higher</w:t>
      </w:r>
      <w:r>
        <w:rPr>
          <w:spacing w:val="-4"/>
        </w:rPr>
        <w:t> </w:t>
      </w:r>
      <w:r>
        <w:rPr/>
        <w:t>quality.</w:t>
      </w:r>
      <w:r>
        <w:rPr>
          <w:spacing w:val="-4"/>
        </w:rPr>
        <w:t> </w:t>
      </w:r>
      <w:r>
        <w:rPr/>
        <w:t>Verleun et</w:t>
      </w:r>
      <w:r>
        <w:rPr>
          <w:spacing w:val="17"/>
        </w:rPr>
        <w:t> </w:t>
      </w:r>
      <w:r>
        <w:rPr/>
        <w:t>al.</w:t>
      </w:r>
      <w:r>
        <w:rPr>
          <w:spacing w:val="20"/>
        </w:rPr>
        <w:t> </w:t>
      </w:r>
      <w:r>
        <w:rPr/>
        <w:t>(2011)</w:t>
      </w:r>
      <w:r>
        <w:rPr>
          <w:spacing w:val="19"/>
        </w:rPr>
        <w:t> </w:t>
      </w:r>
      <w:r>
        <w:rPr/>
        <w:t>asserted</w:t>
      </w:r>
      <w:r>
        <w:rPr>
          <w:spacing w:val="20"/>
        </w:rPr>
        <w:t> </w:t>
      </w:r>
      <w:r>
        <w:rPr/>
        <w:t>that</w:t>
      </w:r>
      <w:r>
        <w:rPr>
          <w:spacing w:val="20"/>
        </w:rPr>
        <w:t> </w:t>
      </w:r>
      <w:r>
        <w:rPr/>
        <w:t>what</w:t>
      </w:r>
      <w:r>
        <w:rPr>
          <w:spacing w:val="20"/>
        </w:rPr>
        <w:t> </w:t>
      </w:r>
      <w:r>
        <w:rPr/>
        <w:t>mattered</w:t>
      </w:r>
      <w:r>
        <w:rPr>
          <w:spacing w:val="20"/>
        </w:rPr>
        <w:t> </w:t>
      </w:r>
      <w:r>
        <w:rPr/>
        <w:t>was</w:t>
      </w:r>
      <w:r>
        <w:rPr>
          <w:spacing w:val="24"/>
        </w:rPr>
        <w:t> </w:t>
      </w:r>
      <w:r>
        <w:rPr/>
        <w:t>the</w:t>
      </w:r>
      <w:r>
        <w:rPr>
          <w:spacing w:val="22"/>
        </w:rPr>
        <w:t> </w:t>
      </w:r>
      <w:r>
        <w:rPr/>
        <w:t>quality</w:t>
      </w:r>
      <w:r>
        <w:rPr>
          <w:spacing w:val="20"/>
        </w:rPr>
        <w:t> </w:t>
      </w:r>
      <w:r>
        <w:rPr/>
        <w:t>of</w:t>
      </w:r>
      <w:r>
        <w:rPr>
          <w:spacing w:val="19"/>
        </w:rPr>
        <w:t> </w:t>
      </w:r>
      <w:r>
        <w:rPr/>
        <w:t>market</w:t>
      </w:r>
      <w:r>
        <w:rPr>
          <w:spacing w:val="20"/>
        </w:rPr>
        <w:t> </w:t>
      </w:r>
      <w:r>
        <w:rPr/>
        <w:t>based</w:t>
      </w:r>
      <w:r>
        <w:rPr>
          <w:spacing w:val="22"/>
        </w:rPr>
        <w:t> </w:t>
      </w:r>
      <w:r>
        <w:rPr/>
        <w:t>attributes</w:t>
      </w:r>
      <w:r>
        <w:rPr>
          <w:spacing w:val="20"/>
        </w:rPr>
        <w:t> </w:t>
      </w:r>
      <w:r>
        <w:rPr>
          <w:spacing w:val="-2"/>
        </w:rPr>
        <w:t>because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76544">
            <wp:simplePos x="0" y="0"/>
            <wp:positionH relativeFrom="page">
              <wp:posOffset>1095451</wp:posOffset>
            </wp:positionH>
            <wp:positionV relativeFrom="paragraph">
              <wp:posOffset>1850770</wp:posOffset>
            </wp:positionV>
            <wp:extent cx="5106847" cy="52381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5" cstate="print"/>
                    <a:stretch>
                      <a:fillRect/>
                    </a:stretch>
                  </pic:blipFill>
                  <pic:spPr>
                    <a:xfrm>
                      <a:off x="0" y="0"/>
                      <a:ext cx="5106847" cy="5238115"/>
                    </a:xfrm>
                    <a:prstGeom prst="rect">
                      <a:avLst/>
                    </a:prstGeom>
                  </pic:spPr>
                </pic:pic>
              </a:graphicData>
            </a:graphic>
          </wp:anchor>
        </w:drawing>
      </w:r>
      <w:r>
        <w:rPr/>
        <w:t>they</w:t>
      </w:r>
      <w:r>
        <w:rPr>
          <w:spacing w:val="-3"/>
        </w:rPr>
        <w:t> </w:t>
      </w:r>
      <w:r>
        <w:rPr/>
        <w:t>embodied</w:t>
      </w:r>
      <w:r>
        <w:rPr>
          <w:spacing w:val="-3"/>
        </w:rPr>
        <w:t> </w:t>
      </w:r>
      <w:r>
        <w:rPr/>
        <w:t>the</w:t>
      </w:r>
      <w:r>
        <w:rPr>
          <w:spacing w:val="-2"/>
        </w:rPr>
        <w:t> </w:t>
      </w:r>
      <w:r>
        <w:rPr/>
        <w:t>relationship</w:t>
      </w:r>
      <w:r>
        <w:rPr>
          <w:spacing w:val="-3"/>
        </w:rPr>
        <w:t> </w:t>
      </w:r>
      <w:r>
        <w:rPr/>
        <w:t>between</w:t>
      </w:r>
      <w:r>
        <w:rPr>
          <w:spacing w:val="-1"/>
        </w:rPr>
        <w:t> </w:t>
      </w:r>
      <w:r>
        <w:rPr/>
        <w:t>the</w:t>
      </w:r>
      <w:r>
        <w:rPr>
          <w:spacing w:val="-3"/>
        </w:rPr>
        <w:t> </w:t>
      </w:r>
      <w:r>
        <w:rPr/>
        <w:t>accounting</w:t>
      </w:r>
      <w:r>
        <w:rPr>
          <w:spacing w:val="-3"/>
        </w:rPr>
        <w:t> </w:t>
      </w:r>
      <w:r>
        <w:rPr/>
        <w:t>numbers</w:t>
      </w:r>
      <w:r>
        <w:rPr>
          <w:spacing w:val="-3"/>
        </w:rPr>
        <w:t> </w:t>
      </w:r>
      <w:r>
        <w:rPr/>
        <w:t>and</w:t>
      </w:r>
      <w:r>
        <w:rPr>
          <w:spacing w:val="-3"/>
        </w:rPr>
        <w:t> </w:t>
      </w:r>
      <w:r>
        <w:rPr/>
        <w:t>the</w:t>
      </w:r>
      <w:r>
        <w:rPr>
          <w:spacing w:val="-4"/>
        </w:rPr>
        <w:t> </w:t>
      </w:r>
      <w:r>
        <w:rPr/>
        <w:t>investors´</w:t>
      </w:r>
      <w:r>
        <w:rPr>
          <w:spacing w:val="-2"/>
        </w:rPr>
        <w:t> </w:t>
      </w:r>
      <w:r>
        <w:rPr/>
        <w:t>perception of the numbers. Francis and Schipper (1999) viewed earnings to be of a higher quality when they were value relevant, for example, when the earnings were strongly associated with the security price. Verleun et al. (2011) opined that when a financial report was reliable, to some extent, it might not be relevant, vice versa. This trade-off is also something that we see when we measure accounting quality since some measures focus more on relevance where others focus more on reliability. Verleun et al. (2011) admitted that while those concepts sounded contradictory, however, it did not automatically mean that an increase in relevance could not be equal to an increase in reliability.</w:t>
      </w:r>
    </w:p>
    <w:p>
      <w:pPr>
        <w:pStyle w:val="BodyText"/>
        <w:spacing w:line="480" w:lineRule="auto" w:before="1"/>
        <w:ind w:left="940" w:right="1433"/>
        <w:jc w:val="both"/>
      </w:pPr>
      <w:r>
        <w:rPr/>
        <w:t>Although</w:t>
      </w:r>
      <w:r>
        <w:rPr>
          <w:spacing w:val="-14"/>
        </w:rPr>
        <w:t> </w:t>
      </w:r>
      <w:r>
        <w:rPr/>
        <w:t>prior</w:t>
      </w:r>
      <w:r>
        <w:rPr>
          <w:spacing w:val="-15"/>
        </w:rPr>
        <w:t> </w:t>
      </w:r>
      <w:r>
        <w:rPr/>
        <w:t>authors</w:t>
      </w:r>
      <w:r>
        <w:rPr>
          <w:spacing w:val="-14"/>
        </w:rPr>
        <w:t> </w:t>
      </w:r>
      <w:r>
        <w:rPr/>
        <w:t>made</w:t>
      </w:r>
      <w:r>
        <w:rPr>
          <w:spacing w:val="-15"/>
        </w:rPr>
        <w:t> </w:t>
      </w:r>
      <w:r>
        <w:rPr/>
        <w:t>their</w:t>
      </w:r>
      <w:r>
        <w:rPr>
          <w:spacing w:val="-13"/>
        </w:rPr>
        <w:t> </w:t>
      </w:r>
      <w:r>
        <w:rPr/>
        <w:t>contributions</w:t>
      </w:r>
      <w:r>
        <w:rPr>
          <w:spacing w:val="-14"/>
        </w:rPr>
        <w:t> </w:t>
      </w:r>
      <w:r>
        <w:rPr/>
        <w:t>to</w:t>
      </w:r>
      <w:r>
        <w:rPr>
          <w:spacing w:val="-14"/>
        </w:rPr>
        <w:t> </w:t>
      </w:r>
      <w:r>
        <w:rPr/>
        <w:t>the</w:t>
      </w:r>
      <w:r>
        <w:rPr>
          <w:spacing w:val="-15"/>
        </w:rPr>
        <w:t> </w:t>
      </w:r>
      <w:r>
        <w:rPr/>
        <w:t>concept,</w:t>
      </w:r>
      <w:r>
        <w:rPr>
          <w:spacing w:val="-14"/>
        </w:rPr>
        <w:t> </w:t>
      </w:r>
      <w:r>
        <w:rPr/>
        <w:t>however,</w:t>
      </w:r>
      <w:r>
        <w:rPr>
          <w:spacing w:val="-14"/>
        </w:rPr>
        <w:t> </w:t>
      </w:r>
      <w:r>
        <w:rPr/>
        <w:t>the</w:t>
      </w:r>
      <w:r>
        <w:rPr>
          <w:spacing w:val="-13"/>
        </w:rPr>
        <w:t> </w:t>
      </w:r>
      <w:r>
        <w:rPr/>
        <w:t>lack</w:t>
      </w:r>
      <w:r>
        <w:rPr>
          <w:spacing w:val="-14"/>
        </w:rPr>
        <w:t> </w:t>
      </w:r>
      <w:r>
        <w:rPr/>
        <w:t>of</w:t>
      </w:r>
      <w:r>
        <w:rPr>
          <w:spacing w:val="-15"/>
        </w:rPr>
        <w:t> </w:t>
      </w:r>
      <w:r>
        <w:rPr/>
        <w:t>uniformity in explaining the concepts is that most of those authors did not address the concept from the perspective of the IASB conceptual framework on financial reporting. The IASB conceptual framework on financial reporting gives the characteristics of a quality financial report. The International Accounting Standards Board conceptual framework on financial reporting ([IASB], 2008, p. 12) opined that ‘’financial reporting quality is hinged on decision-useful information’’.</w:t>
      </w:r>
      <w:r>
        <w:rPr>
          <w:spacing w:val="-8"/>
        </w:rPr>
        <w:t> </w:t>
      </w:r>
      <w:r>
        <w:rPr/>
        <w:t>Decision-useful</w:t>
      </w:r>
      <w:r>
        <w:rPr>
          <w:spacing w:val="-9"/>
        </w:rPr>
        <w:t> </w:t>
      </w:r>
      <w:r>
        <w:rPr/>
        <w:t>information</w:t>
      </w:r>
      <w:r>
        <w:rPr>
          <w:spacing w:val="-8"/>
        </w:rPr>
        <w:t> </w:t>
      </w:r>
      <w:r>
        <w:rPr/>
        <w:t>is</w:t>
      </w:r>
      <w:r>
        <w:rPr>
          <w:spacing w:val="-8"/>
        </w:rPr>
        <w:t> </w:t>
      </w:r>
      <w:r>
        <w:rPr/>
        <w:t>that</w:t>
      </w:r>
      <w:r>
        <w:rPr>
          <w:spacing w:val="-13"/>
        </w:rPr>
        <w:t> </w:t>
      </w:r>
      <w:r>
        <w:rPr/>
        <w:t>information</w:t>
      </w:r>
      <w:r>
        <w:rPr>
          <w:spacing w:val="-8"/>
        </w:rPr>
        <w:t> </w:t>
      </w:r>
      <w:r>
        <w:rPr/>
        <w:t>about</w:t>
      </w:r>
      <w:r>
        <w:rPr>
          <w:spacing w:val="-8"/>
        </w:rPr>
        <w:t> </w:t>
      </w:r>
      <w:r>
        <w:rPr/>
        <w:t>the</w:t>
      </w:r>
      <w:r>
        <w:rPr>
          <w:spacing w:val="-9"/>
        </w:rPr>
        <w:t> </w:t>
      </w:r>
      <w:r>
        <w:rPr/>
        <w:t>reporting</w:t>
      </w:r>
      <w:r>
        <w:rPr>
          <w:spacing w:val="-8"/>
        </w:rPr>
        <w:t> </w:t>
      </w:r>
      <w:r>
        <w:rPr/>
        <w:t>entity</w:t>
      </w:r>
      <w:r>
        <w:rPr>
          <w:spacing w:val="-10"/>
        </w:rPr>
        <w:t> </w:t>
      </w:r>
      <w:r>
        <w:rPr/>
        <w:t>that</w:t>
      </w:r>
      <w:r>
        <w:rPr>
          <w:spacing w:val="-8"/>
        </w:rPr>
        <w:t> </w:t>
      </w:r>
      <w:r>
        <w:rPr/>
        <w:t>is useful to present equity investors, lenders and other creditors in making decisions in their capacity</w:t>
      </w:r>
      <w:r>
        <w:rPr>
          <w:spacing w:val="-7"/>
        </w:rPr>
        <w:t> </w:t>
      </w:r>
      <w:r>
        <w:rPr/>
        <w:t>as</w:t>
      </w:r>
      <w:r>
        <w:rPr>
          <w:spacing w:val="-7"/>
        </w:rPr>
        <w:t> </w:t>
      </w:r>
      <w:r>
        <w:rPr/>
        <w:t>capital</w:t>
      </w:r>
      <w:r>
        <w:rPr>
          <w:spacing w:val="-7"/>
        </w:rPr>
        <w:t> </w:t>
      </w:r>
      <w:r>
        <w:rPr/>
        <w:t>providers.</w:t>
      </w:r>
      <w:r>
        <w:rPr>
          <w:spacing w:val="-8"/>
        </w:rPr>
        <w:t> </w:t>
      </w:r>
      <w:r>
        <w:rPr/>
        <w:t>Therefore,</w:t>
      </w:r>
      <w:r>
        <w:rPr>
          <w:spacing w:val="-7"/>
        </w:rPr>
        <w:t> </w:t>
      </w:r>
      <w:r>
        <w:rPr/>
        <w:t>financial</w:t>
      </w:r>
      <w:r>
        <w:rPr>
          <w:spacing w:val="-7"/>
        </w:rPr>
        <w:t> </w:t>
      </w:r>
      <w:r>
        <w:rPr/>
        <w:t>reporting</w:t>
      </w:r>
      <w:r>
        <w:rPr>
          <w:spacing w:val="-7"/>
        </w:rPr>
        <w:t> </w:t>
      </w:r>
      <w:r>
        <w:rPr/>
        <w:t>quality</w:t>
      </w:r>
      <w:r>
        <w:rPr>
          <w:spacing w:val="-7"/>
        </w:rPr>
        <w:t> </w:t>
      </w:r>
      <w:r>
        <w:rPr/>
        <w:t>is</w:t>
      </w:r>
      <w:r>
        <w:rPr>
          <w:spacing w:val="-7"/>
        </w:rPr>
        <w:t> </w:t>
      </w:r>
      <w:r>
        <w:rPr/>
        <w:t>construed</w:t>
      </w:r>
      <w:r>
        <w:rPr>
          <w:spacing w:val="-7"/>
        </w:rPr>
        <w:t> </w:t>
      </w:r>
      <w:r>
        <w:rPr/>
        <w:t>in</w:t>
      </w:r>
      <w:r>
        <w:rPr>
          <w:spacing w:val="-7"/>
        </w:rPr>
        <w:t> </w:t>
      </w:r>
      <w:r>
        <w:rPr/>
        <w:t>terms</w:t>
      </w:r>
      <w:r>
        <w:rPr>
          <w:spacing w:val="-7"/>
        </w:rPr>
        <w:t> </w:t>
      </w:r>
      <w:r>
        <w:rPr/>
        <w:t>of</w:t>
      </w:r>
      <w:r>
        <w:rPr>
          <w:spacing w:val="-8"/>
        </w:rPr>
        <w:t> </w:t>
      </w:r>
      <w:r>
        <w:rPr/>
        <w:t>the qualitative characteristics of financial information. According to the new IASB Conceptual Framework for Financial Reporting (2010), these characteristics are classified into: fundamental qualitative characteristics (relevance and faithful representation) and the enhancing qualitative characteristics (understandability, comparability, verifiability and timeliness). Information in financial statements is relevant when it is capable of making a difference to a financial statement user’s decisions. Relevant information has a confirmatory or</w:t>
      </w:r>
      <w:r>
        <w:rPr>
          <w:spacing w:val="7"/>
        </w:rPr>
        <w:t> </w:t>
      </w:r>
      <w:r>
        <w:rPr/>
        <w:t>predictive</w:t>
      </w:r>
      <w:r>
        <w:rPr>
          <w:spacing w:val="8"/>
        </w:rPr>
        <w:t> </w:t>
      </w:r>
      <w:r>
        <w:rPr/>
        <w:t>value.</w:t>
      </w:r>
      <w:r>
        <w:rPr>
          <w:spacing w:val="10"/>
        </w:rPr>
        <w:t> </w:t>
      </w:r>
      <w:r>
        <w:rPr/>
        <w:t>Faithful</w:t>
      </w:r>
      <w:r>
        <w:rPr>
          <w:spacing w:val="9"/>
        </w:rPr>
        <w:t> </w:t>
      </w:r>
      <w:r>
        <w:rPr/>
        <w:t>representation</w:t>
      </w:r>
      <w:r>
        <w:rPr>
          <w:spacing w:val="9"/>
        </w:rPr>
        <w:t> </w:t>
      </w:r>
      <w:r>
        <w:rPr/>
        <w:t>means</w:t>
      </w:r>
      <w:r>
        <w:rPr>
          <w:spacing w:val="11"/>
        </w:rPr>
        <w:t> </w:t>
      </w:r>
      <w:r>
        <w:rPr/>
        <w:t>that</w:t>
      </w:r>
      <w:r>
        <w:rPr>
          <w:spacing w:val="9"/>
        </w:rPr>
        <w:t> </w:t>
      </w:r>
      <w:r>
        <w:rPr/>
        <w:t>the</w:t>
      </w:r>
      <w:r>
        <w:rPr>
          <w:spacing w:val="8"/>
        </w:rPr>
        <w:t> </w:t>
      </w:r>
      <w:r>
        <w:rPr/>
        <w:t>information</w:t>
      </w:r>
      <w:r>
        <w:rPr>
          <w:spacing w:val="8"/>
        </w:rPr>
        <w:t> </w:t>
      </w:r>
      <w:r>
        <w:rPr/>
        <w:t>reflects</w:t>
      </w:r>
      <w:r>
        <w:rPr>
          <w:spacing w:val="10"/>
        </w:rPr>
        <w:t> </w:t>
      </w:r>
      <w:r>
        <w:rPr/>
        <w:t>the</w:t>
      </w:r>
      <w:r>
        <w:rPr>
          <w:spacing w:val="8"/>
        </w:rPr>
        <w:t> </w:t>
      </w:r>
      <w:r>
        <w:rPr/>
        <w:t>real-</w:t>
      </w:r>
      <w:r>
        <w:rPr>
          <w:spacing w:val="-2"/>
        </w:rPr>
        <w:t>world</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77056">
            <wp:simplePos x="0" y="0"/>
            <wp:positionH relativeFrom="page">
              <wp:posOffset>1095451</wp:posOffset>
            </wp:positionH>
            <wp:positionV relativeFrom="paragraph">
              <wp:posOffset>1850770</wp:posOffset>
            </wp:positionV>
            <wp:extent cx="5106847" cy="5238115"/>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5" cstate="print"/>
                    <a:stretch>
                      <a:fillRect/>
                    </a:stretch>
                  </pic:blipFill>
                  <pic:spPr>
                    <a:xfrm>
                      <a:off x="0" y="0"/>
                      <a:ext cx="5106847" cy="5238115"/>
                    </a:xfrm>
                    <a:prstGeom prst="rect">
                      <a:avLst/>
                    </a:prstGeom>
                  </pic:spPr>
                </pic:pic>
              </a:graphicData>
            </a:graphic>
          </wp:anchor>
        </w:drawing>
      </w:r>
      <w:r>
        <w:rPr/>
        <w:t>economic</w:t>
      </w:r>
      <w:r>
        <w:rPr>
          <w:spacing w:val="-2"/>
        </w:rPr>
        <w:t> </w:t>
      </w:r>
      <w:r>
        <w:rPr/>
        <w:t>phenomena</w:t>
      </w:r>
      <w:r>
        <w:rPr>
          <w:spacing w:val="-2"/>
        </w:rPr>
        <w:t> </w:t>
      </w:r>
      <w:r>
        <w:rPr/>
        <w:t>that</w:t>
      </w:r>
      <w:r>
        <w:rPr>
          <w:spacing w:val="-1"/>
        </w:rPr>
        <w:t> </w:t>
      </w:r>
      <w:r>
        <w:rPr/>
        <w:t>it purports</w:t>
      </w:r>
      <w:r>
        <w:rPr>
          <w:spacing w:val="-1"/>
        </w:rPr>
        <w:t> </w:t>
      </w:r>
      <w:r>
        <w:rPr/>
        <w:t>to</w:t>
      </w:r>
      <w:r>
        <w:rPr>
          <w:spacing w:val="-1"/>
        </w:rPr>
        <w:t> </w:t>
      </w:r>
      <w:r>
        <w:rPr/>
        <w:t>represent.</w:t>
      </w:r>
      <w:r>
        <w:rPr>
          <w:spacing w:val="-1"/>
        </w:rPr>
        <w:t> </w:t>
      </w:r>
      <w:r>
        <w:rPr/>
        <w:t>Relevant and</w:t>
      </w:r>
      <w:r>
        <w:rPr>
          <w:spacing w:val="-1"/>
        </w:rPr>
        <w:t> </w:t>
      </w:r>
      <w:r>
        <w:rPr/>
        <w:t>faithful</w:t>
      </w:r>
      <w:r>
        <w:rPr>
          <w:spacing w:val="-2"/>
        </w:rPr>
        <w:t> </w:t>
      </w:r>
      <w:r>
        <w:rPr/>
        <w:t>representation</w:t>
      </w:r>
      <w:r>
        <w:rPr>
          <w:spacing w:val="-1"/>
        </w:rPr>
        <w:t> </w:t>
      </w:r>
      <w:r>
        <w:rPr/>
        <w:t>makes financial statements useful to the reader. The enhancing qualitative characteristics distinguish more useful information from less useful information. They enhance the decision-usefulness of financial reporting information that is relevant and faithfully represented. According to the IASB</w:t>
      </w:r>
      <w:r>
        <w:rPr>
          <w:spacing w:val="-3"/>
        </w:rPr>
        <w:t> </w:t>
      </w:r>
      <w:r>
        <w:rPr/>
        <w:t>(2008),</w:t>
      </w:r>
      <w:r>
        <w:rPr>
          <w:spacing w:val="-3"/>
        </w:rPr>
        <w:t> </w:t>
      </w:r>
      <w:r>
        <w:rPr/>
        <w:t>the</w:t>
      </w:r>
      <w:r>
        <w:rPr>
          <w:spacing w:val="-5"/>
        </w:rPr>
        <w:t> </w:t>
      </w:r>
      <w:r>
        <w:rPr/>
        <w:t>fundamental</w:t>
      </w:r>
      <w:r>
        <w:rPr>
          <w:spacing w:val="-3"/>
        </w:rPr>
        <w:t> </w:t>
      </w:r>
      <w:r>
        <w:rPr/>
        <w:t>characteristics</w:t>
      </w:r>
      <w:r>
        <w:rPr>
          <w:spacing w:val="-3"/>
        </w:rPr>
        <w:t> </w:t>
      </w:r>
      <w:r>
        <w:rPr/>
        <w:t>are</w:t>
      </w:r>
      <w:r>
        <w:rPr>
          <w:spacing w:val="-3"/>
        </w:rPr>
        <w:t> </w:t>
      </w:r>
      <w:r>
        <w:rPr/>
        <w:t>most</w:t>
      </w:r>
      <w:r>
        <w:rPr>
          <w:spacing w:val="-3"/>
        </w:rPr>
        <w:t> </w:t>
      </w:r>
      <w:r>
        <w:rPr/>
        <w:t>important</w:t>
      </w:r>
      <w:r>
        <w:rPr>
          <w:spacing w:val="-3"/>
        </w:rPr>
        <w:t> </w:t>
      </w:r>
      <w:r>
        <w:rPr/>
        <w:t>and</w:t>
      </w:r>
      <w:r>
        <w:rPr>
          <w:spacing w:val="-3"/>
        </w:rPr>
        <w:t> </w:t>
      </w:r>
      <w:r>
        <w:rPr/>
        <w:t>determine</w:t>
      </w:r>
      <w:r>
        <w:rPr>
          <w:spacing w:val="-4"/>
        </w:rPr>
        <w:t> </w:t>
      </w:r>
      <w:r>
        <w:rPr/>
        <w:t>the</w:t>
      </w:r>
      <w:r>
        <w:rPr>
          <w:spacing w:val="-3"/>
        </w:rPr>
        <w:t> </w:t>
      </w:r>
      <w:r>
        <w:rPr/>
        <w:t>content</w:t>
      </w:r>
      <w:r>
        <w:rPr>
          <w:spacing w:val="-3"/>
        </w:rPr>
        <w:t> </w:t>
      </w:r>
      <w:r>
        <w:rPr/>
        <w:t>of financial</w:t>
      </w:r>
      <w:r>
        <w:rPr>
          <w:spacing w:val="-1"/>
        </w:rPr>
        <w:t> </w:t>
      </w:r>
      <w:r>
        <w:rPr/>
        <w:t>reporting.</w:t>
      </w:r>
      <w:r>
        <w:rPr>
          <w:spacing w:val="-1"/>
        </w:rPr>
        <w:t> </w:t>
      </w:r>
      <w:r>
        <w:rPr/>
        <w:t>The</w:t>
      </w:r>
      <w:r>
        <w:rPr>
          <w:spacing w:val="-2"/>
        </w:rPr>
        <w:t> </w:t>
      </w:r>
      <w:r>
        <w:rPr/>
        <w:t>enhancing</w:t>
      </w:r>
      <w:r>
        <w:rPr>
          <w:spacing w:val="-1"/>
        </w:rPr>
        <w:t> </w:t>
      </w:r>
      <w:r>
        <w:rPr/>
        <w:t>qualitative characteristics can</w:t>
      </w:r>
      <w:r>
        <w:rPr>
          <w:spacing w:val="-1"/>
        </w:rPr>
        <w:t> </w:t>
      </w:r>
      <w:r>
        <w:rPr/>
        <w:t>improve</w:t>
      </w:r>
      <w:r>
        <w:rPr>
          <w:spacing w:val="-2"/>
        </w:rPr>
        <w:t> </w:t>
      </w:r>
      <w:r>
        <w:rPr/>
        <w:t>decision</w:t>
      </w:r>
      <w:r>
        <w:rPr>
          <w:spacing w:val="-1"/>
        </w:rPr>
        <w:t> </w:t>
      </w:r>
      <w:r>
        <w:rPr/>
        <w:t>usefulness when the fundamental qualitative characteristics are established. However, they cannot determine financial reporting quality on their own.</w:t>
      </w:r>
      <w:r>
        <w:rPr>
          <w:spacing w:val="40"/>
        </w:rPr>
        <w:t> </w:t>
      </w:r>
      <w:r>
        <w:rPr/>
        <w:t>Each of these qualitative characteristics will be addressed in detail on the discourse of measurement of financial reporting quality in the next section.</w:t>
      </w:r>
    </w:p>
    <w:p>
      <w:pPr>
        <w:pStyle w:val="Heading3"/>
        <w:numPr>
          <w:ilvl w:val="2"/>
          <w:numId w:val="22"/>
        </w:numPr>
        <w:tabs>
          <w:tab w:pos="1659" w:val="left" w:leader="none"/>
        </w:tabs>
        <w:spacing w:line="240" w:lineRule="auto" w:before="200" w:after="0"/>
        <w:ind w:left="1659" w:right="0" w:hanging="719"/>
        <w:jc w:val="both"/>
      </w:pPr>
      <w:bookmarkStart w:name="_TOC_250056" w:id="14"/>
      <w:r>
        <w:rPr/>
        <w:t>Surrogates</w:t>
      </w:r>
      <w:r>
        <w:rPr>
          <w:spacing w:val="-2"/>
        </w:rPr>
        <w:t> </w:t>
      </w:r>
      <w:r>
        <w:rPr/>
        <w:t>of</w:t>
      </w:r>
      <w:r>
        <w:rPr>
          <w:spacing w:val="-1"/>
        </w:rPr>
        <w:t> </w:t>
      </w:r>
      <w:r>
        <w:rPr/>
        <w:t>Financial</w:t>
      </w:r>
      <w:r>
        <w:rPr>
          <w:spacing w:val="-2"/>
        </w:rPr>
        <w:t> </w:t>
      </w:r>
      <w:r>
        <w:rPr/>
        <w:t>Reporting</w:t>
      </w:r>
      <w:r>
        <w:rPr>
          <w:spacing w:val="-1"/>
        </w:rPr>
        <w:t> </w:t>
      </w:r>
      <w:bookmarkEnd w:id="14"/>
      <w:r>
        <w:rPr>
          <w:spacing w:val="-2"/>
        </w:rPr>
        <w:t>Quality</w:t>
      </w:r>
    </w:p>
    <w:p>
      <w:pPr>
        <w:pStyle w:val="BodyText"/>
        <w:rPr>
          <w:b/>
        </w:rPr>
      </w:pPr>
    </w:p>
    <w:p>
      <w:pPr>
        <w:pStyle w:val="BodyText"/>
        <w:spacing w:line="480" w:lineRule="auto"/>
        <w:ind w:left="940" w:right="1438"/>
        <w:jc w:val="both"/>
      </w:pPr>
      <w:r>
        <w:rPr/>
        <w:t>Several</w:t>
      </w:r>
      <w:r>
        <w:rPr>
          <w:spacing w:val="-11"/>
        </w:rPr>
        <w:t> </w:t>
      </w:r>
      <w:r>
        <w:rPr/>
        <w:t>surrogates</w:t>
      </w:r>
      <w:r>
        <w:rPr>
          <w:spacing w:val="-12"/>
        </w:rPr>
        <w:t> </w:t>
      </w:r>
      <w:r>
        <w:rPr/>
        <w:t>for</w:t>
      </w:r>
      <w:r>
        <w:rPr>
          <w:spacing w:val="-13"/>
        </w:rPr>
        <w:t> </w:t>
      </w:r>
      <w:r>
        <w:rPr/>
        <w:t>financial</w:t>
      </w:r>
      <w:r>
        <w:rPr>
          <w:spacing w:val="-12"/>
        </w:rPr>
        <w:t> </w:t>
      </w:r>
      <w:r>
        <w:rPr/>
        <w:t>reporting</w:t>
      </w:r>
      <w:r>
        <w:rPr>
          <w:spacing w:val="-11"/>
        </w:rPr>
        <w:t> </w:t>
      </w:r>
      <w:r>
        <w:rPr/>
        <w:t>quality</w:t>
      </w:r>
      <w:r>
        <w:rPr>
          <w:spacing w:val="-11"/>
        </w:rPr>
        <w:t> </w:t>
      </w:r>
      <w:r>
        <w:rPr/>
        <w:t>exist</w:t>
      </w:r>
      <w:r>
        <w:rPr>
          <w:spacing w:val="-11"/>
        </w:rPr>
        <w:t> </w:t>
      </w:r>
      <w:r>
        <w:rPr/>
        <w:t>in</w:t>
      </w:r>
      <w:r>
        <w:rPr>
          <w:spacing w:val="-11"/>
        </w:rPr>
        <w:t> </w:t>
      </w:r>
      <w:r>
        <w:rPr/>
        <w:t>literature.</w:t>
      </w:r>
      <w:r>
        <w:rPr>
          <w:spacing w:val="-12"/>
        </w:rPr>
        <w:t> </w:t>
      </w:r>
      <w:r>
        <w:rPr/>
        <w:t>However,</w:t>
      </w:r>
      <w:r>
        <w:rPr>
          <w:spacing w:val="-12"/>
        </w:rPr>
        <w:t> </w:t>
      </w:r>
      <w:r>
        <w:rPr/>
        <w:t>the</w:t>
      </w:r>
      <w:r>
        <w:rPr>
          <w:spacing w:val="-12"/>
        </w:rPr>
        <w:t> </w:t>
      </w:r>
      <w:r>
        <w:rPr/>
        <w:t>measurement is</w:t>
      </w:r>
      <w:r>
        <w:rPr>
          <w:spacing w:val="-10"/>
        </w:rPr>
        <w:t> </w:t>
      </w:r>
      <w:r>
        <w:rPr/>
        <w:t>characterized</w:t>
      </w:r>
      <w:r>
        <w:rPr>
          <w:spacing w:val="-10"/>
        </w:rPr>
        <w:t> </w:t>
      </w:r>
      <w:r>
        <w:rPr/>
        <w:t>by</w:t>
      </w:r>
      <w:r>
        <w:rPr>
          <w:spacing w:val="-11"/>
        </w:rPr>
        <w:t> </w:t>
      </w:r>
      <w:r>
        <w:rPr/>
        <w:t>a</w:t>
      </w:r>
      <w:r>
        <w:rPr>
          <w:spacing w:val="-9"/>
        </w:rPr>
        <w:t> </w:t>
      </w:r>
      <w:r>
        <w:rPr/>
        <w:t>trade-off</w:t>
      </w:r>
      <w:r>
        <w:rPr>
          <w:spacing w:val="-12"/>
        </w:rPr>
        <w:t> </w:t>
      </w:r>
      <w:r>
        <w:rPr/>
        <w:t>between</w:t>
      </w:r>
      <w:r>
        <w:rPr>
          <w:spacing w:val="-11"/>
        </w:rPr>
        <w:t> </w:t>
      </w:r>
      <w:r>
        <w:rPr/>
        <w:t>reliability</w:t>
      </w:r>
      <w:r>
        <w:rPr>
          <w:spacing w:val="-8"/>
        </w:rPr>
        <w:t> </w:t>
      </w:r>
      <w:r>
        <w:rPr/>
        <w:t>and</w:t>
      </w:r>
      <w:r>
        <w:rPr>
          <w:spacing w:val="-11"/>
        </w:rPr>
        <w:t> </w:t>
      </w:r>
      <w:r>
        <w:rPr/>
        <w:t>relevance.</w:t>
      </w:r>
      <w:r>
        <w:rPr>
          <w:spacing w:val="-11"/>
        </w:rPr>
        <w:t> </w:t>
      </w:r>
      <w:r>
        <w:rPr/>
        <w:t>Some</w:t>
      </w:r>
      <w:r>
        <w:rPr>
          <w:spacing w:val="-11"/>
        </w:rPr>
        <w:t> </w:t>
      </w:r>
      <w:r>
        <w:rPr/>
        <w:t>of</w:t>
      </w:r>
      <w:r>
        <w:rPr>
          <w:spacing w:val="-11"/>
        </w:rPr>
        <w:t> </w:t>
      </w:r>
      <w:r>
        <w:rPr/>
        <w:t>these</w:t>
      </w:r>
      <w:r>
        <w:rPr>
          <w:spacing w:val="-11"/>
        </w:rPr>
        <w:t> </w:t>
      </w:r>
      <w:r>
        <w:rPr/>
        <w:t>measures</w:t>
      </w:r>
      <w:r>
        <w:rPr>
          <w:spacing w:val="-10"/>
        </w:rPr>
        <w:t> </w:t>
      </w:r>
      <w:r>
        <w:rPr/>
        <w:t>focus on reliability while others focus on relevance. Other ways of classifying financial reporting quality measurement are: (i) accounting based measurement such as discretionary accruals model, timely loss recognition, earnings persistency and predictability,</w:t>
      </w:r>
      <w:r>
        <w:rPr>
          <w:spacing w:val="40"/>
        </w:rPr>
        <w:t> </w:t>
      </w:r>
      <w:r>
        <w:rPr/>
        <w:t>the qualitative characteristic model; and (ii) market based measurement such as value relevance model and the</w:t>
      </w:r>
      <w:r>
        <w:rPr>
          <w:spacing w:val="-4"/>
        </w:rPr>
        <w:t> </w:t>
      </w:r>
      <w:r>
        <w:rPr/>
        <w:t>earnings</w:t>
      </w:r>
      <w:r>
        <w:rPr>
          <w:spacing w:val="-4"/>
        </w:rPr>
        <w:t> </w:t>
      </w:r>
      <w:r>
        <w:rPr/>
        <w:t>response</w:t>
      </w:r>
      <w:r>
        <w:rPr>
          <w:spacing w:val="-4"/>
        </w:rPr>
        <w:t> </w:t>
      </w:r>
      <w:r>
        <w:rPr/>
        <w:t>coefficients.</w:t>
      </w:r>
      <w:r>
        <w:rPr>
          <w:spacing w:val="40"/>
        </w:rPr>
        <w:t> </w:t>
      </w:r>
      <w:r>
        <w:rPr/>
        <w:t>The</w:t>
      </w:r>
      <w:r>
        <w:rPr>
          <w:spacing w:val="-5"/>
        </w:rPr>
        <w:t> </w:t>
      </w:r>
      <w:r>
        <w:rPr/>
        <w:t>study</w:t>
      </w:r>
      <w:r>
        <w:rPr>
          <w:spacing w:val="-4"/>
        </w:rPr>
        <w:t> </w:t>
      </w:r>
      <w:r>
        <w:rPr/>
        <w:t>proceeded</w:t>
      </w:r>
      <w:r>
        <w:rPr>
          <w:spacing w:val="-4"/>
        </w:rPr>
        <w:t> </w:t>
      </w:r>
      <w:r>
        <w:rPr/>
        <w:t>to</w:t>
      </w:r>
      <w:r>
        <w:rPr>
          <w:spacing w:val="-4"/>
        </w:rPr>
        <w:t> </w:t>
      </w:r>
      <w:r>
        <w:rPr/>
        <w:t>discuss</w:t>
      </w:r>
      <w:r>
        <w:rPr>
          <w:spacing w:val="-4"/>
        </w:rPr>
        <w:t> </w:t>
      </w:r>
      <w:r>
        <w:rPr/>
        <w:t>some</w:t>
      </w:r>
      <w:r>
        <w:rPr>
          <w:spacing w:val="-4"/>
        </w:rPr>
        <w:t> </w:t>
      </w:r>
      <w:r>
        <w:rPr/>
        <w:t>of</w:t>
      </w:r>
      <w:r>
        <w:rPr>
          <w:spacing w:val="-4"/>
        </w:rPr>
        <w:t> </w:t>
      </w:r>
      <w:r>
        <w:rPr/>
        <w:t>the</w:t>
      </w:r>
      <w:r>
        <w:rPr>
          <w:spacing w:val="-3"/>
        </w:rPr>
        <w:t> </w:t>
      </w:r>
      <w:r>
        <w:rPr/>
        <w:t>measurements such as accruals models (reliability), the qualitative characteristic model (reliability) value relevance models (relevance) and the earnings response coefficients (ERC)</w:t>
      </w:r>
    </w:p>
    <w:p>
      <w:pPr>
        <w:pStyle w:val="BodyText"/>
      </w:pPr>
    </w:p>
    <w:p>
      <w:pPr>
        <w:pStyle w:val="BodyText"/>
      </w:pPr>
    </w:p>
    <w:p>
      <w:pPr>
        <w:pStyle w:val="BodyText"/>
        <w:spacing w:before="126"/>
      </w:pPr>
    </w:p>
    <w:p>
      <w:pPr>
        <w:pStyle w:val="Heading3"/>
      </w:pPr>
      <w:r>
        <w:rPr/>
        <w:t>Accrual</w:t>
      </w:r>
      <w:r>
        <w:rPr>
          <w:spacing w:val="-4"/>
        </w:rPr>
        <w:t> </w:t>
      </w:r>
      <w:r>
        <w:rPr>
          <w:spacing w:val="-2"/>
        </w:rPr>
        <w:t>Models</w:t>
      </w:r>
    </w:p>
    <w:p>
      <w:pPr>
        <w:pStyle w:val="BodyText"/>
        <w:spacing w:before="200"/>
        <w:rPr>
          <w:b/>
        </w:rPr>
      </w:pPr>
    </w:p>
    <w:p>
      <w:pPr>
        <w:pStyle w:val="BodyText"/>
        <w:spacing w:line="480" w:lineRule="auto"/>
        <w:ind w:left="940" w:right="1438"/>
        <w:jc w:val="both"/>
      </w:pPr>
      <w:r>
        <w:rPr/>
        <w:t>Accruals are the differences between net income and cash flows. For instance, in a credit transaction,</w:t>
      </w:r>
      <w:r>
        <w:rPr>
          <w:spacing w:val="32"/>
        </w:rPr>
        <w:t> </w:t>
      </w:r>
      <w:r>
        <w:rPr/>
        <w:t>the</w:t>
      </w:r>
      <w:r>
        <w:rPr>
          <w:spacing w:val="36"/>
        </w:rPr>
        <w:t> </w:t>
      </w:r>
      <w:r>
        <w:rPr/>
        <w:t>sales</w:t>
      </w:r>
      <w:r>
        <w:rPr>
          <w:spacing w:val="36"/>
        </w:rPr>
        <w:t> </w:t>
      </w:r>
      <w:r>
        <w:rPr/>
        <w:t>create</w:t>
      </w:r>
      <w:r>
        <w:rPr>
          <w:spacing w:val="39"/>
        </w:rPr>
        <w:t> </w:t>
      </w:r>
      <w:r>
        <w:rPr/>
        <w:t>an</w:t>
      </w:r>
      <w:r>
        <w:rPr>
          <w:spacing w:val="37"/>
        </w:rPr>
        <w:t> </w:t>
      </w:r>
      <w:r>
        <w:rPr/>
        <w:t>accrual</w:t>
      </w:r>
      <w:r>
        <w:rPr>
          <w:spacing w:val="35"/>
        </w:rPr>
        <w:t> </w:t>
      </w:r>
      <w:r>
        <w:rPr/>
        <w:t>of</w:t>
      </w:r>
      <w:r>
        <w:rPr>
          <w:spacing w:val="36"/>
        </w:rPr>
        <w:t> </w:t>
      </w:r>
      <w:r>
        <w:rPr/>
        <w:t>revenue.</w:t>
      </w:r>
      <w:r>
        <w:rPr>
          <w:spacing w:val="34"/>
        </w:rPr>
        <w:t> </w:t>
      </w:r>
      <w:r>
        <w:rPr/>
        <w:t>According</w:t>
      </w:r>
      <w:r>
        <w:rPr>
          <w:spacing w:val="34"/>
        </w:rPr>
        <w:t> </w:t>
      </w:r>
      <w:r>
        <w:rPr/>
        <w:t>to</w:t>
      </w:r>
      <w:r>
        <w:rPr>
          <w:spacing w:val="37"/>
        </w:rPr>
        <w:t> </w:t>
      </w:r>
      <w:r>
        <w:rPr/>
        <w:t>Callao</w:t>
      </w:r>
      <w:r>
        <w:rPr>
          <w:spacing w:val="36"/>
        </w:rPr>
        <w:t> </w:t>
      </w:r>
      <w:r>
        <w:rPr/>
        <w:t>and</w:t>
      </w:r>
      <w:r>
        <w:rPr>
          <w:spacing w:val="38"/>
        </w:rPr>
        <w:t> </w:t>
      </w:r>
      <w:r>
        <w:rPr/>
        <w:t>Jarne</w:t>
      </w:r>
      <w:r>
        <w:rPr>
          <w:spacing w:val="36"/>
        </w:rPr>
        <w:t> </w:t>
      </w:r>
      <w:r>
        <w:rPr>
          <w:spacing w:val="-2"/>
        </w:rPr>
        <w:t>(2010),</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77568">
            <wp:simplePos x="0" y="0"/>
            <wp:positionH relativeFrom="page">
              <wp:posOffset>1095451</wp:posOffset>
            </wp:positionH>
            <wp:positionV relativeFrom="paragraph">
              <wp:posOffset>1850770</wp:posOffset>
            </wp:positionV>
            <wp:extent cx="5106847" cy="523811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5" cstate="print"/>
                    <a:stretch>
                      <a:fillRect/>
                    </a:stretch>
                  </pic:blipFill>
                  <pic:spPr>
                    <a:xfrm>
                      <a:off x="0" y="0"/>
                      <a:ext cx="5106847" cy="5238115"/>
                    </a:xfrm>
                    <a:prstGeom prst="rect">
                      <a:avLst/>
                    </a:prstGeom>
                  </pic:spPr>
                </pic:pic>
              </a:graphicData>
            </a:graphic>
          </wp:anchor>
        </w:drawing>
      </w:r>
      <w:r>
        <w:rPr/>
        <w:t>accruals are defined as the part of revenue and expenses that do not imply collection and payments, and are indirectly calculated as the difference between profit and operating cash flows. Larcker and Richardson (2004), saw accruals as the difference between operating cash flows and income before extra-ordinary items which made it possible to manipulate with earnings. When companies engage in earnings management, i.e., the selection of accounting policies</w:t>
      </w:r>
      <w:r>
        <w:rPr>
          <w:spacing w:val="-10"/>
        </w:rPr>
        <w:t> </w:t>
      </w:r>
      <w:r>
        <w:rPr/>
        <w:t>to</w:t>
      </w:r>
      <w:r>
        <w:rPr>
          <w:spacing w:val="-9"/>
        </w:rPr>
        <w:t> </w:t>
      </w:r>
      <w:r>
        <w:rPr/>
        <w:t>achieve</w:t>
      </w:r>
      <w:r>
        <w:rPr>
          <w:spacing w:val="-9"/>
        </w:rPr>
        <w:t> </w:t>
      </w:r>
      <w:r>
        <w:rPr/>
        <w:t>a</w:t>
      </w:r>
      <w:r>
        <w:rPr>
          <w:spacing w:val="-11"/>
        </w:rPr>
        <w:t> </w:t>
      </w:r>
      <w:r>
        <w:rPr/>
        <w:t>desired</w:t>
      </w:r>
      <w:r>
        <w:rPr>
          <w:spacing w:val="-10"/>
        </w:rPr>
        <w:t> </w:t>
      </w:r>
      <w:r>
        <w:rPr/>
        <w:t>financial</w:t>
      </w:r>
      <w:r>
        <w:rPr>
          <w:spacing w:val="-9"/>
        </w:rPr>
        <w:t> </w:t>
      </w:r>
      <w:r>
        <w:rPr/>
        <w:t>reporting</w:t>
      </w:r>
      <w:r>
        <w:rPr>
          <w:spacing w:val="-10"/>
        </w:rPr>
        <w:t> </w:t>
      </w:r>
      <w:r>
        <w:rPr/>
        <w:t>result,</w:t>
      </w:r>
      <w:r>
        <w:rPr>
          <w:spacing w:val="-10"/>
        </w:rPr>
        <w:t> </w:t>
      </w:r>
      <w:r>
        <w:rPr/>
        <w:t>they</w:t>
      </w:r>
      <w:r>
        <w:rPr>
          <w:spacing w:val="-10"/>
        </w:rPr>
        <w:t> </w:t>
      </w:r>
      <w:r>
        <w:rPr/>
        <w:t>can</w:t>
      </w:r>
      <w:r>
        <w:rPr>
          <w:spacing w:val="-10"/>
        </w:rPr>
        <w:t> </w:t>
      </w:r>
      <w:r>
        <w:rPr/>
        <w:t>increase</w:t>
      </w:r>
      <w:r>
        <w:rPr>
          <w:spacing w:val="-8"/>
        </w:rPr>
        <w:t> </w:t>
      </w:r>
      <w:r>
        <w:rPr/>
        <w:t>or</w:t>
      </w:r>
      <w:r>
        <w:rPr>
          <w:spacing w:val="-10"/>
        </w:rPr>
        <w:t> </w:t>
      </w:r>
      <w:r>
        <w:rPr/>
        <w:t>decrease</w:t>
      </w:r>
      <w:r>
        <w:rPr>
          <w:spacing w:val="-10"/>
        </w:rPr>
        <w:t> </w:t>
      </w:r>
      <w:r>
        <w:rPr/>
        <w:t>income</w:t>
      </w:r>
      <w:r>
        <w:rPr>
          <w:spacing w:val="-11"/>
        </w:rPr>
        <w:t> </w:t>
      </w:r>
      <w:r>
        <w:rPr/>
        <w:t>by creating accruals which are referred to as non-discretionary accruals. However, it is the discretionary accruals, i.e., accruals created to manipulate changes in reported earnings, that are</w:t>
      </w:r>
      <w:r>
        <w:rPr>
          <w:spacing w:val="-12"/>
        </w:rPr>
        <w:t> </w:t>
      </w:r>
      <w:r>
        <w:rPr/>
        <w:t>of</w:t>
      </w:r>
      <w:r>
        <w:rPr>
          <w:spacing w:val="-9"/>
        </w:rPr>
        <w:t> </w:t>
      </w:r>
      <w:r>
        <w:rPr/>
        <w:t>concern</w:t>
      </w:r>
      <w:r>
        <w:rPr>
          <w:spacing w:val="-11"/>
        </w:rPr>
        <w:t> </w:t>
      </w:r>
      <w:r>
        <w:rPr/>
        <w:t>because</w:t>
      </w:r>
      <w:r>
        <w:rPr>
          <w:spacing w:val="-11"/>
        </w:rPr>
        <w:t> </w:t>
      </w:r>
      <w:r>
        <w:rPr/>
        <w:t>managers’</w:t>
      </w:r>
      <w:r>
        <w:rPr>
          <w:spacing w:val="-11"/>
        </w:rPr>
        <w:t> </w:t>
      </w:r>
      <w:r>
        <w:rPr/>
        <w:t>use</w:t>
      </w:r>
      <w:r>
        <w:rPr>
          <w:spacing w:val="-11"/>
        </w:rPr>
        <w:t> </w:t>
      </w:r>
      <w:r>
        <w:rPr/>
        <w:t>of</w:t>
      </w:r>
      <w:r>
        <w:rPr>
          <w:spacing w:val="-11"/>
        </w:rPr>
        <w:t> </w:t>
      </w:r>
      <w:r>
        <w:rPr/>
        <w:t>discretionary</w:t>
      </w:r>
      <w:r>
        <w:rPr>
          <w:spacing w:val="-11"/>
        </w:rPr>
        <w:t> </w:t>
      </w:r>
      <w:r>
        <w:rPr/>
        <w:t>accruals</w:t>
      </w:r>
      <w:r>
        <w:rPr>
          <w:spacing w:val="-10"/>
        </w:rPr>
        <w:t> </w:t>
      </w:r>
      <w:r>
        <w:rPr/>
        <w:t>to</w:t>
      </w:r>
      <w:r>
        <w:rPr>
          <w:spacing w:val="-10"/>
        </w:rPr>
        <w:t> </w:t>
      </w:r>
      <w:r>
        <w:rPr/>
        <w:t>shift</w:t>
      </w:r>
      <w:r>
        <w:rPr>
          <w:spacing w:val="-10"/>
        </w:rPr>
        <w:t> </w:t>
      </w:r>
      <w:r>
        <w:rPr/>
        <w:t>reported</w:t>
      </w:r>
      <w:r>
        <w:rPr>
          <w:spacing w:val="-11"/>
        </w:rPr>
        <w:t> </w:t>
      </w:r>
      <w:r>
        <w:rPr/>
        <w:t>income</w:t>
      </w:r>
      <w:r>
        <w:rPr>
          <w:spacing w:val="-12"/>
        </w:rPr>
        <w:t> </w:t>
      </w:r>
      <w:r>
        <w:rPr/>
        <w:t>among fiscal</w:t>
      </w:r>
      <w:r>
        <w:rPr>
          <w:spacing w:val="-4"/>
        </w:rPr>
        <w:t> </w:t>
      </w:r>
      <w:r>
        <w:rPr/>
        <w:t>periods</w:t>
      </w:r>
      <w:r>
        <w:rPr>
          <w:spacing w:val="-4"/>
        </w:rPr>
        <w:t> </w:t>
      </w:r>
      <w:r>
        <w:rPr/>
        <w:t>tend</w:t>
      </w:r>
      <w:r>
        <w:rPr>
          <w:spacing w:val="-4"/>
        </w:rPr>
        <w:t> </w:t>
      </w:r>
      <w:r>
        <w:rPr/>
        <w:t>to</w:t>
      </w:r>
      <w:r>
        <w:rPr>
          <w:spacing w:val="-3"/>
        </w:rPr>
        <w:t> </w:t>
      </w:r>
      <w:r>
        <w:rPr/>
        <w:t>distort</w:t>
      </w:r>
      <w:r>
        <w:rPr>
          <w:spacing w:val="-4"/>
        </w:rPr>
        <w:t> </w:t>
      </w:r>
      <w:r>
        <w:rPr/>
        <w:t>earnings</w:t>
      </w:r>
      <w:r>
        <w:rPr>
          <w:spacing w:val="-4"/>
        </w:rPr>
        <w:t> </w:t>
      </w:r>
      <w:r>
        <w:rPr/>
        <w:t>quality.</w:t>
      </w:r>
      <w:r>
        <w:rPr>
          <w:spacing w:val="-4"/>
        </w:rPr>
        <w:t> </w:t>
      </w:r>
      <w:r>
        <w:rPr/>
        <w:t>These</w:t>
      </w:r>
      <w:r>
        <w:rPr>
          <w:spacing w:val="-5"/>
        </w:rPr>
        <w:t> </w:t>
      </w:r>
      <w:r>
        <w:rPr/>
        <w:t>types</w:t>
      </w:r>
      <w:r>
        <w:rPr>
          <w:spacing w:val="-4"/>
        </w:rPr>
        <w:t> </w:t>
      </w:r>
      <w:r>
        <w:rPr/>
        <w:t>of</w:t>
      </w:r>
      <w:r>
        <w:rPr>
          <w:spacing w:val="-5"/>
        </w:rPr>
        <w:t> </w:t>
      </w:r>
      <w:r>
        <w:rPr/>
        <w:t>accruals</w:t>
      </w:r>
      <w:r>
        <w:rPr>
          <w:spacing w:val="-4"/>
        </w:rPr>
        <w:t> </w:t>
      </w:r>
      <w:r>
        <w:rPr/>
        <w:t>include</w:t>
      </w:r>
      <w:r>
        <w:rPr>
          <w:spacing w:val="-4"/>
        </w:rPr>
        <w:t> </w:t>
      </w:r>
      <w:r>
        <w:rPr/>
        <w:t>using</w:t>
      </w:r>
      <w:r>
        <w:rPr>
          <w:spacing w:val="-4"/>
        </w:rPr>
        <w:t> </w:t>
      </w:r>
      <w:r>
        <w:rPr/>
        <w:t>increasing or decreasing estimates of bad debt reserves, warranty costs, and inventory write-downs. Although accrual approach provides the results of operations accurately, however, managers can use it to engage in earnings management.</w:t>
      </w:r>
    </w:p>
    <w:p>
      <w:pPr>
        <w:pStyle w:val="BodyText"/>
        <w:spacing w:line="480" w:lineRule="auto" w:before="1"/>
        <w:ind w:left="940" w:right="1436"/>
        <w:jc w:val="both"/>
      </w:pPr>
      <w:r>
        <w:rPr/>
        <w:t>Palepu, Healy, Bernard and Peek (2007) argued that some earnings management were not carried</w:t>
      </w:r>
      <w:r>
        <w:rPr>
          <w:spacing w:val="-7"/>
        </w:rPr>
        <w:t> </w:t>
      </w:r>
      <w:r>
        <w:rPr/>
        <w:t>out</w:t>
      </w:r>
      <w:r>
        <w:rPr>
          <w:spacing w:val="-7"/>
        </w:rPr>
        <w:t> </w:t>
      </w:r>
      <w:r>
        <w:rPr/>
        <w:t>with</w:t>
      </w:r>
      <w:r>
        <w:rPr>
          <w:spacing w:val="-7"/>
        </w:rPr>
        <w:t> </w:t>
      </w:r>
      <w:r>
        <w:rPr/>
        <w:t>the</w:t>
      </w:r>
      <w:r>
        <w:rPr>
          <w:spacing w:val="-6"/>
        </w:rPr>
        <w:t> </w:t>
      </w:r>
      <w:r>
        <w:rPr/>
        <w:t>intention</w:t>
      </w:r>
      <w:r>
        <w:rPr>
          <w:spacing w:val="-7"/>
        </w:rPr>
        <w:t> </w:t>
      </w:r>
      <w:r>
        <w:rPr/>
        <w:t>of</w:t>
      </w:r>
      <w:r>
        <w:rPr>
          <w:spacing w:val="-8"/>
        </w:rPr>
        <w:t> </w:t>
      </w:r>
      <w:r>
        <w:rPr/>
        <w:t>manipulating</w:t>
      </w:r>
      <w:r>
        <w:rPr>
          <w:spacing w:val="-7"/>
        </w:rPr>
        <w:t> </w:t>
      </w:r>
      <w:r>
        <w:rPr/>
        <w:t>earnings,</w:t>
      </w:r>
      <w:r>
        <w:rPr>
          <w:spacing w:val="-7"/>
        </w:rPr>
        <w:t> </w:t>
      </w:r>
      <w:r>
        <w:rPr/>
        <w:t>but</w:t>
      </w:r>
      <w:r>
        <w:rPr>
          <w:spacing w:val="-7"/>
        </w:rPr>
        <w:t> </w:t>
      </w:r>
      <w:r>
        <w:rPr/>
        <w:t>that</w:t>
      </w:r>
      <w:r>
        <w:rPr>
          <w:spacing w:val="-7"/>
        </w:rPr>
        <w:t> </w:t>
      </w:r>
      <w:r>
        <w:rPr/>
        <w:t>some</w:t>
      </w:r>
      <w:r>
        <w:rPr>
          <w:spacing w:val="-8"/>
        </w:rPr>
        <w:t> </w:t>
      </w:r>
      <w:r>
        <w:rPr/>
        <w:t>accounting</w:t>
      </w:r>
      <w:r>
        <w:rPr>
          <w:spacing w:val="-7"/>
        </w:rPr>
        <w:t> </w:t>
      </w:r>
      <w:r>
        <w:rPr/>
        <w:t>choices</w:t>
      </w:r>
      <w:r>
        <w:rPr>
          <w:spacing w:val="-4"/>
        </w:rPr>
        <w:t> </w:t>
      </w:r>
      <w:r>
        <w:rPr/>
        <w:t>were driven by the signalling or informative role of earnings management which are aimed at informing</w:t>
      </w:r>
      <w:r>
        <w:rPr>
          <w:spacing w:val="-7"/>
        </w:rPr>
        <w:t> </w:t>
      </w:r>
      <w:r>
        <w:rPr/>
        <w:t>outsiders</w:t>
      </w:r>
      <w:r>
        <w:rPr>
          <w:spacing w:val="-8"/>
        </w:rPr>
        <w:t> </w:t>
      </w:r>
      <w:r>
        <w:rPr/>
        <w:t>of</w:t>
      </w:r>
      <w:r>
        <w:rPr>
          <w:spacing w:val="-8"/>
        </w:rPr>
        <w:t> </w:t>
      </w:r>
      <w:r>
        <w:rPr/>
        <w:t>the</w:t>
      </w:r>
      <w:r>
        <w:rPr>
          <w:spacing w:val="-8"/>
        </w:rPr>
        <w:t> </w:t>
      </w:r>
      <w:r>
        <w:rPr/>
        <w:t>changing</w:t>
      </w:r>
      <w:r>
        <w:rPr>
          <w:spacing w:val="-7"/>
        </w:rPr>
        <w:t> </w:t>
      </w:r>
      <w:r>
        <w:rPr/>
        <w:t>business.</w:t>
      </w:r>
      <w:r>
        <w:rPr>
          <w:spacing w:val="-7"/>
        </w:rPr>
        <w:t> </w:t>
      </w:r>
      <w:r>
        <w:rPr/>
        <w:t>One</w:t>
      </w:r>
      <w:r>
        <w:rPr>
          <w:spacing w:val="-6"/>
        </w:rPr>
        <w:t> </w:t>
      </w:r>
      <w:r>
        <w:rPr/>
        <w:t>of</w:t>
      </w:r>
      <w:r>
        <w:rPr>
          <w:spacing w:val="-8"/>
        </w:rPr>
        <w:t> </w:t>
      </w:r>
      <w:r>
        <w:rPr/>
        <w:t>the</w:t>
      </w:r>
      <w:r>
        <w:rPr>
          <w:spacing w:val="-5"/>
        </w:rPr>
        <w:t> </w:t>
      </w:r>
      <w:r>
        <w:rPr/>
        <w:t>reasons</w:t>
      </w:r>
      <w:r>
        <w:rPr>
          <w:spacing w:val="-7"/>
        </w:rPr>
        <w:t> </w:t>
      </w:r>
      <w:r>
        <w:rPr/>
        <w:t>for</w:t>
      </w:r>
      <w:r>
        <w:rPr>
          <w:spacing w:val="-7"/>
        </w:rPr>
        <w:t> </w:t>
      </w:r>
      <w:r>
        <w:rPr/>
        <w:t>management</w:t>
      </w:r>
      <w:r>
        <w:rPr>
          <w:spacing w:val="-7"/>
        </w:rPr>
        <w:t> </w:t>
      </w:r>
      <w:r>
        <w:rPr/>
        <w:t>indulging</w:t>
      </w:r>
      <w:r>
        <w:rPr>
          <w:spacing w:val="-7"/>
        </w:rPr>
        <w:t> </w:t>
      </w:r>
      <w:r>
        <w:rPr/>
        <w:t>in earnings</w:t>
      </w:r>
      <w:r>
        <w:rPr>
          <w:spacing w:val="-15"/>
        </w:rPr>
        <w:t> </w:t>
      </w:r>
      <w:r>
        <w:rPr/>
        <w:t>management</w:t>
      </w:r>
      <w:r>
        <w:rPr>
          <w:spacing w:val="-13"/>
        </w:rPr>
        <w:t> </w:t>
      </w:r>
      <w:r>
        <w:rPr/>
        <w:t>is</w:t>
      </w:r>
      <w:r>
        <w:rPr>
          <w:spacing w:val="-14"/>
        </w:rPr>
        <w:t> </w:t>
      </w:r>
      <w:r>
        <w:rPr/>
        <w:t>to</w:t>
      </w:r>
      <w:r>
        <w:rPr>
          <w:spacing w:val="-14"/>
        </w:rPr>
        <w:t> </w:t>
      </w:r>
      <w:r>
        <w:rPr/>
        <w:t>create</w:t>
      </w:r>
      <w:r>
        <w:rPr>
          <w:spacing w:val="-15"/>
        </w:rPr>
        <w:t> </w:t>
      </w:r>
      <w:r>
        <w:rPr/>
        <w:t>a</w:t>
      </w:r>
      <w:r>
        <w:rPr>
          <w:spacing w:val="-15"/>
        </w:rPr>
        <w:t> </w:t>
      </w:r>
      <w:r>
        <w:rPr/>
        <w:t>stable</w:t>
      </w:r>
      <w:r>
        <w:rPr>
          <w:spacing w:val="-15"/>
        </w:rPr>
        <w:t> </w:t>
      </w:r>
      <w:r>
        <w:rPr/>
        <w:t>risk</w:t>
      </w:r>
      <w:r>
        <w:rPr>
          <w:spacing w:val="-14"/>
        </w:rPr>
        <w:t> </w:t>
      </w:r>
      <w:r>
        <w:rPr/>
        <w:t>profile</w:t>
      </w:r>
      <w:r>
        <w:rPr>
          <w:spacing w:val="-15"/>
        </w:rPr>
        <w:t> </w:t>
      </w:r>
      <w:r>
        <w:rPr/>
        <w:t>for</w:t>
      </w:r>
      <w:r>
        <w:rPr>
          <w:spacing w:val="-15"/>
        </w:rPr>
        <w:t> </w:t>
      </w:r>
      <w:r>
        <w:rPr/>
        <w:t>the</w:t>
      </w:r>
      <w:r>
        <w:rPr>
          <w:spacing w:val="-15"/>
        </w:rPr>
        <w:t> </w:t>
      </w:r>
      <w:r>
        <w:rPr/>
        <w:t>firm</w:t>
      </w:r>
      <w:r>
        <w:rPr>
          <w:spacing w:val="-14"/>
        </w:rPr>
        <w:t> </w:t>
      </w:r>
      <w:r>
        <w:rPr/>
        <w:t>in</w:t>
      </w:r>
      <w:r>
        <w:rPr>
          <w:spacing w:val="-14"/>
        </w:rPr>
        <w:t> </w:t>
      </w:r>
      <w:r>
        <w:rPr/>
        <w:t>order</w:t>
      </w:r>
      <w:r>
        <w:rPr>
          <w:spacing w:val="-15"/>
        </w:rPr>
        <w:t> </w:t>
      </w:r>
      <w:r>
        <w:rPr/>
        <w:t>to</w:t>
      </w:r>
      <w:r>
        <w:rPr>
          <w:spacing w:val="-14"/>
        </w:rPr>
        <w:t> </w:t>
      </w:r>
      <w:r>
        <w:rPr/>
        <w:t>reduce</w:t>
      </w:r>
      <w:r>
        <w:rPr>
          <w:spacing w:val="-15"/>
        </w:rPr>
        <w:t> </w:t>
      </w:r>
      <w:r>
        <w:rPr/>
        <w:t>fluctuations in the share price of the company which may positively influence the reputation of the firm. Bartov,</w:t>
      </w:r>
      <w:r>
        <w:rPr>
          <w:spacing w:val="-9"/>
        </w:rPr>
        <w:t> </w:t>
      </w:r>
      <w:r>
        <w:rPr/>
        <w:t>Givoly</w:t>
      </w:r>
      <w:r>
        <w:rPr>
          <w:spacing w:val="-8"/>
        </w:rPr>
        <w:t> </w:t>
      </w:r>
      <w:r>
        <w:rPr/>
        <w:t>and</w:t>
      </w:r>
      <w:r>
        <w:rPr>
          <w:spacing w:val="-8"/>
        </w:rPr>
        <w:t> </w:t>
      </w:r>
      <w:r>
        <w:rPr/>
        <w:t>Hayn</w:t>
      </w:r>
      <w:r>
        <w:rPr>
          <w:spacing w:val="-6"/>
        </w:rPr>
        <w:t> </w:t>
      </w:r>
      <w:r>
        <w:rPr/>
        <w:t>(2002)</w:t>
      </w:r>
      <w:r>
        <w:rPr>
          <w:spacing w:val="-9"/>
        </w:rPr>
        <w:t> </w:t>
      </w:r>
      <w:r>
        <w:rPr/>
        <w:t>opined</w:t>
      </w:r>
      <w:r>
        <w:rPr>
          <w:spacing w:val="-9"/>
        </w:rPr>
        <w:t> </w:t>
      </w:r>
      <w:r>
        <w:rPr/>
        <w:t>that</w:t>
      </w:r>
      <w:r>
        <w:rPr>
          <w:spacing w:val="-8"/>
        </w:rPr>
        <w:t> </w:t>
      </w:r>
      <w:r>
        <w:rPr/>
        <w:t>firms</w:t>
      </w:r>
      <w:r>
        <w:rPr>
          <w:spacing w:val="-8"/>
        </w:rPr>
        <w:t> </w:t>
      </w:r>
      <w:r>
        <w:rPr/>
        <w:t>which</w:t>
      </w:r>
      <w:r>
        <w:rPr>
          <w:spacing w:val="-8"/>
        </w:rPr>
        <w:t> </w:t>
      </w:r>
      <w:r>
        <w:rPr/>
        <w:t>met</w:t>
      </w:r>
      <w:r>
        <w:rPr>
          <w:spacing w:val="-8"/>
        </w:rPr>
        <w:t> </w:t>
      </w:r>
      <w:r>
        <w:rPr/>
        <w:t>or</w:t>
      </w:r>
      <w:r>
        <w:rPr>
          <w:spacing w:val="-9"/>
        </w:rPr>
        <w:t> </w:t>
      </w:r>
      <w:r>
        <w:rPr/>
        <w:t>exceeded</w:t>
      </w:r>
      <w:r>
        <w:rPr>
          <w:spacing w:val="-8"/>
        </w:rPr>
        <w:t> </w:t>
      </w:r>
      <w:r>
        <w:rPr/>
        <w:t>the</w:t>
      </w:r>
      <w:r>
        <w:rPr>
          <w:spacing w:val="-9"/>
        </w:rPr>
        <w:t> </w:t>
      </w:r>
      <w:r>
        <w:rPr/>
        <w:t>forecast</w:t>
      </w:r>
      <w:r>
        <w:rPr>
          <w:spacing w:val="-8"/>
        </w:rPr>
        <w:t> </w:t>
      </w:r>
      <w:r>
        <w:rPr/>
        <w:t>enjoyed a higher stock return than firms that fell short of expectation.</w:t>
      </w:r>
      <w:r>
        <w:rPr>
          <w:spacing w:val="40"/>
        </w:rPr>
        <w:t> </w:t>
      </w:r>
      <w:r>
        <w:rPr/>
        <w:t>It is well known that managers use</w:t>
      </w:r>
      <w:r>
        <w:rPr>
          <w:spacing w:val="-12"/>
        </w:rPr>
        <w:t> </w:t>
      </w:r>
      <w:r>
        <w:rPr/>
        <w:t>accrual</w:t>
      </w:r>
      <w:r>
        <w:rPr>
          <w:spacing w:val="-11"/>
        </w:rPr>
        <w:t> </w:t>
      </w:r>
      <w:r>
        <w:rPr/>
        <w:t>based</w:t>
      </w:r>
      <w:r>
        <w:rPr>
          <w:spacing w:val="-12"/>
        </w:rPr>
        <w:t> </w:t>
      </w:r>
      <w:r>
        <w:rPr/>
        <w:t>earnings</w:t>
      </w:r>
      <w:r>
        <w:rPr>
          <w:spacing w:val="-11"/>
        </w:rPr>
        <w:t> </w:t>
      </w:r>
      <w:r>
        <w:rPr/>
        <w:t>management</w:t>
      </w:r>
      <w:r>
        <w:rPr>
          <w:spacing w:val="-12"/>
        </w:rPr>
        <w:t> </w:t>
      </w:r>
      <w:r>
        <w:rPr/>
        <w:t>techniques</w:t>
      </w:r>
      <w:r>
        <w:rPr>
          <w:spacing w:val="-10"/>
        </w:rPr>
        <w:t> </w:t>
      </w:r>
      <w:r>
        <w:rPr/>
        <w:t>to</w:t>
      </w:r>
      <w:r>
        <w:rPr>
          <w:spacing w:val="-11"/>
        </w:rPr>
        <w:t> </w:t>
      </w:r>
      <w:r>
        <w:rPr/>
        <w:t>provide</w:t>
      </w:r>
      <w:r>
        <w:rPr>
          <w:spacing w:val="-13"/>
        </w:rPr>
        <w:t> </w:t>
      </w:r>
      <w:r>
        <w:rPr/>
        <w:t>flexibility</w:t>
      </w:r>
      <w:r>
        <w:rPr>
          <w:spacing w:val="-11"/>
        </w:rPr>
        <w:t> </w:t>
      </w:r>
      <w:r>
        <w:rPr/>
        <w:t>within</w:t>
      </w:r>
      <w:r>
        <w:rPr>
          <w:spacing w:val="-11"/>
        </w:rPr>
        <w:t> </w:t>
      </w:r>
      <w:r>
        <w:rPr/>
        <w:t>the</w:t>
      </w:r>
      <w:r>
        <w:rPr>
          <w:spacing w:val="-12"/>
        </w:rPr>
        <w:t> </w:t>
      </w:r>
      <w:r>
        <w:rPr/>
        <w:t>accounting rules to report an earnings number that meets or beats the consensus analyst forecast. The reason managers are often obsessed with beating the consensus analyst forecast is that the market</w:t>
      </w:r>
      <w:r>
        <w:rPr>
          <w:spacing w:val="24"/>
        </w:rPr>
        <w:t> </w:t>
      </w:r>
      <w:r>
        <w:rPr/>
        <w:t>rewards</w:t>
      </w:r>
      <w:r>
        <w:rPr>
          <w:spacing w:val="24"/>
        </w:rPr>
        <w:t> </w:t>
      </w:r>
      <w:r>
        <w:rPr/>
        <w:t>firms</w:t>
      </w:r>
      <w:r>
        <w:rPr>
          <w:spacing w:val="24"/>
        </w:rPr>
        <w:t> </w:t>
      </w:r>
      <w:r>
        <w:rPr/>
        <w:t>that</w:t>
      </w:r>
      <w:r>
        <w:rPr>
          <w:spacing w:val="25"/>
        </w:rPr>
        <w:t> </w:t>
      </w:r>
      <w:r>
        <w:rPr/>
        <w:t>meet</w:t>
      </w:r>
      <w:r>
        <w:rPr>
          <w:spacing w:val="24"/>
        </w:rPr>
        <w:t> </w:t>
      </w:r>
      <w:r>
        <w:rPr/>
        <w:t>or</w:t>
      </w:r>
      <w:r>
        <w:rPr>
          <w:spacing w:val="24"/>
        </w:rPr>
        <w:t> </w:t>
      </w:r>
      <w:r>
        <w:rPr/>
        <w:t>exceed</w:t>
      </w:r>
      <w:r>
        <w:rPr>
          <w:spacing w:val="24"/>
        </w:rPr>
        <w:t> </w:t>
      </w:r>
      <w:r>
        <w:rPr/>
        <w:t>earnings</w:t>
      </w:r>
      <w:r>
        <w:rPr>
          <w:spacing w:val="25"/>
        </w:rPr>
        <w:t> </w:t>
      </w:r>
      <w:r>
        <w:rPr/>
        <w:t>expectations</w:t>
      </w:r>
      <w:r>
        <w:rPr>
          <w:spacing w:val="24"/>
        </w:rPr>
        <w:t> </w:t>
      </w:r>
      <w:r>
        <w:rPr/>
        <w:t>and</w:t>
      </w:r>
      <w:r>
        <w:rPr>
          <w:spacing w:val="25"/>
        </w:rPr>
        <w:t> </w:t>
      </w:r>
      <w:r>
        <w:rPr/>
        <w:t>penalizes</w:t>
      </w:r>
      <w:r>
        <w:rPr>
          <w:spacing w:val="24"/>
        </w:rPr>
        <w:t> </w:t>
      </w:r>
      <w:r>
        <w:rPr/>
        <w:t>firms</w:t>
      </w:r>
      <w:r>
        <w:rPr>
          <w:spacing w:val="25"/>
        </w:rPr>
        <w:t> </w:t>
      </w:r>
      <w:r>
        <w:rPr>
          <w:spacing w:val="-2"/>
        </w:rPr>
        <w:t>whose</w:t>
      </w:r>
    </w:p>
    <w:p>
      <w:pPr>
        <w:spacing w:after="0" w:line="480" w:lineRule="auto"/>
        <w:jc w:val="both"/>
        <w:sectPr>
          <w:pgSz w:w="11910" w:h="16840"/>
          <w:pgMar w:header="0" w:footer="971" w:top="1360" w:bottom="1160" w:left="500" w:right="0"/>
        </w:sectPr>
      </w:pPr>
    </w:p>
    <w:p>
      <w:pPr>
        <w:pStyle w:val="BodyText"/>
        <w:spacing w:line="480" w:lineRule="auto" w:before="61"/>
        <w:ind w:left="940" w:right="1440"/>
        <w:jc w:val="both"/>
      </w:pPr>
      <w:r>
        <w:rPr/>
        <w:t>earnings</w:t>
      </w:r>
      <w:r>
        <w:rPr>
          <w:spacing w:val="-12"/>
        </w:rPr>
        <w:t> </w:t>
      </w:r>
      <w:r>
        <w:rPr/>
        <w:t>fall</w:t>
      </w:r>
      <w:r>
        <w:rPr>
          <w:spacing w:val="-11"/>
        </w:rPr>
        <w:t> </w:t>
      </w:r>
      <w:r>
        <w:rPr/>
        <w:t>short.</w:t>
      </w:r>
      <w:r>
        <w:rPr>
          <w:spacing w:val="-12"/>
        </w:rPr>
        <w:t> </w:t>
      </w:r>
      <w:r>
        <w:rPr/>
        <w:t>Given</w:t>
      </w:r>
      <w:r>
        <w:rPr>
          <w:spacing w:val="-8"/>
        </w:rPr>
        <w:t> </w:t>
      </w:r>
      <w:r>
        <w:rPr/>
        <w:t>that</w:t>
      </w:r>
      <w:r>
        <w:rPr>
          <w:spacing w:val="-12"/>
        </w:rPr>
        <w:t> </w:t>
      </w:r>
      <w:r>
        <w:rPr/>
        <w:t>the</w:t>
      </w:r>
      <w:r>
        <w:rPr>
          <w:spacing w:val="-13"/>
        </w:rPr>
        <w:t> </w:t>
      </w:r>
      <w:r>
        <w:rPr/>
        <w:t>market</w:t>
      </w:r>
      <w:r>
        <w:rPr>
          <w:spacing w:val="-12"/>
        </w:rPr>
        <w:t> </w:t>
      </w:r>
      <w:r>
        <w:rPr/>
        <w:t>views</w:t>
      </w:r>
      <w:r>
        <w:rPr>
          <w:spacing w:val="-12"/>
        </w:rPr>
        <w:t> </w:t>
      </w:r>
      <w:r>
        <w:rPr/>
        <w:t>the</w:t>
      </w:r>
      <w:r>
        <w:rPr>
          <w:spacing w:val="-10"/>
        </w:rPr>
        <w:t> </w:t>
      </w:r>
      <w:r>
        <w:rPr/>
        <w:t>act</w:t>
      </w:r>
      <w:r>
        <w:rPr>
          <w:spacing w:val="-12"/>
        </w:rPr>
        <w:t> </w:t>
      </w:r>
      <w:r>
        <w:rPr/>
        <w:t>of</w:t>
      </w:r>
      <w:r>
        <w:rPr>
          <w:spacing w:val="-13"/>
        </w:rPr>
        <w:t> </w:t>
      </w:r>
      <w:r>
        <w:rPr/>
        <w:t>meeting</w:t>
      </w:r>
      <w:r>
        <w:rPr>
          <w:spacing w:val="-12"/>
        </w:rPr>
        <w:t> </w:t>
      </w:r>
      <w:r>
        <w:rPr/>
        <w:t>or</w:t>
      </w:r>
      <w:r>
        <w:rPr>
          <w:spacing w:val="-13"/>
        </w:rPr>
        <w:t> </w:t>
      </w:r>
      <w:r>
        <w:rPr/>
        <w:t>beating</w:t>
      </w:r>
      <w:r>
        <w:rPr>
          <w:spacing w:val="-10"/>
        </w:rPr>
        <w:t> </w:t>
      </w:r>
      <w:r>
        <w:rPr/>
        <w:t>earnings</w:t>
      </w:r>
      <w:r>
        <w:rPr>
          <w:spacing w:val="-10"/>
        </w:rPr>
        <w:t> </w:t>
      </w:r>
      <w:r>
        <w:rPr/>
        <w:t>forecasts as a signal of future profitability, investors reward firms that meet or exceed analysts’ expectations and penalize firms for reporting earnings below expectation.</w:t>
      </w:r>
    </w:p>
    <w:p>
      <w:pPr>
        <w:pStyle w:val="BodyText"/>
        <w:spacing w:line="480" w:lineRule="auto"/>
        <w:ind w:left="940" w:right="1434"/>
        <w:jc w:val="both"/>
      </w:pPr>
      <w:r>
        <w:rPr/>
        <w:drawing>
          <wp:anchor distT="0" distB="0" distL="0" distR="0" allowOverlap="1" layoutInCell="1" locked="0" behindDoc="1" simplePos="0" relativeHeight="477678080">
            <wp:simplePos x="0" y="0"/>
            <wp:positionH relativeFrom="page">
              <wp:posOffset>1095451</wp:posOffset>
            </wp:positionH>
            <wp:positionV relativeFrom="paragraph">
              <wp:posOffset>760565</wp:posOffset>
            </wp:positionV>
            <wp:extent cx="5106847" cy="5238115"/>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5" cstate="print"/>
                    <a:stretch>
                      <a:fillRect/>
                    </a:stretch>
                  </pic:blipFill>
                  <pic:spPr>
                    <a:xfrm>
                      <a:off x="0" y="0"/>
                      <a:ext cx="5106847" cy="5238115"/>
                    </a:xfrm>
                    <a:prstGeom prst="rect">
                      <a:avLst/>
                    </a:prstGeom>
                  </pic:spPr>
                </pic:pic>
              </a:graphicData>
            </a:graphic>
          </wp:anchor>
        </w:drawing>
      </w:r>
      <w:r>
        <w:rPr/>
        <w:t>Studies have developed several accrual models to help measure the extent of discretionary accruals. Some of these models are the DeAngelo (1986) Model, Healy (1985) Model, the Jones (1991) Model, the Modified Jones Model (Dechow, Sloan &amp; Sweeney 1995), the Industry</w:t>
      </w:r>
      <w:r>
        <w:rPr>
          <w:spacing w:val="-15"/>
        </w:rPr>
        <w:t> </w:t>
      </w:r>
      <w:r>
        <w:rPr/>
        <w:t>Model</w:t>
      </w:r>
      <w:r>
        <w:rPr>
          <w:spacing w:val="-15"/>
        </w:rPr>
        <w:t> </w:t>
      </w:r>
      <w:r>
        <w:rPr/>
        <w:t>(Dechow</w:t>
      </w:r>
      <w:r>
        <w:rPr>
          <w:spacing w:val="-15"/>
        </w:rPr>
        <w:t> </w:t>
      </w:r>
      <w:r>
        <w:rPr/>
        <w:t>et</w:t>
      </w:r>
      <w:r>
        <w:rPr>
          <w:spacing w:val="-15"/>
        </w:rPr>
        <w:t> </w:t>
      </w:r>
      <w:r>
        <w:rPr/>
        <w:t>al.,</w:t>
      </w:r>
      <w:r>
        <w:rPr>
          <w:spacing w:val="-15"/>
        </w:rPr>
        <w:t> </w:t>
      </w:r>
      <w:r>
        <w:rPr/>
        <w:t>1995),</w:t>
      </w:r>
      <w:r>
        <w:rPr>
          <w:spacing w:val="-15"/>
        </w:rPr>
        <w:t> </w:t>
      </w:r>
      <w:r>
        <w:rPr/>
        <w:t>the</w:t>
      </w:r>
      <w:r>
        <w:rPr>
          <w:spacing w:val="-15"/>
        </w:rPr>
        <w:t> </w:t>
      </w:r>
      <w:r>
        <w:rPr/>
        <w:t>Cross-Sectional</w:t>
      </w:r>
      <w:r>
        <w:rPr>
          <w:spacing w:val="-15"/>
        </w:rPr>
        <w:t> </w:t>
      </w:r>
      <w:r>
        <w:rPr/>
        <w:t>Jones</w:t>
      </w:r>
      <w:r>
        <w:rPr>
          <w:spacing w:val="-15"/>
        </w:rPr>
        <w:t> </w:t>
      </w:r>
      <w:r>
        <w:rPr/>
        <w:t>Model</w:t>
      </w:r>
      <w:r>
        <w:rPr>
          <w:spacing w:val="-13"/>
        </w:rPr>
        <w:t> </w:t>
      </w:r>
      <w:r>
        <w:rPr/>
        <w:t>(DeFond</w:t>
      </w:r>
      <w:r>
        <w:rPr>
          <w:spacing w:val="-15"/>
        </w:rPr>
        <w:t> </w:t>
      </w:r>
      <w:r>
        <w:rPr/>
        <w:t>&amp;</w:t>
      </w:r>
      <w:r>
        <w:rPr>
          <w:spacing w:val="-15"/>
        </w:rPr>
        <w:t> </w:t>
      </w:r>
      <w:r>
        <w:rPr/>
        <w:t>Jiambalvo, 1994) and Yoon, Miller and Jiraporn Model (2006). According to Thomas and Zhang (2000), the different accrual prediction models fall into two broad categories: A peek-ahead model; and those that do not peek-ahead. A peek-ahead (e.g., Jones, 1991) model uses information from the year being forecasted while those that do not peek-ahead (e.g., DeAngelo, 1986) are limited</w:t>
      </w:r>
      <w:r>
        <w:rPr>
          <w:spacing w:val="-6"/>
        </w:rPr>
        <w:t> </w:t>
      </w:r>
      <w:r>
        <w:rPr/>
        <w:t>to</w:t>
      </w:r>
      <w:r>
        <w:rPr>
          <w:spacing w:val="-5"/>
        </w:rPr>
        <w:t> </w:t>
      </w:r>
      <w:r>
        <w:rPr/>
        <w:t>the</w:t>
      </w:r>
      <w:r>
        <w:rPr>
          <w:spacing w:val="-6"/>
        </w:rPr>
        <w:t> </w:t>
      </w:r>
      <w:r>
        <w:rPr/>
        <w:t>information</w:t>
      </w:r>
      <w:r>
        <w:rPr>
          <w:spacing w:val="-5"/>
        </w:rPr>
        <w:t> </w:t>
      </w:r>
      <w:r>
        <w:rPr/>
        <w:t>available</w:t>
      </w:r>
      <w:r>
        <w:rPr>
          <w:spacing w:val="-6"/>
        </w:rPr>
        <w:t> </w:t>
      </w:r>
      <w:r>
        <w:rPr/>
        <w:t>as</w:t>
      </w:r>
      <w:r>
        <w:rPr>
          <w:spacing w:val="-3"/>
        </w:rPr>
        <w:t> </w:t>
      </w:r>
      <w:r>
        <w:rPr/>
        <w:t>of</w:t>
      </w:r>
      <w:r>
        <w:rPr>
          <w:spacing w:val="-6"/>
        </w:rPr>
        <w:t> </w:t>
      </w:r>
      <w:r>
        <w:rPr/>
        <w:t>the</w:t>
      </w:r>
      <w:r>
        <w:rPr>
          <w:spacing w:val="-6"/>
        </w:rPr>
        <w:t> </w:t>
      </w:r>
      <w:r>
        <w:rPr/>
        <w:t>prior</w:t>
      </w:r>
      <w:r>
        <w:rPr>
          <w:spacing w:val="-4"/>
        </w:rPr>
        <w:t> </w:t>
      </w:r>
      <w:r>
        <w:rPr/>
        <w:t>year.</w:t>
      </w:r>
      <w:r>
        <w:rPr>
          <w:spacing w:val="-6"/>
        </w:rPr>
        <w:t> </w:t>
      </w:r>
      <w:r>
        <w:rPr/>
        <w:t>Since</w:t>
      </w:r>
      <w:r>
        <w:rPr>
          <w:spacing w:val="-5"/>
        </w:rPr>
        <w:t> </w:t>
      </w:r>
      <w:r>
        <w:rPr/>
        <w:t>peek-ahead</w:t>
      </w:r>
      <w:r>
        <w:rPr>
          <w:spacing w:val="-3"/>
        </w:rPr>
        <w:t> </w:t>
      </w:r>
      <w:r>
        <w:rPr/>
        <w:t>models</w:t>
      </w:r>
      <w:r>
        <w:rPr>
          <w:spacing w:val="-6"/>
        </w:rPr>
        <w:t> </w:t>
      </w:r>
      <w:r>
        <w:rPr/>
        <w:t>access</w:t>
      </w:r>
      <w:r>
        <w:rPr>
          <w:spacing w:val="-5"/>
        </w:rPr>
        <w:t> </w:t>
      </w:r>
      <w:r>
        <w:rPr/>
        <w:t>more current</w:t>
      </w:r>
      <w:r>
        <w:rPr>
          <w:spacing w:val="-8"/>
        </w:rPr>
        <w:t> </w:t>
      </w:r>
      <w:r>
        <w:rPr/>
        <w:t>information,</w:t>
      </w:r>
      <w:r>
        <w:rPr>
          <w:spacing w:val="-8"/>
        </w:rPr>
        <w:t> </w:t>
      </w:r>
      <w:r>
        <w:rPr/>
        <w:t>they</w:t>
      </w:r>
      <w:r>
        <w:rPr>
          <w:spacing w:val="-9"/>
        </w:rPr>
        <w:t> </w:t>
      </w:r>
      <w:r>
        <w:rPr/>
        <w:t>might</w:t>
      </w:r>
      <w:r>
        <w:rPr>
          <w:spacing w:val="-8"/>
        </w:rPr>
        <w:t> </w:t>
      </w:r>
      <w:r>
        <w:rPr/>
        <w:t>reasonably</w:t>
      </w:r>
      <w:r>
        <w:rPr>
          <w:spacing w:val="-8"/>
        </w:rPr>
        <w:t> </w:t>
      </w:r>
      <w:r>
        <w:rPr/>
        <w:t>be</w:t>
      </w:r>
      <w:r>
        <w:rPr>
          <w:spacing w:val="-9"/>
        </w:rPr>
        <w:t> </w:t>
      </w:r>
      <w:r>
        <w:rPr/>
        <w:t>expected</w:t>
      </w:r>
      <w:r>
        <w:rPr>
          <w:spacing w:val="-9"/>
        </w:rPr>
        <w:t> </w:t>
      </w:r>
      <w:r>
        <w:rPr/>
        <w:t>to</w:t>
      </w:r>
      <w:r>
        <w:rPr>
          <w:spacing w:val="-8"/>
        </w:rPr>
        <w:t> </w:t>
      </w:r>
      <w:r>
        <w:rPr/>
        <w:t>perform</w:t>
      </w:r>
      <w:r>
        <w:rPr>
          <w:spacing w:val="-9"/>
        </w:rPr>
        <w:t> </w:t>
      </w:r>
      <w:r>
        <w:rPr/>
        <w:t>better</w:t>
      </w:r>
      <w:r>
        <w:rPr>
          <w:spacing w:val="-9"/>
        </w:rPr>
        <w:t> </w:t>
      </w:r>
      <w:r>
        <w:rPr/>
        <w:t>than</w:t>
      </w:r>
      <w:r>
        <w:rPr>
          <w:spacing w:val="80"/>
        </w:rPr>
        <w:t> </w:t>
      </w:r>
      <w:r>
        <w:rPr/>
        <w:t>accrual</w:t>
      </w:r>
      <w:r>
        <w:rPr>
          <w:spacing w:val="-8"/>
        </w:rPr>
        <w:t> </w:t>
      </w:r>
      <w:r>
        <w:rPr/>
        <w:t>models that do not peek ahead. However, Sloan (1996) posited that the limitation of the peek-ahead model was that, depending on the context of the investigation, they could not be appropriate for</w:t>
      </w:r>
      <w:r>
        <w:rPr>
          <w:spacing w:val="-15"/>
        </w:rPr>
        <w:t> </w:t>
      </w:r>
      <w:r>
        <w:rPr/>
        <w:t>examining</w:t>
      </w:r>
      <w:r>
        <w:rPr>
          <w:spacing w:val="-14"/>
        </w:rPr>
        <w:t> </w:t>
      </w:r>
      <w:r>
        <w:rPr/>
        <w:t>investment</w:t>
      </w:r>
      <w:r>
        <w:rPr>
          <w:spacing w:val="-14"/>
        </w:rPr>
        <w:t> </w:t>
      </w:r>
      <w:r>
        <w:rPr/>
        <w:t>strategies</w:t>
      </w:r>
      <w:r>
        <w:rPr>
          <w:spacing w:val="-14"/>
        </w:rPr>
        <w:t> </w:t>
      </w:r>
      <w:r>
        <w:rPr/>
        <w:t>based</w:t>
      </w:r>
      <w:r>
        <w:rPr>
          <w:spacing w:val="-14"/>
        </w:rPr>
        <w:t> </w:t>
      </w:r>
      <w:r>
        <w:rPr/>
        <w:t>on</w:t>
      </w:r>
      <w:r>
        <w:rPr>
          <w:spacing w:val="-14"/>
        </w:rPr>
        <w:t> </w:t>
      </w:r>
      <w:r>
        <w:rPr/>
        <w:t>predictions</w:t>
      </w:r>
      <w:r>
        <w:rPr>
          <w:spacing w:val="-14"/>
        </w:rPr>
        <w:t> </w:t>
      </w:r>
      <w:r>
        <w:rPr/>
        <w:t>of</w:t>
      </w:r>
      <w:r>
        <w:rPr>
          <w:spacing w:val="-15"/>
        </w:rPr>
        <w:t> </w:t>
      </w:r>
      <w:r>
        <w:rPr/>
        <w:t>future</w:t>
      </w:r>
      <w:r>
        <w:rPr>
          <w:spacing w:val="-15"/>
        </w:rPr>
        <w:t> </w:t>
      </w:r>
      <w:r>
        <w:rPr/>
        <w:t>unexpected</w:t>
      </w:r>
      <w:r>
        <w:rPr>
          <w:spacing w:val="-14"/>
        </w:rPr>
        <w:t> </w:t>
      </w:r>
      <w:r>
        <w:rPr/>
        <w:t>accruals.</w:t>
      </w:r>
      <w:r>
        <w:rPr>
          <w:spacing w:val="-13"/>
        </w:rPr>
        <w:t> </w:t>
      </w:r>
      <w:r>
        <w:rPr/>
        <w:t>Within the above broad classification, accrual predictions model can also be categorised into: (i) random walk models; (ii) mean-reverting walk models; (iii) Components models; (iv) Jones model; (v) Industry model; and (vi) Kang-Sivaramakrishnan (KS) model. The first three classifications</w:t>
      </w:r>
      <w:r>
        <w:rPr>
          <w:spacing w:val="-3"/>
        </w:rPr>
        <w:t> </w:t>
      </w:r>
      <w:r>
        <w:rPr/>
        <w:t>are</w:t>
      </w:r>
      <w:r>
        <w:rPr>
          <w:spacing w:val="-4"/>
        </w:rPr>
        <w:t> </w:t>
      </w:r>
      <w:r>
        <w:rPr/>
        <w:t>examples</w:t>
      </w:r>
      <w:r>
        <w:rPr>
          <w:spacing w:val="-3"/>
        </w:rPr>
        <w:t> </w:t>
      </w:r>
      <w:r>
        <w:rPr/>
        <w:t>of</w:t>
      </w:r>
      <w:r>
        <w:rPr>
          <w:spacing w:val="-3"/>
        </w:rPr>
        <w:t> </w:t>
      </w:r>
      <w:r>
        <w:rPr/>
        <w:t>peek-ahead</w:t>
      </w:r>
      <w:r>
        <w:rPr>
          <w:spacing w:val="-3"/>
        </w:rPr>
        <w:t> </w:t>
      </w:r>
      <w:r>
        <w:rPr/>
        <w:t>accrual</w:t>
      </w:r>
      <w:r>
        <w:rPr>
          <w:spacing w:val="-1"/>
        </w:rPr>
        <w:t> </w:t>
      </w:r>
      <w:r>
        <w:rPr/>
        <w:t>prediction</w:t>
      </w:r>
      <w:r>
        <w:rPr>
          <w:spacing w:val="-3"/>
        </w:rPr>
        <w:t> </w:t>
      </w:r>
      <w:r>
        <w:rPr/>
        <w:t>models</w:t>
      </w:r>
      <w:r>
        <w:rPr>
          <w:spacing w:val="-3"/>
        </w:rPr>
        <w:t> </w:t>
      </w:r>
      <w:r>
        <w:rPr/>
        <w:t>while</w:t>
      </w:r>
      <w:r>
        <w:rPr>
          <w:spacing w:val="-2"/>
        </w:rPr>
        <w:t> </w:t>
      </w:r>
      <w:r>
        <w:rPr/>
        <w:t>the</w:t>
      </w:r>
      <w:r>
        <w:rPr>
          <w:spacing w:val="-3"/>
        </w:rPr>
        <w:t> </w:t>
      </w:r>
      <w:r>
        <w:rPr/>
        <w:t>latter</w:t>
      </w:r>
      <w:r>
        <w:rPr>
          <w:spacing w:val="-3"/>
        </w:rPr>
        <w:t> </w:t>
      </w:r>
      <w:r>
        <w:rPr/>
        <w:t>three</w:t>
      </w:r>
      <w:r>
        <w:rPr>
          <w:spacing w:val="-4"/>
        </w:rPr>
        <w:t> </w:t>
      </w:r>
      <w:r>
        <w:rPr/>
        <w:t>are examples</w:t>
      </w:r>
      <w:r>
        <w:rPr>
          <w:spacing w:val="-15"/>
        </w:rPr>
        <w:t> </w:t>
      </w:r>
      <w:r>
        <w:rPr/>
        <w:t>of</w:t>
      </w:r>
      <w:r>
        <w:rPr>
          <w:spacing w:val="-14"/>
        </w:rPr>
        <w:t> </w:t>
      </w:r>
      <w:r>
        <w:rPr/>
        <w:t>accrual</w:t>
      </w:r>
      <w:r>
        <w:rPr>
          <w:spacing w:val="-15"/>
        </w:rPr>
        <w:t> </w:t>
      </w:r>
      <w:r>
        <w:rPr/>
        <w:t>models</w:t>
      </w:r>
      <w:r>
        <w:rPr>
          <w:spacing w:val="-15"/>
        </w:rPr>
        <w:t> </w:t>
      </w:r>
      <w:r>
        <w:rPr/>
        <w:t>that</w:t>
      </w:r>
      <w:r>
        <w:rPr>
          <w:spacing w:val="-15"/>
        </w:rPr>
        <w:t> </w:t>
      </w:r>
      <w:r>
        <w:rPr/>
        <w:t>do</w:t>
      </w:r>
      <w:r>
        <w:rPr>
          <w:spacing w:val="-15"/>
        </w:rPr>
        <w:t> </w:t>
      </w:r>
      <w:r>
        <w:rPr/>
        <w:t>not</w:t>
      </w:r>
      <w:r>
        <w:rPr>
          <w:spacing w:val="-15"/>
        </w:rPr>
        <w:t> </w:t>
      </w:r>
      <w:r>
        <w:rPr/>
        <w:t>peek-ahead.</w:t>
      </w:r>
      <w:r>
        <w:rPr>
          <w:spacing w:val="-15"/>
        </w:rPr>
        <w:t> </w:t>
      </w:r>
      <w:r>
        <w:rPr/>
        <w:t>The</w:t>
      </w:r>
      <w:r>
        <w:rPr>
          <w:spacing w:val="-15"/>
        </w:rPr>
        <w:t> </w:t>
      </w:r>
      <w:r>
        <w:rPr/>
        <w:t>DeAngelo</w:t>
      </w:r>
      <w:r>
        <w:rPr>
          <w:spacing w:val="-15"/>
        </w:rPr>
        <w:t> </w:t>
      </w:r>
      <w:r>
        <w:rPr/>
        <w:t>(1986)</w:t>
      </w:r>
      <w:r>
        <w:rPr>
          <w:spacing w:val="-12"/>
        </w:rPr>
        <w:t> </w:t>
      </w:r>
      <w:r>
        <w:rPr/>
        <w:t>model</w:t>
      </w:r>
      <w:r>
        <w:rPr>
          <w:spacing w:val="-15"/>
        </w:rPr>
        <w:t> </w:t>
      </w:r>
      <w:r>
        <w:rPr/>
        <w:t>is</w:t>
      </w:r>
      <w:r>
        <w:rPr>
          <w:spacing w:val="-15"/>
        </w:rPr>
        <w:t> </w:t>
      </w:r>
      <w:r>
        <w:rPr/>
        <w:t>an</w:t>
      </w:r>
      <w:r>
        <w:rPr>
          <w:spacing w:val="-15"/>
        </w:rPr>
        <w:t> </w:t>
      </w:r>
      <w:r>
        <w:rPr/>
        <w:t>example of the random walk accrual model. This model applies to scaled accruals, rather than the unscaled</w:t>
      </w:r>
      <w:r>
        <w:rPr>
          <w:spacing w:val="-1"/>
        </w:rPr>
        <w:t> </w:t>
      </w:r>
      <w:r>
        <w:rPr/>
        <w:t>accruals. In the DeAngelo (1986)</w:t>
      </w:r>
      <w:r>
        <w:rPr>
          <w:spacing w:val="-1"/>
        </w:rPr>
        <w:t> </w:t>
      </w:r>
      <w:r>
        <w:rPr/>
        <w:t>model, for</w:t>
      </w:r>
      <w:r>
        <w:rPr>
          <w:spacing w:val="-2"/>
        </w:rPr>
        <w:t> </w:t>
      </w:r>
      <w:r>
        <w:rPr/>
        <w:t>instance, the</w:t>
      </w:r>
      <w:r>
        <w:rPr>
          <w:spacing w:val="-1"/>
        </w:rPr>
        <w:t> </w:t>
      </w:r>
      <w:r>
        <w:rPr/>
        <w:t>last period’s</w:t>
      </w:r>
      <w:r>
        <w:rPr>
          <w:spacing w:val="-1"/>
        </w:rPr>
        <w:t> </w:t>
      </w:r>
      <w:r>
        <w:rPr/>
        <w:t>total accruals </w:t>
      </w:r>
      <w:r>
        <w:rPr>
          <w:position w:val="2"/>
        </w:rPr>
        <w:t>(TA</w:t>
      </w:r>
      <w:r>
        <w:rPr>
          <w:sz w:val="16"/>
        </w:rPr>
        <w:t>t-1</w:t>
      </w:r>
      <w:r>
        <w:rPr>
          <w:position w:val="2"/>
        </w:rPr>
        <w:t>) are scaled by lagged total assets (A</w:t>
      </w:r>
      <w:r>
        <w:rPr>
          <w:sz w:val="16"/>
        </w:rPr>
        <w:t>t - 2</w:t>
      </w:r>
      <w:r>
        <w:rPr>
          <w:position w:val="2"/>
        </w:rPr>
        <w:t>) as the measure of nondiscretionary accruals (NDA</w:t>
      </w:r>
      <w:r>
        <w:rPr>
          <w:sz w:val="16"/>
        </w:rPr>
        <w:t>t</w:t>
      </w:r>
      <w:r>
        <w:rPr>
          <w:position w:val="2"/>
        </w:rPr>
        <w:t>).</w:t>
      </w:r>
      <w:r>
        <w:rPr>
          <w:spacing w:val="71"/>
          <w:position w:val="2"/>
        </w:rPr>
        <w:t> </w:t>
      </w:r>
      <w:r>
        <w:rPr>
          <w:position w:val="2"/>
        </w:rPr>
        <w:t>Mathematically,</w:t>
      </w:r>
      <w:r>
        <w:rPr>
          <w:spacing w:val="5"/>
          <w:position w:val="2"/>
        </w:rPr>
        <w:t> </w:t>
      </w:r>
      <w:r>
        <w:rPr>
          <w:position w:val="2"/>
        </w:rPr>
        <w:t>it</w:t>
      </w:r>
      <w:r>
        <w:rPr>
          <w:spacing w:val="6"/>
          <w:position w:val="2"/>
        </w:rPr>
        <w:t> </w:t>
      </w:r>
      <w:r>
        <w:rPr>
          <w:position w:val="2"/>
        </w:rPr>
        <w:t>is</w:t>
      </w:r>
      <w:r>
        <w:rPr>
          <w:spacing w:val="6"/>
          <w:position w:val="2"/>
        </w:rPr>
        <w:t> </w:t>
      </w:r>
      <w:r>
        <w:rPr>
          <w:position w:val="2"/>
        </w:rPr>
        <w:t>expressed</w:t>
      </w:r>
      <w:r>
        <w:rPr>
          <w:spacing w:val="5"/>
          <w:position w:val="2"/>
        </w:rPr>
        <w:t> </w:t>
      </w:r>
      <w:r>
        <w:rPr>
          <w:position w:val="2"/>
        </w:rPr>
        <w:t>as:</w:t>
      </w:r>
      <w:r>
        <w:rPr>
          <w:spacing w:val="72"/>
          <w:position w:val="2"/>
        </w:rPr>
        <w:t> </w:t>
      </w:r>
      <w:r>
        <w:rPr>
          <w:position w:val="2"/>
        </w:rPr>
        <w:t>NDA</w:t>
      </w:r>
      <w:r>
        <w:rPr>
          <w:sz w:val="16"/>
        </w:rPr>
        <w:t>t</w:t>
      </w:r>
      <w:r>
        <w:rPr>
          <w:spacing w:val="27"/>
          <w:sz w:val="16"/>
        </w:rPr>
        <w:t> </w:t>
      </w:r>
      <w:r>
        <w:rPr>
          <w:position w:val="2"/>
        </w:rPr>
        <w:t>=</w:t>
      </w:r>
      <w:r>
        <w:rPr>
          <w:spacing w:val="5"/>
          <w:position w:val="2"/>
        </w:rPr>
        <w:t> </w:t>
      </w:r>
      <w:r>
        <w:rPr>
          <w:position w:val="2"/>
        </w:rPr>
        <w:t>TA</w:t>
      </w:r>
      <w:r>
        <w:rPr>
          <w:sz w:val="16"/>
        </w:rPr>
        <w:t>t</w:t>
      </w:r>
      <w:r>
        <w:rPr>
          <w:spacing w:val="5"/>
          <w:sz w:val="16"/>
        </w:rPr>
        <w:t> </w:t>
      </w:r>
      <w:r>
        <w:rPr>
          <w:sz w:val="16"/>
        </w:rPr>
        <w:t>-</w:t>
      </w:r>
      <w:r>
        <w:rPr>
          <w:spacing w:val="1"/>
          <w:sz w:val="16"/>
        </w:rPr>
        <w:t> </w:t>
      </w:r>
      <w:r>
        <w:rPr>
          <w:sz w:val="16"/>
        </w:rPr>
        <w:t>1</w:t>
      </w:r>
      <w:r>
        <w:rPr>
          <w:spacing w:val="4"/>
          <w:sz w:val="16"/>
        </w:rPr>
        <w:t> </w:t>
      </w:r>
      <w:r>
        <w:rPr>
          <w:position w:val="2"/>
        </w:rPr>
        <w:t>/</w:t>
      </w:r>
      <w:r>
        <w:rPr>
          <w:spacing w:val="4"/>
          <w:position w:val="2"/>
        </w:rPr>
        <w:t> </w:t>
      </w:r>
      <w:r>
        <w:rPr>
          <w:position w:val="2"/>
        </w:rPr>
        <w:t>A</w:t>
      </w:r>
      <w:r>
        <w:rPr>
          <w:sz w:val="16"/>
        </w:rPr>
        <w:t>t</w:t>
      </w:r>
      <w:r>
        <w:rPr>
          <w:spacing w:val="3"/>
          <w:sz w:val="16"/>
        </w:rPr>
        <w:t> </w:t>
      </w:r>
      <w:r>
        <w:rPr>
          <w:sz w:val="16"/>
        </w:rPr>
        <w:t>–</w:t>
      </w:r>
      <w:r>
        <w:rPr>
          <w:spacing w:val="3"/>
          <w:sz w:val="16"/>
        </w:rPr>
        <w:t> </w:t>
      </w:r>
      <w:r>
        <w:rPr>
          <w:sz w:val="16"/>
        </w:rPr>
        <w:t>2</w:t>
      </w:r>
      <w:r>
        <w:rPr>
          <w:position w:val="2"/>
        </w:rPr>
        <w:t>.</w:t>
      </w:r>
      <w:r>
        <w:rPr>
          <w:spacing w:val="3"/>
          <w:position w:val="2"/>
        </w:rPr>
        <w:t> </w:t>
      </w:r>
      <w:r>
        <w:rPr>
          <w:position w:val="2"/>
        </w:rPr>
        <w:t>The</w:t>
      </w:r>
      <w:r>
        <w:rPr>
          <w:spacing w:val="4"/>
          <w:position w:val="2"/>
        </w:rPr>
        <w:t> </w:t>
      </w:r>
      <w:r>
        <w:rPr>
          <w:position w:val="2"/>
        </w:rPr>
        <w:t>discretionary</w:t>
      </w:r>
      <w:r>
        <w:rPr>
          <w:spacing w:val="6"/>
          <w:position w:val="2"/>
        </w:rPr>
        <w:t> </w:t>
      </w:r>
      <w:r>
        <w:rPr>
          <w:spacing w:val="-2"/>
          <w:position w:val="2"/>
        </w:rPr>
        <w:t>portion</w:t>
      </w:r>
    </w:p>
    <w:p>
      <w:pPr>
        <w:spacing w:after="0" w:line="480" w:lineRule="auto"/>
        <w:jc w:val="both"/>
        <w:sectPr>
          <w:pgSz w:w="11910" w:h="16840"/>
          <w:pgMar w:header="0" w:footer="971" w:top="1360" w:bottom="1160" w:left="500" w:right="0"/>
        </w:sectPr>
      </w:pPr>
    </w:p>
    <w:p>
      <w:pPr>
        <w:pStyle w:val="BodyText"/>
        <w:spacing w:line="480" w:lineRule="auto" w:before="60"/>
        <w:ind w:left="940" w:right="1433"/>
        <w:jc w:val="both"/>
      </w:pPr>
      <w:r>
        <w:rPr>
          <w:position w:val="2"/>
        </w:rPr>
        <w:t>of</w:t>
      </w:r>
      <w:r>
        <w:rPr>
          <w:spacing w:val="-7"/>
          <w:position w:val="2"/>
        </w:rPr>
        <w:t> </w:t>
      </w:r>
      <w:r>
        <w:rPr>
          <w:position w:val="2"/>
        </w:rPr>
        <w:t>accruals</w:t>
      </w:r>
      <w:r>
        <w:rPr>
          <w:spacing w:val="-5"/>
          <w:position w:val="2"/>
        </w:rPr>
        <w:t> </w:t>
      </w:r>
      <w:r>
        <w:rPr>
          <w:position w:val="2"/>
        </w:rPr>
        <w:t>is</w:t>
      </w:r>
      <w:r>
        <w:rPr>
          <w:spacing w:val="-5"/>
          <w:position w:val="2"/>
        </w:rPr>
        <w:t> </w:t>
      </w:r>
      <w:r>
        <w:rPr>
          <w:position w:val="2"/>
        </w:rPr>
        <w:t>the</w:t>
      </w:r>
      <w:r>
        <w:rPr>
          <w:spacing w:val="-6"/>
          <w:position w:val="2"/>
        </w:rPr>
        <w:t> </w:t>
      </w:r>
      <w:r>
        <w:rPr>
          <w:position w:val="2"/>
        </w:rPr>
        <w:t>difference</w:t>
      </w:r>
      <w:r>
        <w:rPr>
          <w:spacing w:val="-7"/>
          <w:position w:val="2"/>
        </w:rPr>
        <w:t> </w:t>
      </w:r>
      <w:r>
        <w:rPr>
          <w:position w:val="2"/>
        </w:rPr>
        <w:t>between</w:t>
      </w:r>
      <w:r>
        <w:rPr>
          <w:spacing w:val="-6"/>
          <w:position w:val="2"/>
        </w:rPr>
        <w:t> </w:t>
      </w:r>
      <w:r>
        <w:rPr>
          <w:position w:val="2"/>
        </w:rPr>
        <w:t>total</w:t>
      </w:r>
      <w:r>
        <w:rPr>
          <w:spacing w:val="-5"/>
          <w:position w:val="2"/>
        </w:rPr>
        <w:t> </w:t>
      </w:r>
      <w:r>
        <w:rPr>
          <w:position w:val="2"/>
        </w:rPr>
        <w:t>accruals</w:t>
      </w:r>
      <w:r>
        <w:rPr>
          <w:spacing w:val="-5"/>
          <w:position w:val="2"/>
        </w:rPr>
        <w:t> </w:t>
      </w:r>
      <w:r>
        <w:rPr>
          <w:position w:val="2"/>
        </w:rPr>
        <w:t>in</w:t>
      </w:r>
      <w:r>
        <w:rPr>
          <w:spacing w:val="-5"/>
          <w:position w:val="2"/>
        </w:rPr>
        <w:t> </w:t>
      </w:r>
      <w:r>
        <w:rPr>
          <w:position w:val="2"/>
        </w:rPr>
        <w:t>the</w:t>
      </w:r>
      <w:r>
        <w:rPr>
          <w:spacing w:val="-6"/>
          <w:position w:val="2"/>
        </w:rPr>
        <w:t> </w:t>
      </w:r>
      <w:r>
        <w:rPr>
          <w:position w:val="2"/>
        </w:rPr>
        <w:t>event</w:t>
      </w:r>
      <w:r>
        <w:rPr>
          <w:spacing w:val="-5"/>
          <w:position w:val="2"/>
        </w:rPr>
        <w:t> </w:t>
      </w:r>
      <w:r>
        <w:rPr>
          <w:position w:val="2"/>
        </w:rPr>
        <w:t>year</w:t>
      </w:r>
      <w:r>
        <w:rPr>
          <w:spacing w:val="-4"/>
          <w:position w:val="2"/>
        </w:rPr>
        <w:t> </w:t>
      </w:r>
      <w:r>
        <w:rPr>
          <w:i/>
          <w:position w:val="2"/>
        </w:rPr>
        <w:t>t</w:t>
      </w:r>
      <w:r>
        <w:rPr>
          <w:i/>
          <w:spacing w:val="-5"/>
          <w:position w:val="2"/>
        </w:rPr>
        <w:t> </w:t>
      </w:r>
      <w:r>
        <w:rPr>
          <w:position w:val="2"/>
        </w:rPr>
        <w:t>scaled</w:t>
      </w:r>
      <w:r>
        <w:rPr>
          <w:spacing w:val="-6"/>
          <w:position w:val="2"/>
        </w:rPr>
        <w:t> </w:t>
      </w:r>
      <w:r>
        <w:rPr>
          <w:position w:val="2"/>
        </w:rPr>
        <w:t>by</w:t>
      </w:r>
      <w:r>
        <w:rPr>
          <w:spacing w:val="-6"/>
          <w:position w:val="2"/>
        </w:rPr>
        <w:t> </w:t>
      </w:r>
      <w:r>
        <w:rPr>
          <w:position w:val="2"/>
        </w:rPr>
        <w:t>A</w:t>
      </w:r>
      <w:r>
        <w:rPr>
          <w:sz w:val="16"/>
        </w:rPr>
        <w:t>t-1</w:t>
      </w:r>
      <w:r>
        <w:rPr>
          <w:spacing w:val="13"/>
          <w:sz w:val="16"/>
        </w:rPr>
        <w:t> </w:t>
      </w:r>
      <w:r>
        <w:rPr>
          <w:position w:val="2"/>
        </w:rPr>
        <w:t>and</w:t>
      </w:r>
      <w:r>
        <w:rPr>
          <w:spacing w:val="-6"/>
          <w:position w:val="2"/>
        </w:rPr>
        <w:t> </w:t>
      </w:r>
      <w:r>
        <w:rPr>
          <w:position w:val="2"/>
        </w:rPr>
        <w:t>NDA</w:t>
      </w:r>
      <w:r>
        <w:rPr>
          <w:sz w:val="16"/>
        </w:rPr>
        <w:t>t</w:t>
      </w:r>
      <w:r>
        <w:rPr>
          <w:position w:val="2"/>
        </w:rPr>
        <w:t>. </w:t>
      </w:r>
      <w:r>
        <w:rPr/>
        <w:t>The random walk model is relatively simple to use: no estimation period is required, unlike other models, and first differences in scaled accruals represent forecast errors. To allow comparisons</w:t>
      </w:r>
      <w:r>
        <w:rPr>
          <w:spacing w:val="-10"/>
        </w:rPr>
        <w:t> </w:t>
      </w:r>
      <w:r>
        <w:rPr/>
        <w:t>across</w:t>
      </w:r>
      <w:r>
        <w:rPr>
          <w:spacing w:val="-10"/>
        </w:rPr>
        <w:t> </w:t>
      </w:r>
      <w:r>
        <w:rPr/>
        <w:t>firms,</w:t>
      </w:r>
      <w:r>
        <w:rPr>
          <w:spacing w:val="-11"/>
        </w:rPr>
        <w:t> </w:t>
      </w:r>
      <w:r>
        <w:rPr/>
        <w:t>DeAngelo</w:t>
      </w:r>
      <w:r>
        <w:rPr>
          <w:spacing w:val="-10"/>
        </w:rPr>
        <w:t> </w:t>
      </w:r>
      <w:r>
        <w:rPr/>
        <w:t>(1986)</w:t>
      </w:r>
      <w:r>
        <w:rPr>
          <w:spacing w:val="-11"/>
        </w:rPr>
        <w:t> </w:t>
      </w:r>
      <w:r>
        <w:rPr/>
        <w:t>model</w:t>
      </w:r>
      <w:r>
        <w:rPr>
          <w:spacing w:val="-9"/>
        </w:rPr>
        <w:t> </w:t>
      </w:r>
      <w:r>
        <w:rPr/>
        <w:t>was</w:t>
      </w:r>
      <w:r>
        <w:rPr>
          <w:spacing w:val="-9"/>
        </w:rPr>
        <w:t> </w:t>
      </w:r>
      <w:r>
        <w:rPr/>
        <w:t>typically</w:t>
      </w:r>
      <w:r>
        <w:rPr>
          <w:spacing w:val="-11"/>
        </w:rPr>
        <w:t> </w:t>
      </w:r>
      <w:r>
        <w:rPr/>
        <w:t>been</w:t>
      </w:r>
      <w:r>
        <w:rPr>
          <w:spacing w:val="-8"/>
        </w:rPr>
        <w:t> </w:t>
      </w:r>
      <w:r>
        <w:rPr/>
        <w:t>adapted</w:t>
      </w:r>
      <w:r>
        <w:rPr>
          <w:spacing w:val="-11"/>
        </w:rPr>
        <w:t> </w:t>
      </w:r>
      <w:r>
        <w:rPr/>
        <w:t>slightly</w:t>
      </w:r>
      <w:r>
        <w:rPr>
          <w:spacing w:val="-11"/>
        </w:rPr>
        <w:t> </w:t>
      </w:r>
      <w:r>
        <w:rPr/>
        <w:t>in</w:t>
      </w:r>
      <w:r>
        <w:rPr>
          <w:spacing w:val="-10"/>
        </w:rPr>
        <w:t> </w:t>
      </w:r>
      <w:r>
        <w:rPr/>
        <w:t>prior research (e.g., Dechow et al., 1995).</w:t>
      </w:r>
    </w:p>
    <w:p>
      <w:pPr>
        <w:pStyle w:val="BodyText"/>
        <w:spacing w:line="480" w:lineRule="auto"/>
        <w:ind w:left="940" w:right="1436"/>
        <w:jc w:val="both"/>
      </w:pPr>
      <w:r>
        <w:rPr/>
        <w:drawing>
          <wp:anchor distT="0" distB="0" distL="0" distR="0" allowOverlap="1" layoutInCell="1" locked="0" behindDoc="1" simplePos="0" relativeHeight="477678592">
            <wp:simplePos x="0" y="0"/>
            <wp:positionH relativeFrom="page">
              <wp:posOffset>1095451</wp:posOffset>
            </wp:positionH>
            <wp:positionV relativeFrom="paragraph">
              <wp:posOffset>58508</wp:posOffset>
            </wp:positionV>
            <wp:extent cx="5106847" cy="523811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13"/>
        </w:rPr>
        <w:t> </w:t>
      </w:r>
      <w:r>
        <w:rPr/>
        <w:t>Healy</w:t>
      </w:r>
      <w:r>
        <w:rPr>
          <w:spacing w:val="-12"/>
        </w:rPr>
        <w:t> </w:t>
      </w:r>
      <w:r>
        <w:rPr/>
        <w:t>(1985)</w:t>
      </w:r>
      <w:r>
        <w:rPr>
          <w:spacing w:val="-13"/>
        </w:rPr>
        <w:t> </w:t>
      </w:r>
      <w:r>
        <w:rPr/>
        <w:t>and</w:t>
      </w:r>
      <w:r>
        <w:rPr>
          <w:spacing w:val="-11"/>
        </w:rPr>
        <w:t> </w:t>
      </w:r>
      <w:r>
        <w:rPr/>
        <w:t>Dechow</w:t>
      </w:r>
      <w:r>
        <w:rPr>
          <w:spacing w:val="-13"/>
        </w:rPr>
        <w:t> </w:t>
      </w:r>
      <w:r>
        <w:rPr/>
        <w:t>et</w:t>
      </w:r>
      <w:r>
        <w:rPr>
          <w:spacing w:val="-12"/>
        </w:rPr>
        <w:t> </w:t>
      </w:r>
      <w:r>
        <w:rPr/>
        <w:t>al.</w:t>
      </w:r>
      <w:r>
        <w:rPr>
          <w:spacing w:val="-12"/>
        </w:rPr>
        <w:t> </w:t>
      </w:r>
      <w:r>
        <w:rPr/>
        <w:t>(1995)</w:t>
      </w:r>
      <w:r>
        <w:rPr>
          <w:spacing w:val="-13"/>
        </w:rPr>
        <w:t> </w:t>
      </w:r>
      <w:r>
        <w:rPr/>
        <w:t>models</w:t>
      </w:r>
      <w:r>
        <w:rPr>
          <w:spacing w:val="-12"/>
        </w:rPr>
        <w:t> </w:t>
      </w:r>
      <w:r>
        <w:rPr/>
        <w:t>are</w:t>
      </w:r>
      <w:r>
        <w:rPr>
          <w:spacing w:val="-14"/>
        </w:rPr>
        <w:t> </w:t>
      </w:r>
      <w:r>
        <w:rPr/>
        <w:t>examples</w:t>
      </w:r>
      <w:r>
        <w:rPr>
          <w:spacing w:val="-12"/>
        </w:rPr>
        <w:t> </w:t>
      </w:r>
      <w:r>
        <w:rPr/>
        <w:t>of</w:t>
      </w:r>
      <w:r>
        <w:rPr>
          <w:spacing w:val="-13"/>
        </w:rPr>
        <w:t> </w:t>
      </w:r>
      <w:r>
        <w:rPr/>
        <w:t>the</w:t>
      </w:r>
      <w:r>
        <w:rPr>
          <w:spacing w:val="-13"/>
        </w:rPr>
        <w:t> </w:t>
      </w:r>
      <w:r>
        <w:rPr/>
        <w:t>mean-reverting</w:t>
      </w:r>
      <w:r>
        <w:rPr>
          <w:spacing w:val="-12"/>
        </w:rPr>
        <w:t> </w:t>
      </w:r>
      <w:r>
        <w:rPr/>
        <w:t>accrual model. One of the limitations of the random walk model is that accrual, especially current accrual</w:t>
      </w:r>
      <w:r>
        <w:rPr>
          <w:spacing w:val="-4"/>
        </w:rPr>
        <w:t> </w:t>
      </w:r>
      <w:r>
        <w:rPr/>
        <w:t>components</w:t>
      </w:r>
      <w:r>
        <w:rPr>
          <w:spacing w:val="-4"/>
        </w:rPr>
        <w:t> </w:t>
      </w:r>
      <w:r>
        <w:rPr/>
        <w:t>have</w:t>
      </w:r>
      <w:r>
        <w:rPr>
          <w:spacing w:val="-3"/>
        </w:rPr>
        <w:t> </w:t>
      </w:r>
      <w:r>
        <w:rPr/>
        <w:t>been</w:t>
      </w:r>
      <w:r>
        <w:rPr>
          <w:spacing w:val="-4"/>
        </w:rPr>
        <w:t> </w:t>
      </w:r>
      <w:r>
        <w:rPr/>
        <w:t>shown</w:t>
      </w:r>
      <w:r>
        <w:rPr>
          <w:spacing w:val="-4"/>
        </w:rPr>
        <w:t> </w:t>
      </w:r>
      <w:r>
        <w:rPr/>
        <w:t>to</w:t>
      </w:r>
      <w:r>
        <w:rPr>
          <w:spacing w:val="-4"/>
        </w:rPr>
        <w:t> </w:t>
      </w:r>
      <w:r>
        <w:rPr/>
        <w:t>vary</w:t>
      </w:r>
      <w:r>
        <w:rPr>
          <w:spacing w:val="-4"/>
        </w:rPr>
        <w:t> </w:t>
      </w:r>
      <w:r>
        <w:rPr/>
        <w:t>from</w:t>
      </w:r>
      <w:r>
        <w:rPr>
          <w:spacing w:val="-4"/>
        </w:rPr>
        <w:t> </w:t>
      </w:r>
      <w:r>
        <w:rPr/>
        <w:t>a</w:t>
      </w:r>
      <w:r>
        <w:rPr>
          <w:spacing w:val="-5"/>
        </w:rPr>
        <w:t> </w:t>
      </w:r>
      <w:r>
        <w:rPr/>
        <w:t>random</w:t>
      </w:r>
      <w:r>
        <w:rPr>
          <w:spacing w:val="-4"/>
        </w:rPr>
        <w:t> </w:t>
      </w:r>
      <w:r>
        <w:rPr/>
        <w:t>walk</w:t>
      </w:r>
      <w:r>
        <w:rPr>
          <w:spacing w:val="-4"/>
        </w:rPr>
        <w:t> </w:t>
      </w:r>
      <w:r>
        <w:rPr/>
        <w:t>and</w:t>
      </w:r>
      <w:r>
        <w:rPr>
          <w:spacing w:val="-4"/>
        </w:rPr>
        <w:t> </w:t>
      </w:r>
      <w:r>
        <w:rPr/>
        <w:t>exhibit</w:t>
      </w:r>
      <w:r>
        <w:rPr>
          <w:spacing w:val="-4"/>
        </w:rPr>
        <w:t> </w:t>
      </w:r>
      <w:r>
        <w:rPr/>
        <w:t>mean</w:t>
      </w:r>
      <w:r>
        <w:rPr>
          <w:spacing w:val="-4"/>
        </w:rPr>
        <w:t> </w:t>
      </w:r>
      <w:r>
        <w:rPr/>
        <w:t>reversion </w:t>
      </w:r>
      <w:r>
        <w:rPr>
          <w:position w:val="2"/>
        </w:rPr>
        <w:t>(Dechow, 1995). For Healy, the model uses the mean of total accruals (TA</w:t>
      </w:r>
      <w:r>
        <w:rPr>
          <w:sz w:val="16"/>
        </w:rPr>
        <w:t>t</w:t>
      </w:r>
      <w:r>
        <w:rPr>
          <w:position w:val="2"/>
        </w:rPr>
        <w:t>) scaled by lagged total</w:t>
      </w:r>
      <w:r>
        <w:rPr>
          <w:spacing w:val="-5"/>
          <w:position w:val="2"/>
        </w:rPr>
        <w:t> </w:t>
      </w:r>
      <w:r>
        <w:rPr>
          <w:position w:val="2"/>
        </w:rPr>
        <w:t>assets</w:t>
      </w:r>
      <w:r>
        <w:rPr>
          <w:spacing w:val="-6"/>
          <w:position w:val="2"/>
        </w:rPr>
        <w:t> </w:t>
      </w:r>
      <w:r>
        <w:rPr>
          <w:position w:val="2"/>
        </w:rPr>
        <w:t>(A</w:t>
      </w:r>
      <w:r>
        <w:rPr>
          <w:sz w:val="16"/>
        </w:rPr>
        <w:t>t-1</w:t>
      </w:r>
      <w:r>
        <w:rPr>
          <w:position w:val="2"/>
        </w:rPr>
        <w:t>)</w:t>
      </w:r>
      <w:r>
        <w:rPr>
          <w:spacing w:val="-7"/>
          <w:position w:val="2"/>
        </w:rPr>
        <w:t> </w:t>
      </w:r>
      <w:r>
        <w:rPr>
          <w:position w:val="2"/>
        </w:rPr>
        <w:t>from</w:t>
      </w:r>
      <w:r>
        <w:rPr>
          <w:spacing w:val="-5"/>
          <w:position w:val="2"/>
        </w:rPr>
        <w:t> </w:t>
      </w:r>
      <w:r>
        <w:rPr>
          <w:position w:val="2"/>
        </w:rPr>
        <w:t>the</w:t>
      </w:r>
      <w:r>
        <w:rPr>
          <w:spacing w:val="-6"/>
          <w:position w:val="2"/>
        </w:rPr>
        <w:t> </w:t>
      </w:r>
      <w:r>
        <w:rPr>
          <w:position w:val="2"/>
        </w:rPr>
        <w:t>estimation</w:t>
      </w:r>
      <w:r>
        <w:rPr>
          <w:spacing w:val="-5"/>
          <w:position w:val="2"/>
        </w:rPr>
        <w:t> </w:t>
      </w:r>
      <w:r>
        <w:rPr>
          <w:position w:val="2"/>
        </w:rPr>
        <w:t>period</w:t>
      </w:r>
      <w:r>
        <w:rPr>
          <w:spacing w:val="-6"/>
          <w:position w:val="2"/>
        </w:rPr>
        <w:t> </w:t>
      </w:r>
      <w:r>
        <w:rPr>
          <w:position w:val="2"/>
        </w:rPr>
        <w:t>as</w:t>
      </w:r>
      <w:r>
        <w:rPr>
          <w:spacing w:val="-6"/>
          <w:position w:val="2"/>
        </w:rPr>
        <w:t> </w:t>
      </w:r>
      <w:r>
        <w:rPr>
          <w:position w:val="2"/>
        </w:rPr>
        <w:t>the</w:t>
      </w:r>
      <w:r>
        <w:rPr>
          <w:spacing w:val="-6"/>
          <w:position w:val="2"/>
        </w:rPr>
        <w:t> </w:t>
      </w:r>
      <w:r>
        <w:rPr>
          <w:position w:val="2"/>
        </w:rPr>
        <w:t>measure</w:t>
      </w:r>
      <w:r>
        <w:rPr>
          <w:spacing w:val="-8"/>
          <w:position w:val="2"/>
        </w:rPr>
        <w:t> </w:t>
      </w:r>
      <w:r>
        <w:rPr>
          <w:position w:val="2"/>
        </w:rPr>
        <w:t>of</w:t>
      </w:r>
      <w:r>
        <w:rPr>
          <w:spacing w:val="-7"/>
          <w:position w:val="2"/>
        </w:rPr>
        <w:t> </w:t>
      </w:r>
      <w:r>
        <w:rPr>
          <w:position w:val="2"/>
        </w:rPr>
        <w:t>nondiscretionary</w:t>
      </w:r>
      <w:r>
        <w:rPr>
          <w:spacing w:val="-7"/>
          <w:position w:val="2"/>
        </w:rPr>
        <w:t> </w:t>
      </w:r>
      <w:r>
        <w:rPr>
          <w:position w:val="2"/>
        </w:rPr>
        <w:t>accruals,</w:t>
      </w:r>
      <w:r>
        <w:rPr>
          <w:spacing w:val="-5"/>
          <w:position w:val="2"/>
        </w:rPr>
        <w:t> </w:t>
      </w:r>
      <w:r>
        <w:rPr>
          <w:position w:val="2"/>
        </w:rPr>
        <w:t>thus, the</w:t>
      </w:r>
      <w:r>
        <w:rPr>
          <w:spacing w:val="-5"/>
          <w:position w:val="2"/>
        </w:rPr>
        <w:t> </w:t>
      </w:r>
      <w:r>
        <w:rPr>
          <w:position w:val="2"/>
        </w:rPr>
        <w:t>model</w:t>
      </w:r>
      <w:r>
        <w:rPr>
          <w:spacing w:val="-5"/>
          <w:position w:val="2"/>
        </w:rPr>
        <w:t> </w:t>
      </w:r>
      <w:r>
        <w:rPr>
          <w:position w:val="2"/>
        </w:rPr>
        <w:t>for</w:t>
      </w:r>
      <w:r>
        <w:rPr>
          <w:spacing w:val="-4"/>
          <w:position w:val="2"/>
        </w:rPr>
        <w:t> </w:t>
      </w:r>
      <w:r>
        <w:rPr>
          <w:position w:val="2"/>
        </w:rPr>
        <w:t>nondiscretionary</w:t>
      </w:r>
      <w:r>
        <w:rPr>
          <w:spacing w:val="-6"/>
          <w:position w:val="2"/>
        </w:rPr>
        <w:t> </w:t>
      </w:r>
      <w:r>
        <w:rPr>
          <w:position w:val="2"/>
        </w:rPr>
        <w:t>accruals</w:t>
      </w:r>
      <w:r>
        <w:rPr>
          <w:spacing w:val="-4"/>
          <w:position w:val="2"/>
        </w:rPr>
        <w:t> </w:t>
      </w:r>
      <w:r>
        <w:rPr>
          <w:position w:val="2"/>
        </w:rPr>
        <w:t>in</w:t>
      </w:r>
      <w:r>
        <w:rPr>
          <w:spacing w:val="-4"/>
          <w:position w:val="2"/>
        </w:rPr>
        <w:t> </w:t>
      </w:r>
      <w:r>
        <w:rPr>
          <w:position w:val="2"/>
        </w:rPr>
        <w:t>the</w:t>
      </w:r>
      <w:r>
        <w:rPr>
          <w:spacing w:val="-2"/>
          <w:position w:val="2"/>
        </w:rPr>
        <w:t> </w:t>
      </w:r>
      <w:r>
        <w:rPr>
          <w:position w:val="2"/>
        </w:rPr>
        <w:t>event</w:t>
      </w:r>
      <w:r>
        <w:rPr>
          <w:spacing w:val="-4"/>
          <w:position w:val="2"/>
        </w:rPr>
        <w:t> </w:t>
      </w:r>
      <w:r>
        <w:rPr>
          <w:position w:val="2"/>
        </w:rPr>
        <w:t>year</w:t>
      </w:r>
      <w:r>
        <w:rPr>
          <w:spacing w:val="-2"/>
          <w:position w:val="2"/>
        </w:rPr>
        <w:t> </w:t>
      </w:r>
      <w:r>
        <w:rPr>
          <w:i/>
          <w:position w:val="2"/>
        </w:rPr>
        <w:t>t</w:t>
      </w:r>
      <w:r>
        <w:rPr>
          <w:i/>
          <w:spacing w:val="-2"/>
          <w:position w:val="2"/>
        </w:rPr>
        <w:t> </w:t>
      </w:r>
      <w:r>
        <w:rPr>
          <w:position w:val="2"/>
        </w:rPr>
        <w:t>(NDA</w:t>
      </w:r>
      <w:r>
        <w:rPr>
          <w:sz w:val="16"/>
        </w:rPr>
        <w:t>t</w:t>
      </w:r>
      <w:r>
        <w:rPr>
          <w:position w:val="2"/>
        </w:rPr>
        <w:t>)</w:t>
      </w:r>
      <w:r>
        <w:rPr>
          <w:spacing w:val="-3"/>
          <w:position w:val="2"/>
        </w:rPr>
        <w:t> </w:t>
      </w:r>
      <w:r>
        <w:rPr>
          <w:position w:val="2"/>
        </w:rPr>
        <w:t>is:</w:t>
      </w:r>
      <w:r>
        <w:rPr>
          <w:spacing w:val="-4"/>
          <w:position w:val="2"/>
        </w:rPr>
        <w:t> </w:t>
      </w:r>
      <w:r>
        <w:rPr>
          <w:position w:val="2"/>
        </w:rPr>
        <w:t>NDA</w:t>
      </w:r>
      <w:r>
        <w:rPr>
          <w:sz w:val="16"/>
        </w:rPr>
        <w:t>t</w:t>
      </w:r>
      <w:r>
        <w:rPr>
          <w:spacing w:val="16"/>
          <w:sz w:val="16"/>
        </w:rPr>
        <w:t> </w:t>
      </w:r>
      <w:r>
        <w:rPr>
          <w:position w:val="2"/>
        </w:rPr>
        <w:t>=</w:t>
      </w:r>
      <w:r>
        <w:rPr>
          <w:spacing w:val="-6"/>
          <w:position w:val="2"/>
        </w:rPr>
        <w:t> </w:t>
      </w:r>
      <w:r>
        <w:rPr>
          <w:position w:val="2"/>
        </w:rPr>
        <w:t>1/n</w:t>
      </w:r>
      <w:r>
        <w:rPr>
          <w:spacing w:val="-4"/>
          <w:position w:val="2"/>
        </w:rPr>
        <w:t> </w:t>
      </w:r>
      <w:r>
        <w:rPr>
          <w:rFonts w:ascii="Symbol" w:hAnsi="Symbol"/>
          <w:position w:val="2"/>
        </w:rPr>
        <w:t></w:t>
      </w:r>
      <w:r>
        <w:rPr>
          <w:sz w:val="16"/>
        </w:rPr>
        <w:t>t</w:t>
      </w:r>
      <w:r>
        <w:rPr>
          <w:position w:val="2"/>
        </w:rPr>
        <w:t>(TA</w:t>
      </w:r>
      <w:r>
        <w:rPr>
          <w:sz w:val="16"/>
        </w:rPr>
        <w:t>t</w:t>
      </w:r>
      <w:r>
        <w:rPr>
          <w:spacing w:val="72"/>
          <w:sz w:val="16"/>
        </w:rPr>
        <w:t> </w:t>
      </w:r>
      <w:r>
        <w:rPr>
          <w:position w:val="2"/>
        </w:rPr>
        <w:t>/</w:t>
      </w:r>
      <w:r>
        <w:rPr>
          <w:spacing w:val="-4"/>
          <w:position w:val="2"/>
        </w:rPr>
        <w:t> </w:t>
      </w:r>
      <w:r>
        <w:rPr>
          <w:position w:val="2"/>
        </w:rPr>
        <w:t>A</w:t>
      </w:r>
      <w:r>
        <w:rPr>
          <w:sz w:val="16"/>
        </w:rPr>
        <w:t>t-</w:t>
      </w:r>
      <w:r>
        <w:rPr>
          <w:spacing w:val="40"/>
          <w:sz w:val="16"/>
        </w:rPr>
        <w:t> </w:t>
      </w:r>
      <w:r>
        <w:rPr>
          <w:sz w:val="16"/>
        </w:rPr>
        <w:t>1</w:t>
      </w:r>
      <w:r>
        <w:rPr>
          <w:position w:val="2"/>
        </w:rPr>
        <w:t>) . Where: NDA</w:t>
      </w:r>
      <w:r>
        <w:rPr>
          <w:sz w:val="16"/>
        </w:rPr>
        <w:t>t</w:t>
      </w:r>
      <w:r>
        <w:rPr>
          <w:spacing w:val="29"/>
          <w:sz w:val="16"/>
        </w:rPr>
        <w:t> </w:t>
      </w:r>
      <w:r>
        <w:rPr>
          <w:position w:val="2"/>
        </w:rPr>
        <w:t>is nondiscretionary accruals in year </w:t>
      </w:r>
      <w:r>
        <w:rPr>
          <w:i/>
          <w:position w:val="2"/>
        </w:rPr>
        <w:t>t </w:t>
      </w:r>
      <w:r>
        <w:rPr>
          <w:position w:val="2"/>
        </w:rPr>
        <w:t>scaled by lagged total assets; n is the </w:t>
      </w:r>
      <w:r>
        <w:rPr/>
        <w:t>number of years in the estimation period; and t is a year subscript for years (t-n, t-n+1,…,t-1) included in the estimation period. The discretionary portion of accruals is the difference </w:t>
      </w:r>
      <w:r>
        <w:rPr>
          <w:position w:val="2"/>
        </w:rPr>
        <w:t>between total accruals in the event year </w:t>
      </w:r>
      <w:r>
        <w:rPr>
          <w:i/>
          <w:position w:val="2"/>
        </w:rPr>
        <w:t>t </w:t>
      </w:r>
      <w:r>
        <w:rPr>
          <w:position w:val="2"/>
        </w:rPr>
        <w:t>scaled by A</w:t>
      </w:r>
      <w:r>
        <w:rPr>
          <w:sz w:val="16"/>
        </w:rPr>
        <w:t>t-1 </w:t>
      </w:r>
      <w:r>
        <w:rPr>
          <w:position w:val="2"/>
        </w:rPr>
        <w:t>and NDA</w:t>
      </w:r>
      <w:r>
        <w:rPr>
          <w:sz w:val="16"/>
        </w:rPr>
        <w:t>t</w:t>
      </w:r>
      <w:r>
        <w:rPr>
          <w:position w:val="2"/>
        </w:rPr>
        <w:t>. However, Dechow et al. </w:t>
      </w:r>
      <w:r>
        <w:rPr/>
        <w:t>(1995) used the mean of the past five years’ accruals as an expectation for current year’s accrual.</w:t>
      </w:r>
      <w:r>
        <w:rPr>
          <w:spacing w:val="-5"/>
        </w:rPr>
        <w:t> </w:t>
      </w:r>
      <w:r>
        <w:rPr/>
        <w:t>Unlike</w:t>
      </w:r>
      <w:r>
        <w:rPr>
          <w:spacing w:val="-6"/>
        </w:rPr>
        <w:t> </w:t>
      </w:r>
      <w:r>
        <w:rPr/>
        <w:t>the</w:t>
      </w:r>
      <w:r>
        <w:rPr>
          <w:spacing w:val="-6"/>
        </w:rPr>
        <w:t> </w:t>
      </w:r>
      <w:r>
        <w:rPr/>
        <w:t>random</w:t>
      </w:r>
      <w:r>
        <w:rPr>
          <w:spacing w:val="-5"/>
        </w:rPr>
        <w:t> </w:t>
      </w:r>
      <w:r>
        <w:rPr/>
        <w:t>walk</w:t>
      </w:r>
      <w:r>
        <w:rPr>
          <w:spacing w:val="-5"/>
        </w:rPr>
        <w:t> </w:t>
      </w:r>
      <w:r>
        <w:rPr/>
        <w:t>model,</w:t>
      </w:r>
      <w:r>
        <w:rPr>
          <w:spacing w:val="-6"/>
        </w:rPr>
        <w:t> </w:t>
      </w:r>
      <w:r>
        <w:rPr/>
        <w:t>which</w:t>
      </w:r>
      <w:r>
        <w:rPr>
          <w:spacing w:val="-6"/>
        </w:rPr>
        <w:t> </w:t>
      </w:r>
      <w:r>
        <w:rPr/>
        <w:t>is</w:t>
      </w:r>
      <w:r>
        <w:rPr>
          <w:spacing w:val="-5"/>
        </w:rPr>
        <w:t> </w:t>
      </w:r>
      <w:r>
        <w:rPr/>
        <w:t>influenced</w:t>
      </w:r>
      <w:r>
        <w:rPr>
          <w:spacing w:val="-3"/>
        </w:rPr>
        <w:t> </w:t>
      </w:r>
      <w:r>
        <w:rPr/>
        <w:t>entirely</w:t>
      </w:r>
      <w:r>
        <w:rPr>
          <w:spacing w:val="-5"/>
        </w:rPr>
        <w:t> </w:t>
      </w:r>
      <w:r>
        <w:rPr/>
        <w:t>by</w:t>
      </w:r>
      <w:r>
        <w:rPr>
          <w:spacing w:val="-6"/>
        </w:rPr>
        <w:t> </w:t>
      </w:r>
      <w:r>
        <w:rPr/>
        <w:t>last</w:t>
      </w:r>
      <w:r>
        <w:rPr>
          <w:spacing w:val="-3"/>
        </w:rPr>
        <w:t> </w:t>
      </w:r>
      <w:r>
        <w:rPr/>
        <w:t>year's</w:t>
      </w:r>
      <w:r>
        <w:rPr>
          <w:spacing w:val="-6"/>
        </w:rPr>
        <w:t> </w:t>
      </w:r>
      <w:r>
        <w:rPr/>
        <w:t>accrual,</w:t>
      </w:r>
      <w:r>
        <w:rPr>
          <w:spacing w:val="-5"/>
        </w:rPr>
        <w:t> </w:t>
      </w:r>
      <w:r>
        <w:rPr/>
        <w:t>the mean</w:t>
      </w:r>
      <w:r>
        <w:rPr>
          <w:spacing w:val="-5"/>
        </w:rPr>
        <w:t> </w:t>
      </w:r>
      <w:r>
        <w:rPr/>
        <w:t>reverting</w:t>
      </w:r>
      <w:r>
        <w:rPr>
          <w:spacing w:val="-5"/>
        </w:rPr>
        <w:t> </w:t>
      </w:r>
      <w:r>
        <w:rPr/>
        <w:t>model</w:t>
      </w:r>
      <w:r>
        <w:rPr>
          <w:spacing w:val="-5"/>
        </w:rPr>
        <w:t> </w:t>
      </w:r>
      <w:r>
        <w:rPr/>
        <w:t>gives</w:t>
      </w:r>
      <w:r>
        <w:rPr>
          <w:spacing w:val="-3"/>
        </w:rPr>
        <w:t> </w:t>
      </w:r>
      <w:r>
        <w:rPr/>
        <w:t>an</w:t>
      </w:r>
      <w:r>
        <w:rPr>
          <w:spacing w:val="-5"/>
        </w:rPr>
        <w:t> </w:t>
      </w:r>
      <w:r>
        <w:rPr/>
        <w:t>equal</w:t>
      </w:r>
      <w:r>
        <w:rPr>
          <w:spacing w:val="-4"/>
        </w:rPr>
        <w:t> </w:t>
      </w:r>
      <w:r>
        <w:rPr/>
        <w:t>weight</w:t>
      </w:r>
      <w:r>
        <w:rPr>
          <w:spacing w:val="-4"/>
        </w:rPr>
        <w:t> </w:t>
      </w:r>
      <w:r>
        <w:rPr/>
        <w:t>to</w:t>
      </w:r>
      <w:r>
        <w:rPr>
          <w:spacing w:val="-4"/>
        </w:rPr>
        <w:t> </w:t>
      </w:r>
      <w:r>
        <w:rPr/>
        <w:t>accruals</w:t>
      </w:r>
      <w:r>
        <w:rPr>
          <w:spacing w:val="-4"/>
        </w:rPr>
        <w:t> </w:t>
      </w:r>
      <w:r>
        <w:rPr/>
        <w:t>from</w:t>
      </w:r>
      <w:r>
        <w:rPr>
          <w:spacing w:val="-2"/>
        </w:rPr>
        <w:t> </w:t>
      </w:r>
      <w:r>
        <w:rPr/>
        <w:t>each</w:t>
      </w:r>
      <w:r>
        <w:rPr>
          <w:spacing w:val="-5"/>
        </w:rPr>
        <w:t> </w:t>
      </w:r>
      <w:r>
        <w:rPr/>
        <w:t>of</w:t>
      </w:r>
      <w:r>
        <w:rPr>
          <w:spacing w:val="-6"/>
        </w:rPr>
        <w:t> </w:t>
      </w:r>
      <w:r>
        <w:rPr/>
        <w:t>the</w:t>
      </w:r>
      <w:r>
        <w:rPr>
          <w:spacing w:val="-5"/>
        </w:rPr>
        <w:t> </w:t>
      </w:r>
      <w:r>
        <w:rPr/>
        <w:t>prior</w:t>
      </w:r>
      <w:r>
        <w:rPr>
          <w:spacing w:val="-6"/>
        </w:rPr>
        <w:t> </w:t>
      </w:r>
      <w:r>
        <w:rPr/>
        <w:t>five</w:t>
      </w:r>
      <w:r>
        <w:rPr>
          <w:spacing w:val="-6"/>
        </w:rPr>
        <w:t> </w:t>
      </w:r>
      <w:r>
        <w:rPr/>
        <w:t>years.</w:t>
      </w:r>
      <w:r>
        <w:rPr>
          <w:spacing w:val="-5"/>
        </w:rPr>
        <w:t> </w:t>
      </w:r>
      <w:r>
        <w:rPr/>
        <w:t>As</w:t>
      </w:r>
      <w:r>
        <w:rPr>
          <w:spacing w:val="-2"/>
        </w:rPr>
        <w:t> </w:t>
      </w:r>
      <w:r>
        <w:rPr/>
        <w:t>a result, accruals cannot be forecasted if missing values of scaled accruals exist for any of the previous five years. There are</w:t>
      </w:r>
      <w:r>
        <w:rPr>
          <w:spacing w:val="-1"/>
        </w:rPr>
        <w:t> </w:t>
      </w:r>
      <w:r>
        <w:rPr/>
        <w:t>other accrual prediction models that are</w:t>
      </w:r>
      <w:r>
        <w:rPr>
          <w:spacing w:val="-1"/>
        </w:rPr>
        <w:t> </w:t>
      </w:r>
      <w:r>
        <w:rPr/>
        <w:t>in between the random walk and mean-reverting models. They are</w:t>
      </w:r>
      <w:r>
        <w:rPr>
          <w:spacing w:val="-1"/>
        </w:rPr>
        <w:t> </w:t>
      </w:r>
      <w:r>
        <w:rPr/>
        <w:t>classified as component accrual prediction model. Since current accruals exhibit more mean reversion than noncurrent accruals, predictions should improve if current and noncurrent accruals are allowed to have separate weights, that is, total accruals might be better represented by a weighted average of the random walk and mean-reverting models.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79104">
            <wp:simplePos x="0" y="0"/>
            <wp:positionH relativeFrom="page">
              <wp:posOffset>1095451</wp:posOffset>
            </wp:positionH>
            <wp:positionV relativeFrom="paragraph">
              <wp:posOffset>1850770</wp:posOffset>
            </wp:positionV>
            <wp:extent cx="5106847" cy="5238115"/>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5" cstate="print"/>
                    <a:stretch>
                      <a:fillRect/>
                    </a:stretch>
                  </pic:blipFill>
                  <pic:spPr>
                    <a:xfrm>
                      <a:off x="0" y="0"/>
                      <a:ext cx="5106847" cy="5238115"/>
                    </a:xfrm>
                    <a:prstGeom prst="rect">
                      <a:avLst/>
                    </a:prstGeom>
                  </pic:spPr>
                </pic:pic>
              </a:graphicData>
            </a:graphic>
          </wp:anchor>
        </w:drawing>
      </w:r>
      <w:r>
        <w:rPr/>
        <w:t>Jones (1991) proposed a model that attempted to control for the effects of changes in a firm’s economic circumstances on nondiscretionary accruals.</w:t>
      </w:r>
      <w:r>
        <w:rPr>
          <w:spacing w:val="40"/>
        </w:rPr>
        <w:t> </w:t>
      </w:r>
      <w:r>
        <w:rPr/>
        <w:t>The Jones model uses changes in revenues</w:t>
      </w:r>
      <w:r>
        <w:rPr>
          <w:spacing w:val="-8"/>
        </w:rPr>
        <w:t> </w:t>
      </w:r>
      <w:r>
        <w:rPr/>
        <w:t>from</w:t>
      </w:r>
      <w:r>
        <w:rPr>
          <w:spacing w:val="-10"/>
        </w:rPr>
        <w:t> </w:t>
      </w:r>
      <w:r>
        <w:rPr/>
        <w:t>period</w:t>
      </w:r>
      <w:r>
        <w:rPr>
          <w:spacing w:val="-11"/>
        </w:rPr>
        <w:t> </w:t>
      </w:r>
      <w:r>
        <w:rPr/>
        <w:t>t-1</w:t>
      </w:r>
      <w:r>
        <w:rPr>
          <w:spacing w:val="-8"/>
        </w:rPr>
        <w:t> </w:t>
      </w:r>
      <w:r>
        <w:rPr/>
        <w:t>to</w:t>
      </w:r>
      <w:r>
        <w:rPr>
          <w:spacing w:val="-10"/>
        </w:rPr>
        <w:t> </w:t>
      </w:r>
      <w:r>
        <w:rPr/>
        <w:t>t</w:t>
      </w:r>
      <w:r>
        <w:rPr>
          <w:spacing w:val="-10"/>
        </w:rPr>
        <w:t> </w:t>
      </w:r>
      <w:r>
        <w:rPr/>
        <w:t>and</w:t>
      </w:r>
      <w:r>
        <w:rPr>
          <w:spacing w:val="-11"/>
        </w:rPr>
        <w:t> </w:t>
      </w:r>
      <w:r>
        <w:rPr/>
        <w:t>period</w:t>
      </w:r>
      <w:r>
        <w:rPr>
          <w:spacing w:val="-11"/>
        </w:rPr>
        <w:t> </w:t>
      </w:r>
      <w:r>
        <w:rPr/>
        <w:t>t</w:t>
      </w:r>
      <w:r>
        <w:rPr>
          <w:spacing w:val="-10"/>
        </w:rPr>
        <w:t> </w:t>
      </w:r>
      <w:r>
        <w:rPr/>
        <w:t>gross</w:t>
      </w:r>
      <w:r>
        <w:rPr>
          <w:spacing w:val="-11"/>
        </w:rPr>
        <w:t> </w:t>
      </w:r>
      <w:r>
        <w:rPr/>
        <w:t>plant,</w:t>
      </w:r>
      <w:r>
        <w:rPr>
          <w:spacing w:val="-11"/>
        </w:rPr>
        <w:t> </w:t>
      </w:r>
      <w:r>
        <w:rPr/>
        <w:t>property,</w:t>
      </w:r>
      <w:r>
        <w:rPr>
          <w:spacing w:val="-11"/>
        </w:rPr>
        <w:t> </w:t>
      </w:r>
      <w:r>
        <w:rPr/>
        <w:t>and</w:t>
      </w:r>
      <w:r>
        <w:rPr>
          <w:spacing w:val="-11"/>
        </w:rPr>
        <w:t> </w:t>
      </w:r>
      <w:r>
        <w:rPr/>
        <w:t>equipment</w:t>
      </w:r>
      <w:r>
        <w:rPr>
          <w:spacing w:val="-10"/>
        </w:rPr>
        <w:t> </w:t>
      </w:r>
      <w:r>
        <w:rPr/>
        <w:t>(PPE)</w:t>
      </w:r>
      <w:r>
        <w:rPr>
          <w:spacing w:val="-11"/>
        </w:rPr>
        <w:t> </w:t>
      </w:r>
      <w:r>
        <w:rPr/>
        <w:t>to</w:t>
      </w:r>
      <w:r>
        <w:rPr>
          <w:spacing w:val="-10"/>
        </w:rPr>
        <w:t> </w:t>
      </w:r>
      <w:r>
        <w:rPr/>
        <w:t>predict total accruals (Jones, 1991). The Jones Model for nondiscretionary accruals in the event year </w:t>
      </w:r>
      <w:r>
        <w:rPr>
          <w:position w:val="2"/>
        </w:rPr>
        <w:t>is: NDA</w:t>
      </w:r>
      <w:r>
        <w:rPr>
          <w:sz w:val="16"/>
        </w:rPr>
        <w:t>t</w:t>
      </w:r>
      <w:r>
        <w:rPr>
          <w:spacing w:val="24"/>
          <w:sz w:val="16"/>
        </w:rPr>
        <w:t> </w:t>
      </w:r>
      <w:r>
        <w:rPr>
          <w:position w:val="2"/>
        </w:rPr>
        <w:t>= α1(1 / A</w:t>
      </w:r>
      <w:r>
        <w:rPr>
          <w:sz w:val="16"/>
        </w:rPr>
        <w:t>t - 1</w:t>
      </w:r>
      <w:r>
        <w:rPr>
          <w:position w:val="2"/>
        </w:rPr>
        <w:t>) + α2(ΔREVt / A</w:t>
      </w:r>
      <w:r>
        <w:rPr>
          <w:sz w:val="16"/>
        </w:rPr>
        <w:t>t - 1</w:t>
      </w:r>
      <w:r>
        <w:rPr>
          <w:position w:val="2"/>
        </w:rPr>
        <w:t>) + α3(PPE</w:t>
      </w:r>
      <w:r>
        <w:rPr>
          <w:sz w:val="16"/>
        </w:rPr>
        <w:t>t</w:t>
      </w:r>
      <w:r>
        <w:rPr>
          <w:spacing w:val="24"/>
          <w:sz w:val="16"/>
        </w:rPr>
        <w:t> </w:t>
      </w:r>
      <w:r>
        <w:rPr>
          <w:position w:val="2"/>
        </w:rPr>
        <w:t>/ A</w:t>
      </w:r>
      <w:r>
        <w:rPr>
          <w:sz w:val="16"/>
        </w:rPr>
        <w:t>t -</w:t>
      </w:r>
      <w:r>
        <w:rPr>
          <w:spacing w:val="-1"/>
          <w:sz w:val="16"/>
        </w:rPr>
        <w:t> </w:t>
      </w:r>
      <w:r>
        <w:rPr>
          <w:sz w:val="16"/>
        </w:rPr>
        <w:t>1 </w:t>
      </w:r>
      <w:r>
        <w:rPr>
          <w:position w:val="2"/>
        </w:rPr>
        <w:t>), where ΔREVt</w:t>
      </w:r>
      <w:r>
        <w:rPr>
          <w:spacing w:val="40"/>
          <w:position w:val="2"/>
        </w:rPr>
        <w:t> </w:t>
      </w:r>
      <w:r>
        <w:rPr>
          <w:position w:val="2"/>
        </w:rPr>
        <w:t>is revenues in </w:t>
      </w:r>
      <w:r>
        <w:rPr/>
        <w:t>year</w:t>
      </w:r>
      <w:r>
        <w:rPr>
          <w:spacing w:val="-2"/>
        </w:rPr>
        <w:t> </w:t>
      </w:r>
      <w:r>
        <w:rPr>
          <w:i/>
        </w:rPr>
        <w:t>t</w:t>
      </w:r>
      <w:r>
        <w:rPr>
          <w:i/>
          <w:spacing w:val="-3"/>
        </w:rPr>
        <w:t> </w:t>
      </w:r>
      <w:r>
        <w:rPr/>
        <w:t>less</w:t>
      </w:r>
      <w:r>
        <w:rPr>
          <w:spacing w:val="-1"/>
        </w:rPr>
        <w:t> </w:t>
      </w:r>
      <w:r>
        <w:rPr/>
        <w:t>revenues</w:t>
      </w:r>
      <w:r>
        <w:rPr>
          <w:spacing w:val="-4"/>
        </w:rPr>
        <w:t> </w:t>
      </w:r>
      <w:r>
        <w:rPr/>
        <w:t>in</w:t>
      </w:r>
      <w:r>
        <w:rPr>
          <w:spacing w:val="-3"/>
        </w:rPr>
        <w:t> </w:t>
      </w:r>
      <w:r>
        <w:rPr/>
        <w:t>year</w:t>
      </w:r>
      <w:r>
        <w:rPr>
          <w:spacing w:val="-3"/>
        </w:rPr>
        <w:t> </w:t>
      </w:r>
      <w:r>
        <w:rPr>
          <w:i/>
        </w:rPr>
        <w:t>t</w:t>
      </w:r>
      <w:r>
        <w:rPr>
          <w:i/>
          <w:spacing w:val="-1"/>
        </w:rPr>
        <w:t> </w:t>
      </w:r>
      <w:r>
        <w:rPr>
          <w:i/>
        </w:rPr>
        <w:t>-</w:t>
      </w:r>
      <w:r>
        <w:rPr>
          <w:i/>
          <w:spacing w:val="-5"/>
        </w:rPr>
        <w:t> </w:t>
      </w:r>
      <w:r>
        <w:rPr>
          <w:i/>
        </w:rPr>
        <w:t>1</w:t>
      </w:r>
      <w:r>
        <w:rPr/>
        <w:t>;</w:t>
      </w:r>
      <w:r>
        <w:rPr>
          <w:spacing w:val="-1"/>
        </w:rPr>
        <w:t> </w:t>
      </w:r>
      <w:r>
        <w:rPr/>
        <w:t>PPEt</w:t>
      </w:r>
      <w:r>
        <w:rPr>
          <w:spacing w:val="-4"/>
        </w:rPr>
        <w:t> </w:t>
      </w:r>
      <w:r>
        <w:rPr/>
        <w:t>is</w:t>
      </w:r>
      <w:r>
        <w:rPr>
          <w:spacing w:val="-3"/>
        </w:rPr>
        <w:t> </w:t>
      </w:r>
      <w:r>
        <w:rPr/>
        <w:t>gross</w:t>
      </w:r>
      <w:r>
        <w:rPr>
          <w:spacing w:val="-4"/>
        </w:rPr>
        <w:t> </w:t>
      </w:r>
      <w:r>
        <w:rPr/>
        <w:t>property</w:t>
      </w:r>
      <w:r>
        <w:rPr>
          <w:spacing w:val="-4"/>
        </w:rPr>
        <w:t> </w:t>
      </w:r>
      <w:r>
        <w:rPr/>
        <w:t>plant</w:t>
      </w:r>
      <w:r>
        <w:rPr>
          <w:spacing w:val="-1"/>
        </w:rPr>
        <w:t> </w:t>
      </w:r>
      <w:r>
        <w:rPr/>
        <w:t>and</w:t>
      </w:r>
      <w:r>
        <w:rPr>
          <w:spacing w:val="-1"/>
        </w:rPr>
        <w:t> </w:t>
      </w:r>
      <w:r>
        <w:rPr/>
        <w:t>equipment</w:t>
      </w:r>
      <w:r>
        <w:rPr>
          <w:spacing w:val="-3"/>
        </w:rPr>
        <w:t> </w:t>
      </w:r>
      <w:r>
        <w:rPr/>
        <w:t>at</w:t>
      </w:r>
      <w:r>
        <w:rPr>
          <w:spacing w:val="-3"/>
        </w:rPr>
        <w:t> </w:t>
      </w:r>
      <w:r>
        <w:rPr/>
        <w:t>the</w:t>
      </w:r>
      <w:r>
        <w:rPr>
          <w:spacing w:val="-2"/>
        </w:rPr>
        <w:t> </w:t>
      </w:r>
      <w:r>
        <w:rPr/>
        <w:t>end</w:t>
      </w:r>
      <w:r>
        <w:rPr>
          <w:spacing w:val="-4"/>
        </w:rPr>
        <w:t> </w:t>
      </w:r>
      <w:r>
        <w:rPr/>
        <w:t>of</w:t>
      </w:r>
      <w:r>
        <w:rPr>
          <w:spacing w:val="-5"/>
        </w:rPr>
        <w:t> </w:t>
      </w:r>
      <w:r>
        <w:rPr/>
        <w:t>year </w:t>
      </w:r>
      <w:r>
        <w:rPr>
          <w:i/>
        </w:rPr>
        <w:t>t</w:t>
      </w:r>
      <w:r>
        <w:rPr/>
        <w:t>;</w:t>
      </w:r>
      <w:r>
        <w:rPr>
          <w:spacing w:val="-8"/>
        </w:rPr>
        <w:t> </w:t>
      </w:r>
      <w:r>
        <w:rPr/>
        <w:t>At</w:t>
      </w:r>
      <w:r>
        <w:rPr>
          <w:spacing w:val="-9"/>
        </w:rPr>
        <w:t> </w:t>
      </w:r>
      <w:r>
        <w:rPr/>
        <w:t>-</w:t>
      </w:r>
      <w:r>
        <w:rPr>
          <w:spacing w:val="-9"/>
        </w:rPr>
        <w:t> </w:t>
      </w:r>
      <w:r>
        <w:rPr/>
        <w:t>1</w:t>
      </w:r>
      <w:r>
        <w:rPr>
          <w:spacing w:val="-9"/>
        </w:rPr>
        <w:t> </w:t>
      </w:r>
      <w:r>
        <w:rPr/>
        <w:t>is</w:t>
      </w:r>
      <w:r>
        <w:rPr>
          <w:spacing w:val="-8"/>
        </w:rPr>
        <w:t> </w:t>
      </w:r>
      <w:r>
        <w:rPr/>
        <w:t>total</w:t>
      </w:r>
      <w:r>
        <w:rPr>
          <w:spacing w:val="-8"/>
        </w:rPr>
        <w:t> </w:t>
      </w:r>
      <w:r>
        <w:rPr/>
        <w:t>assets</w:t>
      </w:r>
      <w:r>
        <w:rPr>
          <w:spacing w:val="-8"/>
        </w:rPr>
        <w:t> </w:t>
      </w:r>
      <w:r>
        <w:rPr/>
        <w:t>at</w:t>
      </w:r>
      <w:r>
        <w:rPr>
          <w:spacing w:val="-8"/>
        </w:rPr>
        <w:t> </w:t>
      </w:r>
      <w:r>
        <w:rPr/>
        <w:t>the</w:t>
      </w:r>
      <w:r>
        <w:rPr>
          <w:spacing w:val="-10"/>
        </w:rPr>
        <w:t> </w:t>
      </w:r>
      <w:r>
        <w:rPr/>
        <w:t>end</w:t>
      </w:r>
      <w:r>
        <w:rPr>
          <w:spacing w:val="-9"/>
        </w:rPr>
        <w:t> </w:t>
      </w:r>
      <w:r>
        <w:rPr/>
        <w:t>of</w:t>
      </w:r>
      <w:r>
        <w:rPr>
          <w:spacing w:val="-7"/>
        </w:rPr>
        <w:t> </w:t>
      </w:r>
      <w:r>
        <w:rPr/>
        <w:t>year</w:t>
      </w:r>
      <w:r>
        <w:rPr>
          <w:spacing w:val="-7"/>
        </w:rPr>
        <w:t> </w:t>
      </w:r>
      <w:r>
        <w:rPr>
          <w:i/>
        </w:rPr>
        <w:t>t</w:t>
      </w:r>
      <w:r>
        <w:rPr>
          <w:i/>
          <w:spacing w:val="-8"/>
        </w:rPr>
        <w:t> </w:t>
      </w:r>
      <w:r>
        <w:rPr>
          <w:i/>
        </w:rPr>
        <w:t>-</w:t>
      </w:r>
      <w:r>
        <w:rPr>
          <w:i/>
          <w:spacing w:val="-9"/>
        </w:rPr>
        <w:t> </w:t>
      </w:r>
      <w:r>
        <w:rPr>
          <w:i/>
        </w:rPr>
        <w:t>1</w:t>
      </w:r>
      <w:r>
        <w:rPr/>
        <w:t>;</w:t>
      </w:r>
      <w:r>
        <w:rPr>
          <w:spacing w:val="-6"/>
        </w:rPr>
        <w:t> </w:t>
      </w:r>
      <w:r>
        <w:rPr/>
        <w:t>and</w:t>
      </w:r>
      <w:r>
        <w:rPr>
          <w:spacing w:val="-9"/>
        </w:rPr>
        <w:t> </w:t>
      </w:r>
      <w:r>
        <w:rPr/>
        <w:t>α1,</w:t>
      </w:r>
      <w:r>
        <w:rPr>
          <w:spacing w:val="-9"/>
        </w:rPr>
        <w:t> </w:t>
      </w:r>
      <w:r>
        <w:rPr/>
        <w:t>α2,</w:t>
      </w:r>
      <w:r>
        <w:rPr>
          <w:spacing w:val="-9"/>
        </w:rPr>
        <w:t> </w:t>
      </w:r>
      <w:r>
        <w:rPr/>
        <w:t>α3</w:t>
      </w:r>
      <w:r>
        <w:rPr>
          <w:spacing w:val="-6"/>
        </w:rPr>
        <w:t> </w:t>
      </w:r>
      <w:r>
        <w:rPr/>
        <w:t>are</w:t>
      </w:r>
      <w:r>
        <w:rPr>
          <w:spacing w:val="-8"/>
        </w:rPr>
        <w:t> </w:t>
      </w:r>
      <w:r>
        <w:rPr/>
        <w:t>firm-specific</w:t>
      </w:r>
      <w:r>
        <w:rPr>
          <w:spacing w:val="-10"/>
        </w:rPr>
        <w:t> </w:t>
      </w:r>
      <w:r>
        <w:rPr/>
        <w:t>parameters</w:t>
      </w:r>
      <w:r>
        <w:rPr>
          <w:spacing w:val="-7"/>
        </w:rPr>
        <w:t> </w:t>
      </w:r>
      <w:r>
        <w:rPr/>
        <w:t>which are obtained by using the model in the estimation period:</w:t>
      </w:r>
      <w:r>
        <w:rPr>
          <w:spacing w:val="40"/>
        </w:rPr>
        <w:t> </w:t>
      </w:r>
      <w:r>
        <w:rPr/>
        <w:t>TAt / At - 1 = a1(1/At - 1) + a2(ΔREVt</w:t>
      </w:r>
      <w:r>
        <w:rPr>
          <w:spacing w:val="-1"/>
        </w:rPr>
        <w:t> </w:t>
      </w:r>
      <w:r>
        <w:rPr/>
        <w:t>/ At</w:t>
      </w:r>
      <w:r>
        <w:rPr>
          <w:spacing w:val="-1"/>
        </w:rPr>
        <w:t> </w:t>
      </w:r>
      <w:r>
        <w:rPr/>
        <w:t>- 1) + a3(PPEt</w:t>
      </w:r>
      <w:r>
        <w:rPr>
          <w:spacing w:val="-1"/>
        </w:rPr>
        <w:t> </w:t>
      </w:r>
      <w:r>
        <w:rPr/>
        <w:t>/</w:t>
      </w:r>
      <w:r>
        <w:rPr>
          <w:spacing w:val="-1"/>
        </w:rPr>
        <w:t> </w:t>
      </w:r>
      <w:r>
        <w:rPr/>
        <w:t>At -</w:t>
      </w:r>
      <w:r>
        <w:rPr>
          <w:spacing w:val="-2"/>
        </w:rPr>
        <w:t> </w:t>
      </w:r>
      <w:r>
        <w:rPr/>
        <w:t>1) +</w:t>
      </w:r>
      <w:r>
        <w:rPr>
          <w:spacing w:val="-2"/>
        </w:rPr>
        <w:t> </w:t>
      </w:r>
      <w:r>
        <w:rPr/>
        <w:t>εt</w:t>
      </w:r>
      <w:r>
        <w:rPr>
          <w:spacing w:val="40"/>
        </w:rPr>
        <w:t> </w:t>
      </w:r>
      <w:r>
        <w:rPr/>
        <w:t>where:a1,</w:t>
      </w:r>
      <w:r>
        <w:rPr>
          <w:spacing w:val="-1"/>
        </w:rPr>
        <w:t> </w:t>
      </w:r>
      <w:r>
        <w:rPr/>
        <w:t>a2, and a3</w:t>
      </w:r>
      <w:r>
        <w:rPr>
          <w:spacing w:val="-1"/>
        </w:rPr>
        <w:t> </w:t>
      </w:r>
      <w:r>
        <w:rPr/>
        <w:t>denote</w:t>
      </w:r>
      <w:r>
        <w:rPr>
          <w:spacing w:val="-2"/>
        </w:rPr>
        <w:t> </w:t>
      </w:r>
      <w:r>
        <w:rPr/>
        <w:t>the OLS</w:t>
      </w:r>
      <w:r>
        <w:rPr>
          <w:spacing w:val="-1"/>
        </w:rPr>
        <w:t> </w:t>
      </w:r>
      <w:r>
        <w:rPr/>
        <w:t>estimates</w:t>
      </w:r>
      <w:r>
        <w:rPr>
          <w:spacing w:val="-2"/>
        </w:rPr>
        <w:t> </w:t>
      </w:r>
      <w:r>
        <w:rPr/>
        <w:t>of α1, α2, and α3, and TAt is total accruals in year </w:t>
      </w:r>
      <w:r>
        <w:rPr>
          <w:i/>
        </w:rPr>
        <w:t>t</w:t>
      </w:r>
      <w:r>
        <w:rPr/>
        <w:t>. εt is the</w:t>
      </w:r>
      <w:r>
        <w:rPr>
          <w:spacing w:val="-1"/>
        </w:rPr>
        <w:t> </w:t>
      </w:r>
      <w:r>
        <w:rPr/>
        <w:t>residual which represents the</w:t>
      </w:r>
      <w:r>
        <w:rPr>
          <w:spacing w:val="-1"/>
        </w:rPr>
        <w:t> </w:t>
      </w:r>
      <w:r>
        <w:rPr/>
        <w:t>firm- specific discretionary portion of total accruals. However, there is the criticism that the Jones model fails to capture sales base manipulation. It is assumed that changes in credit sales manipulation in the event period is deemed to result from artificially created accruals and should be taken into consideration. The artificially created accruals are a proxy for taking the difference between a change in revenue and a change in receivables (Dechow et al., 1995). </w:t>
      </w:r>
      <w:r>
        <w:rPr>
          <w:position w:val="2"/>
        </w:rPr>
        <w:t>Consequently, this gave rise to the modified Jones model stated as: NDA</w:t>
      </w:r>
      <w:r>
        <w:rPr>
          <w:sz w:val="16"/>
        </w:rPr>
        <w:t>t</w:t>
      </w:r>
      <w:r>
        <w:rPr>
          <w:spacing w:val="40"/>
          <w:sz w:val="16"/>
        </w:rPr>
        <w:t> </w:t>
      </w:r>
      <w:r>
        <w:rPr>
          <w:position w:val="2"/>
        </w:rPr>
        <w:t>= α1(1/A</w:t>
      </w:r>
      <w:r>
        <w:rPr>
          <w:sz w:val="16"/>
        </w:rPr>
        <w:t>t - 1</w:t>
      </w:r>
      <w:r>
        <w:rPr>
          <w:position w:val="2"/>
        </w:rPr>
        <w:t>) + α2[(ΔREV</w:t>
      </w:r>
      <w:r>
        <w:rPr>
          <w:sz w:val="16"/>
        </w:rPr>
        <w:t>t</w:t>
      </w:r>
      <w:r>
        <w:rPr>
          <w:spacing w:val="40"/>
          <w:sz w:val="16"/>
        </w:rPr>
        <w:t> </w:t>
      </w:r>
      <w:r>
        <w:rPr>
          <w:position w:val="2"/>
        </w:rPr>
        <w:t>- ΔREC</w:t>
      </w:r>
      <w:r>
        <w:rPr>
          <w:sz w:val="16"/>
        </w:rPr>
        <w:t>t</w:t>
      </w:r>
      <w:r>
        <w:rPr>
          <w:position w:val="2"/>
        </w:rPr>
        <w:t>) / A</w:t>
      </w:r>
      <w:r>
        <w:rPr>
          <w:sz w:val="16"/>
        </w:rPr>
        <w:t>t - 1</w:t>
      </w:r>
      <w:r>
        <w:rPr>
          <w:position w:val="2"/>
        </w:rPr>
        <w:t>]+ α3(PPE</w:t>
      </w:r>
      <w:r>
        <w:rPr>
          <w:sz w:val="16"/>
        </w:rPr>
        <w:t>t</w:t>
      </w:r>
      <w:r>
        <w:rPr>
          <w:spacing w:val="38"/>
          <w:sz w:val="16"/>
        </w:rPr>
        <w:t> </w:t>
      </w:r>
      <w:r>
        <w:rPr>
          <w:position w:val="2"/>
        </w:rPr>
        <w:t>/ A</w:t>
      </w:r>
      <w:r>
        <w:rPr>
          <w:sz w:val="16"/>
        </w:rPr>
        <w:t>t - 1</w:t>
      </w:r>
      <w:r>
        <w:rPr>
          <w:position w:val="2"/>
        </w:rPr>
        <w:t>). The only adjustment relative to the original </w:t>
      </w:r>
      <w:r>
        <w:rPr/>
        <w:t>Jones Model is that the change in revenues is adjusted for the change in receivables in the </w:t>
      </w:r>
      <w:r>
        <w:rPr>
          <w:spacing w:val="-2"/>
        </w:rPr>
        <w:t>event.</w:t>
      </w:r>
    </w:p>
    <w:p>
      <w:pPr>
        <w:pStyle w:val="BodyText"/>
        <w:spacing w:line="480" w:lineRule="auto"/>
        <w:ind w:left="940" w:right="1435"/>
        <w:jc w:val="both"/>
      </w:pPr>
      <w:r>
        <w:rPr/>
        <w:t>According</w:t>
      </w:r>
      <w:r>
        <w:rPr>
          <w:spacing w:val="-1"/>
        </w:rPr>
        <w:t> </w:t>
      </w:r>
      <w:r>
        <w:rPr/>
        <w:t>to Dechow et al.</w:t>
      </w:r>
      <w:r>
        <w:rPr>
          <w:spacing w:val="-1"/>
        </w:rPr>
        <w:t> </w:t>
      </w:r>
      <w:r>
        <w:rPr/>
        <w:t>(1995), non-discretionary</w:t>
      </w:r>
      <w:r>
        <w:rPr>
          <w:spacing w:val="-1"/>
        </w:rPr>
        <w:t> </w:t>
      </w:r>
      <w:r>
        <w:rPr/>
        <w:t>accruals</w:t>
      </w:r>
      <w:r>
        <w:rPr>
          <w:spacing w:val="-1"/>
        </w:rPr>
        <w:t> </w:t>
      </w:r>
      <w:r>
        <w:rPr/>
        <w:t>might</w:t>
      </w:r>
      <w:r>
        <w:rPr>
          <w:spacing w:val="-1"/>
        </w:rPr>
        <w:t> </w:t>
      </w:r>
      <w:r>
        <w:rPr/>
        <w:t>potentially</w:t>
      </w:r>
      <w:r>
        <w:rPr>
          <w:spacing w:val="-1"/>
        </w:rPr>
        <w:t> </w:t>
      </w:r>
      <w:r>
        <w:rPr/>
        <w:t>be</w:t>
      </w:r>
      <w:r>
        <w:rPr>
          <w:spacing w:val="-1"/>
        </w:rPr>
        <w:t> </w:t>
      </w:r>
      <w:r>
        <w:rPr/>
        <w:t>explained by</w:t>
      </w:r>
      <w:r>
        <w:rPr>
          <w:spacing w:val="-8"/>
        </w:rPr>
        <w:t> </w:t>
      </w:r>
      <w:r>
        <w:rPr/>
        <w:t>accruals</w:t>
      </w:r>
      <w:r>
        <w:rPr>
          <w:spacing w:val="-8"/>
        </w:rPr>
        <w:t> </w:t>
      </w:r>
      <w:r>
        <w:rPr/>
        <w:t>made</w:t>
      </w:r>
      <w:r>
        <w:rPr>
          <w:spacing w:val="-9"/>
        </w:rPr>
        <w:t> </w:t>
      </w:r>
      <w:r>
        <w:rPr/>
        <w:t>by</w:t>
      </w:r>
      <w:r>
        <w:rPr>
          <w:spacing w:val="-8"/>
        </w:rPr>
        <w:t> </w:t>
      </w:r>
      <w:r>
        <w:rPr/>
        <w:t>other</w:t>
      </w:r>
      <w:r>
        <w:rPr>
          <w:spacing w:val="-9"/>
        </w:rPr>
        <w:t> </w:t>
      </w:r>
      <w:r>
        <w:rPr/>
        <w:t>firms</w:t>
      </w:r>
      <w:r>
        <w:rPr>
          <w:spacing w:val="-8"/>
        </w:rPr>
        <w:t> </w:t>
      </w:r>
      <w:r>
        <w:rPr/>
        <w:t>in</w:t>
      </w:r>
      <w:r>
        <w:rPr>
          <w:spacing w:val="-8"/>
        </w:rPr>
        <w:t> </w:t>
      </w:r>
      <w:r>
        <w:rPr/>
        <w:t>the</w:t>
      </w:r>
      <w:r>
        <w:rPr>
          <w:spacing w:val="-9"/>
        </w:rPr>
        <w:t> </w:t>
      </w:r>
      <w:r>
        <w:rPr/>
        <w:t>same</w:t>
      </w:r>
      <w:r>
        <w:rPr>
          <w:spacing w:val="-9"/>
        </w:rPr>
        <w:t> </w:t>
      </w:r>
      <w:r>
        <w:rPr/>
        <w:t>industry,</w:t>
      </w:r>
      <w:r>
        <w:rPr>
          <w:spacing w:val="-8"/>
        </w:rPr>
        <w:t> </w:t>
      </w:r>
      <w:r>
        <w:rPr/>
        <w:t>that</w:t>
      </w:r>
      <w:r>
        <w:rPr>
          <w:spacing w:val="-8"/>
        </w:rPr>
        <w:t> </w:t>
      </w:r>
      <w:r>
        <w:rPr/>
        <w:t>is,</w:t>
      </w:r>
      <w:r>
        <w:rPr>
          <w:spacing w:val="-8"/>
        </w:rPr>
        <w:t> </w:t>
      </w:r>
      <w:r>
        <w:rPr/>
        <w:t>each</w:t>
      </w:r>
      <w:r>
        <w:rPr>
          <w:spacing w:val="-8"/>
        </w:rPr>
        <w:t> </w:t>
      </w:r>
      <w:r>
        <w:rPr/>
        <w:t>firm</w:t>
      </w:r>
      <w:r>
        <w:rPr>
          <w:spacing w:val="-8"/>
        </w:rPr>
        <w:t> </w:t>
      </w:r>
      <w:r>
        <w:rPr/>
        <w:t>has</w:t>
      </w:r>
      <w:r>
        <w:rPr>
          <w:spacing w:val="-8"/>
        </w:rPr>
        <w:t> </w:t>
      </w:r>
      <w:r>
        <w:rPr/>
        <w:t>a</w:t>
      </w:r>
      <w:r>
        <w:rPr>
          <w:spacing w:val="-9"/>
        </w:rPr>
        <w:t> </w:t>
      </w:r>
      <w:r>
        <w:rPr/>
        <w:t>certain</w:t>
      </w:r>
      <w:r>
        <w:rPr>
          <w:spacing w:val="-8"/>
        </w:rPr>
        <w:t> </w:t>
      </w:r>
      <w:r>
        <w:rPr/>
        <w:t>sensitivity to</w:t>
      </w:r>
      <w:r>
        <w:rPr>
          <w:spacing w:val="-2"/>
        </w:rPr>
        <w:t> </w:t>
      </w:r>
      <w:r>
        <w:rPr/>
        <w:t>industry</w:t>
      </w:r>
      <w:r>
        <w:rPr>
          <w:spacing w:val="-2"/>
        </w:rPr>
        <w:t> </w:t>
      </w:r>
      <w:r>
        <w:rPr/>
        <w:t>accruals.</w:t>
      </w:r>
      <w:r>
        <w:rPr>
          <w:spacing w:val="-2"/>
        </w:rPr>
        <w:t> </w:t>
      </w:r>
      <w:r>
        <w:rPr/>
        <w:t>Therefore, there</w:t>
      </w:r>
      <w:r>
        <w:rPr>
          <w:spacing w:val="-3"/>
        </w:rPr>
        <w:t> </w:t>
      </w:r>
      <w:r>
        <w:rPr/>
        <w:t>is</w:t>
      </w:r>
      <w:r>
        <w:rPr>
          <w:spacing w:val="-2"/>
        </w:rPr>
        <w:t> </w:t>
      </w:r>
      <w:r>
        <w:rPr/>
        <w:t>the</w:t>
      </w:r>
      <w:r>
        <w:rPr>
          <w:spacing w:val="-3"/>
        </w:rPr>
        <w:t> </w:t>
      </w:r>
      <w:r>
        <w:rPr/>
        <w:t>need</w:t>
      </w:r>
      <w:r>
        <w:rPr>
          <w:spacing w:val="-2"/>
        </w:rPr>
        <w:t> </w:t>
      </w:r>
      <w:r>
        <w:rPr/>
        <w:t>to relax</w:t>
      </w:r>
      <w:r>
        <w:rPr>
          <w:spacing w:val="-2"/>
        </w:rPr>
        <w:t> </w:t>
      </w:r>
      <w:r>
        <w:rPr/>
        <w:t>the</w:t>
      </w:r>
      <w:r>
        <w:rPr>
          <w:spacing w:val="-3"/>
        </w:rPr>
        <w:t> </w:t>
      </w:r>
      <w:r>
        <w:rPr/>
        <w:t>assumption</w:t>
      </w:r>
      <w:r>
        <w:rPr>
          <w:spacing w:val="-2"/>
        </w:rPr>
        <w:t> </w:t>
      </w:r>
      <w:r>
        <w:rPr/>
        <w:t>that</w:t>
      </w:r>
      <w:r>
        <w:rPr>
          <w:spacing w:val="-2"/>
        </w:rPr>
        <w:t> </w:t>
      </w:r>
      <w:r>
        <w:rPr/>
        <w:t>nondiscretionary accruals</w:t>
      </w:r>
      <w:r>
        <w:rPr>
          <w:spacing w:val="-1"/>
        </w:rPr>
        <w:t> </w:t>
      </w:r>
      <w:r>
        <w:rPr/>
        <w:t>are</w:t>
      </w:r>
      <w:r>
        <w:rPr>
          <w:spacing w:val="-2"/>
        </w:rPr>
        <w:t> </w:t>
      </w:r>
      <w:r>
        <w:rPr/>
        <w:t>constant</w:t>
      </w:r>
      <w:r>
        <w:rPr>
          <w:spacing w:val="-1"/>
        </w:rPr>
        <w:t> </w:t>
      </w:r>
      <w:r>
        <w:rPr/>
        <w:t>over</w:t>
      </w:r>
      <w:r>
        <w:rPr>
          <w:spacing w:val="-2"/>
        </w:rPr>
        <w:t> </w:t>
      </w:r>
      <w:r>
        <w:rPr/>
        <w:t>time. That gave rise</w:t>
      </w:r>
      <w:r>
        <w:rPr>
          <w:spacing w:val="-2"/>
        </w:rPr>
        <w:t> </w:t>
      </w:r>
      <w:r>
        <w:rPr/>
        <w:t>to accrual</w:t>
      </w:r>
      <w:r>
        <w:rPr>
          <w:spacing w:val="-1"/>
        </w:rPr>
        <w:t> </w:t>
      </w:r>
      <w:r>
        <w:rPr/>
        <w:t>prediction</w:t>
      </w:r>
      <w:r>
        <w:rPr>
          <w:spacing w:val="-1"/>
        </w:rPr>
        <w:t> </w:t>
      </w:r>
      <w:r>
        <w:rPr/>
        <w:t>model called</w:t>
      </w:r>
      <w:r>
        <w:rPr>
          <w:spacing w:val="-1"/>
        </w:rPr>
        <w:t> </w:t>
      </w:r>
      <w:r>
        <w:rPr/>
        <w:t>the Industry model.</w:t>
      </w:r>
      <w:r>
        <w:rPr>
          <w:spacing w:val="40"/>
        </w:rPr>
        <w:t> </w:t>
      </w:r>
      <w:r>
        <w:rPr/>
        <w:t>In this model, instead of attempting to model the determinants of nondiscretionary accruals</w:t>
      </w:r>
      <w:r>
        <w:rPr>
          <w:spacing w:val="54"/>
        </w:rPr>
        <w:t> </w:t>
      </w:r>
      <w:r>
        <w:rPr/>
        <w:t>directly,</w:t>
      </w:r>
      <w:r>
        <w:rPr>
          <w:spacing w:val="56"/>
        </w:rPr>
        <w:t> </w:t>
      </w:r>
      <w:r>
        <w:rPr/>
        <w:t>the</w:t>
      </w:r>
      <w:r>
        <w:rPr>
          <w:spacing w:val="58"/>
        </w:rPr>
        <w:t> </w:t>
      </w:r>
      <w:r>
        <w:rPr/>
        <w:t>Industry</w:t>
      </w:r>
      <w:r>
        <w:rPr>
          <w:spacing w:val="55"/>
        </w:rPr>
        <w:t> </w:t>
      </w:r>
      <w:r>
        <w:rPr/>
        <w:t>Model</w:t>
      </w:r>
      <w:r>
        <w:rPr>
          <w:spacing w:val="56"/>
        </w:rPr>
        <w:t> </w:t>
      </w:r>
      <w:r>
        <w:rPr/>
        <w:t>assumes</w:t>
      </w:r>
      <w:r>
        <w:rPr>
          <w:spacing w:val="56"/>
        </w:rPr>
        <w:t> </w:t>
      </w:r>
      <w:r>
        <w:rPr/>
        <w:t>that</w:t>
      </w:r>
      <w:r>
        <w:rPr>
          <w:spacing w:val="56"/>
        </w:rPr>
        <w:t> </w:t>
      </w:r>
      <w:r>
        <w:rPr/>
        <w:t>the</w:t>
      </w:r>
      <w:r>
        <w:rPr>
          <w:spacing w:val="55"/>
        </w:rPr>
        <w:t> </w:t>
      </w:r>
      <w:r>
        <w:rPr/>
        <w:t>variations</w:t>
      </w:r>
      <w:r>
        <w:rPr>
          <w:spacing w:val="56"/>
        </w:rPr>
        <w:t> </w:t>
      </w:r>
      <w:r>
        <w:rPr/>
        <w:t>in</w:t>
      </w:r>
      <w:r>
        <w:rPr>
          <w:spacing w:val="56"/>
        </w:rPr>
        <w:t> </w:t>
      </w:r>
      <w:r>
        <w:rPr/>
        <w:t>the</w:t>
      </w:r>
      <w:r>
        <w:rPr>
          <w:spacing w:val="55"/>
        </w:rPr>
        <w:t> </w:t>
      </w:r>
      <w:r>
        <w:rPr/>
        <w:t>determinants</w:t>
      </w:r>
      <w:r>
        <w:rPr>
          <w:spacing w:val="57"/>
        </w:rPr>
        <w:t> </w:t>
      </w:r>
      <w:r>
        <w:rPr>
          <w:spacing w:val="-5"/>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79616">
            <wp:simplePos x="0" y="0"/>
            <wp:positionH relativeFrom="page">
              <wp:posOffset>1095451</wp:posOffset>
            </wp:positionH>
            <wp:positionV relativeFrom="paragraph">
              <wp:posOffset>1850770</wp:posOffset>
            </wp:positionV>
            <wp:extent cx="5106847" cy="523811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5" cstate="print"/>
                    <a:stretch>
                      <a:fillRect/>
                    </a:stretch>
                  </pic:blipFill>
                  <pic:spPr>
                    <a:xfrm>
                      <a:off x="0" y="0"/>
                      <a:ext cx="5106847" cy="5238115"/>
                    </a:xfrm>
                    <a:prstGeom prst="rect">
                      <a:avLst/>
                    </a:prstGeom>
                  </pic:spPr>
                </pic:pic>
              </a:graphicData>
            </a:graphic>
          </wp:anchor>
        </w:drawing>
      </w:r>
      <w:r>
        <w:rPr/>
        <w:t>nondiscretionary accruals are</w:t>
      </w:r>
      <w:r>
        <w:rPr>
          <w:spacing w:val="-1"/>
        </w:rPr>
        <w:t> </w:t>
      </w:r>
      <w:r>
        <w:rPr/>
        <w:t>common across firms in the same industry.</w:t>
      </w:r>
      <w:r>
        <w:rPr>
          <w:spacing w:val="-2"/>
        </w:rPr>
        <w:t> </w:t>
      </w:r>
      <w:r>
        <w:rPr/>
        <w:t>The Industry Model </w:t>
      </w:r>
      <w:r>
        <w:rPr>
          <w:position w:val="2"/>
        </w:rPr>
        <w:t>for</w:t>
      </w:r>
      <w:r>
        <w:rPr>
          <w:spacing w:val="-14"/>
          <w:position w:val="2"/>
        </w:rPr>
        <w:t> </w:t>
      </w:r>
      <w:r>
        <w:rPr>
          <w:position w:val="2"/>
        </w:rPr>
        <w:t>nondiscretionary</w:t>
      </w:r>
      <w:r>
        <w:rPr>
          <w:spacing w:val="-13"/>
          <w:position w:val="2"/>
        </w:rPr>
        <w:t> </w:t>
      </w:r>
      <w:r>
        <w:rPr>
          <w:position w:val="2"/>
        </w:rPr>
        <w:t>accruals</w:t>
      </w:r>
      <w:r>
        <w:rPr>
          <w:spacing w:val="-11"/>
          <w:position w:val="2"/>
        </w:rPr>
        <w:t> </w:t>
      </w:r>
      <w:r>
        <w:rPr>
          <w:position w:val="2"/>
        </w:rPr>
        <w:t>is:</w:t>
      </w:r>
      <w:r>
        <w:rPr>
          <w:spacing w:val="-11"/>
          <w:position w:val="2"/>
        </w:rPr>
        <w:t> </w:t>
      </w:r>
      <w:r>
        <w:rPr>
          <w:position w:val="2"/>
        </w:rPr>
        <w:t>NDA</w:t>
      </w:r>
      <w:r>
        <w:rPr>
          <w:sz w:val="16"/>
        </w:rPr>
        <w:t>t</w:t>
      </w:r>
      <w:r>
        <w:rPr>
          <w:spacing w:val="9"/>
          <w:sz w:val="16"/>
        </w:rPr>
        <w:t> </w:t>
      </w:r>
      <w:r>
        <w:rPr>
          <w:position w:val="2"/>
        </w:rPr>
        <w:t>=</w:t>
      </w:r>
      <w:r>
        <w:rPr>
          <w:spacing w:val="-13"/>
          <w:position w:val="2"/>
        </w:rPr>
        <w:t> </w:t>
      </w:r>
      <w:r>
        <w:rPr>
          <w:position w:val="2"/>
        </w:rPr>
        <w:t>β</w:t>
      </w:r>
      <w:r>
        <w:rPr>
          <w:sz w:val="16"/>
        </w:rPr>
        <w:t>1</w:t>
      </w:r>
      <w:r>
        <w:rPr>
          <w:spacing w:val="9"/>
          <w:sz w:val="16"/>
        </w:rPr>
        <w:t> </w:t>
      </w:r>
      <w:r>
        <w:rPr>
          <w:position w:val="2"/>
        </w:rPr>
        <w:t>+</w:t>
      </w:r>
      <w:r>
        <w:rPr>
          <w:spacing w:val="-13"/>
          <w:position w:val="2"/>
        </w:rPr>
        <w:t> </w:t>
      </w:r>
      <w:r>
        <w:rPr>
          <w:position w:val="2"/>
        </w:rPr>
        <w:t>β</w:t>
      </w:r>
      <w:r>
        <w:rPr>
          <w:sz w:val="16"/>
        </w:rPr>
        <w:t>2</w:t>
      </w:r>
      <w:r>
        <w:rPr>
          <w:position w:val="2"/>
        </w:rPr>
        <w:t>median</w:t>
      </w:r>
      <w:r>
        <w:rPr>
          <w:sz w:val="16"/>
        </w:rPr>
        <w:t>j</w:t>
      </w:r>
      <w:r>
        <w:rPr>
          <w:spacing w:val="9"/>
          <w:sz w:val="16"/>
        </w:rPr>
        <w:t> </w:t>
      </w:r>
      <w:r>
        <w:rPr>
          <w:position w:val="2"/>
        </w:rPr>
        <w:t>(TA</w:t>
      </w:r>
      <w:r>
        <w:rPr>
          <w:sz w:val="16"/>
        </w:rPr>
        <w:t>t</w:t>
      </w:r>
      <w:r>
        <w:rPr>
          <w:spacing w:val="9"/>
          <w:sz w:val="16"/>
        </w:rPr>
        <w:t> </w:t>
      </w:r>
      <w:r>
        <w:rPr>
          <w:position w:val="2"/>
        </w:rPr>
        <w:t>/</w:t>
      </w:r>
      <w:r>
        <w:rPr>
          <w:spacing w:val="-12"/>
          <w:position w:val="2"/>
        </w:rPr>
        <w:t> </w:t>
      </w:r>
      <w:r>
        <w:rPr>
          <w:position w:val="2"/>
        </w:rPr>
        <w:t>A</w:t>
      </w:r>
      <w:r>
        <w:rPr>
          <w:sz w:val="16"/>
        </w:rPr>
        <w:t>t</w:t>
      </w:r>
      <w:r>
        <w:rPr>
          <w:spacing w:val="-7"/>
          <w:sz w:val="16"/>
        </w:rPr>
        <w:t> </w:t>
      </w:r>
      <w:r>
        <w:rPr>
          <w:sz w:val="16"/>
        </w:rPr>
        <w:t>-</w:t>
      </w:r>
      <w:r>
        <w:rPr>
          <w:spacing w:val="-9"/>
          <w:sz w:val="16"/>
        </w:rPr>
        <w:t> </w:t>
      </w:r>
      <w:r>
        <w:rPr>
          <w:sz w:val="16"/>
        </w:rPr>
        <w:t>1</w:t>
      </w:r>
      <w:r>
        <w:rPr>
          <w:position w:val="2"/>
        </w:rPr>
        <w:t>),</w:t>
      </w:r>
      <w:r>
        <w:rPr>
          <w:spacing w:val="-13"/>
          <w:position w:val="2"/>
        </w:rPr>
        <w:t> </w:t>
      </w:r>
      <w:r>
        <w:rPr>
          <w:position w:val="2"/>
        </w:rPr>
        <w:t>where:</w:t>
      </w:r>
      <w:r>
        <w:rPr>
          <w:spacing w:val="-9"/>
          <w:position w:val="2"/>
        </w:rPr>
        <w:t> </w:t>
      </w:r>
      <w:r>
        <w:rPr>
          <w:position w:val="2"/>
        </w:rPr>
        <w:t>NDA</w:t>
      </w:r>
      <w:r>
        <w:rPr>
          <w:sz w:val="16"/>
        </w:rPr>
        <w:t>t</w:t>
      </w:r>
      <w:r>
        <w:rPr>
          <w:spacing w:val="9"/>
          <w:sz w:val="16"/>
        </w:rPr>
        <w:t> </w:t>
      </w:r>
      <w:r>
        <w:rPr>
          <w:position w:val="2"/>
        </w:rPr>
        <w:t>is</w:t>
      </w:r>
      <w:r>
        <w:rPr>
          <w:spacing w:val="-11"/>
          <w:position w:val="2"/>
        </w:rPr>
        <w:t> </w:t>
      </w:r>
      <w:r>
        <w:rPr>
          <w:position w:val="2"/>
        </w:rPr>
        <w:t>estimated as in the case of Jones model,</w:t>
      </w:r>
      <w:r>
        <w:rPr>
          <w:spacing w:val="40"/>
          <w:position w:val="2"/>
        </w:rPr>
        <w:t> </w:t>
      </w:r>
      <w:r>
        <w:rPr>
          <w:position w:val="2"/>
        </w:rPr>
        <w:t>the median</w:t>
      </w:r>
      <w:r>
        <w:rPr>
          <w:sz w:val="16"/>
        </w:rPr>
        <w:t>j</w:t>
      </w:r>
      <w:r>
        <w:rPr>
          <w:position w:val="2"/>
        </w:rPr>
        <w:t>(TA</w:t>
      </w:r>
      <w:r>
        <w:rPr>
          <w:sz w:val="16"/>
        </w:rPr>
        <w:t>t</w:t>
      </w:r>
      <w:r>
        <w:rPr>
          <w:spacing w:val="22"/>
          <w:sz w:val="16"/>
        </w:rPr>
        <w:t> </w:t>
      </w:r>
      <w:r>
        <w:rPr>
          <w:position w:val="2"/>
        </w:rPr>
        <w:t>/ A</w:t>
      </w:r>
      <w:r>
        <w:rPr>
          <w:sz w:val="16"/>
        </w:rPr>
        <w:t>t -</w:t>
      </w:r>
      <w:r>
        <w:rPr>
          <w:spacing w:val="-1"/>
          <w:sz w:val="16"/>
        </w:rPr>
        <w:t> </w:t>
      </w:r>
      <w:r>
        <w:rPr>
          <w:sz w:val="16"/>
        </w:rPr>
        <w:t>1</w:t>
      </w:r>
      <w:r>
        <w:rPr>
          <w:position w:val="2"/>
        </w:rPr>
        <w:t>) is the median value of total accruals in </w:t>
      </w:r>
      <w:r>
        <w:rPr/>
        <w:t>year </w:t>
      </w:r>
      <w:r>
        <w:rPr>
          <w:i/>
        </w:rPr>
        <w:t>t </w:t>
      </w:r>
      <w:r>
        <w:rPr/>
        <w:t>scaled by lagged total assets for all non-sample firms in the same two-digit standard </w:t>
      </w:r>
      <w:r>
        <w:rPr>
          <w:position w:val="2"/>
        </w:rPr>
        <w:t>industrial classification (SIC)</w:t>
      </w:r>
      <w:r>
        <w:rPr>
          <w:spacing w:val="-1"/>
          <w:position w:val="2"/>
        </w:rPr>
        <w:t> </w:t>
      </w:r>
      <w:r>
        <w:rPr>
          <w:position w:val="2"/>
        </w:rPr>
        <w:t>industry</w:t>
      </w:r>
      <w:r>
        <w:rPr>
          <w:spacing w:val="-1"/>
          <w:position w:val="2"/>
        </w:rPr>
        <w:t> </w:t>
      </w:r>
      <w:r>
        <w:rPr>
          <w:position w:val="2"/>
        </w:rPr>
        <w:t>(industry</w:t>
      </w:r>
      <w:r>
        <w:rPr>
          <w:spacing w:val="-1"/>
          <w:position w:val="2"/>
        </w:rPr>
        <w:t> </w:t>
      </w:r>
      <w:r>
        <w:rPr>
          <w:position w:val="2"/>
        </w:rPr>
        <w:t>j). The</w:t>
      </w:r>
      <w:r>
        <w:rPr>
          <w:spacing w:val="-2"/>
          <w:position w:val="2"/>
        </w:rPr>
        <w:t> </w:t>
      </w:r>
      <w:r>
        <w:rPr>
          <w:position w:val="2"/>
        </w:rPr>
        <w:t>firm-specific</w:t>
      </w:r>
      <w:r>
        <w:rPr>
          <w:spacing w:val="-1"/>
          <w:position w:val="2"/>
        </w:rPr>
        <w:t> </w:t>
      </w:r>
      <w:r>
        <w:rPr>
          <w:position w:val="2"/>
        </w:rPr>
        <w:t>parameters</w:t>
      </w:r>
      <w:r>
        <w:rPr>
          <w:spacing w:val="-1"/>
          <w:position w:val="2"/>
        </w:rPr>
        <w:t> </w:t>
      </w:r>
      <w:r>
        <w:rPr>
          <w:position w:val="2"/>
        </w:rPr>
        <w:t>β</w:t>
      </w:r>
      <w:r>
        <w:rPr>
          <w:sz w:val="16"/>
        </w:rPr>
        <w:t>1</w:t>
      </w:r>
      <w:r>
        <w:rPr>
          <w:spacing w:val="21"/>
          <w:sz w:val="16"/>
        </w:rPr>
        <w:t> </w:t>
      </w:r>
      <w:r>
        <w:rPr>
          <w:position w:val="2"/>
        </w:rPr>
        <w:t>and β</w:t>
      </w:r>
      <w:r>
        <w:rPr>
          <w:sz w:val="16"/>
        </w:rPr>
        <w:t>2</w:t>
      </w:r>
      <w:r>
        <w:rPr>
          <w:spacing w:val="21"/>
          <w:sz w:val="16"/>
        </w:rPr>
        <w:t> </w:t>
      </w:r>
      <w:r>
        <w:rPr>
          <w:position w:val="2"/>
        </w:rPr>
        <w:t>are </w:t>
      </w:r>
      <w:r>
        <w:rPr/>
        <w:t>estimated using OLS on the observations in the estimation period. In order to mitigate the omitted variables problem associated with other models, the Kang-Sivaramakrishnan (KS) model arose. It was proposed by Kang and Sivaramakrishnan (1995) who predicted the level of</w:t>
      </w:r>
      <w:r>
        <w:rPr>
          <w:spacing w:val="-10"/>
        </w:rPr>
        <w:t> </w:t>
      </w:r>
      <w:r>
        <w:rPr/>
        <w:t>current</w:t>
      </w:r>
      <w:r>
        <w:rPr>
          <w:spacing w:val="-9"/>
        </w:rPr>
        <w:t> </w:t>
      </w:r>
      <w:r>
        <w:rPr/>
        <w:t>assets</w:t>
      </w:r>
      <w:r>
        <w:rPr>
          <w:spacing w:val="-9"/>
        </w:rPr>
        <w:t> </w:t>
      </w:r>
      <w:r>
        <w:rPr/>
        <w:t>and</w:t>
      </w:r>
      <w:r>
        <w:rPr>
          <w:spacing w:val="-10"/>
        </w:rPr>
        <w:t> </w:t>
      </w:r>
      <w:r>
        <w:rPr/>
        <w:t>liabilities,</w:t>
      </w:r>
      <w:r>
        <w:rPr>
          <w:spacing w:val="-9"/>
        </w:rPr>
        <w:t> </w:t>
      </w:r>
      <w:r>
        <w:rPr/>
        <w:t>rather</w:t>
      </w:r>
      <w:r>
        <w:rPr>
          <w:spacing w:val="-11"/>
        </w:rPr>
        <w:t> </w:t>
      </w:r>
      <w:r>
        <w:rPr/>
        <w:t>than</w:t>
      </w:r>
      <w:r>
        <w:rPr>
          <w:spacing w:val="-8"/>
        </w:rPr>
        <w:t> </w:t>
      </w:r>
      <w:r>
        <w:rPr/>
        <w:t>changes</w:t>
      </w:r>
      <w:r>
        <w:rPr>
          <w:spacing w:val="-7"/>
        </w:rPr>
        <w:t> </w:t>
      </w:r>
      <w:r>
        <w:rPr/>
        <w:t>in</w:t>
      </w:r>
      <w:r>
        <w:rPr>
          <w:spacing w:val="-9"/>
        </w:rPr>
        <w:t> </w:t>
      </w:r>
      <w:r>
        <w:rPr/>
        <w:t>those</w:t>
      </w:r>
      <w:r>
        <w:rPr>
          <w:spacing w:val="-10"/>
        </w:rPr>
        <w:t> </w:t>
      </w:r>
      <w:r>
        <w:rPr/>
        <w:t>accounts,</w:t>
      </w:r>
      <w:r>
        <w:rPr>
          <w:spacing w:val="-10"/>
        </w:rPr>
        <w:t> </w:t>
      </w:r>
      <w:r>
        <w:rPr/>
        <w:t>and</w:t>
      </w:r>
      <w:r>
        <w:rPr>
          <w:spacing w:val="-2"/>
        </w:rPr>
        <w:t> </w:t>
      </w:r>
      <w:r>
        <w:rPr/>
        <w:t>also</w:t>
      </w:r>
      <w:r>
        <w:rPr>
          <w:spacing w:val="-9"/>
        </w:rPr>
        <w:t> </w:t>
      </w:r>
      <w:r>
        <w:rPr/>
        <w:t>estimate</w:t>
      </w:r>
      <w:r>
        <w:rPr>
          <w:spacing w:val="-11"/>
        </w:rPr>
        <w:t> </w:t>
      </w:r>
      <w:r>
        <w:rPr/>
        <w:t>one</w:t>
      </w:r>
      <w:r>
        <w:rPr>
          <w:spacing w:val="-11"/>
        </w:rPr>
        <w:t> </w:t>
      </w:r>
      <w:r>
        <w:rPr/>
        <w:t>set of model parameters for all firms, rather than estimate firm specific parameters. According to the</w:t>
      </w:r>
      <w:r>
        <w:rPr>
          <w:spacing w:val="-15"/>
        </w:rPr>
        <w:t> </w:t>
      </w:r>
      <w:r>
        <w:rPr/>
        <w:t>KS</w:t>
      </w:r>
      <w:r>
        <w:rPr>
          <w:spacing w:val="-14"/>
        </w:rPr>
        <w:t> </w:t>
      </w:r>
      <w:r>
        <w:rPr/>
        <w:t>model,</w:t>
      </w:r>
      <w:r>
        <w:rPr>
          <w:spacing w:val="-14"/>
        </w:rPr>
        <w:t> </w:t>
      </w:r>
      <w:r>
        <w:rPr/>
        <w:t>firm-specific</w:t>
      </w:r>
      <w:r>
        <w:rPr>
          <w:spacing w:val="-15"/>
        </w:rPr>
        <w:t> </w:t>
      </w:r>
      <w:r>
        <w:rPr/>
        <w:t>estimation</w:t>
      </w:r>
      <w:r>
        <w:rPr>
          <w:spacing w:val="-14"/>
        </w:rPr>
        <w:t> </w:t>
      </w:r>
      <w:r>
        <w:rPr/>
        <w:t>is</w:t>
      </w:r>
      <w:r>
        <w:rPr>
          <w:spacing w:val="-14"/>
        </w:rPr>
        <w:t> </w:t>
      </w:r>
      <w:r>
        <w:rPr/>
        <w:t>difficult</w:t>
      </w:r>
      <w:r>
        <w:rPr>
          <w:spacing w:val="-11"/>
        </w:rPr>
        <w:t> </w:t>
      </w:r>
      <w:r>
        <w:rPr/>
        <w:t>because</w:t>
      </w:r>
      <w:r>
        <w:rPr>
          <w:spacing w:val="-13"/>
        </w:rPr>
        <w:t> </w:t>
      </w:r>
      <w:r>
        <w:rPr/>
        <w:t>of</w:t>
      </w:r>
      <w:r>
        <w:rPr>
          <w:spacing w:val="-13"/>
        </w:rPr>
        <w:t> </w:t>
      </w:r>
      <w:r>
        <w:rPr/>
        <w:t>the</w:t>
      </w:r>
      <w:r>
        <w:rPr>
          <w:spacing w:val="-15"/>
        </w:rPr>
        <w:t> </w:t>
      </w:r>
      <w:r>
        <w:rPr/>
        <w:t>data</w:t>
      </w:r>
      <w:r>
        <w:rPr>
          <w:spacing w:val="-15"/>
        </w:rPr>
        <w:t> </w:t>
      </w:r>
      <w:r>
        <w:rPr/>
        <w:t>requirements</w:t>
      </w:r>
      <w:r>
        <w:rPr>
          <w:spacing w:val="-14"/>
        </w:rPr>
        <w:t> </w:t>
      </w:r>
      <w:r>
        <w:rPr/>
        <w:t>(in</w:t>
      </w:r>
      <w:r>
        <w:rPr>
          <w:spacing w:val="-15"/>
        </w:rPr>
        <w:t> </w:t>
      </w:r>
      <w:r>
        <w:rPr/>
        <w:t>addition to</w:t>
      </w:r>
      <w:r>
        <w:rPr>
          <w:spacing w:val="-10"/>
        </w:rPr>
        <w:t> </w:t>
      </w:r>
      <w:r>
        <w:rPr/>
        <w:t>requiring</w:t>
      </w:r>
      <w:r>
        <w:rPr>
          <w:spacing w:val="-10"/>
        </w:rPr>
        <w:t> </w:t>
      </w:r>
      <w:r>
        <w:rPr/>
        <w:t>additional</w:t>
      </w:r>
      <w:r>
        <w:rPr>
          <w:spacing w:val="-11"/>
        </w:rPr>
        <w:t> </w:t>
      </w:r>
      <w:r>
        <w:rPr/>
        <w:t>variables,</w:t>
      </w:r>
      <w:r>
        <w:rPr>
          <w:spacing w:val="-11"/>
        </w:rPr>
        <w:t> </w:t>
      </w:r>
      <w:r>
        <w:rPr/>
        <w:t>they</w:t>
      </w:r>
      <w:r>
        <w:rPr>
          <w:spacing w:val="-11"/>
        </w:rPr>
        <w:t> </w:t>
      </w:r>
      <w:r>
        <w:rPr/>
        <w:t>require</w:t>
      </w:r>
      <w:r>
        <w:rPr>
          <w:spacing w:val="-12"/>
        </w:rPr>
        <w:t> </w:t>
      </w:r>
      <w:r>
        <w:rPr/>
        <w:t>twice</w:t>
      </w:r>
      <w:r>
        <w:rPr>
          <w:spacing w:val="-12"/>
        </w:rPr>
        <w:t> </w:t>
      </w:r>
      <w:r>
        <w:rPr/>
        <w:t>and</w:t>
      </w:r>
      <w:r>
        <w:rPr>
          <w:spacing w:val="-11"/>
        </w:rPr>
        <w:t> </w:t>
      </w:r>
      <w:r>
        <w:rPr/>
        <w:t>thrice</w:t>
      </w:r>
      <w:r>
        <w:rPr>
          <w:spacing w:val="-12"/>
        </w:rPr>
        <w:t> </w:t>
      </w:r>
      <w:r>
        <w:rPr/>
        <w:t>lagged</w:t>
      </w:r>
      <w:r>
        <w:rPr>
          <w:spacing w:val="-11"/>
        </w:rPr>
        <w:t> </w:t>
      </w:r>
      <w:r>
        <w:rPr/>
        <w:t>values</w:t>
      </w:r>
      <w:r>
        <w:rPr>
          <w:spacing w:val="-10"/>
        </w:rPr>
        <w:t> </w:t>
      </w:r>
      <w:r>
        <w:rPr/>
        <w:t>of</w:t>
      </w:r>
      <w:r>
        <w:rPr>
          <w:spacing w:val="-11"/>
        </w:rPr>
        <w:t> </w:t>
      </w:r>
      <w:r>
        <w:rPr/>
        <w:t>all</w:t>
      </w:r>
      <w:r>
        <w:rPr>
          <w:spacing w:val="-10"/>
        </w:rPr>
        <w:t> </w:t>
      </w:r>
      <w:r>
        <w:rPr/>
        <w:t>variables</w:t>
      </w:r>
      <w:r>
        <w:rPr>
          <w:spacing w:val="-11"/>
        </w:rPr>
        <w:t> </w:t>
      </w:r>
      <w:r>
        <w:rPr/>
        <w:t>for their instrument set). Their model mitigates the omitted variable problem by including additional variables (cost of goods sold and other operating expenses), and mitigates the simultaneity and errors-in-variable problems by using the instrumental variables (IV) and generalized method of moment (GMM) procedures. Apart from the above models, other models</w:t>
      </w:r>
      <w:r>
        <w:rPr>
          <w:spacing w:val="-5"/>
        </w:rPr>
        <w:t> </w:t>
      </w:r>
      <w:r>
        <w:rPr/>
        <w:t>have</w:t>
      </w:r>
      <w:r>
        <w:rPr>
          <w:spacing w:val="-6"/>
        </w:rPr>
        <w:t> </w:t>
      </w:r>
      <w:r>
        <w:rPr/>
        <w:t>also</w:t>
      </w:r>
      <w:r>
        <w:rPr>
          <w:spacing w:val="-4"/>
        </w:rPr>
        <w:t> </w:t>
      </w:r>
      <w:r>
        <w:rPr/>
        <w:t>been</w:t>
      </w:r>
      <w:r>
        <w:rPr>
          <w:spacing w:val="-5"/>
        </w:rPr>
        <w:t> </w:t>
      </w:r>
      <w:r>
        <w:rPr/>
        <w:t>identified</w:t>
      </w:r>
      <w:r>
        <w:rPr>
          <w:spacing w:val="-5"/>
        </w:rPr>
        <w:t> </w:t>
      </w:r>
      <w:r>
        <w:rPr/>
        <w:t>in</w:t>
      </w:r>
      <w:r>
        <w:rPr>
          <w:spacing w:val="-4"/>
        </w:rPr>
        <w:t> </w:t>
      </w:r>
      <w:r>
        <w:rPr/>
        <w:t>literature</w:t>
      </w:r>
      <w:r>
        <w:rPr>
          <w:spacing w:val="-6"/>
        </w:rPr>
        <w:t> </w:t>
      </w:r>
      <w:r>
        <w:rPr/>
        <w:t>such</w:t>
      </w:r>
      <w:r>
        <w:rPr>
          <w:spacing w:val="-3"/>
        </w:rPr>
        <w:t> </w:t>
      </w:r>
      <w:r>
        <w:rPr/>
        <w:t>as</w:t>
      </w:r>
      <w:r>
        <w:rPr>
          <w:spacing w:val="-5"/>
        </w:rPr>
        <w:t> </w:t>
      </w:r>
      <w:r>
        <w:rPr/>
        <w:t>the</w:t>
      </w:r>
      <w:r>
        <w:rPr>
          <w:spacing w:val="-5"/>
        </w:rPr>
        <w:t> </w:t>
      </w:r>
      <w:r>
        <w:rPr/>
        <w:t>cross-sectional</w:t>
      </w:r>
      <w:r>
        <w:rPr>
          <w:spacing w:val="-4"/>
        </w:rPr>
        <w:t> </w:t>
      </w:r>
      <w:r>
        <w:rPr/>
        <w:t>model,</w:t>
      </w:r>
      <w:r>
        <w:rPr>
          <w:spacing w:val="-4"/>
        </w:rPr>
        <w:t> </w:t>
      </w:r>
      <w:r>
        <w:rPr/>
        <w:t>the</w:t>
      </w:r>
      <w:r>
        <w:rPr>
          <w:spacing w:val="-5"/>
        </w:rPr>
        <w:t> </w:t>
      </w:r>
      <w:r>
        <w:rPr/>
        <w:t>Miller</w:t>
      </w:r>
      <w:r>
        <w:rPr>
          <w:spacing w:val="-6"/>
        </w:rPr>
        <w:t> </w:t>
      </w:r>
      <w:r>
        <w:rPr/>
        <w:t>and Jiraporn (2006) model, etc. However, whether these discretionary-accruals models are</w:t>
      </w:r>
      <w:r>
        <w:rPr>
          <w:spacing w:val="-1"/>
        </w:rPr>
        <w:t> </w:t>
      </w:r>
      <w:r>
        <w:rPr/>
        <w:t>able to separate accruals into discretionary and nondiscretionary components and thereby detect earnings management is still an open empirical question, although it was not the focus of this </w:t>
      </w:r>
      <w:r>
        <w:rPr>
          <w:spacing w:val="-2"/>
        </w:rPr>
        <w:t>study.</w:t>
      </w:r>
    </w:p>
    <w:p>
      <w:pPr>
        <w:pStyle w:val="Heading3"/>
        <w:spacing w:line="270" w:lineRule="exact"/>
      </w:pPr>
      <w:r>
        <w:rPr/>
        <w:t>Qualitative</w:t>
      </w:r>
      <w:r>
        <w:rPr>
          <w:spacing w:val="-4"/>
        </w:rPr>
        <w:t> </w:t>
      </w:r>
      <w:r>
        <w:rPr/>
        <w:t>Characteristics</w:t>
      </w:r>
      <w:r>
        <w:rPr>
          <w:spacing w:val="-3"/>
        </w:rPr>
        <w:t> </w:t>
      </w:r>
      <w:r>
        <w:rPr>
          <w:spacing w:val="-4"/>
        </w:rPr>
        <w:t>Model</w:t>
      </w:r>
    </w:p>
    <w:p>
      <w:pPr>
        <w:pStyle w:val="BodyText"/>
        <w:rPr>
          <w:b/>
        </w:rPr>
      </w:pPr>
    </w:p>
    <w:p>
      <w:pPr>
        <w:pStyle w:val="BodyText"/>
        <w:spacing w:line="480" w:lineRule="auto"/>
        <w:ind w:left="940" w:right="1441"/>
        <w:jc w:val="both"/>
      </w:pPr>
      <w:r>
        <w:rPr/>
        <w:t>The</w:t>
      </w:r>
      <w:r>
        <w:rPr>
          <w:spacing w:val="-13"/>
        </w:rPr>
        <w:t> </w:t>
      </w:r>
      <w:r>
        <w:rPr/>
        <w:t>model</w:t>
      </w:r>
      <w:r>
        <w:rPr>
          <w:spacing w:val="-12"/>
        </w:rPr>
        <w:t> </w:t>
      </w:r>
      <w:r>
        <w:rPr/>
        <w:t>was</w:t>
      </w:r>
      <w:r>
        <w:rPr>
          <w:spacing w:val="-12"/>
        </w:rPr>
        <w:t> </w:t>
      </w:r>
      <w:r>
        <w:rPr/>
        <w:t>pioneered</w:t>
      </w:r>
      <w:r>
        <w:rPr>
          <w:spacing w:val="-10"/>
        </w:rPr>
        <w:t> </w:t>
      </w:r>
      <w:r>
        <w:rPr/>
        <w:t>by</w:t>
      </w:r>
      <w:r>
        <w:rPr>
          <w:spacing w:val="-12"/>
        </w:rPr>
        <w:t> </w:t>
      </w:r>
      <w:r>
        <w:rPr/>
        <w:t>Jonas</w:t>
      </w:r>
      <w:r>
        <w:rPr>
          <w:spacing w:val="-12"/>
        </w:rPr>
        <w:t> </w:t>
      </w:r>
      <w:r>
        <w:rPr/>
        <w:t>and</w:t>
      </w:r>
      <w:r>
        <w:rPr>
          <w:spacing w:val="-12"/>
        </w:rPr>
        <w:t> </w:t>
      </w:r>
      <w:r>
        <w:rPr/>
        <w:t>Blanchet</w:t>
      </w:r>
      <w:r>
        <w:rPr>
          <w:spacing w:val="-12"/>
        </w:rPr>
        <w:t> </w:t>
      </w:r>
      <w:r>
        <w:rPr/>
        <w:t>(2000)</w:t>
      </w:r>
      <w:r>
        <w:rPr>
          <w:spacing w:val="-13"/>
        </w:rPr>
        <w:t> </w:t>
      </w:r>
      <w:r>
        <w:rPr/>
        <w:t>and</w:t>
      </w:r>
      <w:r>
        <w:rPr>
          <w:spacing w:val="-12"/>
        </w:rPr>
        <w:t> </w:t>
      </w:r>
      <w:r>
        <w:rPr/>
        <w:t>adopted</w:t>
      </w:r>
      <w:r>
        <w:rPr>
          <w:spacing w:val="-12"/>
        </w:rPr>
        <w:t> </w:t>
      </w:r>
      <w:r>
        <w:rPr/>
        <w:t>by</w:t>
      </w:r>
      <w:r>
        <w:rPr>
          <w:spacing w:val="-12"/>
        </w:rPr>
        <w:t> </w:t>
      </w:r>
      <w:r>
        <w:rPr/>
        <w:t>several</w:t>
      </w:r>
      <w:r>
        <w:rPr>
          <w:spacing w:val="-12"/>
        </w:rPr>
        <w:t> </w:t>
      </w:r>
      <w:r>
        <w:rPr/>
        <w:t>authors</w:t>
      </w:r>
      <w:r>
        <w:rPr>
          <w:spacing w:val="-12"/>
        </w:rPr>
        <w:t> </w:t>
      </w:r>
      <w:r>
        <w:rPr/>
        <w:t>in</w:t>
      </w:r>
      <w:r>
        <w:rPr>
          <w:spacing w:val="-12"/>
        </w:rPr>
        <w:t> </w:t>
      </w:r>
      <w:r>
        <w:rPr/>
        <w:t>their respective studies (Barth et al., 2008; Van Beest, Braam &amp; Boelens, 2009; Van der Meulen, Gaeremynck</w:t>
      </w:r>
      <w:r>
        <w:rPr>
          <w:spacing w:val="10"/>
        </w:rPr>
        <w:t> </w:t>
      </w:r>
      <w:r>
        <w:rPr/>
        <w:t>&amp;</w:t>
      </w:r>
      <w:r>
        <w:rPr>
          <w:spacing w:val="13"/>
        </w:rPr>
        <w:t> </w:t>
      </w:r>
      <w:r>
        <w:rPr/>
        <w:t>Willekens,</w:t>
      </w:r>
      <w:r>
        <w:rPr>
          <w:spacing w:val="13"/>
        </w:rPr>
        <w:t> </w:t>
      </w:r>
      <w:r>
        <w:rPr/>
        <w:t>2007).</w:t>
      </w:r>
      <w:r>
        <w:rPr>
          <w:spacing w:val="13"/>
        </w:rPr>
        <w:t> </w:t>
      </w:r>
      <w:r>
        <w:rPr/>
        <w:t>The</w:t>
      </w:r>
      <w:r>
        <w:rPr>
          <w:spacing w:val="11"/>
        </w:rPr>
        <w:t> </w:t>
      </w:r>
      <w:r>
        <w:rPr/>
        <w:t>model</w:t>
      </w:r>
      <w:r>
        <w:rPr>
          <w:spacing w:val="14"/>
        </w:rPr>
        <w:t> </w:t>
      </w:r>
      <w:r>
        <w:rPr/>
        <w:t>investigates</w:t>
      </w:r>
      <w:r>
        <w:rPr>
          <w:spacing w:val="12"/>
        </w:rPr>
        <w:t> </w:t>
      </w:r>
      <w:r>
        <w:rPr/>
        <w:t>the</w:t>
      </w:r>
      <w:r>
        <w:rPr>
          <w:spacing w:val="12"/>
        </w:rPr>
        <w:t> </w:t>
      </w:r>
      <w:r>
        <w:rPr/>
        <w:t>level</w:t>
      </w:r>
      <w:r>
        <w:rPr>
          <w:spacing w:val="13"/>
        </w:rPr>
        <w:t> </w:t>
      </w:r>
      <w:r>
        <w:rPr/>
        <w:t>of</w:t>
      </w:r>
      <w:r>
        <w:rPr>
          <w:spacing w:val="14"/>
        </w:rPr>
        <w:t> </w:t>
      </w:r>
      <w:r>
        <w:rPr/>
        <w:t>decision</w:t>
      </w:r>
      <w:r>
        <w:rPr>
          <w:spacing w:val="13"/>
        </w:rPr>
        <w:t> </w:t>
      </w:r>
      <w:r>
        <w:rPr/>
        <w:t>usefulness</w:t>
      </w:r>
      <w:r>
        <w:rPr>
          <w:spacing w:val="14"/>
        </w:rPr>
        <w:t> </w:t>
      </w:r>
      <w:r>
        <w:rPr>
          <w:spacing w:val="-5"/>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drawing>
          <wp:anchor distT="0" distB="0" distL="0" distR="0" allowOverlap="1" layoutInCell="1" locked="0" behindDoc="1" simplePos="0" relativeHeight="477680128">
            <wp:simplePos x="0" y="0"/>
            <wp:positionH relativeFrom="page">
              <wp:posOffset>1095451</wp:posOffset>
            </wp:positionH>
            <wp:positionV relativeFrom="paragraph">
              <wp:posOffset>1850770</wp:posOffset>
            </wp:positionV>
            <wp:extent cx="5106847" cy="5238115"/>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5" cstate="print"/>
                    <a:stretch>
                      <a:fillRect/>
                    </a:stretch>
                  </pic:blipFill>
                  <pic:spPr>
                    <a:xfrm>
                      <a:off x="0" y="0"/>
                      <a:ext cx="5106847" cy="5238115"/>
                    </a:xfrm>
                    <a:prstGeom prst="rect">
                      <a:avLst/>
                    </a:prstGeom>
                  </pic:spPr>
                </pic:pic>
              </a:graphicData>
            </a:graphic>
          </wp:anchor>
        </w:drawing>
      </w:r>
      <w:r>
        <w:rPr/>
        <w:t>financial reporting information by operationalizing the qualitative characteristics of financial information.</w:t>
      </w:r>
      <w:r>
        <w:rPr>
          <w:spacing w:val="-11"/>
        </w:rPr>
        <w:t> </w:t>
      </w:r>
      <w:r>
        <w:rPr/>
        <w:t>The</w:t>
      </w:r>
      <w:r>
        <w:rPr>
          <w:spacing w:val="-13"/>
        </w:rPr>
        <w:t> </w:t>
      </w:r>
      <w:r>
        <w:rPr/>
        <w:t>model</w:t>
      </w:r>
      <w:r>
        <w:rPr>
          <w:spacing w:val="-12"/>
        </w:rPr>
        <w:t> </w:t>
      </w:r>
      <w:r>
        <w:rPr/>
        <w:t>covers</w:t>
      </w:r>
      <w:r>
        <w:rPr>
          <w:spacing w:val="-12"/>
        </w:rPr>
        <w:t> </w:t>
      </w:r>
      <w:r>
        <w:rPr/>
        <w:t>all</w:t>
      </w:r>
      <w:r>
        <w:rPr>
          <w:spacing w:val="-11"/>
        </w:rPr>
        <w:t> </w:t>
      </w:r>
      <w:r>
        <w:rPr/>
        <w:t>aspects</w:t>
      </w:r>
      <w:r>
        <w:rPr>
          <w:spacing w:val="-11"/>
        </w:rPr>
        <w:t> </w:t>
      </w:r>
      <w:r>
        <w:rPr/>
        <w:t>of</w:t>
      </w:r>
      <w:r>
        <w:rPr>
          <w:spacing w:val="-12"/>
        </w:rPr>
        <w:t> </w:t>
      </w:r>
      <w:r>
        <w:rPr/>
        <w:t>financial</w:t>
      </w:r>
      <w:r>
        <w:rPr>
          <w:spacing w:val="-12"/>
        </w:rPr>
        <w:t> </w:t>
      </w:r>
      <w:r>
        <w:rPr/>
        <w:t>reports</w:t>
      </w:r>
      <w:r>
        <w:rPr>
          <w:spacing w:val="-12"/>
        </w:rPr>
        <w:t> </w:t>
      </w:r>
      <w:r>
        <w:rPr/>
        <w:t>(financial</w:t>
      </w:r>
      <w:r>
        <w:rPr>
          <w:spacing w:val="-11"/>
        </w:rPr>
        <w:t> </w:t>
      </w:r>
      <w:r>
        <w:rPr/>
        <w:t>and</w:t>
      </w:r>
      <w:r>
        <w:rPr>
          <w:spacing w:val="-12"/>
        </w:rPr>
        <w:t> </w:t>
      </w:r>
      <w:r>
        <w:rPr/>
        <w:t>non-financial)</w:t>
      </w:r>
      <w:r>
        <w:rPr>
          <w:spacing w:val="-12"/>
        </w:rPr>
        <w:t> </w:t>
      </w:r>
      <w:r>
        <w:rPr/>
        <w:t>and it</w:t>
      </w:r>
      <w:r>
        <w:rPr>
          <w:spacing w:val="-3"/>
        </w:rPr>
        <w:t> </w:t>
      </w:r>
      <w:r>
        <w:rPr/>
        <w:t>is</w:t>
      </w:r>
      <w:r>
        <w:rPr>
          <w:spacing w:val="-3"/>
        </w:rPr>
        <w:t> </w:t>
      </w:r>
      <w:r>
        <w:rPr/>
        <w:t>a</w:t>
      </w:r>
      <w:r>
        <w:rPr>
          <w:spacing w:val="-3"/>
        </w:rPr>
        <w:t> </w:t>
      </w:r>
      <w:r>
        <w:rPr/>
        <w:t>direct</w:t>
      </w:r>
      <w:r>
        <w:rPr>
          <w:spacing w:val="-3"/>
        </w:rPr>
        <w:t> </w:t>
      </w:r>
      <w:r>
        <w:rPr/>
        <w:t>measure</w:t>
      </w:r>
      <w:r>
        <w:rPr>
          <w:spacing w:val="-4"/>
        </w:rPr>
        <w:t> </w:t>
      </w:r>
      <w:r>
        <w:rPr/>
        <w:t>of</w:t>
      </w:r>
      <w:r>
        <w:rPr>
          <w:spacing w:val="-2"/>
        </w:rPr>
        <w:t> </w:t>
      </w:r>
      <w:r>
        <w:rPr/>
        <w:t>financial</w:t>
      </w:r>
      <w:r>
        <w:rPr>
          <w:spacing w:val="-3"/>
        </w:rPr>
        <w:t> </w:t>
      </w:r>
      <w:r>
        <w:rPr/>
        <w:t>reporting</w:t>
      </w:r>
      <w:r>
        <w:rPr>
          <w:spacing w:val="-3"/>
        </w:rPr>
        <w:t> </w:t>
      </w:r>
      <w:r>
        <w:rPr/>
        <w:t>quality. The</w:t>
      </w:r>
      <w:r>
        <w:rPr>
          <w:spacing w:val="-5"/>
        </w:rPr>
        <w:t> </w:t>
      </w:r>
      <w:r>
        <w:rPr/>
        <w:t>methods</w:t>
      </w:r>
      <w:r>
        <w:rPr>
          <w:spacing w:val="-3"/>
        </w:rPr>
        <w:t> </w:t>
      </w:r>
      <w:r>
        <w:rPr/>
        <w:t>operationalize</w:t>
      </w:r>
      <w:r>
        <w:rPr>
          <w:spacing w:val="-4"/>
        </w:rPr>
        <w:t> </w:t>
      </w:r>
      <w:r>
        <w:rPr/>
        <w:t>the</w:t>
      </w:r>
      <w:r>
        <w:rPr>
          <w:spacing w:val="-3"/>
        </w:rPr>
        <w:t> </w:t>
      </w:r>
      <w:r>
        <w:rPr/>
        <w:t>qualitative characteristics aimed at assessing the quality of different dimensions of information simultaneously to determine the decision usefulness of financial reporting information. According to the new IASB Conceptual Framework for Financial Reporting (2010), these qualitative</w:t>
      </w:r>
      <w:r>
        <w:rPr>
          <w:spacing w:val="-15"/>
        </w:rPr>
        <w:t> </w:t>
      </w:r>
      <w:r>
        <w:rPr/>
        <w:t>characteristics</w:t>
      </w:r>
      <w:r>
        <w:rPr>
          <w:spacing w:val="-15"/>
        </w:rPr>
        <w:t> </w:t>
      </w:r>
      <w:r>
        <w:rPr/>
        <w:t>of</w:t>
      </w:r>
      <w:r>
        <w:rPr>
          <w:spacing w:val="-15"/>
        </w:rPr>
        <w:t> </w:t>
      </w:r>
      <w:r>
        <w:rPr/>
        <w:t>financial</w:t>
      </w:r>
      <w:r>
        <w:rPr>
          <w:spacing w:val="-15"/>
        </w:rPr>
        <w:t> </w:t>
      </w:r>
      <w:r>
        <w:rPr/>
        <w:t>information</w:t>
      </w:r>
      <w:r>
        <w:rPr>
          <w:spacing w:val="-15"/>
        </w:rPr>
        <w:t> </w:t>
      </w:r>
      <w:r>
        <w:rPr/>
        <w:t>are</w:t>
      </w:r>
      <w:r>
        <w:rPr>
          <w:spacing w:val="-15"/>
        </w:rPr>
        <w:t> </w:t>
      </w:r>
      <w:r>
        <w:rPr/>
        <w:t>categorized</w:t>
      </w:r>
      <w:r>
        <w:rPr>
          <w:spacing w:val="-15"/>
        </w:rPr>
        <w:t> </w:t>
      </w:r>
      <w:r>
        <w:rPr/>
        <w:t>into:</w:t>
      </w:r>
      <w:r>
        <w:rPr>
          <w:spacing w:val="-15"/>
        </w:rPr>
        <w:t> </w:t>
      </w:r>
      <w:r>
        <w:rPr/>
        <w:t>fundamental</w:t>
      </w:r>
      <w:r>
        <w:rPr>
          <w:spacing w:val="-15"/>
        </w:rPr>
        <w:t> </w:t>
      </w:r>
      <w:r>
        <w:rPr/>
        <w:t>(relevance and</w:t>
      </w:r>
      <w:r>
        <w:rPr>
          <w:spacing w:val="-8"/>
        </w:rPr>
        <w:t> </w:t>
      </w:r>
      <w:r>
        <w:rPr/>
        <w:t>faithful</w:t>
      </w:r>
      <w:r>
        <w:rPr>
          <w:spacing w:val="-8"/>
        </w:rPr>
        <w:t> </w:t>
      </w:r>
      <w:r>
        <w:rPr/>
        <w:t>representation);</w:t>
      </w:r>
      <w:r>
        <w:rPr>
          <w:spacing w:val="-8"/>
        </w:rPr>
        <w:t> </w:t>
      </w:r>
      <w:r>
        <w:rPr/>
        <w:t>and</w:t>
      </w:r>
      <w:r>
        <w:rPr>
          <w:spacing w:val="-8"/>
        </w:rPr>
        <w:t> </w:t>
      </w:r>
      <w:r>
        <w:rPr/>
        <w:t>enhancing</w:t>
      </w:r>
      <w:r>
        <w:rPr>
          <w:spacing w:val="-7"/>
        </w:rPr>
        <w:t> </w:t>
      </w:r>
      <w:r>
        <w:rPr/>
        <w:t>(understandability,</w:t>
      </w:r>
      <w:r>
        <w:rPr>
          <w:spacing w:val="-8"/>
        </w:rPr>
        <w:t> </w:t>
      </w:r>
      <w:r>
        <w:rPr/>
        <w:t>comparability,</w:t>
      </w:r>
      <w:r>
        <w:rPr>
          <w:spacing w:val="-8"/>
        </w:rPr>
        <w:t> </w:t>
      </w:r>
      <w:r>
        <w:rPr/>
        <w:t>verifiability</w:t>
      </w:r>
      <w:r>
        <w:rPr>
          <w:spacing w:val="-7"/>
        </w:rPr>
        <w:t> </w:t>
      </w:r>
      <w:r>
        <w:rPr/>
        <w:t>and timeliness). The fundamental characteristics are most important and determine the content of financial</w:t>
      </w:r>
      <w:r>
        <w:rPr>
          <w:spacing w:val="-1"/>
        </w:rPr>
        <w:t> </w:t>
      </w:r>
      <w:r>
        <w:rPr/>
        <w:t>reporting.</w:t>
      </w:r>
      <w:r>
        <w:rPr>
          <w:spacing w:val="-1"/>
        </w:rPr>
        <w:t> </w:t>
      </w:r>
      <w:r>
        <w:rPr/>
        <w:t>The</w:t>
      </w:r>
      <w:r>
        <w:rPr>
          <w:spacing w:val="-2"/>
        </w:rPr>
        <w:t> </w:t>
      </w:r>
      <w:r>
        <w:rPr/>
        <w:t>enhancing</w:t>
      </w:r>
      <w:r>
        <w:rPr>
          <w:spacing w:val="-1"/>
        </w:rPr>
        <w:t> </w:t>
      </w:r>
      <w:r>
        <w:rPr/>
        <w:t>qualitative characteristics can</w:t>
      </w:r>
      <w:r>
        <w:rPr>
          <w:spacing w:val="-1"/>
        </w:rPr>
        <w:t> </w:t>
      </w:r>
      <w:r>
        <w:rPr/>
        <w:t>improve</w:t>
      </w:r>
      <w:r>
        <w:rPr>
          <w:spacing w:val="-2"/>
        </w:rPr>
        <w:t> </w:t>
      </w:r>
      <w:r>
        <w:rPr/>
        <w:t>decision</w:t>
      </w:r>
      <w:r>
        <w:rPr>
          <w:spacing w:val="-1"/>
        </w:rPr>
        <w:t> </w:t>
      </w:r>
      <w:r>
        <w:rPr/>
        <w:t>usefulness when the fundamental qualitative characteristics are established. However, they cannot determine financial reporting quality on their own.</w:t>
      </w:r>
    </w:p>
    <w:p>
      <w:pPr>
        <w:pStyle w:val="BodyText"/>
        <w:spacing w:line="480" w:lineRule="auto" w:before="1"/>
        <w:ind w:left="940" w:right="1437"/>
        <w:jc w:val="both"/>
      </w:pPr>
      <w:r>
        <w:rPr/>
        <w:t>Financial information is relevant ‘’when it is capable of making a difference in decision making’’ (IASB, 2010, p.54). Financial information has predictive value if it can be used as input in the process to predict future outcomes, and has confirmatory value if it provides feedback about previous evaluations. Materiality is included in relevance. Information is material if omitting it or misstating it could influence the decisions of users. Faithful representation ‘’faithfully represents the phenomena it purports to represent’’ (IASB, 2010, p.52). It includes three characteristics: complete, neutral, and free from error. A complete depiction</w:t>
      </w:r>
      <w:r>
        <w:rPr>
          <w:spacing w:val="-6"/>
        </w:rPr>
        <w:t> </w:t>
      </w:r>
      <w:r>
        <w:rPr/>
        <w:t>includes</w:t>
      </w:r>
      <w:r>
        <w:rPr>
          <w:spacing w:val="-7"/>
        </w:rPr>
        <w:t> </w:t>
      </w:r>
      <w:r>
        <w:rPr/>
        <w:t>all</w:t>
      </w:r>
      <w:r>
        <w:rPr>
          <w:spacing w:val="-6"/>
        </w:rPr>
        <w:t> </w:t>
      </w:r>
      <w:r>
        <w:rPr/>
        <w:t>information</w:t>
      </w:r>
      <w:r>
        <w:rPr>
          <w:spacing w:val="-6"/>
        </w:rPr>
        <w:t> </w:t>
      </w:r>
      <w:r>
        <w:rPr/>
        <w:t>needed</w:t>
      </w:r>
      <w:r>
        <w:rPr>
          <w:spacing w:val="-7"/>
        </w:rPr>
        <w:t> </w:t>
      </w:r>
      <w:r>
        <w:rPr/>
        <w:t>to</w:t>
      </w:r>
      <w:r>
        <w:rPr>
          <w:spacing w:val="-6"/>
        </w:rPr>
        <w:t> </w:t>
      </w:r>
      <w:r>
        <w:rPr/>
        <w:t>understand</w:t>
      </w:r>
      <w:r>
        <w:rPr>
          <w:spacing w:val="-7"/>
        </w:rPr>
        <w:t> </w:t>
      </w:r>
      <w:r>
        <w:rPr/>
        <w:t>the</w:t>
      </w:r>
      <w:r>
        <w:rPr>
          <w:spacing w:val="-7"/>
        </w:rPr>
        <w:t> </w:t>
      </w:r>
      <w:r>
        <w:rPr/>
        <w:t>phenomena.</w:t>
      </w:r>
      <w:r>
        <w:rPr>
          <w:spacing w:val="-7"/>
        </w:rPr>
        <w:t> </w:t>
      </w:r>
      <w:r>
        <w:rPr/>
        <w:t>A</w:t>
      </w:r>
      <w:r>
        <w:rPr>
          <w:spacing w:val="-4"/>
        </w:rPr>
        <w:t> </w:t>
      </w:r>
      <w:r>
        <w:rPr/>
        <w:t>neutral</w:t>
      </w:r>
      <w:r>
        <w:rPr>
          <w:spacing w:val="-6"/>
        </w:rPr>
        <w:t> </w:t>
      </w:r>
      <w:r>
        <w:rPr/>
        <w:t>depiction</w:t>
      </w:r>
      <w:r>
        <w:rPr>
          <w:spacing w:val="-6"/>
        </w:rPr>
        <w:t> </w:t>
      </w:r>
      <w:r>
        <w:rPr/>
        <w:t>is without bias. Free from error means that there are no errors or omissions in the description of the phenomena and in the process applied. Comparability refers to the ‘’ability to identify similarities in, and differences among, items’’ (IASB, 2010, p.52).Consistency (the use</w:t>
      </w:r>
      <w:r>
        <w:rPr>
          <w:spacing w:val="-1"/>
        </w:rPr>
        <w:t> </w:t>
      </w:r>
      <w:r>
        <w:rPr/>
        <w:t>of</w:t>
      </w:r>
      <w:r>
        <w:rPr>
          <w:spacing w:val="-1"/>
        </w:rPr>
        <w:t> </w:t>
      </w:r>
      <w:r>
        <w:rPr/>
        <w:t>the same</w:t>
      </w:r>
      <w:r>
        <w:rPr>
          <w:spacing w:val="-1"/>
        </w:rPr>
        <w:t> </w:t>
      </w:r>
      <w:r>
        <w:rPr/>
        <w:t>accounting policies and procedures within an entity from period</w:t>
      </w:r>
      <w:r>
        <w:rPr>
          <w:spacing w:val="-1"/>
        </w:rPr>
        <w:t> </w:t>
      </w:r>
      <w:r>
        <w:rPr/>
        <w:t>to period,</w:t>
      </w:r>
      <w:r>
        <w:rPr>
          <w:spacing w:val="-1"/>
        </w:rPr>
        <w:t> </w:t>
      </w:r>
      <w:r>
        <w:rPr/>
        <w:t>or</w:t>
      </w:r>
      <w:r>
        <w:rPr>
          <w:spacing w:val="-1"/>
        </w:rPr>
        <w:t> </w:t>
      </w:r>
      <w:r>
        <w:rPr/>
        <w:t>in a single period</w:t>
      </w:r>
      <w:r>
        <w:rPr>
          <w:spacing w:val="-6"/>
        </w:rPr>
        <w:t> </w:t>
      </w:r>
      <w:r>
        <w:rPr/>
        <w:t>across</w:t>
      </w:r>
      <w:r>
        <w:rPr>
          <w:spacing w:val="-4"/>
        </w:rPr>
        <w:t> </w:t>
      </w:r>
      <w:r>
        <w:rPr/>
        <w:t>entities)</w:t>
      </w:r>
      <w:r>
        <w:rPr>
          <w:spacing w:val="-3"/>
        </w:rPr>
        <w:t> </w:t>
      </w:r>
      <w:r>
        <w:rPr/>
        <w:t>aids</w:t>
      </w:r>
      <w:r>
        <w:rPr>
          <w:spacing w:val="-4"/>
        </w:rPr>
        <w:t> </w:t>
      </w:r>
      <w:r>
        <w:rPr/>
        <w:t>comparability.</w:t>
      </w:r>
      <w:r>
        <w:rPr>
          <w:spacing w:val="-3"/>
        </w:rPr>
        <w:t> </w:t>
      </w:r>
      <w:r>
        <w:rPr/>
        <w:t>Verifiability</w:t>
      </w:r>
      <w:r>
        <w:rPr>
          <w:spacing w:val="-3"/>
        </w:rPr>
        <w:t> </w:t>
      </w:r>
      <w:r>
        <w:rPr/>
        <w:t>‘’helps</w:t>
      </w:r>
      <w:r>
        <w:rPr>
          <w:spacing w:val="-3"/>
        </w:rPr>
        <w:t> </w:t>
      </w:r>
      <w:r>
        <w:rPr/>
        <w:t>to</w:t>
      </w:r>
      <w:r>
        <w:rPr>
          <w:spacing w:val="-3"/>
        </w:rPr>
        <w:t> </w:t>
      </w:r>
      <w:r>
        <w:rPr/>
        <w:t>assure</w:t>
      </w:r>
      <w:r>
        <w:rPr>
          <w:spacing w:val="-4"/>
        </w:rPr>
        <w:t> </w:t>
      </w:r>
      <w:r>
        <w:rPr/>
        <w:t>users</w:t>
      </w:r>
      <w:r>
        <w:rPr>
          <w:spacing w:val="-4"/>
        </w:rPr>
        <w:t> </w:t>
      </w:r>
      <w:r>
        <w:rPr/>
        <w:t>that</w:t>
      </w:r>
      <w:r>
        <w:rPr>
          <w:spacing w:val="-3"/>
        </w:rPr>
        <w:t> </w:t>
      </w:r>
      <w:r>
        <w:rPr>
          <w:spacing w:val="-2"/>
        </w:rPr>
        <w:t>information</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drawing>
          <wp:anchor distT="0" distB="0" distL="0" distR="0" allowOverlap="1" layoutInCell="1" locked="0" behindDoc="1" simplePos="0" relativeHeight="477680640">
            <wp:simplePos x="0" y="0"/>
            <wp:positionH relativeFrom="page">
              <wp:posOffset>1095451</wp:posOffset>
            </wp:positionH>
            <wp:positionV relativeFrom="paragraph">
              <wp:posOffset>1850770</wp:posOffset>
            </wp:positionV>
            <wp:extent cx="5106847" cy="523811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5" cstate="print"/>
                    <a:stretch>
                      <a:fillRect/>
                    </a:stretch>
                  </pic:blipFill>
                  <pic:spPr>
                    <a:xfrm>
                      <a:off x="0" y="0"/>
                      <a:ext cx="5106847" cy="5238115"/>
                    </a:xfrm>
                    <a:prstGeom prst="rect">
                      <a:avLst/>
                    </a:prstGeom>
                  </pic:spPr>
                </pic:pic>
              </a:graphicData>
            </a:graphic>
          </wp:anchor>
        </w:drawing>
      </w:r>
      <w:r>
        <w:rPr/>
        <w:t>represents faithfully the economic phenomena that it purports to represent’’ (IASB, 2010, p.52).</w:t>
      </w:r>
      <w:r>
        <w:rPr>
          <w:spacing w:val="-2"/>
        </w:rPr>
        <w:t> </w:t>
      </w:r>
      <w:r>
        <w:rPr/>
        <w:t>It</w:t>
      </w:r>
      <w:r>
        <w:rPr>
          <w:spacing w:val="-4"/>
        </w:rPr>
        <w:t> </w:t>
      </w:r>
      <w:r>
        <w:rPr/>
        <w:t>implies</w:t>
      </w:r>
      <w:r>
        <w:rPr>
          <w:spacing w:val="-4"/>
        </w:rPr>
        <w:t> </w:t>
      </w:r>
      <w:r>
        <w:rPr/>
        <w:t>that</w:t>
      </w:r>
      <w:r>
        <w:rPr>
          <w:spacing w:val="-4"/>
        </w:rPr>
        <w:t> </w:t>
      </w:r>
      <w:r>
        <w:rPr/>
        <w:t>knowledgeable</w:t>
      </w:r>
      <w:r>
        <w:rPr>
          <w:spacing w:val="-3"/>
        </w:rPr>
        <w:t> </w:t>
      </w:r>
      <w:r>
        <w:rPr/>
        <w:t>and</w:t>
      </w:r>
      <w:r>
        <w:rPr>
          <w:spacing w:val="-4"/>
        </w:rPr>
        <w:t> </w:t>
      </w:r>
      <w:r>
        <w:rPr/>
        <w:t>independent</w:t>
      </w:r>
      <w:r>
        <w:rPr>
          <w:spacing w:val="-4"/>
        </w:rPr>
        <w:t> </w:t>
      </w:r>
      <w:r>
        <w:rPr/>
        <w:t>observers</w:t>
      </w:r>
      <w:r>
        <w:rPr>
          <w:spacing w:val="-1"/>
        </w:rPr>
        <w:t> </w:t>
      </w:r>
      <w:r>
        <w:rPr/>
        <w:t>can</w:t>
      </w:r>
      <w:r>
        <w:rPr>
          <w:spacing w:val="-2"/>
        </w:rPr>
        <w:t> </w:t>
      </w:r>
      <w:r>
        <w:rPr/>
        <w:t>reach</w:t>
      </w:r>
      <w:r>
        <w:rPr>
          <w:spacing w:val="-4"/>
        </w:rPr>
        <w:t> </w:t>
      </w:r>
      <w:r>
        <w:rPr/>
        <w:t>a</w:t>
      </w:r>
      <w:r>
        <w:rPr>
          <w:spacing w:val="-3"/>
        </w:rPr>
        <w:t> </w:t>
      </w:r>
      <w:r>
        <w:rPr/>
        <w:t>general</w:t>
      </w:r>
      <w:r>
        <w:rPr>
          <w:spacing w:val="-4"/>
        </w:rPr>
        <w:t> </w:t>
      </w:r>
      <w:r>
        <w:rPr/>
        <w:t>consensus (but not necessarily absolute agreement) that the information does represent faithfully the economic phenomena it purports to represent without material error or bias, or that an appropriate recognition or measurement method has been applied without material error or bias. It means that independent observations will yield essentially the same measure or </w:t>
      </w:r>
      <w:r>
        <w:rPr>
          <w:spacing w:val="-2"/>
        </w:rPr>
        <w:t>conclusions.</w:t>
      </w:r>
    </w:p>
    <w:p>
      <w:pPr>
        <w:pStyle w:val="BodyText"/>
        <w:spacing w:line="480" w:lineRule="auto" w:before="200"/>
        <w:ind w:left="940" w:right="1434"/>
        <w:jc w:val="both"/>
      </w:pPr>
      <w:r>
        <w:rPr/>
        <w:t>Timeliness ‘’means that the information is provided in time to be capable of influencing decisions’’ (IASB, 2010, p.52). Generally, the older the information is the less useful it may be to the users. Understandability ‘’is classifying, characterizing and presenting information clearly and concisely’’ (IASB, 2010, p.52). Understandability enables users who have a reasonable knowledge of business, economic and financial activities and financial reporting, and who apply reasonable diligence to comprehend the information, to gain insights into the reporting entity’s financial position and results of operations, as intended. Prior studies developed constructs to measure each of the separate qualitative characteristics in order to assess</w:t>
      </w:r>
      <w:r>
        <w:rPr>
          <w:spacing w:val="-5"/>
        </w:rPr>
        <w:t> </w:t>
      </w:r>
      <w:r>
        <w:rPr/>
        <w:t>financial</w:t>
      </w:r>
      <w:r>
        <w:rPr>
          <w:spacing w:val="-5"/>
        </w:rPr>
        <w:t> </w:t>
      </w:r>
      <w:r>
        <w:rPr/>
        <w:t>reporting</w:t>
      </w:r>
      <w:r>
        <w:rPr>
          <w:spacing w:val="-2"/>
        </w:rPr>
        <w:t> </w:t>
      </w:r>
      <w:r>
        <w:rPr/>
        <w:t>quality.</w:t>
      </w:r>
      <w:r>
        <w:rPr>
          <w:spacing w:val="-2"/>
        </w:rPr>
        <w:t> </w:t>
      </w:r>
      <w:r>
        <w:rPr/>
        <w:t>In</w:t>
      </w:r>
      <w:r>
        <w:rPr>
          <w:spacing w:val="-5"/>
        </w:rPr>
        <w:t> </w:t>
      </w:r>
      <w:r>
        <w:rPr/>
        <w:t>order</w:t>
      </w:r>
      <w:r>
        <w:rPr>
          <w:spacing w:val="-3"/>
        </w:rPr>
        <w:t> </w:t>
      </w:r>
      <w:r>
        <w:rPr/>
        <w:t>to</w:t>
      </w:r>
      <w:r>
        <w:rPr>
          <w:spacing w:val="-4"/>
        </w:rPr>
        <w:t> </w:t>
      </w:r>
      <w:r>
        <w:rPr/>
        <w:t>assess</w:t>
      </w:r>
      <w:r>
        <w:rPr>
          <w:spacing w:val="-5"/>
        </w:rPr>
        <w:t> </w:t>
      </w:r>
      <w:r>
        <w:rPr/>
        <w:t>the</w:t>
      </w:r>
      <w:r>
        <w:rPr>
          <w:spacing w:val="-5"/>
        </w:rPr>
        <w:t> </w:t>
      </w:r>
      <w:r>
        <w:rPr/>
        <w:t>quality</w:t>
      </w:r>
      <w:r>
        <w:rPr>
          <w:spacing w:val="-4"/>
        </w:rPr>
        <w:t> </w:t>
      </w:r>
      <w:r>
        <w:rPr/>
        <w:t>of</w:t>
      </w:r>
      <w:r>
        <w:rPr>
          <w:spacing w:val="-3"/>
        </w:rPr>
        <w:t> </w:t>
      </w:r>
      <w:r>
        <w:rPr/>
        <w:t>financial</w:t>
      </w:r>
      <w:r>
        <w:rPr>
          <w:spacing w:val="-2"/>
        </w:rPr>
        <w:t> </w:t>
      </w:r>
      <w:r>
        <w:rPr/>
        <w:t>reporting,</w:t>
      </w:r>
      <w:r>
        <w:rPr>
          <w:spacing w:val="-5"/>
        </w:rPr>
        <w:t> </w:t>
      </w:r>
      <w:r>
        <w:rPr/>
        <w:t>standard scores are computed on the fundamental and enhancing qualitative characteristics (Van Beest et al., 1999). The standardized score of the fundamental qualitative characteristics’ relevance and faithful representation is calculated by adding the standardized scores of relevance and faithful representation, scaled by 2. Hence, both fundamental qualitative characteristics are weighted equally. The same procedure is performed for the enhancing qualitative characteristics.</w:t>
      </w:r>
      <w:r>
        <w:rPr>
          <w:spacing w:val="40"/>
        </w:rPr>
        <w:t> </w:t>
      </w:r>
      <w:r>
        <w:rPr/>
        <w:t>This process results in a score between 1 and 5 for all qualitative characteristics:</w:t>
      </w:r>
      <w:r>
        <w:rPr>
          <w:spacing w:val="-15"/>
        </w:rPr>
        <w:t> </w:t>
      </w:r>
      <w:r>
        <w:rPr/>
        <w:t>1</w:t>
      </w:r>
      <w:r>
        <w:rPr>
          <w:spacing w:val="-15"/>
        </w:rPr>
        <w:t> </w:t>
      </w:r>
      <w:r>
        <w:rPr/>
        <w:t>indicating</w:t>
      </w:r>
      <w:r>
        <w:rPr>
          <w:spacing w:val="-15"/>
        </w:rPr>
        <w:t> </w:t>
      </w:r>
      <w:r>
        <w:rPr/>
        <w:t>a</w:t>
      </w:r>
      <w:r>
        <w:rPr>
          <w:spacing w:val="-15"/>
        </w:rPr>
        <w:t> </w:t>
      </w:r>
      <w:r>
        <w:rPr/>
        <w:t>poor</w:t>
      </w:r>
      <w:r>
        <w:rPr>
          <w:spacing w:val="-15"/>
        </w:rPr>
        <w:t> </w:t>
      </w:r>
      <w:r>
        <w:rPr/>
        <w:t>score,</w:t>
      </w:r>
      <w:r>
        <w:rPr>
          <w:spacing w:val="-13"/>
        </w:rPr>
        <w:t> </w:t>
      </w:r>
      <w:r>
        <w:rPr/>
        <w:t>while</w:t>
      </w:r>
      <w:r>
        <w:rPr>
          <w:spacing w:val="-13"/>
        </w:rPr>
        <w:t> </w:t>
      </w:r>
      <w:r>
        <w:rPr/>
        <w:t>an</w:t>
      </w:r>
      <w:r>
        <w:rPr>
          <w:spacing w:val="-13"/>
        </w:rPr>
        <w:t> </w:t>
      </w:r>
      <w:r>
        <w:rPr/>
        <w:t>outcome</w:t>
      </w:r>
      <w:r>
        <w:rPr>
          <w:spacing w:val="-15"/>
        </w:rPr>
        <w:t> </w:t>
      </w:r>
      <w:r>
        <w:rPr/>
        <w:t>of</w:t>
      </w:r>
      <w:r>
        <w:rPr>
          <w:spacing w:val="-15"/>
        </w:rPr>
        <w:t> </w:t>
      </w:r>
      <w:r>
        <w:rPr/>
        <w:t>5</w:t>
      </w:r>
      <w:r>
        <w:rPr>
          <w:spacing w:val="-15"/>
        </w:rPr>
        <w:t> </w:t>
      </w:r>
      <w:r>
        <w:rPr/>
        <w:t>implies</w:t>
      </w:r>
      <w:r>
        <w:rPr>
          <w:spacing w:val="-15"/>
        </w:rPr>
        <w:t> </w:t>
      </w:r>
      <w:r>
        <w:rPr/>
        <w:t>excellence.</w:t>
      </w:r>
      <w:r>
        <w:rPr>
          <w:spacing w:val="-15"/>
        </w:rPr>
        <w:t> </w:t>
      </w:r>
      <w:r>
        <w:rPr/>
        <w:t>The</w:t>
      </w:r>
      <w:r>
        <w:rPr>
          <w:spacing w:val="-15"/>
        </w:rPr>
        <w:t> </w:t>
      </w:r>
      <w:r>
        <w:rPr/>
        <w:t>quality of financial reporting is measured by including both the scores on the fundamental and enhancing</w:t>
      </w:r>
      <w:r>
        <w:rPr>
          <w:spacing w:val="-7"/>
        </w:rPr>
        <w:t> </w:t>
      </w:r>
      <w:r>
        <w:rPr/>
        <w:t>qualitative</w:t>
      </w:r>
      <w:r>
        <w:rPr>
          <w:spacing w:val="-7"/>
        </w:rPr>
        <w:t> </w:t>
      </w:r>
      <w:r>
        <w:rPr/>
        <w:t>characteristics.</w:t>
      </w:r>
      <w:r>
        <w:rPr>
          <w:spacing w:val="-6"/>
        </w:rPr>
        <w:t> </w:t>
      </w:r>
      <w:r>
        <w:rPr/>
        <w:t>Since</w:t>
      </w:r>
      <w:r>
        <w:rPr>
          <w:spacing w:val="-8"/>
        </w:rPr>
        <w:t> </w:t>
      </w:r>
      <w:r>
        <w:rPr/>
        <w:t>this</w:t>
      </w:r>
      <w:r>
        <w:rPr>
          <w:spacing w:val="-8"/>
        </w:rPr>
        <w:t> </w:t>
      </w:r>
      <w:r>
        <w:rPr/>
        <w:t>measure</w:t>
      </w:r>
      <w:r>
        <w:rPr>
          <w:spacing w:val="-9"/>
        </w:rPr>
        <w:t> </w:t>
      </w:r>
      <w:r>
        <w:rPr/>
        <w:t>of</w:t>
      </w:r>
      <w:r>
        <w:rPr>
          <w:spacing w:val="-7"/>
        </w:rPr>
        <w:t> </w:t>
      </w:r>
      <w:r>
        <w:rPr/>
        <w:t>financial</w:t>
      </w:r>
      <w:r>
        <w:rPr>
          <w:spacing w:val="-6"/>
        </w:rPr>
        <w:t> </w:t>
      </w:r>
      <w:r>
        <w:rPr/>
        <w:t>reporting</w:t>
      </w:r>
      <w:r>
        <w:rPr>
          <w:spacing w:val="-6"/>
        </w:rPr>
        <w:t> </w:t>
      </w:r>
      <w:r>
        <w:rPr/>
        <w:t>quality</w:t>
      </w:r>
      <w:r>
        <w:rPr>
          <w:spacing w:val="-6"/>
        </w:rPr>
        <w:t> </w:t>
      </w:r>
      <w:r>
        <w:rPr>
          <w:spacing w:val="-2"/>
        </w:rPr>
        <w:t>assesses</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reporting quality from both financial and non-financial dimensions, and also being a bench mark for quality financial reporting by the IASB, this study adopted the approach. The study adopted the approach of Van Beest et al. (2009) in measuring financial reporting quality.</w:t>
      </w:r>
    </w:p>
    <w:p>
      <w:pPr>
        <w:pStyle w:val="Heading3"/>
        <w:spacing w:before="199"/>
      </w:pPr>
      <w:r>
        <w:rPr/>
        <w:t>Value</w:t>
      </w:r>
      <w:r>
        <w:rPr>
          <w:spacing w:val="-2"/>
        </w:rPr>
        <w:t> </w:t>
      </w:r>
      <w:r>
        <w:rPr/>
        <w:t>Relevance</w:t>
      </w:r>
      <w:r>
        <w:rPr>
          <w:spacing w:val="-1"/>
        </w:rPr>
        <w:t> </w:t>
      </w:r>
      <w:r>
        <w:rPr>
          <w:spacing w:val="-2"/>
        </w:rPr>
        <w:t>Measure</w:t>
      </w:r>
    </w:p>
    <w:p>
      <w:pPr>
        <w:pStyle w:val="BodyText"/>
        <w:rPr>
          <w:b/>
        </w:rPr>
      </w:pPr>
    </w:p>
    <w:p>
      <w:pPr>
        <w:pStyle w:val="BodyText"/>
        <w:spacing w:line="480" w:lineRule="auto"/>
        <w:ind w:left="940" w:right="1437"/>
        <w:jc w:val="both"/>
      </w:pPr>
      <w:r>
        <w:rPr/>
        <w:drawing>
          <wp:anchor distT="0" distB="0" distL="0" distR="0" allowOverlap="1" layoutInCell="1" locked="0" behindDoc="1" simplePos="0" relativeHeight="477681152">
            <wp:simplePos x="0" y="0"/>
            <wp:positionH relativeFrom="page">
              <wp:posOffset>1095451</wp:posOffset>
            </wp:positionH>
            <wp:positionV relativeFrom="paragraph">
              <wp:posOffset>283710</wp:posOffset>
            </wp:positionV>
            <wp:extent cx="5106847" cy="523811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5106847" cy="5238115"/>
                    </a:xfrm>
                    <a:prstGeom prst="rect">
                      <a:avLst/>
                    </a:prstGeom>
                  </pic:spPr>
                </pic:pic>
              </a:graphicData>
            </a:graphic>
          </wp:anchor>
        </w:drawing>
      </w:r>
      <w:r>
        <w:rPr/>
        <w:t>Apart</w:t>
      </w:r>
      <w:r>
        <w:rPr>
          <w:spacing w:val="-9"/>
        </w:rPr>
        <w:t> </w:t>
      </w:r>
      <w:r>
        <w:rPr/>
        <w:t>from</w:t>
      </w:r>
      <w:r>
        <w:rPr>
          <w:spacing w:val="-8"/>
        </w:rPr>
        <w:t> </w:t>
      </w:r>
      <w:r>
        <w:rPr/>
        <w:t>the</w:t>
      </w:r>
      <w:r>
        <w:rPr>
          <w:spacing w:val="-6"/>
        </w:rPr>
        <w:t> </w:t>
      </w:r>
      <w:r>
        <w:rPr/>
        <w:t>accrual</w:t>
      </w:r>
      <w:r>
        <w:rPr>
          <w:spacing w:val="-8"/>
        </w:rPr>
        <w:t> </w:t>
      </w:r>
      <w:r>
        <w:rPr/>
        <w:t>models</w:t>
      </w:r>
      <w:r>
        <w:rPr>
          <w:spacing w:val="-8"/>
        </w:rPr>
        <w:t> </w:t>
      </w:r>
      <w:r>
        <w:rPr/>
        <w:t>and</w:t>
      </w:r>
      <w:r>
        <w:rPr>
          <w:spacing w:val="-8"/>
        </w:rPr>
        <w:t> </w:t>
      </w:r>
      <w:r>
        <w:rPr/>
        <w:t>the</w:t>
      </w:r>
      <w:r>
        <w:rPr>
          <w:spacing w:val="-9"/>
        </w:rPr>
        <w:t> </w:t>
      </w:r>
      <w:r>
        <w:rPr/>
        <w:t>qualitative</w:t>
      </w:r>
      <w:r>
        <w:rPr>
          <w:spacing w:val="-6"/>
        </w:rPr>
        <w:t> </w:t>
      </w:r>
      <w:r>
        <w:rPr/>
        <w:t>characteristics</w:t>
      </w:r>
      <w:r>
        <w:rPr>
          <w:spacing w:val="-9"/>
        </w:rPr>
        <w:t> </w:t>
      </w:r>
      <w:r>
        <w:rPr/>
        <w:t>model</w:t>
      </w:r>
      <w:r>
        <w:rPr>
          <w:spacing w:val="-8"/>
        </w:rPr>
        <w:t> </w:t>
      </w:r>
      <w:r>
        <w:rPr/>
        <w:t>discussed</w:t>
      </w:r>
      <w:r>
        <w:rPr>
          <w:spacing w:val="-9"/>
        </w:rPr>
        <w:t> </w:t>
      </w:r>
      <w:r>
        <w:rPr/>
        <w:t>above,</w:t>
      </w:r>
      <w:r>
        <w:rPr>
          <w:spacing w:val="-8"/>
        </w:rPr>
        <w:t> </w:t>
      </w:r>
      <w:r>
        <w:rPr/>
        <w:t>other perspectives of financial reporting quality measurement have also been addressed. This perspective sees financial reporting quality as being value relevant. One of the problems of accrual based measurement is that it does not reflect investors’ perception of stock market reaction</w:t>
      </w:r>
      <w:r>
        <w:rPr>
          <w:spacing w:val="-3"/>
        </w:rPr>
        <w:t> </w:t>
      </w:r>
      <w:r>
        <w:rPr/>
        <w:t>about</w:t>
      </w:r>
      <w:r>
        <w:rPr>
          <w:spacing w:val="-3"/>
        </w:rPr>
        <w:t> </w:t>
      </w:r>
      <w:r>
        <w:rPr/>
        <w:t>the</w:t>
      </w:r>
      <w:r>
        <w:rPr>
          <w:spacing w:val="-4"/>
        </w:rPr>
        <w:t> </w:t>
      </w:r>
      <w:r>
        <w:rPr/>
        <w:t>accounting</w:t>
      </w:r>
      <w:r>
        <w:rPr>
          <w:spacing w:val="-3"/>
        </w:rPr>
        <w:t> </w:t>
      </w:r>
      <w:r>
        <w:rPr/>
        <w:t>numbers,</w:t>
      </w:r>
      <w:r>
        <w:rPr>
          <w:spacing w:val="-3"/>
        </w:rPr>
        <w:t> </w:t>
      </w:r>
      <w:r>
        <w:rPr/>
        <w:t>consequently,</w:t>
      </w:r>
      <w:r>
        <w:rPr>
          <w:spacing w:val="-3"/>
        </w:rPr>
        <w:t> </w:t>
      </w:r>
      <w:r>
        <w:rPr/>
        <w:t>it</w:t>
      </w:r>
      <w:r>
        <w:rPr>
          <w:spacing w:val="-3"/>
        </w:rPr>
        <w:t> </w:t>
      </w:r>
      <w:r>
        <w:rPr/>
        <w:t>impairs</w:t>
      </w:r>
      <w:r>
        <w:rPr>
          <w:spacing w:val="-3"/>
        </w:rPr>
        <w:t> </w:t>
      </w:r>
      <w:r>
        <w:rPr/>
        <w:t>the</w:t>
      </w:r>
      <w:r>
        <w:rPr>
          <w:spacing w:val="-3"/>
        </w:rPr>
        <w:t> </w:t>
      </w:r>
      <w:r>
        <w:rPr/>
        <w:t>ability</w:t>
      </w:r>
      <w:r>
        <w:rPr>
          <w:spacing w:val="-6"/>
        </w:rPr>
        <w:t> </w:t>
      </w:r>
      <w:r>
        <w:rPr/>
        <w:t>of</w:t>
      </w:r>
      <w:r>
        <w:rPr>
          <w:spacing w:val="-3"/>
        </w:rPr>
        <w:t> </w:t>
      </w:r>
      <w:r>
        <w:rPr/>
        <w:t>earnings</w:t>
      </w:r>
      <w:r>
        <w:rPr>
          <w:spacing w:val="-3"/>
        </w:rPr>
        <w:t> </w:t>
      </w:r>
      <w:r>
        <w:rPr/>
        <w:t>quality to help both present and potential equity investors, lenders and other creditors in making economic decisions. These weaknesses gave rise to the market based attributes (value relevance) of measuring reporting quality. According to Verleum et al. (2011) as cited in Umobong and Akani (2015), the market base attributes show the relationship between the accounting numbers and investors’ perception of the numbers. This implies that earnings are to</w:t>
      </w:r>
      <w:r>
        <w:rPr>
          <w:spacing w:val="-4"/>
        </w:rPr>
        <w:t> </w:t>
      </w:r>
      <w:r>
        <w:rPr/>
        <w:t>reflect</w:t>
      </w:r>
      <w:r>
        <w:rPr>
          <w:spacing w:val="-4"/>
        </w:rPr>
        <w:t> </w:t>
      </w:r>
      <w:r>
        <w:rPr/>
        <w:t>economic</w:t>
      </w:r>
      <w:r>
        <w:rPr>
          <w:spacing w:val="-6"/>
        </w:rPr>
        <w:t> </w:t>
      </w:r>
      <w:r>
        <w:rPr/>
        <w:t>income</w:t>
      </w:r>
      <w:r>
        <w:rPr>
          <w:spacing w:val="-5"/>
        </w:rPr>
        <w:t> </w:t>
      </w:r>
      <w:r>
        <w:rPr/>
        <w:t>as</w:t>
      </w:r>
      <w:r>
        <w:rPr>
          <w:spacing w:val="-5"/>
        </w:rPr>
        <w:t> </w:t>
      </w:r>
      <w:r>
        <w:rPr/>
        <w:t>represented</w:t>
      </w:r>
      <w:r>
        <w:rPr>
          <w:spacing w:val="-5"/>
        </w:rPr>
        <w:t> </w:t>
      </w:r>
      <w:r>
        <w:rPr/>
        <w:t>by</w:t>
      </w:r>
      <w:r>
        <w:rPr>
          <w:spacing w:val="-4"/>
        </w:rPr>
        <w:t> </w:t>
      </w:r>
      <w:r>
        <w:rPr/>
        <w:t>market</w:t>
      </w:r>
      <w:r>
        <w:rPr>
          <w:spacing w:val="-4"/>
        </w:rPr>
        <w:t> </w:t>
      </w:r>
      <w:r>
        <w:rPr/>
        <w:t>returns.</w:t>
      </w:r>
      <w:r>
        <w:rPr>
          <w:spacing w:val="-3"/>
        </w:rPr>
        <w:t> </w:t>
      </w:r>
      <w:r>
        <w:rPr/>
        <w:t>Verleun</w:t>
      </w:r>
      <w:r>
        <w:rPr>
          <w:spacing w:val="-5"/>
        </w:rPr>
        <w:t> </w:t>
      </w:r>
      <w:r>
        <w:rPr/>
        <w:t>et</w:t>
      </w:r>
      <w:r>
        <w:rPr>
          <w:spacing w:val="-3"/>
        </w:rPr>
        <w:t> </w:t>
      </w:r>
      <w:r>
        <w:rPr/>
        <w:t>al.</w:t>
      </w:r>
      <w:r>
        <w:rPr>
          <w:spacing w:val="-4"/>
        </w:rPr>
        <w:t> </w:t>
      </w:r>
      <w:r>
        <w:rPr/>
        <w:t>(2011)</w:t>
      </w:r>
      <w:r>
        <w:rPr>
          <w:spacing w:val="-6"/>
        </w:rPr>
        <w:t> </w:t>
      </w:r>
      <w:r>
        <w:rPr/>
        <w:t>opined</w:t>
      </w:r>
      <w:r>
        <w:rPr>
          <w:spacing w:val="-4"/>
        </w:rPr>
        <w:t> </w:t>
      </w:r>
      <w:r>
        <w:rPr/>
        <w:t>that those</w:t>
      </w:r>
      <w:r>
        <w:rPr>
          <w:spacing w:val="-6"/>
        </w:rPr>
        <w:t> </w:t>
      </w:r>
      <w:r>
        <w:rPr/>
        <w:t>attributes</w:t>
      </w:r>
      <w:r>
        <w:rPr>
          <w:spacing w:val="-5"/>
        </w:rPr>
        <w:t> </w:t>
      </w:r>
      <w:r>
        <w:rPr/>
        <w:t>were</w:t>
      </w:r>
      <w:r>
        <w:rPr>
          <w:spacing w:val="-4"/>
        </w:rPr>
        <w:t> </w:t>
      </w:r>
      <w:r>
        <w:rPr/>
        <w:t>the</w:t>
      </w:r>
      <w:r>
        <w:rPr>
          <w:spacing w:val="-2"/>
        </w:rPr>
        <w:t> </w:t>
      </w:r>
      <w:r>
        <w:rPr/>
        <w:t>value</w:t>
      </w:r>
      <w:r>
        <w:rPr>
          <w:spacing w:val="-5"/>
        </w:rPr>
        <w:t> </w:t>
      </w:r>
      <w:r>
        <w:rPr/>
        <w:t>relevance</w:t>
      </w:r>
      <w:r>
        <w:rPr>
          <w:spacing w:val="-6"/>
        </w:rPr>
        <w:t> </w:t>
      </w:r>
      <w:r>
        <w:rPr/>
        <w:t>of</w:t>
      </w:r>
      <w:r>
        <w:rPr>
          <w:spacing w:val="-6"/>
        </w:rPr>
        <w:t> </w:t>
      </w:r>
      <w:r>
        <w:rPr/>
        <w:t>accounting</w:t>
      </w:r>
      <w:r>
        <w:rPr>
          <w:spacing w:val="-5"/>
        </w:rPr>
        <w:t> </w:t>
      </w:r>
      <w:r>
        <w:rPr/>
        <w:t>numbers,</w:t>
      </w:r>
      <w:r>
        <w:rPr>
          <w:spacing w:val="-5"/>
        </w:rPr>
        <w:t> </w:t>
      </w:r>
      <w:r>
        <w:rPr/>
        <w:t>timeliness</w:t>
      </w:r>
      <w:r>
        <w:rPr>
          <w:spacing w:val="-5"/>
        </w:rPr>
        <w:t> </w:t>
      </w:r>
      <w:r>
        <w:rPr/>
        <w:t>and</w:t>
      </w:r>
      <w:r>
        <w:rPr>
          <w:spacing w:val="-5"/>
        </w:rPr>
        <w:t> </w:t>
      </w:r>
      <w:r>
        <w:rPr/>
        <w:t>conservatism. Kargin</w:t>
      </w:r>
      <w:r>
        <w:rPr>
          <w:spacing w:val="-13"/>
        </w:rPr>
        <w:t> </w:t>
      </w:r>
      <w:r>
        <w:rPr/>
        <w:t>(2013)</w:t>
      </w:r>
      <w:r>
        <w:rPr>
          <w:spacing w:val="-14"/>
        </w:rPr>
        <w:t> </w:t>
      </w:r>
      <w:r>
        <w:rPr/>
        <w:t>opined</w:t>
      </w:r>
      <w:r>
        <w:rPr>
          <w:spacing w:val="-13"/>
        </w:rPr>
        <w:t> </w:t>
      </w:r>
      <w:r>
        <w:rPr/>
        <w:t>that</w:t>
      </w:r>
      <w:r>
        <w:rPr>
          <w:spacing w:val="-13"/>
        </w:rPr>
        <w:t> </w:t>
      </w:r>
      <w:r>
        <w:rPr/>
        <w:t>value</w:t>
      </w:r>
      <w:r>
        <w:rPr>
          <w:spacing w:val="-14"/>
        </w:rPr>
        <w:t> </w:t>
      </w:r>
      <w:r>
        <w:rPr/>
        <w:t>relevance</w:t>
      </w:r>
      <w:r>
        <w:rPr>
          <w:spacing w:val="-10"/>
        </w:rPr>
        <w:t> </w:t>
      </w:r>
      <w:r>
        <w:rPr/>
        <w:t>was</w:t>
      </w:r>
      <w:r>
        <w:rPr>
          <w:spacing w:val="-13"/>
        </w:rPr>
        <w:t> </w:t>
      </w:r>
      <w:r>
        <w:rPr/>
        <w:t>the</w:t>
      </w:r>
      <w:r>
        <w:rPr>
          <w:spacing w:val="-11"/>
        </w:rPr>
        <w:t> </w:t>
      </w:r>
      <w:r>
        <w:rPr/>
        <w:t>relation</w:t>
      </w:r>
      <w:r>
        <w:rPr>
          <w:spacing w:val="-13"/>
        </w:rPr>
        <w:t> </w:t>
      </w:r>
      <w:r>
        <w:rPr/>
        <w:t>among</w:t>
      </w:r>
      <w:r>
        <w:rPr>
          <w:spacing w:val="-13"/>
        </w:rPr>
        <w:t> </w:t>
      </w:r>
      <w:r>
        <w:rPr/>
        <w:t>accounting</w:t>
      </w:r>
      <w:r>
        <w:rPr>
          <w:spacing w:val="-13"/>
        </w:rPr>
        <w:t> </w:t>
      </w:r>
      <w:r>
        <w:rPr/>
        <w:t>figures</w:t>
      </w:r>
      <w:r>
        <w:rPr>
          <w:spacing w:val="-13"/>
        </w:rPr>
        <w:t> </w:t>
      </w:r>
      <w:r>
        <w:rPr/>
        <w:t>and</w:t>
      </w:r>
      <w:r>
        <w:rPr>
          <w:spacing w:val="-13"/>
        </w:rPr>
        <w:t> </w:t>
      </w:r>
      <w:r>
        <w:rPr/>
        <w:t>other financial parameters. According to Ball and Brown (1968), value relevance is the relation between</w:t>
      </w:r>
      <w:r>
        <w:rPr>
          <w:spacing w:val="-15"/>
        </w:rPr>
        <w:t> </w:t>
      </w:r>
      <w:r>
        <w:rPr/>
        <w:t>stock</w:t>
      </w:r>
      <w:r>
        <w:rPr>
          <w:spacing w:val="-15"/>
        </w:rPr>
        <w:t> </w:t>
      </w:r>
      <w:r>
        <w:rPr/>
        <w:t>return</w:t>
      </w:r>
      <w:r>
        <w:rPr>
          <w:spacing w:val="-15"/>
        </w:rPr>
        <w:t> </w:t>
      </w:r>
      <w:r>
        <w:rPr/>
        <w:t>and</w:t>
      </w:r>
      <w:r>
        <w:rPr>
          <w:spacing w:val="-15"/>
        </w:rPr>
        <w:t> </w:t>
      </w:r>
      <w:r>
        <w:rPr/>
        <w:t>earnings,</w:t>
      </w:r>
      <w:r>
        <w:rPr>
          <w:spacing w:val="-15"/>
        </w:rPr>
        <w:t> </w:t>
      </w:r>
      <w:r>
        <w:rPr/>
        <w:t>i.e.,</w:t>
      </w:r>
      <w:r>
        <w:rPr>
          <w:spacing w:val="-15"/>
        </w:rPr>
        <w:t> </w:t>
      </w:r>
      <w:r>
        <w:rPr/>
        <w:t>the</w:t>
      </w:r>
      <w:r>
        <w:rPr>
          <w:spacing w:val="-15"/>
        </w:rPr>
        <w:t> </w:t>
      </w:r>
      <w:r>
        <w:rPr/>
        <w:t>value</w:t>
      </w:r>
      <w:r>
        <w:rPr>
          <w:spacing w:val="-15"/>
        </w:rPr>
        <w:t> </w:t>
      </w:r>
      <w:r>
        <w:rPr/>
        <w:t>relevance</w:t>
      </w:r>
      <w:r>
        <w:rPr>
          <w:spacing w:val="-15"/>
        </w:rPr>
        <w:t> </w:t>
      </w:r>
      <w:r>
        <w:rPr/>
        <w:t>of</w:t>
      </w:r>
      <w:r>
        <w:rPr>
          <w:spacing w:val="-15"/>
        </w:rPr>
        <w:t> </w:t>
      </w:r>
      <w:r>
        <w:rPr/>
        <w:t>earnings</w:t>
      </w:r>
      <w:r>
        <w:rPr>
          <w:spacing w:val="-15"/>
        </w:rPr>
        <w:t> </w:t>
      </w:r>
      <w:r>
        <w:rPr/>
        <w:t>and</w:t>
      </w:r>
      <w:r>
        <w:rPr>
          <w:spacing w:val="-15"/>
        </w:rPr>
        <w:t> </w:t>
      </w:r>
      <w:r>
        <w:rPr/>
        <w:t>book</w:t>
      </w:r>
      <w:r>
        <w:rPr>
          <w:spacing w:val="-15"/>
        </w:rPr>
        <w:t> </w:t>
      </w:r>
      <w:r>
        <w:rPr/>
        <w:t>value</w:t>
      </w:r>
      <w:r>
        <w:rPr>
          <w:spacing w:val="-15"/>
        </w:rPr>
        <w:t> </w:t>
      </w:r>
      <w:r>
        <w:rPr/>
        <w:t>of</w:t>
      </w:r>
      <w:r>
        <w:rPr>
          <w:spacing w:val="-15"/>
        </w:rPr>
        <w:t> </w:t>
      </w:r>
      <w:r>
        <w:rPr/>
        <w:t>equity are measured by the market response to this information. Therefore, the association between these accounting numbers and market reaction parameters such as investors’ behaviour as a proxy for stock price is captured by the value relevance models. According to Nichols and Wahlen (2004), these models measure the quality of financial reporting information. Some of the value relevance models which have dominated literature are the Ohlson (1995) model, Feltham</w:t>
      </w:r>
      <w:r>
        <w:rPr>
          <w:spacing w:val="5"/>
        </w:rPr>
        <w:t> </w:t>
      </w:r>
      <w:r>
        <w:rPr/>
        <w:t>and</w:t>
      </w:r>
      <w:r>
        <w:rPr>
          <w:spacing w:val="8"/>
        </w:rPr>
        <w:t> </w:t>
      </w:r>
      <w:r>
        <w:rPr/>
        <w:t>Ohlson</w:t>
      </w:r>
      <w:r>
        <w:rPr>
          <w:spacing w:val="7"/>
        </w:rPr>
        <w:t> </w:t>
      </w:r>
      <w:r>
        <w:rPr/>
        <w:t>(1995)</w:t>
      </w:r>
      <w:r>
        <w:rPr>
          <w:spacing w:val="7"/>
        </w:rPr>
        <w:t> </w:t>
      </w:r>
      <w:r>
        <w:rPr/>
        <w:t>model</w:t>
      </w:r>
      <w:r>
        <w:rPr>
          <w:spacing w:val="7"/>
        </w:rPr>
        <w:t> </w:t>
      </w:r>
      <w:r>
        <w:rPr/>
        <w:t>and</w:t>
      </w:r>
      <w:r>
        <w:rPr>
          <w:spacing w:val="8"/>
        </w:rPr>
        <w:t> </w:t>
      </w:r>
      <w:r>
        <w:rPr/>
        <w:t>Eston</w:t>
      </w:r>
      <w:r>
        <w:rPr>
          <w:spacing w:val="7"/>
        </w:rPr>
        <w:t> </w:t>
      </w:r>
      <w:r>
        <w:rPr/>
        <w:t>Harris</w:t>
      </w:r>
      <w:r>
        <w:rPr>
          <w:spacing w:val="9"/>
        </w:rPr>
        <w:t> </w:t>
      </w:r>
      <w:r>
        <w:rPr/>
        <w:t>(1991)</w:t>
      </w:r>
      <w:r>
        <w:rPr>
          <w:spacing w:val="6"/>
        </w:rPr>
        <w:t> </w:t>
      </w:r>
      <w:r>
        <w:rPr/>
        <w:t>model.</w:t>
      </w:r>
      <w:r>
        <w:rPr>
          <w:spacing w:val="11"/>
        </w:rPr>
        <w:t> </w:t>
      </w:r>
      <w:r>
        <w:rPr/>
        <w:t>Specifically,</w:t>
      </w:r>
      <w:r>
        <w:rPr>
          <w:spacing w:val="8"/>
        </w:rPr>
        <w:t> </w:t>
      </w:r>
      <w:r>
        <w:rPr/>
        <w:t>Feltham</w:t>
      </w:r>
      <w:r>
        <w:rPr>
          <w:spacing w:val="8"/>
        </w:rPr>
        <w:t> </w:t>
      </w:r>
      <w:r>
        <w:rPr>
          <w:spacing w:val="-5"/>
        </w:rPr>
        <w:t>and</w:t>
      </w:r>
    </w:p>
    <w:p>
      <w:pPr>
        <w:spacing w:after="0" w:line="480" w:lineRule="auto"/>
        <w:jc w:val="both"/>
        <w:sectPr>
          <w:pgSz w:w="11910" w:h="16840"/>
          <w:pgMar w:header="0" w:footer="971" w:top="1360" w:bottom="1160" w:left="500" w:right="0"/>
        </w:sectPr>
      </w:pPr>
    </w:p>
    <w:p>
      <w:pPr>
        <w:pStyle w:val="BodyText"/>
        <w:spacing w:line="480" w:lineRule="auto" w:before="61"/>
        <w:ind w:left="940" w:right="1439"/>
        <w:jc w:val="both"/>
      </w:pPr>
      <w:r>
        <w:rPr/>
        <w:t>Ohlson (1995) developed a price model while Easton and Harris (1991) developed a return </w:t>
      </w:r>
      <w:r>
        <w:rPr>
          <w:spacing w:val="-2"/>
        </w:rPr>
        <w:t>model.</w:t>
      </w:r>
    </w:p>
    <w:p>
      <w:pPr>
        <w:pStyle w:val="Heading3"/>
        <w:numPr>
          <w:ilvl w:val="2"/>
          <w:numId w:val="22"/>
        </w:numPr>
        <w:tabs>
          <w:tab w:pos="1480" w:val="left" w:leader="none"/>
        </w:tabs>
        <w:spacing w:line="240" w:lineRule="auto" w:before="0" w:after="0"/>
        <w:ind w:left="1480" w:right="0" w:hanging="540"/>
        <w:jc w:val="left"/>
      </w:pPr>
      <w:bookmarkStart w:name="_TOC_250055" w:id="15"/>
      <w:r>
        <w:rPr/>
        <w:t>International</w:t>
      </w:r>
      <w:r>
        <w:rPr>
          <w:spacing w:val="-5"/>
        </w:rPr>
        <w:t> </w:t>
      </w:r>
      <w:r>
        <w:rPr/>
        <w:t>Financial</w:t>
      </w:r>
      <w:r>
        <w:rPr>
          <w:spacing w:val="-3"/>
        </w:rPr>
        <w:t> </w:t>
      </w:r>
      <w:r>
        <w:rPr/>
        <w:t>Reporting</w:t>
      </w:r>
      <w:r>
        <w:rPr>
          <w:spacing w:val="-3"/>
        </w:rPr>
        <w:t> </w:t>
      </w:r>
      <w:r>
        <w:rPr/>
        <w:t>Standards</w:t>
      </w:r>
      <w:r>
        <w:rPr>
          <w:spacing w:val="-3"/>
        </w:rPr>
        <w:t> </w:t>
      </w:r>
      <w:r>
        <w:rPr/>
        <w:t>(IFRSs)</w:t>
      </w:r>
      <w:r>
        <w:rPr>
          <w:spacing w:val="-3"/>
        </w:rPr>
        <w:t> </w:t>
      </w:r>
      <w:bookmarkEnd w:id="15"/>
      <w:r>
        <w:rPr>
          <w:spacing w:val="-2"/>
        </w:rPr>
        <w:t>Adoption</w:t>
      </w:r>
    </w:p>
    <w:p>
      <w:pPr>
        <w:pStyle w:val="BodyText"/>
        <w:rPr>
          <w:b/>
        </w:rPr>
      </w:pPr>
    </w:p>
    <w:p>
      <w:pPr>
        <w:pStyle w:val="BodyText"/>
        <w:spacing w:line="480" w:lineRule="auto"/>
        <w:ind w:left="940" w:right="1435"/>
        <w:jc w:val="both"/>
      </w:pPr>
      <w:r>
        <w:rPr/>
        <w:drawing>
          <wp:anchor distT="0" distB="0" distL="0" distR="0" allowOverlap="1" layoutInCell="1" locked="0" behindDoc="1" simplePos="0" relativeHeight="477681664">
            <wp:simplePos x="0" y="0"/>
            <wp:positionH relativeFrom="page">
              <wp:posOffset>1095451</wp:posOffset>
            </wp:positionH>
            <wp:positionV relativeFrom="paragraph">
              <wp:posOffset>760565</wp:posOffset>
            </wp:positionV>
            <wp:extent cx="5106847" cy="5238115"/>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10"/>
        </w:rPr>
        <w:t> </w:t>
      </w:r>
      <w:r>
        <w:rPr/>
        <w:t>terms,</w:t>
      </w:r>
      <w:r>
        <w:rPr>
          <w:spacing w:val="-9"/>
        </w:rPr>
        <w:t> </w:t>
      </w:r>
      <w:r>
        <w:rPr/>
        <w:t>IFRS</w:t>
      </w:r>
      <w:r>
        <w:rPr>
          <w:spacing w:val="-9"/>
        </w:rPr>
        <w:t> </w:t>
      </w:r>
      <w:r>
        <w:rPr/>
        <w:t>adoption,</w:t>
      </w:r>
      <w:r>
        <w:rPr>
          <w:spacing w:val="-9"/>
        </w:rPr>
        <w:t> </w:t>
      </w:r>
      <w:r>
        <w:rPr/>
        <w:t>harmonisation</w:t>
      </w:r>
      <w:r>
        <w:rPr>
          <w:spacing w:val="-9"/>
        </w:rPr>
        <w:t> </w:t>
      </w:r>
      <w:r>
        <w:rPr/>
        <w:t>and</w:t>
      </w:r>
      <w:r>
        <w:rPr>
          <w:spacing w:val="-9"/>
        </w:rPr>
        <w:t> </w:t>
      </w:r>
      <w:r>
        <w:rPr/>
        <w:t>convergence,</w:t>
      </w:r>
      <w:r>
        <w:rPr>
          <w:spacing w:val="-9"/>
        </w:rPr>
        <w:t> </w:t>
      </w:r>
      <w:r>
        <w:rPr/>
        <w:t>have</w:t>
      </w:r>
      <w:r>
        <w:rPr>
          <w:spacing w:val="-10"/>
        </w:rPr>
        <w:t> </w:t>
      </w:r>
      <w:r>
        <w:rPr/>
        <w:t>been</w:t>
      </w:r>
      <w:r>
        <w:rPr>
          <w:spacing w:val="-9"/>
        </w:rPr>
        <w:t> </w:t>
      </w:r>
      <w:r>
        <w:rPr/>
        <w:t>used</w:t>
      </w:r>
      <w:r>
        <w:rPr>
          <w:spacing w:val="-9"/>
        </w:rPr>
        <w:t> </w:t>
      </w:r>
      <w:r>
        <w:rPr/>
        <w:t>interchangeably</w:t>
      </w:r>
      <w:r>
        <w:rPr>
          <w:spacing w:val="-9"/>
        </w:rPr>
        <w:t> </w:t>
      </w:r>
      <w:r>
        <w:rPr/>
        <w:t>in IFRS literature. It is germane to clarify these terms. According to Mathew and Perera (1996), the term harmonisation is the reconciliation of different accounting and financial reporting systems</w:t>
      </w:r>
      <w:r>
        <w:rPr>
          <w:spacing w:val="-15"/>
        </w:rPr>
        <w:t> </w:t>
      </w:r>
      <w:r>
        <w:rPr/>
        <w:t>by</w:t>
      </w:r>
      <w:r>
        <w:rPr>
          <w:spacing w:val="-15"/>
        </w:rPr>
        <w:t> </w:t>
      </w:r>
      <w:r>
        <w:rPr/>
        <w:t>fitting</w:t>
      </w:r>
      <w:r>
        <w:rPr>
          <w:spacing w:val="-15"/>
        </w:rPr>
        <w:t> </w:t>
      </w:r>
      <w:r>
        <w:rPr/>
        <w:t>them</w:t>
      </w:r>
      <w:r>
        <w:rPr>
          <w:spacing w:val="-15"/>
        </w:rPr>
        <w:t> </w:t>
      </w:r>
      <w:r>
        <w:rPr/>
        <w:t>into</w:t>
      </w:r>
      <w:r>
        <w:rPr>
          <w:spacing w:val="-15"/>
        </w:rPr>
        <w:t> </w:t>
      </w:r>
      <w:r>
        <w:rPr/>
        <w:t>common</w:t>
      </w:r>
      <w:r>
        <w:rPr>
          <w:spacing w:val="-15"/>
        </w:rPr>
        <w:t> </w:t>
      </w:r>
      <w:r>
        <w:rPr/>
        <w:t>broad</w:t>
      </w:r>
      <w:r>
        <w:rPr>
          <w:spacing w:val="-15"/>
        </w:rPr>
        <w:t> </w:t>
      </w:r>
      <w:r>
        <w:rPr/>
        <w:t>classifications</w:t>
      </w:r>
      <w:r>
        <w:rPr>
          <w:spacing w:val="-15"/>
        </w:rPr>
        <w:t> </w:t>
      </w:r>
      <w:r>
        <w:rPr/>
        <w:t>so</w:t>
      </w:r>
      <w:r>
        <w:rPr>
          <w:spacing w:val="-15"/>
        </w:rPr>
        <w:t> </w:t>
      </w:r>
      <w:r>
        <w:rPr/>
        <w:t>that</w:t>
      </w:r>
      <w:r>
        <w:rPr>
          <w:spacing w:val="-15"/>
        </w:rPr>
        <w:t> </w:t>
      </w:r>
      <w:r>
        <w:rPr/>
        <w:t>form</w:t>
      </w:r>
      <w:r>
        <w:rPr>
          <w:spacing w:val="-15"/>
        </w:rPr>
        <w:t> </w:t>
      </w:r>
      <w:r>
        <w:rPr/>
        <w:t>becomes</w:t>
      </w:r>
      <w:r>
        <w:rPr>
          <w:spacing w:val="-15"/>
        </w:rPr>
        <w:t> </w:t>
      </w:r>
      <w:r>
        <w:rPr/>
        <w:t>standard</w:t>
      </w:r>
      <w:r>
        <w:rPr>
          <w:spacing w:val="-15"/>
        </w:rPr>
        <w:t> </w:t>
      </w:r>
      <w:r>
        <w:rPr/>
        <w:t>while content retains significant differences. Quigley (2007) opined that accounting harmonization was</w:t>
      </w:r>
      <w:r>
        <w:rPr>
          <w:spacing w:val="-4"/>
        </w:rPr>
        <w:t> </w:t>
      </w:r>
      <w:r>
        <w:rPr/>
        <w:t>necessary</w:t>
      </w:r>
      <w:r>
        <w:rPr>
          <w:spacing w:val="-4"/>
        </w:rPr>
        <w:t> </w:t>
      </w:r>
      <w:r>
        <w:rPr/>
        <w:t>due</w:t>
      </w:r>
      <w:r>
        <w:rPr>
          <w:spacing w:val="-5"/>
        </w:rPr>
        <w:t> </w:t>
      </w:r>
      <w:r>
        <w:rPr/>
        <w:t>to</w:t>
      </w:r>
      <w:r>
        <w:rPr>
          <w:spacing w:val="-3"/>
        </w:rPr>
        <w:t> </w:t>
      </w:r>
      <w:r>
        <w:rPr/>
        <w:t>the</w:t>
      </w:r>
      <w:r>
        <w:rPr>
          <w:spacing w:val="-6"/>
        </w:rPr>
        <w:t> </w:t>
      </w:r>
      <w:r>
        <w:rPr/>
        <w:t>globalization</w:t>
      </w:r>
      <w:r>
        <w:rPr>
          <w:spacing w:val="-4"/>
        </w:rPr>
        <w:t> </w:t>
      </w:r>
      <w:r>
        <w:rPr/>
        <w:t>of</w:t>
      </w:r>
      <w:r>
        <w:rPr>
          <w:spacing w:val="-5"/>
        </w:rPr>
        <w:t> </w:t>
      </w:r>
      <w:r>
        <w:rPr/>
        <w:t>the</w:t>
      </w:r>
      <w:r>
        <w:rPr>
          <w:spacing w:val="-4"/>
        </w:rPr>
        <w:t> </w:t>
      </w:r>
      <w:r>
        <w:rPr/>
        <w:t>capital</w:t>
      </w:r>
      <w:r>
        <w:rPr>
          <w:spacing w:val="-4"/>
        </w:rPr>
        <w:t> </w:t>
      </w:r>
      <w:r>
        <w:rPr/>
        <w:t>markets.</w:t>
      </w:r>
      <w:r>
        <w:rPr>
          <w:spacing w:val="-4"/>
        </w:rPr>
        <w:t> </w:t>
      </w:r>
      <w:r>
        <w:rPr/>
        <w:t>Therefore,</w:t>
      </w:r>
      <w:r>
        <w:rPr>
          <w:spacing w:val="-4"/>
        </w:rPr>
        <w:t> </w:t>
      </w:r>
      <w:r>
        <w:rPr/>
        <w:t>it</w:t>
      </w:r>
      <w:r>
        <w:rPr>
          <w:spacing w:val="-1"/>
        </w:rPr>
        <w:t> </w:t>
      </w:r>
      <w:r>
        <w:rPr/>
        <w:t>is</w:t>
      </w:r>
      <w:r>
        <w:rPr>
          <w:spacing w:val="-4"/>
        </w:rPr>
        <w:t> </w:t>
      </w:r>
      <w:r>
        <w:rPr/>
        <w:t>expected</w:t>
      </w:r>
      <w:r>
        <w:rPr>
          <w:spacing w:val="-4"/>
        </w:rPr>
        <w:t> </w:t>
      </w:r>
      <w:r>
        <w:rPr/>
        <w:t>that</w:t>
      </w:r>
      <w:r>
        <w:rPr>
          <w:spacing w:val="-4"/>
        </w:rPr>
        <w:t> </w:t>
      </w:r>
      <w:r>
        <w:rPr/>
        <w:t>the move towards IFRS convergence will enhance capital market performance and ginger global business expansion in Nigeria (Edogbanya &amp; Kamardin, 2014). On the other hand, convergence is the process of converging or bringing together international standards issued by the IASB and existing standards issued by national standards setters with the aim of eliminating alternatives in accounting for economic transactions and events. According to the IASB (2003), the objective of convergence is to achieve a single set of internally consistent, high quality global accounting standards issued by the IASB and adopted by all the national standards</w:t>
      </w:r>
      <w:r>
        <w:rPr>
          <w:spacing w:val="-1"/>
        </w:rPr>
        <w:t> </w:t>
      </w:r>
      <w:r>
        <w:rPr/>
        <w:t>setters.</w:t>
      </w:r>
      <w:r>
        <w:rPr>
          <w:spacing w:val="-1"/>
        </w:rPr>
        <w:t> </w:t>
      </w:r>
      <w:r>
        <w:rPr/>
        <w:t>Odia and Ogiedu (2013)</w:t>
      </w:r>
      <w:r>
        <w:rPr>
          <w:spacing w:val="-1"/>
        </w:rPr>
        <w:t> </w:t>
      </w:r>
      <w:r>
        <w:rPr/>
        <w:t>posited that convergence was the</w:t>
      </w:r>
      <w:r>
        <w:rPr>
          <w:spacing w:val="-1"/>
        </w:rPr>
        <w:t> </w:t>
      </w:r>
      <w:r>
        <w:rPr/>
        <w:t>process by which standard</w:t>
      </w:r>
      <w:r>
        <w:rPr>
          <w:spacing w:val="-9"/>
        </w:rPr>
        <w:t> </w:t>
      </w:r>
      <w:r>
        <w:rPr/>
        <w:t>setters</w:t>
      </w:r>
      <w:r>
        <w:rPr>
          <w:spacing w:val="-9"/>
        </w:rPr>
        <w:t> </w:t>
      </w:r>
      <w:r>
        <w:rPr/>
        <w:t>across</w:t>
      </w:r>
      <w:r>
        <w:rPr>
          <w:spacing w:val="-9"/>
        </w:rPr>
        <w:t> </w:t>
      </w:r>
      <w:r>
        <w:rPr/>
        <w:t>the</w:t>
      </w:r>
      <w:r>
        <w:rPr>
          <w:spacing w:val="-9"/>
        </w:rPr>
        <w:t> </w:t>
      </w:r>
      <w:r>
        <w:rPr/>
        <w:t>globe</w:t>
      </w:r>
      <w:r>
        <w:rPr>
          <w:spacing w:val="-9"/>
        </w:rPr>
        <w:t> </w:t>
      </w:r>
      <w:r>
        <w:rPr/>
        <w:t>discussed</w:t>
      </w:r>
      <w:r>
        <w:rPr>
          <w:spacing w:val="-8"/>
        </w:rPr>
        <w:t> </w:t>
      </w:r>
      <w:r>
        <w:rPr/>
        <w:t>issues</w:t>
      </w:r>
      <w:r>
        <w:rPr>
          <w:spacing w:val="-7"/>
        </w:rPr>
        <w:t> </w:t>
      </w:r>
      <w:r>
        <w:rPr/>
        <w:t>by</w:t>
      </w:r>
      <w:r>
        <w:rPr>
          <w:spacing w:val="-8"/>
        </w:rPr>
        <w:t> </w:t>
      </w:r>
      <w:r>
        <w:rPr/>
        <w:t>drawing</w:t>
      </w:r>
      <w:r>
        <w:rPr>
          <w:spacing w:val="-8"/>
        </w:rPr>
        <w:t> </w:t>
      </w:r>
      <w:r>
        <w:rPr/>
        <w:t>on</w:t>
      </w:r>
      <w:r>
        <w:rPr>
          <w:spacing w:val="-8"/>
        </w:rPr>
        <w:t> </w:t>
      </w:r>
      <w:r>
        <w:rPr/>
        <w:t>their</w:t>
      </w:r>
      <w:r>
        <w:rPr>
          <w:spacing w:val="-9"/>
        </w:rPr>
        <w:t> </w:t>
      </w:r>
      <w:r>
        <w:rPr/>
        <w:t>combined</w:t>
      </w:r>
      <w:r>
        <w:rPr>
          <w:spacing w:val="-8"/>
        </w:rPr>
        <w:t> </w:t>
      </w:r>
      <w:r>
        <w:rPr/>
        <w:t>experiences</w:t>
      </w:r>
      <w:r>
        <w:rPr>
          <w:spacing w:val="-8"/>
        </w:rPr>
        <w:t> </w:t>
      </w:r>
      <w:r>
        <w:rPr/>
        <w:t>in order to arrive at the most appropriate solution.</w:t>
      </w:r>
    </w:p>
    <w:p>
      <w:pPr>
        <w:pStyle w:val="BodyText"/>
        <w:spacing w:line="480" w:lineRule="auto" w:before="2"/>
        <w:ind w:left="940" w:right="1436"/>
        <w:jc w:val="both"/>
      </w:pPr>
      <w:r>
        <w:rPr/>
        <w:t>The</w:t>
      </w:r>
      <w:r>
        <w:rPr>
          <w:spacing w:val="-15"/>
        </w:rPr>
        <w:t> </w:t>
      </w:r>
      <w:r>
        <w:rPr/>
        <w:t>need</w:t>
      </w:r>
      <w:r>
        <w:rPr>
          <w:spacing w:val="-15"/>
        </w:rPr>
        <w:t> </w:t>
      </w:r>
      <w:r>
        <w:rPr/>
        <w:t>for</w:t>
      </w:r>
      <w:r>
        <w:rPr>
          <w:spacing w:val="-15"/>
        </w:rPr>
        <w:t> </w:t>
      </w:r>
      <w:r>
        <w:rPr/>
        <w:t>global</w:t>
      </w:r>
      <w:r>
        <w:rPr>
          <w:spacing w:val="-15"/>
        </w:rPr>
        <w:t> </w:t>
      </w:r>
      <w:r>
        <w:rPr/>
        <w:t>convergence</w:t>
      </w:r>
      <w:r>
        <w:rPr>
          <w:spacing w:val="-15"/>
        </w:rPr>
        <w:t> </w:t>
      </w:r>
      <w:r>
        <w:rPr/>
        <w:t>of</w:t>
      </w:r>
      <w:r>
        <w:rPr>
          <w:spacing w:val="-15"/>
        </w:rPr>
        <w:t> </w:t>
      </w:r>
      <w:r>
        <w:rPr/>
        <w:t>accounting</w:t>
      </w:r>
      <w:r>
        <w:rPr>
          <w:spacing w:val="-15"/>
        </w:rPr>
        <w:t> </w:t>
      </w:r>
      <w:r>
        <w:rPr/>
        <w:t>standards</w:t>
      </w:r>
      <w:r>
        <w:rPr>
          <w:spacing w:val="-13"/>
        </w:rPr>
        <w:t> </w:t>
      </w:r>
      <w:r>
        <w:rPr/>
        <w:t>was</w:t>
      </w:r>
      <w:r>
        <w:rPr>
          <w:spacing w:val="-15"/>
        </w:rPr>
        <w:t> </w:t>
      </w:r>
      <w:r>
        <w:rPr/>
        <w:t>identified</w:t>
      </w:r>
      <w:r>
        <w:rPr>
          <w:spacing w:val="-15"/>
        </w:rPr>
        <w:t> </w:t>
      </w:r>
      <w:r>
        <w:rPr/>
        <w:t>to</w:t>
      </w:r>
      <w:r>
        <w:rPr>
          <w:spacing w:val="-15"/>
        </w:rPr>
        <w:t> </w:t>
      </w:r>
      <w:r>
        <w:rPr/>
        <w:t>include:</w:t>
      </w:r>
      <w:r>
        <w:rPr>
          <w:spacing w:val="-15"/>
        </w:rPr>
        <w:t> </w:t>
      </w:r>
      <w:r>
        <w:rPr/>
        <w:t>recognising the</w:t>
      </w:r>
      <w:r>
        <w:rPr>
          <w:spacing w:val="-4"/>
        </w:rPr>
        <w:t> </w:t>
      </w:r>
      <w:r>
        <w:rPr/>
        <w:t>growing</w:t>
      </w:r>
      <w:r>
        <w:rPr>
          <w:spacing w:val="-4"/>
        </w:rPr>
        <w:t> </w:t>
      </w:r>
      <w:r>
        <w:rPr/>
        <w:t>need</w:t>
      </w:r>
      <w:r>
        <w:rPr>
          <w:spacing w:val="-4"/>
        </w:rPr>
        <w:t> </w:t>
      </w:r>
      <w:r>
        <w:rPr/>
        <w:t>for</w:t>
      </w:r>
      <w:r>
        <w:rPr>
          <w:spacing w:val="-6"/>
        </w:rPr>
        <w:t> </w:t>
      </w:r>
      <w:r>
        <w:rPr/>
        <w:t>international</w:t>
      </w:r>
      <w:r>
        <w:rPr>
          <w:spacing w:val="-4"/>
        </w:rPr>
        <w:t> </w:t>
      </w:r>
      <w:r>
        <w:rPr/>
        <w:t>accounting</w:t>
      </w:r>
      <w:r>
        <w:rPr>
          <w:spacing w:val="-4"/>
        </w:rPr>
        <w:t> </w:t>
      </w:r>
      <w:r>
        <w:rPr/>
        <w:t>standards;</w:t>
      </w:r>
      <w:r>
        <w:rPr>
          <w:spacing w:val="-4"/>
        </w:rPr>
        <w:t> </w:t>
      </w:r>
      <w:r>
        <w:rPr/>
        <w:t>ensuring</w:t>
      </w:r>
      <w:r>
        <w:rPr>
          <w:spacing w:val="-4"/>
        </w:rPr>
        <w:t> </w:t>
      </w:r>
      <w:r>
        <w:rPr/>
        <w:t>that</w:t>
      </w:r>
      <w:r>
        <w:rPr>
          <w:spacing w:val="-4"/>
        </w:rPr>
        <w:t> </w:t>
      </w:r>
      <w:r>
        <w:rPr/>
        <w:t>no</w:t>
      </w:r>
      <w:r>
        <w:rPr>
          <w:spacing w:val="-4"/>
        </w:rPr>
        <w:t> </w:t>
      </w:r>
      <w:r>
        <w:rPr/>
        <w:t>individual</w:t>
      </w:r>
      <w:r>
        <w:rPr>
          <w:spacing w:val="-4"/>
        </w:rPr>
        <w:t> </w:t>
      </w:r>
      <w:r>
        <w:rPr/>
        <w:t>standards setter had a monopoly on the best solution to accounting problems; ensuring that no national standard</w:t>
      </w:r>
      <w:r>
        <w:rPr>
          <w:spacing w:val="-6"/>
        </w:rPr>
        <w:t> </w:t>
      </w:r>
      <w:r>
        <w:rPr/>
        <w:t>setter</w:t>
      </w:r>
      <w:r>
        <w:rPr>
          <w:spacing w:val="-5"/>
        </w:rPr>
        <w:t> </w:t>
      </w:r>
      <w:r>
        <w:rPr/>
        <w:t>was</w:t>
      </w:r>
      <w:r>
        <w:rPr>
          <w:spacing w:val="-5"/>
        </w:rPr>
        <w:t> </w:t>
      </w:r>
      <w:r>
        <w:rPr/>
        <w:t>in</w:t>
      </w:r>
      <w:r>
        <w:rPr>
          <w:spacing w:val="-4"/>
        </w:rPr>
        <w:t> </w:t>
      </w:r>
      <w:r>
        <w:rPr/>
        <w:t>a</w:t>
      </w:r>
      <w:r>
        <w:rPr>
          <w:spacing w:val="-6"/>
        </w:rPr>
        <w:t> </w:t>
      </w:r>
      <w:r>
        <w:rPr/>
        <w:t>position</w:t>
      </w:r>
      <w:r>
        <w:rPr>
          <w:spacing w:val="-4"/>
        </w:rPr>
        <w:t> </w:t>
      </w:r>
      <w:r>
        <w:rPr/>
        <w:t>to</w:t>
      </w:r>
      <w:r>
        <w:rPr>
          <w:spacing w:val="-4"/>
        </w:rPr>
        <w:t> </w:t>
      </w:r>
      <w:r>
        <w:rPr/>
        <w:t>set</w:t>
      </w:r>
      <w:r>
        <w:rPr>
          <w:spacing w:val="-4"/>
        </w:rPr>
        <w:t> </w:t>
      </w:r>
      <w:r>
        <w:rPr/>
        <w:t>accounting</w:t>
      </w:r>
      <w:r>
        <w:rPr>
          <w:spacing w:val="-3"/>
        </w:rPr>
        <w:t> </w:t>
      </w:r>
      <w:r>
        <w:rPr/>
        <w:t>standards</w:t>
      </w:r>
      <w:r>
        <w:rPr>
          <w:spacing w:val="-5"/>
        </w:rPr>
        <w:t> </w:t>
      </w:r>
      <w:r>
        <w:rPr/>
        <w:t>that</w:t>
      </w:r>
      <w:r>
        <w:rPr>
          <w:spacing w:val="-1"/>
        </w:rPr>
        <w:t> </w:t>
      </w:r>
      <w:r>
        <w:rPr/>
        <w:t>could</w:t>
      </w:r>
      <w:r>
        <w:rPr>
          <w:spacing w:val="-4"/>
        </w:rPr>
        <w:t> </w:t>
      </w:r>
      <w:r>
        <w:rPr/>
        <w:t>gain</w:t>
      </w:r>
      <w:r>
        <w:rPr>
          <w:spacing w:val="-3"/>
        </w:rPr>
        <w:t> </w:t>
      </w:r>
      <w:r>
        <w:rPr/>
        <w:t>acceptance</w:t>
      </w:r>
      <w:r>
        <w:rPr>
          <w:spacing w:val="-6"/>
        </w:rPr>
        <w:t> </w:t>
      </w:r>
      <w:r>
        <w:rPr/>
        <w:t>around the</w:t>
      </w:r>
      <w:r>
        <w:rPr>
          <w:spacing w:val="-2"/>
        </w:rPr>
        <w:t> </w:t>
      </w:r>
      <w:r>
        <w:rPr/>
        <w:t>world;</w:t>
      </w:r>
      <w:r>
        <w:rPr>
          <w:spacing w:val="-1"/>
        </w:rPr>
        <w:t> </w:t>
      </w:r>
      <w:r>
        <w:rPr/>
        <w:t>and</w:t>
      </w:r>
      <w:r>
        <w:rPr>
          <w:spacing w:val="-1"/>
        </w:rPr>
        <w:t> </w:t>
      </w:r>
      <w:r>
        <w:rPr/>
        <w:t>clarifying</w:t>
      </w:r>
      <w:r>
        <w:rPr>
          <w:spacing w:val="-1"/>
        </w:rPr>
        <w:t> </w:t>
      </w:r>
      <w:r>
        <w:rPr/>
        <w:t>that</w:t>
      </w:r>
      <w:r>
        <w:rPr>
          <w:spacing w:val="-1"/>
        </w:rPr>
        <w:t> </w:t>
      </w:r>
      <w:r>
        <w:rPr/>
        <w:t>there</w:t>
      </w:r>
      <w:r>
        <w:rPr>
          <w:spacing w:val="-2"/>
        </w:rPr>
        <w:t> </w:t>
      </w:r>
      <w:r>
        <w:rPr/>
        <w:t>were</w:t>
      </w:r>
      <w:r>
        <w:rPr>
          <w:spacing w:val="-2"/>
        </w:rPr>
        <w:t> </w:t>
      </w:r>
      <w:r>
        <w:rPr/>
        <w:t>many</w:t>
      </w:r>
      <w:r>
        <w:rPr>
          <w:spacing w:val="-2"/>
        </w:rPr>
        <w:t> </w:t>
      </w:r>
      <w:r>
        <w:rPr/>
        <w:t>areas</w:t>
      </w:r>
      <w:r>
        <w:rPr>
          <w:spacing w:val="-1"/>
        </w:rPr>
        <w:t> </w:t>
      </w:r>
      <w:r>
        <w:rPr/>
        <w:t>of</w:t>
      </w:r>
      <w:r>
        <w:rPr>
          <w:spacing w:val="-2"/>
        </w:rPr>
        <w:t> </w:t>
      </w:r>
      <w:r>
        <w:rPr/>
        <w:t>financial</w:t>
      </w:r>
      <w:r>
        <w:rPr>
          <w:spacing w:val="-1"/>
        </w:rPr>
        <w:t> </w:t>
      </w:r>
      <w:r>
        <w:rPr/>
        <w:t>reporting</w:t>
      </w:r>
      <w:r>
        <w:rPr>
          <w:spacing w:val="-1"/>
        </w:rPr>
        <w:t> </w:t>
      </w:r>
      <w:r>
        <w:rPr/>
        <w:t>in</w:t>
      </w:r>
      <w:r>
        <w:rPr>
          <w:spacing w:val="-1"/>
        </w:rPr>
        <w:t> </w:t>
      </w:r>
      <w:r>
        <w:rPr/>
        <w:t>which</w:t>
      </w:r>
      <w:r>
        <w:rPr>
          <w:spacing w:val="-1"/>
        </w:rPr>
        <w:t> </w:t>
      </w:r>
      <w:r>
        <w:rPr/>
        <w:t>a national standards</w:t>
      </w:r>
      <w:r>
        <w:rPr>
          <w:spacing w:val="15"/>
        </w:rPr>
        <w:t> </w:t>
      </w:r>
      <w:r>
        <w:rPr/>
        <w:t>setter</w:t>
      </w:r>
      <w:r>
        <w:rPr>
          <w:spacing w:val="20"/>
        </w:rPr>
        <w:t> </w:t>
      </w:r>
      <w:r>
        <w:rPr/>
        <w:t>found</w:t>
      </w:r>
      <w:r>
        <w:rPr>
          <w:spacing w:val="17"/>
        </w:rPr>
        <w:t> </w:t>
      </w:r>
      <w:r>
        <w:rPr/>
        <w:t>it</w:t>
      </w:r>
      <w:r>
        <w:rPr>
          <w:spacing w:val="19"/>
        </w:rPr>
        <w:t> </w:t>
      </w:r>
      <w:r>
        <w:rPr/>
        <w:t>difficult</w:t>
      </w:r>
      <w:r>
        <w:rPr>
          <w:spacing w:val="18"/>
        </w:rPr>
        <w:t> </w:t>
      </w:r>
      <w:r>
        <w:rPr/>
        <w:t>to</w:t>
      </w:r>
      <w:r>
        <w:rPr>
          <w:spacing w:val="19"/>
        </w:rPr>
        <w:t> </w:t>
      </w:r>
      <w:r>
        <w:rPr/>
        <w:t>act</w:t>
      </w:r>
      <w:r>
        <w:rPr>
          <w:spacing w:val="21"/>
        </w:rPr>
        <w:t> </w:t>
      </w:r>
      <w:r>
        <w:rPr/>
        <w:t>alone</w:t>
      </w:r>
      <w:r>
        <w:rPr>
          <w:spacing w:val="17"/>
        </w:rPr>
        <w:t> </w:t>
      </w:r>
      <w:r>
        <w:rPr/>
        <w:t>(Odia</w:t>
      </w:r>
      <w:r>
        <w:rPr>
          <w:spacing w:val="18"/>
        </w:rPr>
        <w:t> </w:t>
      </w:r>
      <w:r>
        <w:rPr/>
        <w:t>&amp;</w:t>
      </w:r>
      <w:r>
        <w:rPr>
          <w:spacing w:val="18"/>
        </w:rPr>
        <w:t> </w:t>
      </w:r>
      <w:r>
        <w:rPr/>
        <w:t>Ogiedu,</w:t>
      </w:r>
      <w:r>
        <w:rPr>
          <w:spacing w:val="18"/>
        </w:rPr>
        <w:t> </w:t>
      </w:r>
      <w:r>
        <w:rPr/>
        <w:t>2013).</w:t>
      </w:r>
      <w:r>
        <w:rPr>
          <w:spacing w:val="18"/>
        </w:rPr>
        <w:t> </w:t>
      </w:r>
      <w:r>
        <w:rPr/>
        <w:t>According</w:t>
      </w:r>
      <w:r>
        <w:rPr>
          <w:spacing w:val="17"/>
        </w:rPr>
        <w:t> </w:t>
      </w:r>
      <w:r>
        <w:rPr/>
        <w:t>to</w:t>
      </w:r>
      <w:r>
        <w:rPr>
          <w:spacing w:val="19"/>
        </w:rPr>
        <w:t> </w:t>
      </w:r>
      <w:r>
        <w:rPr>
          <w:spacing w:val="-2"/>
        </w:rPr>
        <w:t>Obazee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82176">
            <wp:simplePos x="0" y="0"/>
            <wp:positionH relativeFrom="page">
              <wp:posOffset>1095451</wp:posOffset>
            </wp:positionH>
            <wp:positionV relativeFrom="paragraph">
              <wp:posOffset>1850770</wp:posOffset>
            </wp:positionV>
            <wp:extent cx="5106847" cy="5238115"/>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5" cstate="print"/>
                    <a:stretch>
                      <a:fillRect/>
                    </a:stretch>
                  </pic:blipFill>
                  <pic:spPr>
                    <a:xfrm>
                      <a:off x="0" y="0"/>
                      <a:ext cx="5106847" cy="5238115"/>
                    </a:xfrm>
                    <a:prstGeom prst="rect">
                      <a:avLst/>
                    </a:prstGeom>
                  </pic:spPr>
                </pic:pic>
              </a:graphicData>
            </a:graphic>
          </wp:anchor>
        </w:drawing>
      </w:r>
      <w:r>
        <w:rPr/>
        <w:t>(2007), convergence could be either by adoption or adaptation. Adoption means a complete replacement of national accounting standards with IASB’s standards while adaptation is the modification of IASB’s standards to suit peculiarities of local market and economy without compromising the accounting standards and disclosure requirements of the IASB’s standards and basis of conclusion. Therefore, convergence facilitates adoption or adaptation over a transition</w:t>
      </w:r>
      <w:r>
        <w:rPr>
          <w:spacing w:val="-10"/>
        </w:rPr>
        <w:t> </w:t>
      </w:r>
      <w:r>
        <w:rPr/>
        <w:t>period</w:t>
      </w:r>
      <w:r>
        <w:rPr>
          <w:spacing w:val="-11"/>
        </w:rPr>
        <w:t> </w:t>
      </w:r>
      <w:r>
        <w:rPr/>
        <w:t>but</w:t>
      </w:r>
      <w:r>
        <w:rPr>
          <w:spacing w:val="-10"/>
        </w:rPr>
        <w:t> </w:t>
      </w:r>
      <w:r>
        <w:rPr/>
        <w:t>it</w:t>
      </w:r>
      <w:r>
        <w:rPr>
          <w:spacing w:val="-10"/>
        </w:rPr>
        <w:t> </w:t>
      </w:r>
      <w:r>
        <w:rPr/>
        <w:t>is</w:t>
      </w:r>
      <w:r>
        <w:rPr>
          <w:spacing w:val="-12"/>
        </w:rPr>
        <w:t> </w:t>
      </w:r>
      <w:r>
        <w:rPr/>
        <w:t>not</w:t>
      </w:r>
      <w:r>
        <w:rPr>
          <w:spacing w:val="-10"/>
        </w:rPr>
        <w:t> </w:t>
      </w:r>
      <w:r>
        <w:rPr/>
        <w:t>a</w:t>
      </w:r>
      <w:r>
        <w:rPr>
          <w:spacing w:val="-12"/>
        </w:rPr>
        <w:t> </w:t>
      </w:r>
      <w:r>
        <w:rPr/>
        <w:t>substitute</w:t>
      </w:r>
      <w:r>
        <w:rPr>
          <w:spacing w:val="-11"/>
        </w:rPr>
        <w:t> </w:t>
      </w:r>
      <w:r>
        <w:rPr/>
        <w:t>for</w:t>
      </w:r>
      <w:r>
        <w:rPr>
          <w:spacing w:val="-12"/>
        </w:rPr>
        <w:t> </w:t>
      </w:r>
      <w:r>
        <w:rPr/>
        <w:t>them.</w:t>
      </w:r>
      <w:r>
        <w:rPr>
          <w:spacing w:val="-11"/>
        </w:rPr>
        <w:t> </w:t>
      </w:r>
      <w:r>
        <w:rPr/>
        <w:t>Therefore,</w:t>
      </w:r>
      <w:r>
        <w:rPr>
          <w:spacing w:val="-8"/>
        </w:rPr>
        <w:t> </w:t>
      </w:r>
      <w:r>
        <w:rPr/>
        <w:t>IFRSs</w:t>
      </w:r>
      <w:r>
        <w:rPr>
          <w:spacing w:val="-10"/>
        </w:rPr>
        <w:t> </w:t>
      </w:r>
      <w:r>
        <w:rPr/>
        <w:t>adoption</w:t>
      </w:r>
      <w:r>
        <w:rPr>
          <w:spacing w:val="-11"/>
        </w:rPr>
        <w:t> </w:t>
      </w:r>
      <w:r>
        <w:rPr/>
        <w:t>implies</w:t>
      </w:r>
      <w:r>
        <w:rPr>
          <w:spacing w:val="-10"/>
        </w:rPr>
        <w:t> </w:t>
      </w:r>
      <w:r>
        <w:rPr/>
        <w:t>full</w:t>
      </w:r>
      <w:r>
        <w:rPr>
          <w:spacing w:val="-10"/>
        </w:rPr>
        <w:t> </w:t>
      </w:r>
      <w:r>
        <w:rPr/>
        <w:t>scale implementation and usage of IFRSs without any variation. According to Odia and Ogiedu (2013),</w:t>
      </w:r>
      <w:r>
        <w:rPr>
          <w:spacing w:val="-15"/>
        </w:rPr>
        <w:t> </w:t>
      </w:r>
      <w:r>
        <w:rPr/>
        <w:t>several</w:t>
      </w:r>
      <w:r>
        <w:rPr>
          <w:spacing w:val="-15"/>
        </w:rPr>
        <w:t> </w:t>
      </w:r>
      <w:r>
        <w:rPr/>
        <w:t>international</w:t>
      </w:r>
      <w:r>
        <w:rPr>
          <w:spacing w:val="-15"/>
        </w:rPr>
        <w:t> </w:t>
      </w:r>
      <w:r>
        <w:rPr/>
        <w:t>institutions</w:t>
      </w:r>
      <w:r>
        <w:rPr>
          <w:spacing w:val="-15"/>
        </w:rPr>
        <w:t> </w:t>
      </w:r>
      <w:r>
        <w:rPr/>
        <w:t>(e.g.</w:t>
      </w:r>
      <w:r>
        <w:rPr>
          <w:spacing w:val="-15"/>
        </w:rPr>
        <w:t> </w:t>
      </w:r>
      <w:r>
        <w:rPr/>
        <w:t>the</w:t>
      </w:r>
      <w:r>
        <w:rPr>
          <w:spacing w:val="-15"/>
        </w:rPr>
        <w:t> </w:t>
      </w:r>
      <w:r>
        <w:rPr/>
        <w:t>World</w:t>
      </w:r>
      <w:r>
        <w:rPr>
          <w:spacing w:val="-15"/>
        </w:rPr>
        <w:t> </w:t>
      </w:r>
      <w:r>
        <w:rPr/>
        <w:t>Bank,</w:t>
      </w:r>
      <w:r>
        <w:rPr>
          <w:spacing w:val="-15"/>
        </w:rPr>
        <w:t> </w:t>
      </w:r>
      <w:r>
        <w:rPr/>
        <w:t>the</w:t>
      </w:r>
      <w:r>
        <w:rPr>
          <w:spacing w:val="-15"/>
        </w:rPr>
        <w:t> </w:t>
      </w:r>
      <w:r>
        <w:rPr/>
        <w:t>International</w:t>
      </w:r>
      <w:r>
        <w:rPr>
          <w:spacing w:val="-15"/>
        </w:rPr>
        <w:t> </w:t>
      </w:r>
      <w:r>
        <w:rPr/>
        <w:t>Monetary</w:t>
      </w:r>
      <w:r>
        <w:rPr>
          <w:spacing w:val="-15"/>
        </w:rPr>
        <w:t> </w:t>
      </w:r>
      <w:r>
        <w:rPr/>
        <w:t>Fund [IMF], the G8, the G7 Finance Ministers and Central Bank Governors, International Organisation of Securities Commission [IOSCO], Basel Committee on Banking Supervision, the United Nations [UN], and the Organisation for Economic Co-operation and Development [OECD]) have publicly recommended the adoption of a single set of global accounting standards. In the same vein, both the US SEC and the European Commission have also encouraged the convergence towards a high quality global financial reporting framework internationally that will enhance and build a united capital market. In Nigeria, the Financial Reporting</w:t>
      </w:r>
      <w:r>
        <w:rPr>
          <w:spacing w:val="-15"/>
        </w:rPr>
        <w:t> </w:t>
      </w:r>
      <w:r>
        <w:rPr/>
        <w:t>Council</w:t>
      </w:r>
      <w:r>
        <w:rPr>
          <w:spacing w:val="-15"/>
        </w:rPr>
        <w:t> </w:t>
      </w:r>
      <w:r>
        <w:rPr/>
        <w:t>(FRC),</w:t>
      </w:r>
      <w:r>
        <w:rPr>
          <w:spacing w:val="-15"/>
        </w:rPr>
        <w:t> </w:t>
      </w:r>
      <w:r>
        <w:rPr/>
        <w:t>the</w:t>
      </w:r>
      <w:r>
        <w:rPr>
          <w:spacing w:val="-15"/>
        </w:rPr>
        <w:t> </w:t>
      </w:r>
      <w:r>
        <w:rPr/>
        <w:t>Nigerian</w:t>
      </w:r>
      <w:r>
        <w:rPr>
          <w:spacing w:val="-14"/>
        </w:rPr>
        <w:t> </w:t>
      </w:r>
      <w:r>
        <w:rPr/>
        <w:t>Stock</w:t>
      </w:r>
      <w:r>
        <w:rPr>
          <w:spacing w:val="-15"/>
        </w:rPr>
        <w:t> </w:t>
      </w:r>
      <w:r>
        <w:rPr/>
        <w:t>Exchange</w:t>
      </w:r>
      <w:r>
        <w:rPr>
          <w:spacing w:val="-15"/>
        </w:rPr>
        <w:t> </w:t>
      </w:r>
      <w:r>
        <w:rPr/>
        <w:t>(NSE)</w:t>
      </w:r>
      <w:r>
        <w:rPr>
          <w:spacing w:val="-14"/>
        </w:rPr>
        <w:t> </w:t>
      </w:r>
      <w:r>
        <w:rPr/>
        <w:t>and</w:t>
      </w:r>
      <w:r>
        <w:rPr>
          <w:spacing w:val="-15"/>
        </w:rPr>
        <w:t> </w:t>
      </w:r>
      <w:r>
        <w:rPr/>
        <w:t>the</w:t>
      </w:r>
      <w:r>
        <w:rPr>
          <w:spacing w:val="-15"/>
        </w:rPr>
        <w:t> </w:t>
      </w:r>
      <w:r>
        <w:rPr/>
        <w:t>Central</w:t>
      </w:r>
      <w:r>
        <w:rPr>
          <w:spacing w:val="-15"/>
        </w:rPr>
        <w:t> </w:t>
      </w:r>
      <w:r>
        <w:rPr/>
        <w:t>Bank</w:t>
      </w:r>
      <w:r>
        <w:rPr>
          <w:spacing w:val="-14"/>
        </w:rPr>
        <w:t> </w:t>
      </w:r>
      <w:r>
        <w:rPr/>
        <w:t>of</w:t>
      </w:r>
      <w:r>
        <w:rPr>
          <w:spacing w:val="-15"/>
        </w:rPr>
        <w:t> </w:t>
      </w:r>
      <w:r>
        <w:rPr/>
        <w:t>Nigeria (CBN)</w:t>
      </w:r>
      <w:r>
        <w:rPr>
          <w:spacing w:val="-8"/>
        </w:rPr>
        <w:t> </w:t>
      </w:r>
      <w:r>
        <w:rPr/>
        <w:t>were</w:t>
      </w:r>
      <w:r>
        <w:rPr>
          <w:spacing w:val="-8"/>
        </w:rPr>
        <w:t> </w:t>
      </w:r>
      <w:r>
        <w:rPr/>
        <w:t>among</w:t>
      </w:r>
      <w:r>
        <w:rPr>
          <w:spacing w:val="-7"/>
        </w:rPr>
        <w:t> </w:t>
      </w:r>
      <w:r>
        <w:rPr/>
        <w:t>the</w:t>
      </w:r>
      <w:r>
        <w:rPr>
          <w:spacing w:val="-3"/>
        </w:rPr>
        <w:t> </w:t>
      </w:r>
      <w:r>
        <w:rPr/>
        <w:t>major</w:t>
      </w:r>
      <w:r>
        <w:rPr>
          <w:spacing w:val="-8"/>
        </w:rPr>
        <w:t> </w:t>
      </w:r>
      <w:r>
        <w:rPr/>
        <w:t>agents</w:t>
      </w:r>
      <w:r>
        <w:rPr>
          <w:spacing w:val="-7"/>
        </w:rPr>
        <w:t> </w:t>
      </w:r>
      <w:r>
        <w:rPr/>
        <w:t>for</w:t>
      </w:r>
      <w:r>
        <w:rPr>
          <w:spacing w:val="-6"/>
        </w:rPr>
        <w:t> </w:t>
      </w:r>
      <w:r>
        <w:rPr/>
        <w:t>IFRSs</w:t>
      </w:r>
      <w:r>
        <w:rPr>
          <w:spacing w:val="-7"/>
        </w:rPr>
        <w:t> </w:t>
      </w:r>
      <w:r>
        <w:rPr/>
        <w:t>adoption</w:t>
      </w:r>
      <w:r>
        <w:rPr>
          <w:spacing w:val="-5"/>
        </w:rPr>
        <w:t> </w:t>
      </w:r>
      <w:r>
        <w:rPr/>
        <w:t>in</w:t>
      </w:r>
      <w:r>
        <w:rPr>
          <w:spacing w:val="-7"/>
        </w:rPr>
        <w:t> </w:t>
      </w:r>
      <w:r>
        <w:rPr/>
        <w:t>2012.</w:t>
      </w:r>
      <w:r>
        <w:rPr>
          <w:spacing w:val="-7"/>
        </w:rPr>
        <w:t> </w:t>
      </w:r>
      <w:r>
        <w:rPr/>
        <w:t>IFRS</w:t>
      </w:r>
      <w:r>
        <w:rPr>
          <w:spacing w:val="-7"/>
        </w:rPr>
        <w:t> </w:t>
      </w:r>
      <w:r>
        <w:rPr/>
        <w:t>adoption</w:t>
      </w:r>
      <w:r>
        <w:rPr>
          <w:spacing w:val="-7"/>
        </w:rPr>
        <w:t> </w:t>
      </w:r>
      <w:r>
        <w:rPr/>
        <w:t>is</w:t>
      </w:r>
      <w:r>
        <w:rPr>
          <w:spacing w:val="-7"/>
        </w:rPr>
        <w:t> </w:t>
      </w:r>
      <w:r>
        <w:rPr/>
        <w:t>believed</w:t>
      </w:r>
      <w:r>
        <w:rPr>
          <w:spacing w:val="-7"/>
        </w:rPr>
        <w:t> </w:t>
      </w:r>
      <w:r>
        <w:rPr/>
        <w:t>to have</w:t>
      </w:r>
      <w:r>
        <w:rPr>
          <w:spacing w:val="-14"/>
        </w:rPr>
        <w:t> </w:t>
      </w:r>
      <w:r>
        <w:rPr/>
        <w:t>the</w:t>
      </w:r>
      <w:r>
        <w:rPr>
          <w:spacing w:val="-14"/>
        </w:rPr>
        <w:t> </w:t>
      </w:r>
      <w:r>
        <w:rPr/>
        <w:t>most</w:t>
      </w:r>
      <w:r>
        <w:rPr>
          <w:spacing w:val="-12"/>
        </w:rPr>
        <w:t> </w:t>
      </w:r>
      <w:r>
        <w:rPr/>
        <w:t>significant</w:t>
      </w:r>
      <w:r>
        <w:rPr>
          <w:spacing w:val="-10"/>
        </w:rPr>
        <w:t> </w:t>
      </w:r>
      <w:r>
        <w:rPr/>
        <w:t>impact</w:t>
      </w:r>
      <w:r>
        <w:rPr>
          <w:spacing w:val="-13"/>
        </w:rPr>
        <w:t> </w:t>
      </w:r>
      <w:r>
        <w:rPr/>
        <w:t>on</w:t>
      </w:r>
      <w:r>
        <w:rPr>
          <w:spacing w:val="-13"/>
        </w:rPr>
        <w:t> </w:t>
      </w:r>
      <w:r>
        <w:rPr/>
        <w:t>financial</w:t>
      </w:r>
      <w:r>
        <w:rPr>
          <w:spacing w:val="-13"/>
        </w:rPr>
        <w:t> </w:t>
      </w:r>
      <w:r>
        <w:rPr/>
        <w:t>reporting</w:t>
      </w:r>
      <w:r>
        <w:rPr>
          <w:spacing w:val="-13"/>
        </w:rPr>
        <w:t> </w:t>
      </w:r>
      <w:r>
        <w:rPr/>
        <w:t>functions,</w:t>
      </w:r>
      <w:r>
        <w:rPr>
          <w:spacing w:val="-13"/>
        </w:rPr>
        <w:t> </w:t>
      </w:r>
      <w:r>
        <w:rPr/>
        <w:t>enhance</w:t>
      </w:r>
      <w:r>
        <w:rPr>
          <w:spacing w:val="-12"/>
        </w:rPr>
        <w:t> </w:t>
      </w:r>
      <w:r>
        <w:rPr/>
        <w:t>greater</w:t>
      </w:r>
      <w:r>
        <w:rPr>
          <w:spacing w:val="-14"/>
        </w:rPr>
        <w:t> </w:t>
      </w:r>
      <w:r>
        <w:rPr/>
        <w:t>transparency and disclosures in financial statements (Adam, 2009; Ball, 1995; Epstein, 2009).</w:t>
      </w:r>
    </w:p>
    <w:p>
      <w:pPr>
        <w:pStyle w:val="BodyText"/>
        <w:spacing w:line="480" w:lineRule="auto" w:before="2"/>
        <w:ind w:left="940" w:right="1438"/>
        <w:jc w:val="both"/>
      </w:pPr>
      <w:r>
        <w:rPr/>
        <w:t>The move for the convergence of accounting practices globally dates back to the proposal for the creation of the Accountants International Study Group (AISG) in 1966 by the United Kingdom, United States and Canada. This proposal came to fruition in 1967. The aim of the body</w:t>
      </w:r>
      <w:r>
        <w:rPr>
          <w:spacing w:val="-8"/>
        </w:rPr>
        <w:t> </w:t>
      </w:r>
      <w:r>
        <w:rPr/>
        <w:t>was</w:t>
      </w:r>
      <w:r>
        <w:rPr>
          <w:spacing w:val="-8"/>
        </w:rPr>
        <w:t> </w:t>
      </w:r>
      <w:r>
        <w:rPr/>
        <w:t>to</w:t>
      </w:r>
      <w:r>
        <w:rPr>
          <w:spacing w:val="-8"/>
        </w:rPr>
        <w:t> </w:t>
      </w:r>
      <w:r>
        <w:rPr/>
        <w:t>help</w:t>
      </w:r>
      <w:r>
        <w:rPr>
          <w:spacing w:val="-8"/>
        </w:rPr>
        <w:t> </w:t>
      </w:r>
      <w:r>
        <w:rPr/>
        <w:t>develop</w:t>
      </w:r>
      <w:r>
        <w:rPr>
          <w:spacing w:val="-8"/>
        </w:rPr>
        <w:t> </w:t>
      </w:r>
      <w:r>
        <w:rPr/>
        <w:t>comparative</w:t>
      </w:r>
      <w:r>
        <w:rPr>
          <w:spacing w:val="-9"/>
        </w:rPr>
        <w:t> </w:t>
      </w:r>
      <w:r>
        <w:rPr/>
        <w:t>studies</w:t>
      </w:r>
      <w:r>
        <w:rPr>
          <w:spacing w:val="-8"/>
        </w:rPr>
        <w:t> </w:t>
      </w:r>
      <w:r>
        <w:rPr/>
        <w:t>of</w:t>
      </w:r>
      <w:r>
        <w:rPr>
          <w:spacing w:val="-9"/>
        </w:rPr>
        <w:t> </w:t>
      </w:r>
      <w:r>
        <w:rPr/>
        <w:t>accounting</w:t>
      </w:r>
      <w:r>
        <w:rPr>
          <w:spacing w:val="-8"/>
        </w:rPr>
        <w:t> </w:t>
      </w:r>
      <w:r>
        <w:rPr/>
        <w:t>and</w:t>
      </w:r>
      <w:r>
        <w:rPr>
          <w:spacing w:val="-8"/>
        </w:rPr>
        <w:t> </w:t>
      </w:r>
      <w:r>
        <w:rPr/>
        <w:t>auditing</w:t>
      </w:r>
      <w:r>
        <w:rPr>
          <w:spacing w:val="-8"/>
        </w:rPr>
        <w:t> </w:t>
      </w:r>
      <w:r>
        <w:rPr/>
        <w:t>practices</w:t>
      </w:r>
      <w:r>
        <w:rPr>
          <w:spacing w:val="-8"/>
        </w:rPr>
        <w:t> </w:t>
      </w:r>
      <w:r>
        <w:rPr/>
        <w:t>in</w:t>
      </w:r>
      <w:r>
        <w:rPr>
          <w:spacing w:val="-8"/>
        </w:rPr>
        <w:t> </w:t>
      </w:r>
      <w:r>
        <w:rPr/>
        <w:t>the</w:t>
      </w:r>
      <w:r>
        <w:rPr>
          <w:spacing w:val="-9"/>
        </w:rPr>
        <w:t> </w:t>
      </w:r>
      <w:r>
        <w:rPr/>
        <w:t>three nations. The move to set up the International Accounting Standards Committee (IASC) was brought</w:t>
      </w:r>
      <w:r>
        <w:rPr>
          <w:spacing w:val="-11"/>
        </w:rPr>
        <w:t> </w:t>
      </w:r>
      <w:r>
        <w:rPr/>
        <w:t>to</w:t>
      </w:r>
      <w:r>
        <w:rPr>
          <w:spacing w:val="-10"/>
        </w:rPr>
        <w:t> </w:t>
      </w:r>
      <w:r>
        <w:rPr/>
        <w:t>the</w:t>
      </w:r>
      <w:r>
        <w:rPr>
          <w:spacing w:val="-11"/>
        </w:rPr>
        <w:t> </w:t>
      </w:r>
      <w:r>
        <w:rPr/>
        <w:t>fore</w:t>
      </w:r>
      <w:r>
        <w:rPr>
          <w:spacing w:val="-12"/>
        </w:rPr>
        <w:t> </w:t>
      </w:r>
      <w:r>
        <w:rPr/>
        <w:t>by</w:t>
      </w:r>
      <w:r>
        <w:rPr>
          <w:spacing w:val="-8"/>
        </w:rPr>
        <w:t> </w:t>
      </w:r>
      <w:r>
        <w:rPr/>
        <w:t>a</w:t>
      </w:r>
      <w:r>
        <w:rPr>
          <w:spacing w:val="-11"/>
        </w:rPr>
        <w:t> </w:t>
      </w:r>
      <w:r>
        <w:rPr/>
        <w:t>proposal</w:t>
      </w:r>
      <w:r>
        <w:rPr>
          <w:spacing w:val="-11"/>
        </w:rPr>
        <w:t> </w:t>
      </w:r>
      <w:r>
        <w:rPr/>
        <w:t>at</w:t>
      </w:r>
      <w:r>
        <w:rPr>
          <w:spacing w:val="-10"/>
        </w:rPr>
        <w:t> </w:t>
      </w:r>
      <w:r>
        <w:rPr/>
        <w:t>the</w:t>
      </w:r>
      <w:r>
        <w:rPr>
          <w:spacing w:val="-8"/>
        </w:rPr>
        <w:t> </w:t>
      </w:r>
      <w:r>
        <w:rPr/>
        <w:t>40</w:t>
      </w:r>
      <w:r>
        <w:rPr>
          <w:vertAlign w:val="superscript"/>
        </w:rPr>
        <w:t>th</w:t>
      </w:r>
      <w:r>
        <w:rPr>
          <w:spacing w:val="-9"/>
          <w:vertAlign w:val="baseline"/>
        </w:rPr>
        <w:t> </w:t>
      </w:r>
      <w:r>
        <w:rPr>
          <w:vertAlign w:val="baseline"/>
        </w:rPr>
        <w:t>World</w:t>
      </w:r>
      <w:r>
        <w:rPr>
          <w:spacing w:val="-8"/>
          <w:vertAlign w:val="baseline"/>
        </w:rPr>
        <w:t> </w:t>
      </w:r>
      <w:r>
        <w:rPr>
          <w:vertAlign w:val="baseline"/>
        </w:rPr>
        <w:t>Congress</w:t>
      </w:r>
      <w:r>
        <w:rPr>
          <w:spacing w:val="-10"/>
          <w:vertAlign w:val="baseline"/>
        </w:rPr>
        <w:t> </w:t>
      </w:r>
      <w:r>
        <w:rPr>
          <w:vertAlign w:val="baseline"/>
        </w:rPr>
        <w:t>of</w:t>
      </w:r>
      <w:r>
        <w:rPr>
          <w:spacing w:val="-12"/>
          <w:vertAlign w:val="baseline"/>
        </w:rPr>
        <w:t> </w:t>
      </w:r>
      <w:r>
        <w:rPr>
          <w:vertAlign w:val="baseline"/>
        </w:rPr>
        <w:t>Accountants</w:t>
      </w:r>
      <w:r>
        <w:rPr>
          <w:spacing w:val="-7"/>
          <w:vertAlign w:val="baseline"/>
        </w:rPr>
        <w:t> </w:t>
      </w:r>
      <w:r>
        <w:rPr>
          <w:vertAlign w:val="baseline"/>
        </w:rPr>
        <w:t>in</w:t>
      </w:r>
      <w:r>
        <w:rPr>
          <w:spacing w:val="-10"/>
          <w:vertAlign w:val="baseline"/>
        </w:rPr>
        <w:t> </w:t>
      </w:r>
      <w:r>
        <w:rPr>
          <w:vertAlign w:val="baseline"/>
        </w:rPr>
        <w:t>Sydney</w:t>
      </w:r>
      <w:r>
        <w:rPr>
          <w:spacing w:val="-10"/>
          <w:vertAlign w:val="baseline"/>
        </w:rPr>
        <w:t> </w:t>
      </w:r>
      <w:r>
        <w:rPr>
          <w:vertAlign w:val="baseline"/>
        </w:rPr>
        <w:t>in</w:t>
      </w:r>
      <w:r>
        <w:rPr>
          <w:spacing w:val="-10"/>
          <w:vertAlign w:val="baseline"/>
        </w:rPr>
        <w:t> </w:t>
      </w:r>
      <w:r>
        <w:rPr>
          <w:spacing w:val="-2"/>
          <w:vertAlign w:val="baseline"/>
        </w:rPr>
        <w:t>1972.</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82688">
            <wp:simplePos x="0" y="0"/>
            <wp:positionH relativeFrom="page">
              <wp:posOffset>1095451</wp:posOffset>
            </wp:positionH>
            <wp:positionV relativeFrom="paragraph">
              <wp:posOffset>1850770</wp:posOffset>
            </wp:positionV>
            <wp:extent cx="5106847" cy="5238115"/>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5106847" cy="5238115"/>
                    </a:xfrm>
                    <a:prstGeom prst="rect">
                      <a:avLst/>
                    </a:prstGeom>
                  </pic:spPr>
                </pic:pic>
              </a:graphicData>
            </a:graphic>
          </wp:anchor>
        </w:drawing>
      </w:r>
      <w:r>
        <w:rPr/>
        <w:t>The IASC was launched in the wake of the 1972 World Accounting Congress (a five-yearly get-together</w:t>
      </w:r>
      <w:r>
        <w:rPr>
          <w:spacing w:val="-7"/>
        </w:rPr>
        <w:t> </w:t>
      </w:r>
      <w:r>
        <w:rPr/>
        <w:t>of</w:t>
      </w:r>
      <w:r>
        <w:rPr>
          <w:spacing w:val="-7"/>
        </w:rPr>
        <w:t> </w:t>
      </w:r>
      <w:r>
        <w:rPr/>
        <w:t>the</w:t>
      </w:r>
      <w:r>
        <w:rPr>
          <w:spacing w:val="-7"/>
        </w:rPr>
        <w:t> </w:t>
      </w:r>
      <w:r>
        <w:rPr/>
        <w:t>international</w:t>
      </w:r>
      <w:r>
        <w:rPr>
          <w:spacing w:val="-6"/>
        </w:rPr>
        <w:t> </w:t>
      </w:r>
      <w:r>
        <w:rPr/>
        <w:t>profession)</w:t>
      </w:r>
      <w:r>
        <w:rPr>
          <w:spacing w:val="-7"/>
        </w:rPr>
        <w:t> </w:t>
      </w:r>
      <w:r>
        <w:rPr/>
        <w:t>after</w:t>
      </w:r>
      <w:r>
        <w:rPr>
          <w:spacing w:val="-4"/>
        </w:rPr>
        <w:t> </w:t>
      </w:r>
      <w:r>
        <w:rPr/>
        <w:t>an</w:t>
      </w:r>
      <w:r>
        <w:rPr>
          <w:spacing w:val="-6"/>
        </w:rPr>
        <w:t> </w:t>
      </w:r>
      <w:r>
        <w:rPr/>
        <w:t>informal</w:t>
      </w:r>
      <w:r>
        <w:rPr>
          <w:spacing w:val="-3"/>
        </w:rPr>
        <w:t> </w:t>
      </w:r>
      <w:r>
        <w:rPr/>
        <w:t>meeting</w:t>
      </w:r>
      <w:r>
        <w:rPr>
          <w:spacing w:val="-6"/>
        </w:rPr>
        <w:t> </w:t>
      </w:r>
      <w:r>
        <w:rPr/>
        <w:t>between</w:t>
      </w:r>
      <w:r>
        <w:rPr>
          <w:spacing w:val="-6"/>
        </w:rPr>
        <w:t> </w:t>
      </w:r>
      <w:r>
        <w:rPr/>
        <w:t>representatives of</w:t>
      </w:r>
      <w:r>
        <w:rPr>
          <w:spacing w:val="-4"/>
        </w:rPr>
        <w:t> </w:t>
      </w:r>
      <w:r>
        <w:rPr/>
        <w:t>the</w:t>
      </w:r>
      <w:r>
        <w:rPr>
          <w:spacing w:val="-6"/>
        </w:rPr>
        <w:t> </w:t>
      </w:r>
      <w:r>
        <w:rPr/>
        <w:t>British</w:t>
      </w:r>
      <w:r>
        <w:rPr>
          <w:spacing w:val="-4"/>
        </w:rPr>
        <w:t> </w:t>
      </w:r>
      <w:r>
        <w:rPr/>
        <w:t>profession</w:t>
      </w:r>
      <w:r>
        <w:rPr>
          <w:spacing w:val="-7"/>
        </w:rPr>
        <w:t> </w:t>
      </w:r>
      <w:r>
        <w:rPr/>
        <w:t>(Institute</w:t>
      </w:r>
      <w:r>
        <w:rPr>
          <w:spacing w:val="-5"/>
        </w:rPr>
        <w:t> </w:t>
      </w:r>
      <w:r>
        <w:rPr/>
        <w:t>of</w:t>
      </w:r>
      <w:r>
        <w:rPr>
          <w:spacing w:val="-4"/>
        </w:rPr>
        <w:t> </w:t>
      </w:r>
      <w:r>
        <w:rPr/>
        <w:t>Chartered</w:t>
      </w:r>
      <w:r>
        <w:rPr>
          <w:spacing w:val="-4"/>
        </w:rPr>
        <w:t> </w:t>
      </w:r>
      <w:r>
        <w:rPr/>
        <w:t>Accountants</w:t>
      </w:r>
      <w:r>
        <w:rPr>
          <w:spacing w:val="-4"/>
        </w:rPr>
        <w:t> </w:t>
      </w:r>
      <w:r>
        <w:rPr/>
        <w:t>in</w:t>
      </w:r>
      <w:r>
        <w:rPr>
          <w:spacing w:val="-1"/>
        </w:rPr>
        <w:t> </w:t>
      </w:r>
      <w:r>
        <w:rPr/>
        <w:t>England</w:t>
      </w:r>
      <w:r>
        <w:rPr>
          <w:spacing w:val="-4"/>
        </w:rPr>
        <w:t> </w:t>
      </w:r>
      <w:r>
        <w:rPr/>
        <w:t>and</w:t>
      </w:r>
      <w:r>
        <w:rPr>
          <w:spacing w:val="-4"/>
        </w:rPr>
        <w:t> </w:t>
      </w:r>
      <w:r>
        <w:rPr/>
        <w:t>Wales</w:t>
      </w:r>
      <w:r>
        <w:rPr>
          <w:spacing w:val="-4"/>
        </w:rPr>
        <w:t> </w:t>
      </w:r>
      <w:r>
        <w:rPr/>
        <w:t>[ICAEW]) and</w:t>
      </w:r>
      <w:r>
        <w:rPr>
          <w:spacing w:val="-6"/>
        </w:rPr>
        <w:t> </w:t>
      </w:r>
      <w:r>
        <w:rPr/>
        <w:t>the</w:t>
      </w:r>
      <w:r>
        <w:rPr>
          <w:spacing w:val="-6"/>
        </w:rPr>
        <w:t> </w:t>
      </w:r>
      <w:r>
        <w:rPr/>
        <w:t>American</w:t>
      </w:r>
      <w:r>
        <w:rPr>
          <w:spacing w:val="-6"/>
        </w:rPr>
        <w:t> </w:t>
      </w:r>
      <w:r>
        <w:rPr/>
        <w:t>profession</w:t>
      </w:r>
      <w:r>
        <w:rPr>
          <w:spacing w:val="-6"/>
        </w:rPr>
        <w:t> </w:t>
      </w:r>
      <w:r>
        <w:rPr/>
        <w:t>(American</w:t>
      </w:r>
      <w:r>
        <w:rPr>
          <w:spacing w:val="-3"/>
        </w:rPr>
        <w:t> </w:t>
      </w:r>
      <w:r>
        <w:rPr/>
        <w:t>Institute</w:t>
      </w:r>
      <w:r>
        <w:rPr>
          <w:spacing w:val="-6"/>
        </w:rPr>
        <w:t> </w:t>
      </w:r>
      <w:r>
        <w:rPr/>
        <w:t>of</w:t>
      </w:r>
      <w:r>
        <w:rPr>
          <w:spacing w:val="-7"/>
        </w:rPr>
        <w:t> </w:t>
      </w:r>
      <w:r>
        <w:rPr/>
        <w:t>Certified</w:t>
      </w:r>
      <w:r>
        <w:rPr>
          <w:spacing w:val="-6"/>
        </w:rPr>
        <w:t> </w:t>
      </w:r>
      <w:r>
        <w:rPr/>
        <w:t>Public</w:t>
      </w:r>
      <w:r>
        <w:rPr>
          <w:spacing w:val="-3"/>
        </w:rPr>
        <w:t> </w:t>
      </w:r>
      <w:r>
        <w:rPr/>
        <w:t>Accountants).</w:t>
      </w:r>
      <w:r>
        <w:rPr>
          <w:spacing w:val="-5"/>
        </w:rPr>
        <w:t> </w:t>
      </w:r>
      <w:r>
        <w:rPr/>
        <w:t>A</w:t>
      </w:r>
      <w:r>
        <w:rPr>
          <w:spacing w:val="-6"/>
        </w:rPr>
        <w:t> </w:t>
      </w:r>
      <w:r>
        <w:rPr/>
        <w:t>rapid</w:t>
      </w:r>
      <w:r>
        <w:rPr>
          <w:spacing w:val="-5"/>
        </w:rPr>
        <w:t> </w:t>
      </w:r>
      <w:r>
        <w:rPr/>
        <w:t>set of</w:t>
      </w:r>
      <w:r>
        <w:rPr>
          <w:spacing w:val="-15"/>
        </w:rPr>
        <w:t> </w:t>
      </w:r>
      <w:r>
        <w:rPr/>
        <w:t>negotiations</w:t>
      </w:r>
      <w:r>
        <w:rPr>
          <w:spacing w:val="-15"/>
        </w:rPr>
        <w:t> </w:t>
      </w:r>
      <w:r>
        <w:rPr/>
        <w:t>resulted</w:t>
      </w:r>
      <w:r>
        <w:rPr>
          <w:spacing w:val="-15"/>
        </w:rPr>
        <w:t> </w:t>
      </w:r>
      <w:r>
        <w:rPr/>
        <w:t>in</w:t>
      </w:r>
      <w:r>
        <w:rPr>
          <w:spacing w:val="-15"/>
        </w:rPr>
        <w:t> </w:t>
      </w:r>
      <w:r>
        <w:rPr/>
        <w:t>the</w:t>
      </w:r>
      <w:r>
        <w:rPr>
          <w:spacing w:val="-15"/>
        </w:rPr>
        <w:t> </w:t>
      </w:r>
      <w:r>
        <w:rPr/>
        <w:t>professional</w:t>
      </w:r>
      <w:r>
        <w:rPr>
          <w:spacing w:val="-15"/>
        </w:rPr>
        <w:t> </w:t>
      </w:r>
      <w:r>
        <w:rPr/>
        <w:t>bodies</w:t>
      </w:r>
      <w:r>
        <w:rPr>
          <w:spacing w:val="-13"/>
        </w:rPr>
        <w:t> </w:t>
      </w:r>
      <w:r>
        <w:rPr/>
        <w:t>of</w:t>
      </w:r>
      <w:r>
        <w:rPr>
          <w:spacing w:val="-15"/>
        </w:rPr>
        <w:t> </w:t>
      </w:r>
      <w:r>
        <w:rPr/>
        <w:t>Canada,</w:t>
      </w:r>
      <w:r>
        <w:rPr>
          <w:spacing w:val="-13"/>
        </w:rPr>
        <w:t> </w:t>
      </w:r>
      <w:r>
        <w:rPr/>
        <w:t>Australia,</w:t>
      </w:r>
      <w:r>
        <w:rPr>
          <w:spacing w:val="-14"/>
        </w:rPr>
        <w:t> </w:t>
      </w:r>
      <w:r>
        <w:rPr/>
        <w:t>Mexico,</w:t>
      </w:r>
      <w:r>
        <w:rPr>
          <w:spacing w:val="-15"/>
        </w:rPr>
        <w:t> </w:t>
      </w:r>
      <w:r>
        <w:rPr/>
        <w:t>Japan,</w:t>
      </w:r>
      <w:r>
        <w:rPr>
          <w:spacing w:val="-13"/>
        </w:rPr>
        <w:t> </w:t>
      </w:r>
      <w:r>
        <w:rPr/>
        <w:t>France, Germany,</w:t>
      </w:r>
      <w:r>
        <w:rPr>
          <w:spacing w:val="-6"/>
        </w:rPr>
        <w:t> </w:t>
      </w:r>
      <w:r>
        <w:rPr/>
        <w:t>the</w:t>
      </w:r>
      <w:r>
        <w:rPr>
          <w:spacing w:val="-6"/>
        </w:rPr>
        <w:t> </w:t>
      </w:r>
      <w:r>
        <w:rPr/>
        <w:t>Netherlands</w:t>
      </w:r>
      <w:r>
        <w:rPr>
          <w:spacing w:val="-6"/>
        </w:rPr>
        <w:t> </w:t>
      </w:r>
      <w:r>
        <w:rPr/>
        <w:t>and</w:t>
      </w:r>
      <w:r>
        <w:rPr>
          <w:spacing w:val="-6"/>
        </w:rPr>
        <w:t> </w:t>
      </w:r>
      <w:r>
        <w:rPr/>
        <w:t>New</w:t>
      </w:r>
      <w:r>
        <w:rPr>
          <w:spacing w:val="-6"/>
        </w:rPr>
        <w:t> </w:t>
      </w:r>
      <w:r>
        <w:rPr/>
        <w:t>Zealand</w:t>
      </w:r>
      <w:r>
        <w:rPr>
          <w:spacing w:val="-6"/>
        </w:rPr>
        <w:t> </w:t>
      </w:r>
      <w:r>
        <w:rPr/>
        <w:t>being</w:t>
      </w:r>
      <w:r>
        <w:rPr>
          <w:spacing w:val="-3"/>
        </w:rPr>
        <w:t> </w:t>
      </w:r>
      <w:r>
        <w:rPr/>
        <w:t>invited</w:t>
      </w:r>
      <w:r>
        <w:rPr>
          <w:spacing w:val="-6"/>
        </w:rPr>
        <w:t> </w:t>
      </w:r>
      <w:r>
        <w:rPr/>
        <w:t>to</w:t>
      </w:r>
      <w:r>
        <w:rPr>
          <w:spacing w:val="-5"/>
        </w:rPr>
        <w:t> </w:t>
      </w:r>
      <w:r>
        <w:rPr/>
        <w:t>join</w:t>
      </w:r>
      <w:r>
        <w:rPr>
          <w:spacing w:val="-7"/>
        </w:rPr>
        <w:t> </w:t>
      </w:r>
      <w:r>
        <w:rPr/>
        <w:t>with</w:t>
      </w:r>
      <w:r>
        <w:rPr>
          <w:spacing w:val="-5"/>
        </w:rPr>
        <w:t> </w:t>
      </w:r>
      <w:r>
        <w:rPr/>
        <w:t>the</w:t>
      </w:r>
      <w:r>
        <w:rPr>
          <w:spacing w:val="-8"/>
        </w:rPr>
        <w:t> </w:t>
      </w:r>
      <w:r>
        <w:rPr/>
        <w:t>US</w:t>
      </w:r>
      <w:r>
        <w:rPr>
          <w:spacing w:val="-2"/>
        </w:rPr>
        <w:t> </w:t>
      </w:r>
      <w:r>
        <w:rPr/>
        <w:t>and</w:t>
      </w:r>
      <w:r>
        <w:rPr>
          <w:spacing w:val="-6"/>
        </w:rPr>
        <w:t> </w:t>
      </w:r>
      <w:r>
        <w:rPr/>
        <w:t>UK</w:t>
      </w:r>
      <w:r>
        <w:rPr>
          <w:spacing w:val="-7"/>
        </w:rPr>
        <w:t> </w:t>
      </w:r>
      <w:r>
        <w:rPr/>
        <w:t>to</w:t>
      </w:r>
      <w:r>
        <w:rPr>
          <w:spacing w:val="-5"/>
        </w:rPr>
        <w:t> </w:t>
      </w:r>
      <w:r>
        <w:rPr/>
        <w:t>form the international body. Due to pressure (coupled with a financial subsidy) from the UK, the IASC was established in 1973 in London where its successor, the IASB, remains today. Consequently, the AISG was disbanded in 1977. The primary goal of IASC formation was to develop a single set of high quality International Accounting Standards (IASs) to replace national standards</w:t>
      </w:r>
      <w:r>
        <w:rPr>
          <w:b/>
        </w:rPr>
        <w:t>. </w:t>
      </w:r>
      <w:r>
        <w:rPr/>
        <w:t>The IASC had successfully issued forty one (41) accounting standards known as International Accounting Standards (IASs) before it was replaced by the IASB in </w:t>
      </w:r>
      <w:r>
        <w:rPr>
          <w:spacing w:val="-2"/>
        </w:rPr>
        <w:t>2001.</w:t>
      </w:r>
    </w:p>
    <w:p>
      <w:pPr>
        <w:pStyle w:val="BodyText"/>
        <w:spacing w:line="480" w:lineRule="auto" w:before="201"/>
        <w:ind w:left="940" w:right="1436"/>
        <w:jc w:val="both"/>
      </w:pPr>
      <w:r>
        <w:rPr/>
        <w:t>The IASB is an independent body that is solely responsible for establishing International Financial</w:t>
      </w:r>
      <w:r>
        <w:rPr>
          <w:spacing w:val="-5"/>
        </w:rPr>
        <w:t> </w:t>
      </w:r>
      <w:r>
        <w:rPr/>
        <w:t>Reporting</w:t>
      </w:r>
      <w:r>
        <w:rPr>
          <w:spacing w:val="-7"/>
        </w:rPr>
        <w:t> </w:t>
      </w:r>
      <w:r>
        <w:rPr/>
        <w:t>Standards</w:t>
      </w:r>
      <w:r>
        <w:rPr>
          <w:spacing w:val="-8"/>
        </w:rPr>
        <w:t> </w:t>
      </w:r>
      <w:r>
        <w:rPr/>
        <w:t>(IFRS)</w:t>
      </w:r>
      <w:r>
        <w:rPr>
          <w:spacing w:val="-8"/>
        </w:rPr>
        <w:t> </w:t>
      </w:r>
      <w:r>
        <w:rPr/>
        <w:t>including</w:t>
      </w:r>
      <w:r>
        <w:rPr>
          <w:spacing w:val="-5"/>
        </w:rPr>
        <w:t> </w:t>
      </w:r>
      <w:r>
        <w:rPr/>
        <w:t>IFRS</w:t>
      </w:r>
      <w:r>
        <w:rPr>
          <w:spacing w:val="-7"/>
        </w:rPr>
        <w:t> </w:t>
      </w:r>
      <w:r>
        <w:rPr/>
        <w:t>for</w:t>
      </w:r>
      <w:r>
        <w:rPr>
          <w:spacing w:val="-7"/>
        </w:rPr>
        <w:t> </w:t>
      </w:r>
      <w:r>
        <w:rPr/>
        <w:t>SMEs.</w:t>
      </w:r>
      <w:r>
        <w:rPr>
          <w:spacing w:val="-7"/>
        </w:rPr>
        <w:t> </w:t>
      </w:r>
      <w:r>
        <w:rPr/>
        <w:t>From</w:t>
      </w:r>
      <w:r>
        <w:rPr>
          <w:spacing w:val="-8"/>
        </w:rPr>
        <w:t> </w:t>
      </w:r>
      <w:r>
        <w:rPr/>
        <w:t>2001</w:t>
      </w:r>
      <w:r>
        <w:rPr>
          <w:spacing w:val="-7"/>
        </w:rPr>
        <w:t> </w:t>
      </w:r>
      <w:r>
        <w:rPr/>
        <w:t>to</w:t>
      </w:r>
      <w:r>
        <w:rPr>
          <w:spacing w:val="-7"/>
        </w:rPr>
        <w:t> </w:t>
      </w:r>
      <w:r>
        <w:rPr/>
        <w:t>date,</w:t>
      </w:r>
      <w:r>
        <w:rPr>
          <w:spacing w:val="-6"/>
        </w:rPr>
        <w:t> </w:t>
      </w:r>
      <w:r>
        <w:rPr/>
        <w:t>the</w:t>
      </w:r>
      <w:r>
        <w:rPr>
          <w:spacing w:val="-3"/>
        </w:rPr>
        <w:t> </w:t>
      </w:r>
      <w:r>
        <w:rPr/>
        <w:t>IASB has</w:t>
      </w:r>
      <w:r>
        <w:rPr>
          <w:spacing w:val="-1"/>
        </w:rPr>
        <w:t> </w:t>
      </w:r>
      <w:r>
        <w:rPr/>
        <w:t>issued</w:t>
      </w:r>
      <w:r>
        <w:rPr>
          <w:spacing w:val="-1"/>
        </w:rPr>
        <w:t> </w:t>
      </w:r>
      <w:r>
        <w:rPr/>
        <w:t>seventeen (17)</w:t>
      </w:r>
      <w:r>
        <w:rPr>
          <w:spacing w:val="-1"/>
        </w:rPr>
        <w:t> </w:t>
      </w:r>
      <w:r>
        <w:rPr/>
        <w:t>accounting</w:t>
      </w:r>
      <w:r>
        <w:rPr>
          <w:spacing w:val="-1"/>
        </w:rPr>
        <w:t> </w:t>
      </w:r>
      <w:r>
        <w:rPr/>
        <w:t>standards</w:t>
      </w:r>
      <w:r>
        <w:rPr>
          <w:spacing w:val="-2"/>
        </w:rPr>
        <w:t> </w:t>
      </w:r>
      <w:r>
        <w:rPr/>
        <w:t>(IFRSs)</w:t>
      </w:r>
      <w:r>
        <w:rPr>
          <w:spacing w:val="-2"/>
        </w:rPr>
        <w:t> </w:t>
      </w:r>
      <w:r>
        <w:rPr/>
        <w:t>however,</w:t>
      </w:r>
      <w:r>
        <w:rPr>
          <w:spacing w:val="-1"/>
        </w:rPr>
        <w:t> </w:t>
      </w:r>
      <w:r>
        <w:rPr/>
        <w:t>it</w:t>
      </w:r>
      <w:r>
        <w:rPr>
          <w:spacing w:val="-1"/>
        </w:rPr>
        <w:t> </w:t>
      </w:r>
      <w:r>
        <w:rPr/>
        <w:t>also</w:t>
      </w:r>
      <w:r>
        <w:rPr>
          <w:spacing w:val="-1"/>
        </w:rPr>
        <w:t> </w:t>
      </w:r>
      <w:r>
        <w:rPr/>
        <w:t>inherited</w:t>
      </w:r>
      <w:r>
        <w:rPr>
          <w:spacing w:val="-1"/>
        </w:rPr>
        <w:t> </w:t>
      </w:r>
      <w:r>
        <w:rPr/>
        <w:t>the IASs</w:t>
      </w:r>
      <w:r>
        <w:rPr>
          <w:spacing w:val="-1"/>
        </w:rPr>
        <w:t> </w:t>
      </w:r>
      <w:r>
        <w:rPr/>
        <w:t>of the</w:t>
      </w:r>
      <w:r>
        <w:rPr>
          <w:spacing w:val="-11"/>
        </w:rPr>
        <w:t> </w:t>
      </w:r>
      <w:r>
        <w:rPr/>
        <w:t>defunct</w:t>
      </w:r>
      <w:r>
        <w:rPr>
          <w:spacing w:val="-10"/>
        </w:rPr>
        <w:t> </w:t>
      </w:r>
      <w:r>
        <w:rPr/>
        <w:t>IASC.</w:t>
      </w:r>
      <w:r>
        <w:rPr>
          <w:spacing w:val="40"/>
        </w:rPr>
        <w:t> </w:t>
      </w:r>
      <w:r>
        <w:rPr/>
        <w:t>Prior</w:t>
      </w:r>
      <w:r>
        <w:rPr>
          <w:spacing w:val="-12"/>
        </w:rPr>
        <w:t> </w:t>
      </w:r>
      <w:r>
        <w:rPr/>
        <w:t>to</w:t>
      </w:r>
      <w:r>
        <w:rPr>
          <w:spacing w:val="-11"/>
        </w:rPr>
        <w:t> </w:t>
      </w:r>
      <w:r>
        <w:rPr/>
        <w:t>the</w:t>
      </w:r>
      <w:r>
        <w:rPr>
          <w:spacing w:val="-11"/>
        </w:rPr>
        <w:t> </w:t>
      </w:r>
      <w:r>
        <w:rPr/>
        <w:t>adoption</w:t>
      </w:r>
      <w:r>
        <w:rPr>
          <w:spacing w:val="-11"/>
        </w:rPr>
        <w:t> </w:t>
      </w:r>
      <w:r>
        <w:rPr/>
        <w:t>of</w:t>
      </w:r>
      <w:r>
        <w:rPr>
          <w:spacing w:val="-11"/>
        </w:rPr>
        <w:t> </w:t>
      </w:r>
      <w:r>
        <w:rPr/>
        <w:t>IFRSs</w:t>
      </w:r>
      <w:r>
        <w:rPr>
          <w:spacing w:val="-10"/>
        </w:rPr>
        <w:t> </w:t>
      </w:r>
      <w:r>
        <w:rPr/>
        <w:t>in</w:t>
      </w:r>
      <w:r>
        <w:rPr>
          <w:spacing w:val="-11"/>
        </w:rPr>
        <w:t> </w:t>
      </w:r>
      <w:r>
        <w:rPr/>
        <w:t>Nigeria,</w:t>
      </w:r>
      <w:r>
        <w:rPr>
          <w:spacing w:val="-11"/>
        </w:rPr>
        <w:t> </w:t>
      </w:r>
      <w:r>
        <w:rPr/>
        <w:t>the</w:t>
      </w:r>
      <w:r>
        <w:rPr>
          <w:spacing w:val="-11"/>
        </w:rPr>
        <w:t> </w:t>
      </w:r>
      <w:r>
        <w:rPr/>
        <w:t>framework</w:t>
      </w:r>
      <w:r>
        <w:rPr>
          <w:spacing w:val="-9"/>
        </w:rPr>
        <w:t> </w:t>
      </w:r>
      <w:r>
        <w:rPr/>
        <w:t>for</w:t>
      </w:r>
      <w:r>
        <w:rPr>
          <w:spacing w:val="-12"/>
        </w:rPr>
        <w:t> </w:t>
      </w:r>
      <w:r>
        <w:rPr/>
        <w:t>the</w:t>
      </w:r>
      <w:r>
        <w:rPr>
          <w:spacing w:val="-11"/>
        </w:rPr>
        <w:t> </w:t>
      </w:r>
      <w:r>
        <w:rPr/>
        <w:t>preparation and</w:t>
      </w:r>
      <w:r>
        <w:rPr>
          <w:spacing w:val="-8"/>
        </w:rPr>
        <w:t> </w:t>
      </w:r>
      <w:r>
        <w:rPr/>
        <w:t>presentation</w:t>
      </w:r>
      <w:r>
        <w:rPr>
          <w:spacing w:val="-8"/>
        </w:rPr>
        <w:t> </w:t>
      </w:r>
      <w:r>
        <w:rPr/>
        <w:t>of</w:t>
      </w:r>
      <w:r>
        <w:rPr>
          <w:spacing w:val="-9"/>
        </w:rPr>
        <w:t> </w:t>
      </w:r>
      <w:r>
        <w:rPr/>
        <w:t>financial</w:t>
      </w:r>
      <w:r>
        <w:rPr>
          <w:spacing w:val="-8"/>
        </w:rPr>
        <w:t> </w:t>
      </w:r>
      <w:r>
        <w:rPr/>
        <w:t>statements</w:t>
      </w:r>
      <w:r>
        <w:rPr>
          <w:spacing w:val="-8"/>
        </w:rPr>
        <w:t> </w:t>
      </w:r>
      <w:r>
        <w:rPr/>
        <w:t>was</w:t>
      </w:r>
      <w:r>
        <w:rPr>
          <w:spacing w:val="-8"/>
        </w:rPr>
        <w:t> </w:t>
      </w:r>
      <w:r>
        <w:rPr/>
        <w:t>the</w:t>
      </w:r>
      <w:r>
        <w:rPr>
          <w:spacing w:val="-9"/>
        </w:rPr>
        <w:t> </w:t>
      </w:r>
      <w:r>
        <w:rPr/>
        <w:t>Companies</w:t>
      </w:r>
      <w:r>
        <w:rPr>
          <w:spacing w:val="-8"/>
        </w:rPr>
        <w:t> </w:t>
      </w:r>
      <w:r>
        <w:rPr/>
        <w:t>and</w:t>
      </w:r>
      <w:r>
        <w:rPr>
          <w:spacing w:val="-8"/>
        </w:rPr>
        <w:t> </w:t>
      </w:r>
      <w:r>
        <w:rPr/>
        <w:t>Allied</w:t>
      </w:r>
      <w:r>
        <w:rPr>
          <w:spacing w:val="-8"/>
        </w:rPr>
        <w:t> </w:t>
      </w:r>
      <w:r>
        <w:rPr/>
        <w:t>Matters</w:t>
      </w:r>
      <w:r>
        <w:rPr>
          <w:spacing w:val="-8"/>
        </w:rPr>
        <w:t> </w:t>
      </w:r>
      <w:r>
        <w:rPr/>
        <w:t>Act</w:t>
      </w:r>
      <w:r>
        <w:rPr>
          <w:spacing w:val="-8"/>
        </w:rPr>
        <w:t> </w:t>
      </w:r>
      <w:r>
        <w:rPr/>
        <w:t>([CAMA], 2004) which was repealed by the CAMA Act (2020). The Act prescribed some format and content of company financial statement disclosure requirement and auditing.</w:t>
      </w:r>
      <w:r>
        <w:rPr>
          <w:spacing w:val="40"/>
        </w:rPr>
        <w:t> </w:t>
      </w:r>
      <w:r>
        <w:rPr/>
        <w:t>It requires that the financial statements of all corporate organisations comply and adhere with the Statement of</w:t>
      </w:r>
      <w:r>
        <w:rPr>
          <w:spacing w:val="-15"/>
        </w:rPr>
        <w:t> </w:t>
      </w:r>
      <w:r>
        <w:rPr/>
        <w:t>Accounting</w:t>
      </w:r>
      <w:r>
        <w:rPr>
          <w:spacing w:val="-15"/>
        </w:rPr>
        <w:t> </w:t>
      </w:r>
      <w:r>
        <w:rPr/>
        <w:t>Standards</w:t>
      </w:r>
      <w:r>
        <w:rPr>
          <w:spacing w:val="-15"/>
        </w:rPr>
        <w:t> </w:t>
      </w:r>
      <w:r>
        <w:rPr/>
        <w:t>(SAS)</w:t>
      </w:r>
      <w:r>
        <w:rPr>
          <w:spacing w:val="-15"/>
        </w:rPr>
        <w:t> </w:t>
      </w:r>
      <w:r>
        <w:rPr/>
        <w:t>issued</w:t>
      </w:r>
      <w:r>
        <w:rPr>
          <w:spacing w:val="-15"/>
        </w:rPr>
        <w:t> </w:t>
      </w:r>
      <w:r>
        <w:rPr/>
        <w:t>from</w:t>
      </w:r>
      <w:r>
        <w:rPr>
          <w:spacing w:val="-15"/>
        </w:rPr>
        <w:t> </w:t>
      </w:r>
      <w:r>
        <w:rPr/>
        <w:t>time</w:t>
      </w:r>
      <w:r>
        <w:rPr>
          <w:spacing w:val="-15"/>
        </w:rPr>
        <w:t> </w:t>
      </w:r>
      <w:r>
        <w:rPr/>
        <w:t>to</w:t>
      </w:r>
      <w:r>
        <w:rPr>
          <w:spacing w:val="-15"/>
        </w:rPr>
        <w:t> </w:t>
      </w:r>
      <w:r>
        <w:rPr/>
        <w:t>time</w:t>
      </w:r>
      <w:r>
        <w:rPr>
          <w:spacing w:val="-15"/>
        </w:rPr>
        <w:t> </w:t>
      </w:r>
      <w:r>
        <w:rPr/>
        <w:t>by</w:t>
      </w:r>
      <w:r>
        <w:rPr>
          <w:spacing w:val="-15"/>
        </w:rPr>
        <w:t> </w:t>
      </w:r>
      <w:r>
        <w:rPr/>
        <w:t>the</w:t>
      </w:r>
      <w:r>
        <w:rPr>
          <w:spacing w:val="-15"/>
        </w:rPr>
        <w:t> </w:t>
      </w:r>
      <w:r>
        <w:rPr/>
        <w:t>Nigerian</w:t>
      </w:r>
      <w:r>
        <w:rPr>
          <w:spacing w:val="-15"/>
        </w:rPr>
        <w:t> </w:t>
      </w:r>
      <w:r>
        <w:rPr/>
        <w:t>Accounting</w:t>
      </w:r>
      <w:r>
        <w:rPr>
          <w:spacing w:val="-15"/>
        </w:rPr>
        <w:t> </w:t>
      </w:r>
      <w:r>
        <w:rPr/>
        <w:t>Standards Board</w:t>
      </w:r>
      <w:r>
        <w:rPr>
          <w:spacing w:val="-15"/>
        </w:rPr>
        <w:t> </w:t>
      </w:r>
      <w:r>
        <w:rPr/>
        <w:t>(NASB),</w:t>
      </w:r>
      <w:r>
        <w:rPr>
          <w:spacing w:val="-15"/>
        </w:rPr>
        <w:t> </w:t>
      </w:r>
      <w:r>
        <w:rPr/>
        <w:t>now</w:t>
      </w:r>
      <w:r>
        <w:rPr>
          <w:spacing w:val="-13"/>
        </w:rPr>
        <w:t> </w:t>
      </w:r>
      <w:r>
        <w:rPr/>
        <w:t>replaced</w:t>
      </w:r>
      <w:r>
        <w:rPr>
          <w:spacing w:val="-15"/>
        </w:rPr>
        <w:t> </w:t>
      </w:r>
      <w:r>
        <w:rPr/>
        <w:t>by</w:t>
      </w:r>
      <w:r>
        <w:rPr>
          <w:spacing w:val="-15"/>
        </w:rPr>
        <w:t> </w:t>
      </w:r>
      <w:r>
        <w:rPr/>
        <w:t>the</w:t>
      </w:r>
      <w:r>
        <w:rPr>
          <w:spacing w:val="-15"/>
        </w:rPr>
        <w:t> </w:t>
      </w:r>
      <w:r>
        <w:rPr/>
        <w:t>Financial</w:t>
      </w:r>
      <w:r>
        <w:rPr>
          <w:spacing w:val="-14"/>
        </w:rPr>
        <w:t> </w:t>
      </w:r>
      <w:r>
        <w:rPr/>
        <w:t>Reporting</w:t>
      </w:r>
      <w:r>
        <w:rPr>
          <w:spacing w:val="-15"/>
        </w:rPr>
        <w:t> </w:t>
      </w:r>
      <w:r>
        <w:rPr/>
        <w:t>Council</w:t>
      </w:r>
      <w:r>
        <w:rPr>
          <w:spacing w:val="-15"/>
        </w:rPr>
        <w:t> </w:t>
      </w:r>
      <w:r>
        <w:rPr/>
        <w:t>of</w:t>
      </w:r>
      <w:r>
        <w:rPr>
          <w:spacing w:val="-15"/>
        </w:rPr>
        <w:t> </w:t>
      </w:r>
      <w:r>
        <w:rPr/>
        <w:t>Nigeria</w:t>
      </w:r>
      <w:r>
        <w:rPr>
          <w:spacing w:val="-14"/>
        </w:rPr>
        <w:t> </w:t>
      </w:r>
      <w:r>
        <w:rPr/>
        <w:t>(FRCN).</w:t>
      </w:r>
      <w:r>
        <w:rPr>
          <w:spacing w:val="-14"/>
        </w:rPr>
        <w:t> </w:t>
      </w:r>
      <w:r>
        <w:rPr/>
        <w:t>This</w:t>
      </w:r>
      <w:r>
        <w:rPr>
          <w:spacing w:val="-15"/>
        </w:rPr>
        <w:t> </w:t>
      </w:r>
      <w:r>
        <w:rPr/>
        <w:t>also requires</w:t>
      </w:r>
      <w:r>
        <w:rPr>
          <w:spacing w:val="-9"/>
        </w:rPr>
        <w:t> </w:t>
      </w:r>
      <w:r>
        <w:rPr/>
        <w:t>that</w:t>
      </w:r>
      <w:r>
        <w:rPr>
          <w:spacing w:val="-7"/>
        </w:rPr>
        <w:t> </w:t>
      </w:r>
      <w:r>
        <w:rPr/>
        <w:t>audits</w:t>
      </w:r>
      <w:r>
        <w:rPr>
          <w:spacing w:val="-9"/>
        </w:rPr>
        <w:t> </w:t>
      </w:r>
      <w:r>
        <w:rPr/>
        <w:t>be</w:t>
      </w:r>
      <w:r>
        <w:rPr>
          <w:spacing w:val="-11"/>
        </w:rPr>
        <w:t> </w:t>
      </w:r>
      <w:r>
        <w:rPr/>
        <w:t>carried</w:t>
      </w:r>
      <w:r>
        <w:rPr>
          <w:spacing w:val="-10"/>
        </w:rPr>
        <w:t> </w:t>
      </w:r>
      <w:r>
        <w:rPr/>
        <w:t>out</w:t>
      </w:r>
      <w:r>
        <w:rPr>
          <w:spacing w:val="-9"/>
        </w:rPr>
        <w:t> </w:t>
      </w:r>
      <w:r>
        <w:rPr/>
        <w:t>in</w:t>
      </w:r>
      <w:r>
        <w:rPr>
          <w:spacing w:val="-9"/>
        </w:rPr>
        <w:t> </w:t>
      </w:r>
      <w:r>
        <w:rPr/>
        <w:t>accordance</w:t>
      </w:r>
      <w:r>
        <w:rPr>
          <w:spacing w:val="-11"/>
        </w:rPr>
        <w:t> </w:t>
      </w:r>
      <w:r>
        <w:rPr/>
        <w:t>with</w:t>
      </w:r>
      <w:r>
        <w:rPr>
          <w:spacing w:val="-9"/>
        </w:rPr>
        <w:t> </w:t>
      </w:r>
      <w:r>
        <w:rPr/>
        <w:t>the</w:t>
      </w:r>
      <w:r>
        <w:rPr>
          <w:spacing w:val="-10"/>
        </w:rPr>
        <w:t> </w:t>
      </w:r>
      <w:r>
        <w:rPr/>
        <w:t>General</w:t>
      </w:r>
      <w:r>
        <w:rPr>
          <w:spacing w:val="-9"/>
        </w:rPr>
        <w:t> </w:t>
      </w:r>
      <w:r>
        <w:rPr/>
        <w:t>Auditing</w:t>
      </w:r>
      <w:r>
        <w:rPr>
          <w:spacing w:val="-10"/>
        </w:rPr>
        <w:t> </w:t>
      </w:r>
      <w:r>
        <w:rPr/>
        <w:t>Standards.</w:t>
      </w:r>
      <w:r>
        <w:rPr>
          <w:spacing w:val="-10"/>
        </w:rPr>
        <w:t> </w:t>
      </w:r>
      <w:r>
        <w:rPr/>
        <w:t>With</w:t>
      </w:r>
      <w:r>
        <w:rPr>
          <w:spacing w:val="-10"/>
        </w:rPr>
        <w:t> </w:t>
      </w:r>
      <w:r>
        <w:rPr/>
        <w:t>the adoption</w:t>
      </w:r>
      <w:r>
        <w:rPr>
          <w:spacing w:val="38"/>
        </w:rPr>
        <w:t> </w:t>
      </w:r>
      <w:r>
        <w:rPr/>
        <w:t>of</w:t>
      </w:r>
      <w:r>
        <w:rPr>
          <w:spacing w:val="38"/>
        </w:rPr>
        <w:t> </w:t>
      </w:r>
      <w:r>
        <w:rPr/>
        <w:t>IFRSs</w:t>
      </w:r>
      <w:r>
        <w:rPr>
          <w:spacing w:val="39"/>
        </w:rPr>
        <w:t> </w:t>
      </w:r>
      <w:r>
        <w:rPr/>
        <w:t>in</w:t>
      </w:r>
      <w:r>
        <w:rPr>
          <w:spacing w:val="40"/>
        </w:rPr>
        <w:t> </w:t>
      </w:r>
      <w:r>
        <w:rPr/>
        <w:t>Nigeria,</w:t>
      </w:r>
      <w:r>
        <w:rPr>
          <w:spacing w:val="39"/>
        </w:rPr>
        <w:t> </w:t>
      </w:r>
      <w:r>
        <w:rPr/>
        <w:t>The</w:t>
      </w:r>
      <w:r>
        <w:rPr>
          <w:spacing w:val="40"/>
        </w:rPr>
        <w:t> </w:t>
      </w:r>
      <w:r>
        <w:rPr/>
        <w:t>FRCN</w:t>
      </w:r>
      <w:r>
        <w:rPr>
          <w:spacing w:val="39"/>
        </w:rPr>
        <w:t> </w:t>
      </w:r>
      <w:r>
        <w:rPr/>
        <w:t>which</w:t>
      </w:r>
      <w:r>
        <w:rPr>
          <w:spacing w:val="39"/>
        </w:rPr>
        <w:t> </w:t>
      </w:r>
      <w:r>
        <w:rPr/>
        <w:t>is</w:t>
      </w:r>
      <w:r>
        <w:rPr>
          <w:spacing w:val="40"/>
        </w:rPr>
        <w:t> </w:t>
      </w:r>
      <w:r>
        <w:rPr/>
        <w:t>yet</w:t>
      </w:r>
      <w:r>
        <w:rPr>
          <w:spacing w:val="40"/>
        </w:rPr>
        <w:t> </w:t>
      </w:r>
      <w:r>
        <w:rPr/>
        <w:t>to</w:t>
      </w:r>
      <w:r>
        <w:rPr>
          <w:spacing w:val="40"/>
        </w:rPr>
        <w:t> </w:t>
      </w:r>
      <w:r>
        <w:rPr/>
        <w:t>issue</w:t>
      </w:r>
      <w:r>
        <w:rPr>
          <w:spacing w:val="38"/>
        </w:rPr>
        <w:t> </w:t>
      </w:r>
      <w:r>
        <w:rPr/>
        <w:t>any</w:t>
      </w:r>
      <w:r>
        <w:rPr>
          <w:spacing w:val="39"/>
        </w:rPr>
        <w:t> </w:t>
      </w:r>
      <w:r>
        <w:rPr/>
        <w:t>accounting</w:t>
      </w:r>
      <w:r>
        <w:rPr>
          <w:spacing w:val="39"/>
        </w:rPr>
        <w:t> </w:t>
      </w:r>
      <w:r>
        <w:rPr>
          <w:spacing w:val="-2"/>
        </w:rPr>
        <w:t>standards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3200">
            <wp:simplePos x="0" y="0"/>
            <wp:positionH relativeFrom="page">
              <wp:posOffset>1095451</wp:posOffset>
            </wp:positionH>
            <wp:positionV relativeFrom="paragraph">
              <wp:posOffset>1850770</wp:posOffset>
            </wp:positionV>
            <wp:extent cx="5106847" cy="523811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5" cstate="print"/>
                    <a:stretch>
                      <a:fillRect/>
                    </a:stretch>
                  </pic:blipFill>
                  <pic:spPr>
                    <a:xfrm>
                      <a:off x="0" y="0"/>
                      <a:ext cx="5106847" cy="5238115"/>
                    </a:xfrm>
                    <a:prstGeom prst="rect">
                      <a:avLst/>
                    </a:prstGeom>
                  </pic:spPr>
                </pic:pic>
              </a:graphicData>
            </a:graphic>
          </wp:anchor>
        </w:drawing>
      </w:r>
      <w:r>
        <w:rPr/>
        <w:t>inherited</w:t>
      </w:r>
      <w:r>
        <w:rPr>
          <w:spacing w:val="-7"/>
        </w:rPr>
        <w:t> </w:t>
      </w:r>
      <w:r>
        <w:rPr/>
        <w:t>the</w:t>
      </w:r>
      <w:r>
        <w:rPr>
          <w:spacing w:val="-6"/>
        </w:rPr>
        <w:t> </w:t>
      </w:r>
      <w:r>
        <w:rPr/>
        <w:t>IFRSs</w:t>
      </w:r>
      <w:r>
        <w:rPr>
          <w:spacing w:val="-7"/>
        </w:rPr>
        <w:t> </w:t>
      </w:r>
      <w:r>
        <w:rPr/>
        <w:t>and</w:t>
      </w:r>
      <w:r>
        <w:rPr>
          <w:spacing w:val="-6"/>
        </w:rPr>
        <w:t> </w:t>
      </w:r>
      <w:r>
        <w:rPr/>
        <w:t>IASs</w:t>
      </w:r>
      <w:r>
        <w:rPr>
          <w:spacing w:val="-7"/>
        </w:rPr>
        <w:t> </w:t>
      </w:r>
      <w:r>
        <w:rPr/>
        <w:t>of</w:t>
      </w:r>
      <w:r>
        <w:rPr>
          <w:spacing w:val="-8"/>
        </w:rPr>
        <w:t> </w:t>
      </w:r>
      <w:r>
        <w:rPr/>
        <w:t>the</w:t>
      </w:r>
      <w:r>
        <w:rPr>
          <w:spacing w:val="-8"/>
        </w:rPr>
        <w:t> </w:t>
      </w:r>
      <w:r>
        <w:rPr/>
        <w:t>IASB.</w:t>
      </w:r>
      <w:r>
        <w:rPr>
          <w:spacing w:val="-7"/>
        </w:rPr>
        <w:t> </w:t>
      </w:r>
      <w:r>
        <w:rPr/>
        <w:t>The</w:t>
      </w:r>
      <w:r>
        <w:rPr>
          <w:spacing w:val="-8"/>
        </w:rPr>
        <w:t> </w:t>
      </w:r>
      <w:r>
        <w:rPr/>
        <w:t>adoption</w:t>
      </w:r>
      <w:r>
        <w:rPr>
          <w:spacing w:val="-7"/>
        </w:rPr>
        <w:t> </w:t>
      </w:r>
      <w:r>
        <w:rPr/>
        <w:t>of</w:t>
      </w:r>
      <w:r>
        <w:rPr>
          <w:spacing w:val="-8"/>
        </w:rPr>
        <w:t> </w:t>
      </w:r>
      <w:r>
        <w:rPr/>
        <w:t>IFRS</w:t>
      </w:r>
      <w:r>
        <w:rPr>
          <w:spacing w:val="-7"/>
        </w:rPr>
        <w:t> </w:t>
      </w:r>
      <w:r>
        <w:rPr/>
        <w:t>in</w:t>
      </w:r>
      <w:r>
        <w:rPr>
          <w:spacing w:val="-7"/>
        </w:rPr>
        <w:t> </w:t>
      </w:r>
      <w:r>
        <w:rPr/>
        <w:t>Nigeria</w:t>
      </w:r>
      <w:r>
        <w:rPr>
          <w:spacing w:val="-7"/>
        </w:rPr>
        <w:t> </w:t>
      </w:r>
      <w:r>
        <w:rPr/>
        <w:t>was</w:t>
      </w:r>
      <w:r>
        <w:rPr>
          <w:spacing w:val="-7"/>
        </w:rPr>
        <w:t> </w:t>
      </w:r>
      <w:r>
        <w:rPr/>
        <w:t>in</w:t>
      </w:r>
      <w:r>
        <w:rPr>
          <w:spacing w:val="-7"/>
        </w:rPr>
        <w:t> </w:t>
      </w:r>
      <w:r>
        <w:rPr/>
        <w:t>September, 2010,</w:t>
      </w:r>
      <w:r>
        <w:rPr>
          <w:spacing w:val="-5"/>
        </w:rPr>
        <w:t> </w:t>
      </w:r>
      <w:r>
        <w:rPr/>
        <w:t>such</w:t>
      </w:r>
      <w:r>
        <w:rPr>
          <w:spacing w:val="-6"/>
        </w:rPr>
        <w:t> </w:t>
      </w:r>
      <w:r>
        <w:rPr/>
        <w:t>that</w:t>
      </w:r>
      <w:r>
        <w:rPr>
          <w:spacing w:val="-5"/>
        </w:rPr>
        <w:t> </w:t>
      </w:r>
      <w:r>
        <w:rPr/>
        <w:t>the</w:t>
      </w:r>
      <w:r>
        <w:rPr>
          <w:spacing w:val="-3"/>
        </w:rPr>
        <w:t> </w:t>
      </w:r>
      <w:r>
        <w:rPr/>
        <w:t>entire</w:t>
      </w:r>
      <w:r>
        <w:rPr>
          <w:spacing w:val="-5"/>
        </w:rPr>
        <w:t> </w:t>
      </w:r>
      <w:r>
        <w:rPr/>
        <w:t>stakeholders</w:t>
      </w:r>
      <w:r>
        <w:rPr>
          <w:spacing w:val="-5"/>
        </w:rPr>
        <w:t> </w:t>
      </w:r>
      <w:r>
        <w:rPr/>
        <w:t>that</w:t>
      </w:r>
      <w:r>
        <w:rPr>
          <w:spacing w:val="-5"/>
        </w:rPr>
        <w:t> </w:t>
      </w:r>
      <w:r>
        <w:rPr/>
        <w:t>prepared</w:t>
      </w:r>
      <w:r>
        <w:rPr>
          <w:spacing w:val="-5"/>
        </w:rPr>
        <w:t> </w:t>
      </w:r>
      <w:r>
        <w:rPr/>
        <w:t>and</w:t>
      </w:r>
      <w:r>
        <w:rPr>
          <w:spacing w:val="-6"/>
        </w:rPr>
        <w:t> </w:t>
      </w:r>
      <w:r>
        <w:rPr/>
        <w:t>presented</w:t>
      </w:r>
      <w:r>
        <w:rPr>
          <w:spacing w:val="-3"/>
        </w:rPr>
        <w:t> </w:t>
      </w:r>
      <w:r>
        <w:rPr/>
        <w:t>financial</w:t>
      </w:r>
      <w:r>
        <w:rPr>
          <w:spacing w:val="-4"/>
        </w:rPr>
        <w:t> </w:t>
      </w:r>
      <w:r>
        <w:rPr/>
        <w:t>statements</w:t>
      </w:r>
      <w:r>
        <w:rPr>
          <w:spacing w:val="-5"/>
        </w:rPr>
        <w:t> </w:t>
      </w:r>
      <w:r>
        <w:rPr/>
        <w:t>used</w:t>
      </w:r>
      <w:r>
        <w:rPr>
          <w:spacing w:val="-6"/>
        </w:rPr>
        <w:t> </w:t>
      </w:r>
      <w:r>
        <w:rPr/>
        <w:t>it by the beginning of 2014. The adoption was in such a way that: all the first tier companies listed on the stock exchange and are of public interest use it by 2012; all other company of public</w:t>
      </w:r>
      <w:r>
        <w:rPr>
          <w:spacing w:val="-10"/>
        </w:rPr>
        <w:t> </w:t>
      </w:r>
      <w:r>
        <w:rPr/>
        <w:t>interest</w:t>
      </w:r>
      <w:r>
        <w:rPr>
          <w:spacing w:val="-9"/>
        </w:rPr>
        <w:t> </w:t>
      </w:r>
      <w:r>
        <w:rPr/>
        <w:t>but</w:t>
      </w:r>
      <w:r>
        <w:rPr>
          <w:spacing w:val="-9"/>
        </w:rPr>
        <w:t> </w:t>
      </w:r>
      <w:r>
        <w:rPr/>
        <w:t>not</w:t>
      </w:r>
      <w:r>
        <w:rPr>
          <w:spacing w:val="-12"/>
        </w:rPr>
        <w:t> </w:t>
      </w:r>
      <w:r>
        <w:rPr/>
        <w:t>first</w:t>
      </w:r>
      <w:r>
        <w:rPr>
          <w:spacing w:val="-9"/>
        </w:rPr>
        <w:t> </w:t>
      </w:r>
      <w:r>
        <w:rPr/>
        <w:t>tier</w:t>
      </w:r>
      <w:r>
        <w:rPr>
          <w:spacing w:val="-10"/>
        </w:rPr>
        <w:t> </w:t>
      </w:r>
      <w:r>
        <w:rPr/>
        <w:t>were</w:t>
      </w:r>
      <w:r>
        <w:rPr>
          <w:spacing w:val="-11"/>
        </w:rPr>
        <w:t> </w:t>
      </w:r>
      <w:r>
        <w:rPr/>
        <w:t>to</w:t>
      </w:r>
      <w:r>
        <w:rPr>
          <w:spacing w:val="-9"/>
        </w:rPr>
        <w:t> </w:t>
      </w:r>
      <w:r>
        <w:rPr/>
        <w:t>adopt</w:t>
      </w:r>
      <w:r>
        <w:rPr>
          <w:spacing w:val="-9"/>
        </w:rPr>
        <w:t> </w:t>
      </w:r>
      <w:r>
        <w:rPr/>
        <w:t>it</w:t>
      </w:r>
      <w:r>
        <w:rPr>
          <w:spacing w:val="-9"/>
        </w:rPr>
        <w:t> </w:t>
      </w:r>
      <w:r>
        <w:rPr/>
        <w:t>in</w:t>
      </w:r>
      <w:r>
        <w:rPr>
          <w:spacing w:val="-12"/>
        </w:rPr>
        <w:t> </w:t>
      </w:r>
      <w:r>
        <w:rPr/>
        <w:t>2013;</w:t>
      </w:r>
      <w:r>
        <w:rPr>
          <w:spacing w:val="-9"/>
        </w:rPr>
        <w:t> </w:t>
      </w:r>
      <w:r>
        <w:rPr/>
        <w:t>and</w:t>
      </w:r>
      <w:r>
        <w:rPr>
          <w:spacing w:val="-10"/>
        </w:rPr>
        <w:t> </w:t>
      </w:r>
      <w:r>
        <w:rPr/>
        <w:t>all</w:t>
      </w:r>
      <w:r>
        <w:rPr>
          <w:spacing w:val="-9"/>
        </w:rPr>
        <w:t> </w:t>
      </w:r>
      <w:r>
        <w:rPr/>
        <w:t>small</w:t>
      </w:r>
      <w:r>
        <w:rPr>
          <w:spacing w:val="-11"/>
        </w:rPr>
        <w:t> </w:t>
      </w:r>
      <w:r>
        <w:rPr/>
        <w:t>and</w:t>
      </w:r>
      <w:r>
        <w:rPr>
          <w:spacing w:val="-10"/>
        </w:rPr>
        <w:t> </w:t>
      </w:r>
      <w:r>
        <w:rPr/>
        <w:t>medium</w:t>
      </w:r>
      <w:r>
        <w:rPr>
          <w:spacing w:val="-9"/>
        </w:rPr>
        <w:t> </w:t>
      </w:r>
      <w:r>
        <w:rPr/>
        <w:t>scale</w:t>
      </w:r>
      <w:r>
        <w:rPr>
          <w:spacing w:val="-10"/>
        </w:rPr>
        <w:t> </w:t>
      </w:r>
      <w:r>
        <w:rPr/>
        <w:t>entities used it by January, 2014.</w:t>
      </w:r>
    </w:p>
    <w:p>
      <w:pPr>
        <w:pStyle w:val="BodyText"/>
        <w:spacing w:line="480" w:lineRule="auto" w:before="200"/>
        <w:ind w:left="940" w:right="1435"/>
        <w:jc w:val="both"/>
      </w:pPr>
      <w:r>
        <w:rPr/>
        <w:t>The wide spread adoption of IFRSs has not been devoid of arguments on its benefit and challenges. For instance, Mathkur (2015) stated that the benefits of IFRSs adoption could be appraised from the individual benefits to companies, capital markets and other stakeholders such as investors, lenders and government. The benefits to companies are: IFRS improve the comparability of financial information across borders; it facilitates the raising of corporate finance by obtaining stock market listings across borders; it enhances financial transparency and reduces the practice of financial principle shopping; and it makes it easier for companies to tap into a wealth of expertise from professionals well-versed with IFRS from anywhere around the globe where IFRS are applied. This injects world-class IFRS professionalism into a company’s human resource component and eliminates the need for multi-national corporations</w:t>
      </w:r>
      <w:r>
        <w:rPr>
          <w:spacing w:val="-12"/>
        </w:rPr>
        <w:t> </w:t>
      </w:r>
      <w:r>
        <w:rPr/>
        <w:t>having</w:t>
      </w:r>
      <w:r>
        <w:rPr>
          <w:spacing w:val="-12"/>
        </w:rPr>
        <w:t> </w:t>
      </w:r>
      <w:r>
        <w:rPr/>
        <w:t>to</w:t>
      </w:r>
      <w:r>
        <w:rPr>
          <w:spacing w:val="-12"/>
        </w:rPr>
        <w:t> </w:t>
      </w:r>
      <w:r>
        <w:rPr/>
        <w:t>prepare</w:t>
      </w:r>
      <w:r>
        <w:rPr>
          <w:spacing w:val="-14"/>
        </w:rPr>
        <w:t> </w:t>
      </w:r>
      <w:r>
        <w:rPr/>
        <w:t>different</w:t>
      </w:r>
      <w:r>
        <w:rPr>
          <w:spacing w:val="-12"/>
        </w:rPr>
        <w:t> </w:t>
      </w:r>
      <w:r>
        <w:rPr/>
        <w:t>sets</w:t>
      </w:r>
      <w:r>
        <w:rPr>
          <w:spacing w:val="-11"/>
        </w:rPr>
        <w:t> </w:t>
      </w:r>
      <w:r>
        <w:rPr/>
        <w:t>of</w:t>
      </w:r>
      <w:r>
        <w:rPr>
          <w:spacing w:val="-11"/>
        </w:rPr>
        <w:t> </w:t>
      </w:r>
      <w:r>
        <w:rPr/>
        <w:t>accounting</w:t>
      </w:r>
      <w:r>
        <w:rPr>
          <w:spacing w:val="-12"/>
        </w:rPr>
        <w:t> </w:t>
      </w:r>
      <w:r>
        <w:rPr/>
        <w:t>reports</w:t>
      </w:r>
      <w:r>
        <w:rPr>
          <w:spacing w:val="-12"/>
        </w:rPr>
        <w:t> </w:t>
      </w:r>
      <w:r>
        <w:rPr/>
        <w:t>to</w:t>
      </w:r>
      <w:r>
        <w:rPr>
          <w:spacing w:val="-12"/>
        </w:rPr>
        <w:t> </w:t>
      </w:r>
      <w:r>
        <w:rPr/>
        <w:t>cater</w:t>
      </w:r>
      <w:r>
        <w:rPr>
          <w:spacing w:val="-11"/>
        </w:rPr>
        <w:t> </w:t>
      </w:r>
      <w:r>
        <w:rPr/>
        <w:t>for</w:t>
      </w:r>
      <w:r>
        <w:rPr>
          <w:spacing w:val="-13"/>
        </w:rPr>
        <w:t> </w:t>
      </w:r>
      <w:r>
        <w:rPr/>
        <w:t>their</w:t>
      </w:r>
      <w:r>
        <w:rPr>
          <w:spacing w:val="-13"/>
        </w:rPr>
        <w:t> </w:t>
      </w:r>
      <w:r>
        <w:rPr/>
        <w:t>subsidiaries domiciled in other countries. This greatly reduces the translation costs. The benefits to the capital markets are: capital markets are able to raise more capital for companies due to increased</w:t>
      </w:r>
      <w:r>
        <w:rPr>
          <w:spacing w:val="-9"/>
        </w:rPr>
        <w:t> </w:t>
      </w:r>
      <w:r>
        <w:rPr/>
        <w:t>cross-border</w:t>
      </w:r>
      <w:r>
        <w:rPr>
          <w:spacing w:val="-10"/>
        </w:rPr>
        <w:t> </w:t>
      </w:r>
      <w:r>
        <w:rPr/>
        <w:t>listings</w:t>
      </w:r>
      <w:r>
        <w:rPr>
          <w:spacing w:val="-9"/>
        </w:rPr>
        <w:t> </w:t>
      </w:r>
      <w:r>
        <w:rPr/>
        <w:t>and</w:t>
      </w:r>
      <w:r>
        <w:rPr>
          <w:spacing w:val="-9"/>
        </w:rPr>
        <w:t> </w:t>
      </w:r>
      <w:r>
        <w:rPr/>
        <w:t>greater</w:t>
      </w:r>
      <w:r>
        <w:rPr>
          <w:spacing w:val="-10"/>
        </w:rPr>
        <w:t> </w:t>
      </w:r>
      <w:r>
        <w:rPr/>
        <w:t>capital</w:t>
      </w:r>
      <w:r>
        <w:rPr>
          <w:spacing w:val="-9"/>
        </w:rPr>
        <w:t> </w:t>
      </w:r>
      <w:r>
        <w:rPr/>
        <w:t>market</w:t>
      </w:r>
      <w:r>
        <w:rPr>
          <w:spacing w:val="-9"/>
        </w:rPr>
        <w:t> </w:t>
      </w:r>
      <w:r>
        <w:rPr/>
        <w:t>liquidity</w:t>
      </w:r>
      <w:r>
        <w:rPr>
          <w:spacing w:val="-5"/>
        </w:rPr>
        <w:t> </w:t>
      </w:r>
      <w:r>
        <w:rPr/>
        <w:t>due</w:t>
      </w:r>
      <w:r>
        <w:rPr>
          <w:spacing w:val="-10"/>
        </w:rPr>
        <w:t> </w:t>
      </w:r>
      <w:r>
        <w:rPr/>
        <w:t>to</w:t>
      </w:r>
      <w:r>
        <w:rPr>
          <w:spacing w:val="-9"/>
        </w:rPr>
        <w:t> </w:t>
      </w:r>
      <w:r>
        <w:rPr/>
        <w:t>increased</w:t>
      </w:r>
      <w:r>
        <w:rPr>
          <w:spacing w:val="-9"/>
        </w:rPr>
        <w:t> </w:t>
      </w:r>
      <w:r>
        <w:rPr/>
        <w:t>confidence in IFRS compliant financial statements. The benefit to investors is that the cross-border adoption of IFRS by firms facilitates the analysis and comparison of financial statements by potential investors. Since the underlying preparation concepts are harmonized, potential investors do not have to worry about the laborious task of making adjustments. To lenders, IFRS-prepared</w:t>
      </w:r>
      <w:r>
        <w:rPr>
          <w:spacing w:val="31"/>
        </w:rPr>
        <w:t> </w:t>
      </w:r>
      <w:r>
        <w:rPr/>
        <w:t>financial</w:t>
      </w:r>
      <w:r>
        <w:rPr>
          <w:spacing w:val="33"/>
        </w:rPr>
        <w:t> </w:t>
      </w:r>
      <w:r>
        <w:rPr/>
        <w:t>statements</w:t>
      </w:r>
      <w:r>
        <w:rPr>
          <w:spacing w:val="31"/>
        </w:rPr>
        <w:t> </w:t>
      </w:r>
      <w:r>
        <w:rPr/>
        <w:t>have</w:t>
      </w:r>
      <w:r>
        <w:rPr>
          <w:spacing w:val="30"/>
        </w:rPr>
        <w:t> </w:t>
      </w:r>
      <w:r>
        <w:rPr/>
        <w:t>higher</w:t>
      </w:r>
      <w:r>
        <w:rPr>
          <w:spacing w:val="32"/>
        </w:rPr>
        <w:t> </w:t>
      </w:r>
      <w:r>
        <w:rPr/>
        <w:t>quality</w:t>
      </w:r>
      <w:r>
        <w:rPr>
          <w:spacing w:val="32"/>
        </w:rPr>
        <w:t> </w:t>
      </w:r>
      <w:r>
        <w:rPr/>
        <w:t>information</w:t>
      </w:r>
      <w:r>
        <w:rPr>
          <w:spacing w:val="31"/>
        </w:rPr>
        <w:t> </w:t>
      </w:r>
      <w:r>
        <w:rPr/>
        <w:t>and</w:t>
      </w:r>
      <w:r>
        <w:rPr>
          <w:spacing w:val="31"/>
        </w:rPr>
        <w:t> </w:t>
      </w:r>
      <w:r>
        <w:rPr/>
        <w:t>greatly</w:t>
      </w:r>
      <w:r>
        <w:rPr>
          <w:spacing w:val="31"/>
        </w:rPr>
        <w:t> </w:t>
      </w:r>
      <w:r>
        <w:rPr/>
        <w:t>reduce</w:t>
      </w:r>
      <w:r>
        <w:rPr>
          <w:spacing w:val="31"/>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3712">
            <wp:simplePos x="0" y="0"/>
            <wp:positionH relativeFrom="page">
              <wp:posOffset>1095451</wp:posOffset>
            </wp:positionH>
            <wp:positionV relativeFrom="paragraph">
              <wp:posOffset>1850770</wp:posOffset>
            </wp:positionV>
            <wp:extent cx="5106847" cy="523811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5" cstate="print"/>
                    <a:stretch>
                      <a:fillRect/>
                    </a:stretch>
                  </pic:blipFill>
                  <pic:spPr>
                    <a:xfrm>
                      <a:off x="0" y="0"/>
                      <a:ext cx="5106847" cy="5238115"/>
                    </a:xfrm>
                    <a:prstGeom prst="rect">
                      <a:avLst/>
                    </a:prstGeom>
                  </pic:spPr>
                </pic:pic>
              </a:graphicData>
            </a:graphic>
          </wp:anchor>
        </w:drawing>
      </w:r>
      <w:r>
        <w:rPr/>
        <w:t>risks</w:t>
      </w:r>
      <w:r>
        <w:rPr>
          <w:spacing w:val="-7"/>
        </w:rPr>
        <w:t> </w:t>
      </w:r>
      <w:r>
        <w:rPr/>
        <w:t>associated</w:t>
      </w:r>
      <w:r>
        <w:rPr>
          <w:spacing w:val="-7"/>
        </w:rPr>
        <w:t> </w:t>
      </w:r>
      <w:r>
        <w:rPr/>
        <w:t>with</w:t>
      </w:r>
      <w:r>
        <w:rPr>
          <w:spacing w:val="-6"/>
        </w:rPr>
        <w:t> </w:t>
      </w:r>
      <w:r>
        <w:rPr/>
        <w:t>subjective</w:t>
      </w:r>
      <w:r>
        <w:rPr>
          <w:spacing w:val="-8"/>
        </w:rPr>
        <w:t> </w:t>
      </w:r>
      <w:r>
        <w:rPr/>
        <w:t>judgment</w:t>
      </w:r>
      <w:r>
        <w:rPr>
          <w:spacing w:val="-6"/>
        </w:rPr>
        <w:t> </w:t>
      </w:r>
      <w:r>
        <w:rPr/>
        <w:t>provisions</w:t>
      </w:r>
      <w:r>
        <w:rPr>
          <w:spacing w:val="-6"/>
        </w:rPr>
        <w:t> </w:t>
      </w:r>
      <w:r>
        <w:rPr/>
        <w:t>inherent</w:t>
      </w:r>
      <w:r>
        <w:rPr>
          <w:spacing w:val="-6"/>
        </w:rPr>
        <w:t> </w:t>
      </w:r>
      <w:r>
        <w:rPr/>
        <w:t>in</w:t>
      </w:r>
      <w:r>
        <w:rPr>
          <w:spacing w:val="-6"/>
        </w:rPr>
        <w:t> </w:t>
      </w:r>
      <w:r>
        <w:rPr/>
        <w:t>non-IFRS</w:t>
      </w:r>
      <w:r>
        <w:rPr>
          <w:spacing w:val="-6"/>
        </w:rPr>
        <w:t> </w:t>
      </w:r>
      <w:r>
        <w:rPr/>
        <w:t>standards.</w:t>
      </w:r>
      <w:r>
        <w:rPr>
          <w:spacing w:val="-6"/>
        </w:rPr>
        <w:t> </w:t>
      </w:r>
      <w:r>
        <w:rPr/>
        <w:t>As</w:t>
      </w:r>
      <w:r>
        <w:rPr>
          <w:spacing w:val="-7"/>
        </w:rPr>
        <w:t> </w:t>
      </w:r>
      <w:r>
        <w:rPr/>
        <w:t>such, other factors constantly and this greatly checks against distortions. Again, IFRS-prepared financial statements facilitate risk evaluations by lenders and this leads to low risk premiums. To the government, since financial reporting regime is an important determinant of aggregate economic outcome, IFRS that are of higher quality than most country-specific GAAP play a pivotal role in the macro-economic development of a country’s financial system (Shleifer &amp; Vishny, 1997; La Porta, Lopez-de-Silanes, Shleifer &amp; Vishny, 2000).</w:t>
      </w:r>
    </w:p>
    <w:p>
      <w:pPr>
        <w:pStyle w:val="BodyText"/>
        <w:spacing w:line="480" w:lineRule="auto" w:before="1"/>
        <w:ind w:left="940" w:right="1435"/>
        <w:jc w:val="both"/>
      </w:pPr>
      <w:r>
        <w:rPr/>
        <w:t>According to Owolabi and Iyoha (2012), proponents of IFRSs adoption argue that substantial benefits can be reaped from a greater cross-country comparability of firms’ financial reports. Owolabi</w:t>
      </w:r>
      <w:r>
        <w:rPr>
          <w:spacing w:val="-15"/>
        </w:rPr>
        <w:t> </w:t>
      </w:r>
      <w:r>
        <w:rPr/>
        <w:t>and</w:t>
      </w:r>
      <w:r>
        <w:rPr>
          <w:spacing w:val="-15"/>
        </w:rPr>
        <w:t> </w:t>
      </w:r>
      <w:r>
        <w:rPr/>
        <w:t>Iyoha</w:t>
      </w:r>
      <w:r>
        <w:rPr>
          <w:spacing w:val="-15"/>
        </w:rPr>
        <w:t> </w:t>
      </w:r>
      <w:r>
        <w:rPr/>
        <w:t>(2012)</w:t>
      </w:r>
      <w:r>
        <w:rPr>
          <w:spacing w:val="-15"/>
        </w:rPr>
        <w:t> </w:t>
      </w:r>
      <w:r>
        <w:rPr/>
        <w:t>further</w:t>
      </w:r>
      <w:r>
        <w:rPr>
          <w:spacing w:val="-15"/>
        </w:rPr>
        <w:t> </w:t>
      </w:r>
      <w:r>
        <w:rPr/>
        <w:t>stated</w:t>
      </w:r>
      <w:r>
        <w:rPr>
          <w:spacing w:val="-15"/>
        </w:rPr>
        <w:t> </w:t>
      </w:r>
      <w:r>
        <w:rPr/>
        <w:t>that</w:t>
      </w:r>
      <w:r>
        <w:rPr>
          <w:spacing w:val="-15"/>
        </w:rPr>
        <w:t> </w:t>
      </w:r>
      <w:r>
        <w:rPr/>
        <w:t>countries</w:t>
      </w:r>
      <w:r>
        <w:rPr>
          <w:spacing w:val="-15"/>
        </w:rPr>
        <w:t> </w:t>
      </w:r>
      <w:r>
        <w:rPr/>
        <w:t>chose</w:t>
      </w:r>
      <w:r>
        <w:rPr>
          <w:spacing w:val="-15"/>
        </w:rPr>
        <w:t> </w:t>
      </w:r>
      <w:r>
        <w:rPr/>
        <w:t>to</w:t>
      </w:r>
      <w:r>
        <w:rPr>
          <w:spacing w:val="-15"/>
        </w:rPr>
        <w:t> </w:t>
      </w:r>
      <w:r>
        <w:rPr/>
        <w:t>adopt</w:t>
      </w:r>
      <w:r>
        <w:rPr>
          <w:spacing w:val="-15"/>
        </w:rPr>
        <w:t> </w:t>
      </w:r>
      <w:r>
        <w:rPr/>
        <w:t>IFRS</w:t>
      </w:r>
      <w:r>
        <w:rPr>
          <w:spacing w:val="-15"/>
        </w:rPr>
        <w:t> </w:t>
      </w:r>
      <w:r>
        <w:rPr/>
        <w:t>because</w:t>
      </w:r>
      <w:r>
        <w:rPr>
          <w:spacing w:val="-15"/>
        </w:rPr>
        <w:t> </w:t>
      </w:r>
      <w:r>
        <w:rPr/>
        <w:t>it</w:t>
      </w:r>
      <w:r>
        <w:rPr>
          <w:spacing w:val="-15"/>
        </w:rPr>
        <w:t> </w:t>
      </w:r>
      <w:r>
        <w:rPr/>
        <w:t>increased the share of foreign capital and trade in an economy. Similarly, Barth (2007) argued that by adopting a common body of international standards, countries could expect to lower the cost of</w:t>
      </w:r>
      <w:r>
        <w:rPr>
          <w:spacing w:val="-2"/>
        </w:rPr>
        <w:t> </w:t>
      </w:r>
      <w:r>
        <w:rPr/>
        <w:t>information</w:t>
      </w:r>
      <w:r>
        <w:rPr>
          <w:spacing w:val="-1"/>
        </w:rPr>
        <w:t> </w:t>
      </w:r>
      <w:r>
        <w:rPr/>
        <w:t>processing</w:t>
      </w:r>
      <w:r>
        <w:rPr>
          <w:spacing w:val="-1"/>
        </w:rPr>
        <w:t> </w:t>
      </w:r>
      <w:r>
        <w:rPr/>
        <w:t>and</w:t>
      </w:r>
      <w:r>
        <w:rPr>
          <w:spacing w:val="-1"/>
        </w:rPr>
        <w:t> </w:t>
      </w:r>
      <w:r>
        <w:rPr/>
        <w:t>auditors</w:t>
      </w:r>
      <w:r>
        <w:rPr>
          <w:spacing w:val="-2"/>
        </w:rPr>
        <w:t> </w:t>
      </w:r>
      <w:r>
        <w:rPr/>
        <w:t>of</w:t>
      </w:r>
      <w:r>
        <w:rPr>
          <w:spacing w:val="-2"/>
        </w:rPr>
        <w:t> </w:t>
      </w:r>
      <w:r>
        <w:rPr/>
        <w:t>financial</w:t>
      </w:r>
      <w:r>
        <w:rPr>
          <w:spacing w:val="-1"/>
        </w:rPr>
        <w:t> </w:t>
      </w:r>
      <w:r>
        <w:rPr/>
        <w:t>reports</w:t>
      </w:r>
      <w:r>
        <w:rPr>
          <w:spacing w:val="-1"/>
        </w:rPr>
        <w:t> </w:t>
      </w:r>
      <w:r>
        <w:rPr/>
        <w:t>became</w:t>
      </w:r>
      <w:r>
        <w:rPr>
          <w:spacing w:val="-1"/>
        </w:rPr>
        <w:t> </w:t>
      </w:r>
      <w:r>
        <w:rPr/>
        <w:t>familiar</w:t>
      </w:r>
      <w:r>
        <w:rPr>
          <w:spacing w:val="-2"/>
        </w:rPr>
        <w:t> </w:t>
      </w:r>
      <w:r>
        <w:rPr/>
        <w:t>with</w:t>
      </w:r>
      <w:r>
        <w:rPr>
          <w:spacing w:val="-1"/>
        </w:rPr>
        <w:t> </w:t>
      </w:r>
      <w:r>
        <w:rPr/>
        <w:t>one</w:t>
      </w:r>
      <w:r>
        <w:rPr>
          <w:spacing w:val="-2"/>
        </w:rPr>
        <w:t> </w:t>
      </w:r>
      <w:r>
        <w:rPr/>
        <w:t>common set of international accounting standards than with various local accounting standards. Other benefits include reduced costs of capital, higher level of transparency, greater financial disclosure than local GAAP, restricted discretionary reporting and information asymmetry (Limanto &amp; Fanani, 2014; Onalo, Lizam &amp; Kasiri, 2014).</w:t>
      </w:r>
      <w:r>
        <w:rPr>
          <w:spacing w:val="40"/>
        </w:rPr>
        <w:t> </w:t>
      </w:r>
      <w:r>
        <w:rPr/>
        <w:t>According to Odia and Ogiedu (2013), IFRSs adoption will lead to greater transparency and understandability of financial reports,</w:t>
      </w:r>
      <w:r>
        <w:rPr>
          <w:spacing w:val="-10"/>
        </w:rPr>
        <w:t> </w:t>
      </w:r>
      <w:r>
        <w:rPr/>
        <w:t>a</w:t>
      </w:r>
      <w:r>
        <w:rPr>
          <w:spacing w:val="-6"/>
        </w:rPr>
        <w:t> </w:t>
      </w:r>
      <w:r>
        <w:rPr/>
        <w:t>lower</w:t>
      </w:r>
      <w:r>
        <w:rPr>
          <w:spacing w:val="-6"/>
        </w:rPr>
        <w:t> </w:t>
      </w:r>
      <w:r>
        <w:rPr/>
        <w:t>cost</w:t>
      </w:r>
      <w:r>
        <w:rPr>
          <w:spacing w:val="-4"/>
        </w:rPr>
        <w:t> </w:t>
      </w:r>
      <w:r>
        <w:rPr/>
        <w:t>of</w:t>
      </w:r>
      <w:r>
        <w:rPr>
          <w:spacing w:val="-6"/>
        </w:rPr>
        <w:t> </w:t>
      </w:r>
      <w:r>
        <w:rPr/>
        <w:t>capital</w:t>
      </w:r>
      <w:r>
        <w:rPr>
          <w:spacing w:val="-4"/>
        </w:rPr>
        <w:t> </w:t>
      </w:r>
      <w:r>
        <w:rPr/>
        <w:t>to</w:t>
      </w:r>
      <w:r>
        <w:rPr>
          <w:spacing w:val="-15"/>
        </w:rPr>
        <w:t> </w:t>
      </w:r>
      <w:r>
        <w:rPr/>
        <w:t>companies</w:t>
      </w:r>
      <w:r>
        <w:rPr>
          <w:spacing w:val="-5"/>
        </w:rPr>
        <w:t> </w:t>
      </w:r>
      <w:r>
        <w:rPr/>
        <w:t>and</w:t>
      </w:r>
      <w:r>
        <w:rPr>
          <w:spacing w:val="-5"/>
        </w:rPr>
        <w:t> </w:t>
      </w:r>
      <w:r>
        <w:rPr/>
        <w:t>higher</w:t>
      </w:r>
      <w:r>
        <w:rPr>
          <w:spacing w:val="-6"/>
        </w:rPr>
        <w:t> </w:t>
      </w:r>
      <w:r>
        <w:rPr/>
        <w:t>share</w:t>
      </w:r>
      <w:r>
        <w:rPr>
          <w:spacing w:val="-7"/>
        </w:rPr>
        <w:t> </w:t>
      </w:r>
      <w:r>
        <w:rPr/>
        <w:t>prices</w:t>
      </w:r>
      <w:r>
        <w:rPr>
          <w:spacing w:val="-5"/>
        </w:rPr>
        <w:t> </w:t>
      </w:r>
      <w:r>
        <w:rPr/>
        <w:t>(due</w:t>
      </w:r>
      <w:r>
        <w:rPr>
          <w:spacing w:val="-7"/>
        </w:rPr>
        <w:t> </w:t>
      </w:r>
      <w:r>
        <w:rPr/>
        <w:t>to</w:t>
      </w:r>
      <w:r>
        <w:rPr>
          <w:spacing w:val="-4"/>
        </w:rPr>
        <w:t> </w:t>
      </w:r>
      <w:r>
        <w:rPr/>
        <w:t>greater</w:t>
      </w:r>
      <w:r>
        <w:rPr>
          <w:spacing w:val="-6"/>
        </w:rPr>
        <w:t> </w:t>
      </w:r>
      <w:r>
        <w:rPr/>
        <w:t>confidence of investors and transparent information), reduced national standard-setting costs, ease of regulation of securities markets, easier comparability of financial data across borders and assessory</w:t>
      </w:r>
      <w:r>
        <w:rPr>
          <w:spacing w:val="-14"/>
        </w:rPr>
        <w:t> </w:t>
      </w:r>
      <w:r>
        <w:rPr/>
        <w:t>investment</w:t>
      </w:r>
      <w:r>
        <w:rPr>
          <w:spacing w:val="-14"/>
        </w:rPr>
        <w:t> </w:t>
      </w:r>
      <w:r>
        <w:rPr/>
        <w:t>opportunities,</w:t>
      </w:r>
      <w:r>
        <w:rPr>
          <w:spacing w:val="-14"/>
        </w:rPr>
        <w:t> </w:t>
      </w:r>
      <w:r>
        <w:rPr/>
        <w:t>increased</w:t>
      </w:r>
      <w:r>
        <w:rPr>
          <w:spacing w:val="-12"/>
        </w:rPr>
        <w:t> </w:t>
      </w:r>
      <w:r>
        <w:rPr/>
        <w:t>credibility</w:t>
      </w:r>
      <w:r>
        <w:rPr>
          <w:spacing w:val="-14"/>
        </w:rPr>
        <w:t> </w:t>
      </w:r>
      <w:r>
        <w:rPr/>
        <w:t>of</w:t>
      </w:r>
      <w:r>
        <w:rPr>
          <w:spacing w:val="-14"/>
        </w:rPr>
        <w:t> </w:t>
      </w:r>
      <w:r>
        <w:rPr/>
        <w:t>domestic</w:t>
      </w:r>
      <w:r>
        <w:rPr>
          <w:spacing w:val="-14"/>
        </w:rPr>
        <w:t> </w:t>
      </w:r>
      <w:r>
        <w:rPr/>
        <w:t>markets</w:t>
      </w:r>
      <w:r>
        <w:rPr>
          <w:spacing w:val="-13"/>
        </w:rPr>
        <w:t> </w:t>
      </w:r>
      <w:r>
        <w:rPr/>
        <w:t>to</w:t>
      </w:r>
      <w:r>
        <w:rPr>
          <w:spacing w:val="-14"/>
        </w:rPr>
        <w:t> </w:t>
      </w:r>
      <w:r>
        <w:rPr/>
        <w:t>foreign</w:t>
      </w:r>
      <w:r>
        <w:rPr>
          <w:spacing w:val="-14"/>
        </w:rPr>
        <w:t> </w:t>
      </w:r>
      <w:r>
        <w:rPr/>
        <w:t>capital providers and potentials</w:t>
      </w:r>
      <w:r>
        <w:rPr>
          <w:spacing w:val="-13"/>
        </w:rPr>
        <w:t> </w:t>
      </w:r>
      <w:r>
        <w:rPr/>
        <w:t>foreign merger partners, and potential lenders of financial statements from</w:t>
      </w:r>
      <w:r>
        <w:rPr>
          <w:spacing w:val="-6"/>
        </w:rPr>
        <w:t> </w:t>
      </w:r>
      <w:r>
        <w:rPr/>
        <w:t>companies</w:t>
      </w:r>
      <w:r>
        <w:rPr>
          <w:spacing w:val="-3"/>
        </w:rPr>
        <w:t> </w:t>
      </w:r>
      <w:r>
        <w:rPr/>
        <w:t>in</w:t>
      </w:r>
      <w:r>
        <w:rPr>
          <w:spacing w:val="-3"/>
        </w:rPr>
        <w:t> </w:t>
      </w:r>
      <w:r>
        <w:rPr/>
        <w:t>less-developed</w:t>
      </w:r>
      <w:r>
        <w:rPr>
          <w:spacing w:val="-3"/>
        </w:rPr>
        <w:t> </w:t>
      </w:r>
      <w:r>
        <w:rPr/>
        <w:t>countries.</w:t>
      </w:r>
      <w:r>
        <w:rPr>
          <w:spacing w:val="-2"/>
        </w:rPr>
        <w:t> </w:t>
      </w:r>
      <w:r>
        <w:rPr/>
        <w:t>It</w:t>
      </w:r>
      <w:r>
        <w:rPr>
          <w:spacing w:val="-15"/>
        </w:rPr>
        <w:t> </w:t>
      </w:r>
      <w:r>
        <w:rPr/>
        <w:t>will</w:t>
      </w:r>
      <w:r>
        <w:rPr>
          <w:spacing w:val="-3"/>
        </w:rPr>
        <w:t> </w:t>
      </w:r>
      <w:r>
        <w:rPr/>
        <w:t>also</w:t>
      </w:r>
      <w:r>
        <w:rPr>
          <w:spacing w:val="-3"/>
        </w:rPr>
        <w:t> </w:t>
      </w:r>
      <w:r>
        <w:rPr/>
        <w:t>facilitate</w:t>
      </w:r>
      <w:r>
        <w:rPr>
          <w:spacing w:val="-3"/>
        </w:rPr>
        <w:t> </w:t>
      </w:r>
      <w:r>
        <w:rPr/>
        <w:t>easier</w:t>
      </w:r>
      <w:r>
        <w:rPr>
          <w:spacing w:val="-3"/>
        </w:rPr>
        <w:t> </w:t>
      </w:r>
      <w:r>
        <w:rPr/>
        <w:t>international</w:t>
      </w:r>
      <w:r>
        <w:rPr>
          <w:spacing w:val="-3"/>
        </w:rPr>
        <w:t> </w:t>
      </w:r>
      <w:r>
        <w:rPr/>
        <w:t>mobility of</w:t>
      </w:r>
      <w:r>
        <w:rPr>
          <w:spacing w:val="7"/>
        </w:rPr>
        <w:t> </w:t>
      </w:r>
      <w:r>
        <w:rPr/>
        <w:t>professional</w:t>
      </w:r>
      <w:r>
        <w:rPr>
          <w:spacing w:val="8"/>
        </w:rPr>
        <w:t> </w:t>
      </w:r>
      <w:r>
        <w:rPr/>
        <w:t>staff</w:t>
      </w:r>
      <w:r>
        <w:rPr>
          <w:spacing w:val="11"/>
        </w:rPr>
        <w:t> </w:t>
      </w:r>
      <w:r>
        <w:rPr/>
        <w:t>across</w:t>
      </w:r>
      <w:r>
        <w:rPr>
          <w:spacing w:val="8"/>
        </w:rPr>
        <w:t> </w:t>
      </w:r>
      <w:r>
        <w:rPr/>
        <w:t>national</w:t>
      </w:r>
      <w:r>
        <w:rPr>
          <w:spacing w:val="9"/>
        </w:rPr>
        <w:t> </w:t>
      </w:r>
      <w:r>
        <w:rPr/>
        <w:t>boundaries.</w:t>
      </w:r>
      <w:r>
        <w:rPr>
          <w:spacing w:val="11"/>
        </w:rPr>
        <w:t> </w:t>
      </w:r>
      <w:r>
        <w:rPr/>
        <w:t>For</w:t>
      </w:r>
      <w:r>
        <w:rPr>
          <w:spacing w:val="7"/>
        </w:rPr>
        <w:t> </w:t>
      </w:r>
      <w:r>
        <w:rPr/>
        <w:t>the</w:t>
      </w:r>
      <w:r>
        <w:rPr>
          <w:spacing w:val="8"/>
        </w:rPr>
        <w:t> </w:t>
      </w:r>
      <w:r>
        <w:rPr/>
        <w:t>multinational</w:t>
      </w:r>
      <w:r>
        <w:rPr>
          <w:spacing w:val="-5"/>
        </w:rPr>
        <w:t> </w:t>
      </w:r>
      <w:r>
        <w:rPr/>
        <w:t>companies,</w:t>
      </w:r>
      <w:r>
        <w:rPr>
          <w:spacing w:val="9"/>
        </w:rPr>
        <w:t> </w:t>
      </w:r>
      <w:r>
        <w:rPr/>
        <w:t>it</w:t>
      </w:r>
      <w:r>
        <w:rPr>
          <w:spacing w:val="9"/>
        </w:rPr>
        <w:t> </w:t>
      </w:r>
      <w:r>
        <w:rPr/>
        <w:t>will</w:t>
      </w:r>
      <w:r>
        <w:rPr>
          <w:spacing w:val="12"/>
        </w:rPr>
        <w:t> </w:t>
      </w:r>
      <w:r>
        <w:rPr>
          <w:spacing w:val="-4"/>
        </w:rPr>
        <w:t>help</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t>them to fulfil the disclosure requirements for stock exchanges around the world (Armstrong, Barth, Jagolizer &amp; Riedl, 2007; Covrig, Defond &amp; Hung 2007; Daske, Hail, Leuz &amp; Verdi, </w:t>
      </w:r>
      <w:r>
        <w:rPr>
          <w:spacing w:val="-2"/>
        </w:rPr>
        <w:t>2008).</w:t>
      </w:r>
    </w:p>
    <w:p>
      <w:pPr>
        <w:pStyle w:val="BodyText"/>
        <w:spacing w:line="480" w:lineRule="auto"/>
        <w:ind w:left="940" w:right="1432"/>
        <w:jc w:val="both"/>
      </w:pPr>
      <w:r>
        <w:rPr/>
        <w:drawing>
          <wp:anchor distT="0" distB="0" distL="0" distR="0" allowOverlap="1" layoutInCell="1" locked="0" behindDoc="1" simplePos="0" relativeHeight="477684224">
            <wp:simplePos x="0" y="0"/>
            <wp:positionH relativeFrom="page">
              <wp:posOffset>1095451</wp:posOffset>
            </wp:positionH>
            <wp:positionV relativeFrom="paragraph">
              <wp:posOffset>760565</wp:posOffset>
            </wp:positionV>
            <wp:extent cx="5106847" cy="5238115"/>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5" cstate="print"/>
                    <a:stretch>
                      <a:fillRect/>
                    </a:stretch>
                  </pic:blipFill>
                  <pic:spPr>
                    <a:xfrm>
                      <a:off x="0" y="0"/>
                      <a:ext cx="5106847" cy="5238115"/>
                    </a:xfrm>
                    <a:prstGeom prst="rect">
                      <a:avLst/>
                    </a:prstGeom>
                  </pic:spPr>
                </pic:pic>
              </a:graphicData>
            </a:graphic>
          </wp:anchor>
        </w:drawing>
      </w:r>
      <w:r>
        <w:rPr/>
        <w:t>On the contrary, opponents of IFRSs adoption found that cultural, political and business differences may also continue</w:t>
      </w:r>
      <w:r>
        <w:rPr>
          <w:spacing w:val="-1"/>
        </w:rPr>
        <w:t> </w:t>
      </w:r>
      <w:r>
        <w:rPr/>
        <w:t>to impose</w:t>
      </w:r>
      <w:r>
        <w:rPr>
          <w:spacing w:val="-1"/>
        </w:rPr>
        <w:t> </w:t>
      </w:r>
      <w:r>
        <w:rPr/>
        <w:t>significant obstacles in the progress towards a single global</w:t>
      </w:r>
      <w:r>
        <w:rPr>
          <w:spacing w:val="-3"/>
        </w:rPr>
        <w:t> </w:t>
      </w:r>
      <w:r>
        <w:rPr/>
        <w:t>financial</w:t>
      </w:r>
      <w:r>
        <w:rPr>
          <w:spacing w:val="-3"/>
        </w:rPr>
        <w:t> </w:t>
      </w:r>
      <w:r>
        <w:rPr/>
        <w:t>communication</w:t>
      </w:r>
      <w:r>
        <w:rPr>
          <w:spacing w:val="-3"/>
        </w:rPr>
        <w:t> </w:t>
      </w:r>
      <w:r>
        <w:rPr/>
        <w:t>system.</w:t>
      </w:r>
      <w:r>
        <w:rPr>
          <w:spacing w:val="-3"/>
        </w:rPr>
        <w:t> </w:t>
      </w:r>
      <w:r>
        <w:rPr/>
        <w:t>They</w:t>
      </w:r>
      <w:r>
        <w:rPr>
          <w:spacing w:val="-3"/>
        </w:rPr>
        <w:t> </w:t>
      </w:r>
      <w:r>
        <w:rPr/>
        <w:t>believe</w:t>
      </w:r>
      <w:r>
        <w:rPr>
          <w:spacing w:val="-2"/>
        </w:rPr>
        <w:t> </w:t>
      </w:r>
      <w:r>
        <w:rPr/>
        <w:t>that</w:t>
      </w:r>
      <w:r>
        <w:rPr>
          <w:spacing w:val="-3"/>
        </w:rPr>
        <w:t> </w:t>
      </w:r>
      <w:r>
        <w:rPr/>
        <w:t>a</w:t>
      </w:r>
      <w:r>
        <w:rPr>
          <w:spacing w:val="-4"/>
        </w:rPr>
        <w:t> </w:t>
      </w:r>
      <w:r>
        <w:rPr/>
        <w:t>single</w:t>
      </w:r>
      <w:r>
        <w:rPr>
          <w:spacing w:val="-4"/>
        </w:rPr>
        <w:t> </w:t>
      </w:r>
      <w:r>
        <w:rPr/>
        <w:t>set</w:t>
      </w:r>
      <w:r>
        <w:rPr>
          <w:spacing w:val="-3"/>
        </w:rPr>
        <w:t> </w:t>
      </w:r>
      <w:r>
        <w:rPr/>
        <w:t>of</w:t>
      </w:r>
      <w:r>
        <w:rPr>
          <w:spacing w:val="-3"/>
        </w:rPr>
        <w:t> </w:t>
      </w:r>
      <w:r>
        <w:rPr/>
        <w:t>accounting</w:t>
      </w:r>
      <w:r>
        <w:rPr>
          <w:spacing w:val="-3"/>
        </w:rPr>
        <w:t> </w:t>
      </w:r>
      <w:r>
        <w:rPr/>
        <w:t>standards cannot reflect the differences in national business practices arising from differences in institutions and cultures (Armstrong et al., 2007; Soderstrom &amp; Sun, 2007).</w:t>
      </w:r>
      <w:r>
        <w:rPr>
          <w:spacing w:val="40"/>
        </w:rPr>
        <w:t> </w:t>
      </w:r>
      <w:r>
        <w:rPr/>
        <w:t>The principal impeding factors in the adoption process of IFRS globally are not necessarily technical but cultural issues, mental models, legal impediments, educational needs and political influences (Obazee, 2007). The implementation challenges include timely interpretation of standards, continuous amendment to IFRS, accounting knowledge and expertise possessed by financial statement users, preparers, auditors and regulators, and managerial incentive (Ball, Robin &amp; Wu 2000). The historical differences in accounting thought, context, ethos and practice in the broad divides make harmonization and moving from one tradition to another difficulty (Ball, 1995; Rong-Ruey, 2006; Nobes, 1983). The net market effect of IFRSs convergence is a function of two factors: the first is the direct informational effect, i.e., whether convergence increases</w:t>
      </w:r>
      <w:r>
        <w:rPr>
          <w:spacing w:val="-1"/>
        </w:rPr>
        <w:t> </w:t>
      </w:r>
      <w:r>
        <w:rPr/>
        <w:t>or</w:t>
      </w:r>
      <w:r>
        <w:rPr>
          <w:spacing w:val="-2"/>
        </w:rPr>
        <w:t> </w:t>
      </w:r>
      <w:r>
        <w:rPr/>
        <w:t>decreases accounting</w:t>
      </w:r>
      <w:r>
        <w:rPr>
          <w:spacing w:val="-1"/>
        </w:rPr>
        <w:t> </w:t>
      </w:r>
      <w:r>
        <w:rPr/>
        <w:t>quality;</w:t>
      </w:r>
      <w:r>
        <w:rPr>
          <w:spacing w:val="-1"/>
        </w:rPr>
        <w:t> </w:t>
      </w:r>
      <w:r>
        <w:rPr/>
        <w:t>and</w:t>
      </w:r>
      <w:r>
        <w:rPr>
          <w:spacing w:val="-1"/>
        </w:rPr>
        <w:t> </w:t>
      </w:r>
      <w:r>
        <w:rPr/>
        <w:t>the second</w:t>
      </w:r>
      <w:r>
        <w:rPr>
          <w:spacing w:val="-1"/>
        </w:rPr>
        <w:t> </w:t>
      </w:r>
      <w:r>
        <w:rPr/>
        <w:t>is</w:t>
      </w:r>
      <w:r>
        <w:rPr>
          <w:spacing w:val="-1"/>
        </w:rPr>
        <w:t> </w:t>
      </w:r>
      <w:r>
        <w:rPr/>
        <w:t>the expertise acquisition</w:t>
      </w:r>
      <w:r>
        <w:rPr>
          <w:spacing w:val="-1"/>
        </w:rPr>
        <w:t> </w:t>
      </w:r>
      <w:r>
        <w:rPr/>
        <w:t>effect</w:t>
      </w:r>
      <w:r>
        <w:rPr>
          <w:spacing w:val="-1"/>
        </w:rPr>
        <w:t> </w:t>
      </w:r>
      <w:r>
        <w:rPr/>
        <w:t>or whether investors become experts in foreign accounting which depends on how costly it is to develop</w:t>
      </w:r>
      <w:r>
        <w:rPr>
          <w:spacing w:val="-4"/>
        </w:rPr>
        <w:t> </w:t>
      </w:r>
      <w:r>
        <w:rPr/>
        <w:t>the</w:t>
      </w:r>
      <w:r>
        <w:rPr>
          <w:spacing w:val="-3"/>
        </w:rPr>
        <w:t> </w:t>
      </w:r>
      <w:r>
        <w:rPr/>
        <w:t>expertise</w:t>
      </w:r>
      <w:r>
        <w:rPr>
          <w:spacing w:val="-5"/>
        </w:rPr>
        <w:t> </w:t>
      </w:r>
      <w:r>
        <w:rPr/>
        <w:t>(Odia</w:t>
      </w:r>
      <w:r>
        <w:rPr>
          <w:spacing w:val="-5"/>
        </w:rPr>
        <w:t> </w:t>
      </w:r>
      <w:r>
        <w:rPr/>
        <w:t>&amp;</w:t>
      </w:r>
      <w:r>
        <w:rPr>
          <w:spacing w:val="-4"/>
        </w:rPr>
        <w:t> </w:t>
      </w:r>
      <w:r>
        <w:rPr/>
        <w:t>Ogiedu,</w:t>
      </w:r>
      <w:r>
        <w:rPr>
          <w:spacing w:val="-3"/>
        </w:rPr>
        <w:t> </w:t>
      </w:r>
      <w:r>
        <w:rPr/>
        <w:t>2013).</w:t>
      </w:r>
      <w:r>
        <w:rPr>
          <w:spacing w:val="-3"/>
        </w:rPr>
        <w:t> </w:t>
      </w:r>
      <w:r>
        <w:rPr/>
        <w:t>The</w:t>
      </w:r>
      <w:r>
        <w:rPr>
          <w:spacing w:val="-6"/>
        </w:rPr>
        <w:t> </w:t>
      </w:r>
      <w:r>
        <w:rPr/>
        <w:t>move</w:t>
      </w:r>
      <w:r>
        <w:rPr>
          <w:spacing w:val="-3"/>
        </w:rPr>
        <w:t> </w:t>
      </w:r>
      <w:r>
        <w:rPr/>
        <w:t>to</w:t>
      </w:r>
      <w:r>
        <w:rPr>
          <w:spacing w:val="-4"/>
        </w:rPr>
        <w:t> </w:t>
      </w:r>
      <w:r>
        <w:rPr/>
        <w:t>adopt</w:t>
      </w:r>
      <w:r>
        <w:rPr>
          <w:spacing w:val="-2"/>
        </w:rPr>
        <w:t> </w:t>
      </w:r>
      <w:r>
        <w:rPr/>
        <w:t>IFRSs</w:t>
      </w:r>
      <w:r>
        <w:rPr>
          <w:spacing w:val="-5"/>
        </w:rPr>
        <w:t> </w:t>
      </w:r>
      <w:r>
        <w:rPr/>
        <w:t>is</w:t>
      </w:r>
      <w:r>
        <w:rPr>
          <w:spacing w:val="-2"/>
        </w:rPr>
        <w:t> </w:t>
      </w:r>
      <w:r>
        <w:rPr/>
        <w:t>geared</w:t>
      </w:r>
      <w:r>
        <w:rPr>
          <w:spacing w:val="-5"/>
        </w:rPr>
        <w:t> </w:t>
      </w:r>
      <w:r>
        <w:rPr/>
        <w:t>primarily</w:t>
      </w:r>
      <w:r>
        <w:rPr>
          <w:spacing w:val="-5"/>
        </w:rPr>
        <w:t> </w:t>
      </w:r>
      <w:r>
        <w:rPr/>
        <w:t>to direct informational effect (i.e., pro-quality) although other benefits arise which could be termed pro-incentive effects. However, Leuz and Wysocki (2008) suggested that reporting quality was shaped by numerous factors in countries’ institutional environments and interactions between those elements. The institutional framework impacts on the form and content</w:t>
      </w:r>
      <w:r>
        <w:rPr>
          <w:spacing w:val="24"/>
        </w:rPr>
        <w:t> </w:t>
      </w:r>
      <w:r>
        <w:rPr/>
        <w:t>of</w:t>
      </w:r>
      <w:r>
        <w:rPr>
          <w:spacing w:val="24"/>
        </w:rPr>
        <w:t> </w:t>
      </w:r>
      <w:r>
        <w:rPr/>
        <w:t>financial</w:t>
      </w:r>
      <w:r>
        <w:rPr>
          <w:spacing w:val="25"/>
        </w:rPr>
        <w:t> </w:t>
      </w:r>
      <w:r>
        <w:rPr/>
        <w:t>reporting</w:t>
      </w:r>
      <w:r>
        <w:rPr>
          <w:spacing w:val="24"/>
        </w:rPr>
        <w:t> </w:t>
      </w:r>
      <w:r>
        <w:rPr/>
        <w:t>and</w:t>
      </w:r>
      <w:r>
        <w:rPr>
          <w:spacing w:val="25"/>
        </w:rPr>
        <w:t> </w:t>
      </w:r>
      <w:r>
        <w:rPr/>
        <w:t>the</w:t>
      </w:r>
      <w:r>
        <w:rPr>
          <w:spacing w:val="24"/>
        </w:rPr>
        <w:t> </w:t>
      </w:r>
      <w:r>
        <w:rPr/>
        <w:t>use</w:t>
      </w:r>
      <w:r>
        <w:rPr>
          <w:spacing w:val="23"/>
        </w:rPr>
        <w:t> </w:t>
      </w:r>
      <w:r>
        <w:rPr/>
        <w:t>of</w:t>
      </w:r>
      <w:r>
        <w:rPr>
          <w:spacing w:val="24"/>
        </w:rPr>
        <w:t> </w:t>
      </w:r>
      <w:r>
        <w:rPr/>
        <w:t>international</w:t>
      </w:r>
      <w:r>
        <w:rPr>
          <w:spacing w:val="25"/>
        </w:rPr>
        <w:t> </w:t>
      </w:r>
      <w:r>
        <w:rPr/>
        <w:t>standard</w:t>
      </w:r>
      <w:r>
        <w:rPr>
          <w:spacing w:val="23"/>
        </w:rPr>
        <w:t> </w:t>
      </w:r>
      <w:r>
        <w:rPr/>
        <w:t>(Nobes</w:t>
      </w:r>
      <w:r>
        <w:rPr>
          <w:spacing w:val="25"/>
        </w:rPr>
        <w:t> </w:t>
      </w:r>
      <w:r>
        <w:rPr/>
        <w:t>&amp;</w:t>
      </w:r>
      <w:r>
        <w:rPr>
          <w:spacing w:val="23"/>
        </w:rPr>
        <w:t> </w:t>
      </w:r>
      <w:r>
        <w:rPr/>
        <w:t>Parker,</w:t>
      </w:r>
      <w:r>
        <w:rPr>
          <w:spacing w:val="24"/>
        </w:rPr>
        <w:t> </w:t>
      </w:r>
      <w:r>
        <w:rPr>
          <w:spacing w:val="-2"/>
        </w:rPr>
        <w:t>1998,</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84736">
            <wp:simplePos x="0" y="0"/>
            <wp:positionH relativeFrom="page">
              <wp:posOffset>1095451</wp:posOffset>
            </wp:positionH>
            <wp:positionV relativeFrom="paragraph">
              <wp:posOffset>1850770</wp:posOffset>
            </wp:positionV>
            <wp:extent cx="5106847" cy="5238115"/>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5" cstate="print"/>
                    <a:stretch>
                      <a:fillRect/>
                    </a:stretch>
                  </pic:blipFill>
                  <pic:spPr>
                    <a:xfrm>
                      <a:off x="0" y="0"/>
                      <a:ext cx="5106847" cy="5238115"/>
                    </a:xfrm>
                    <a:prstGeom prst="rect">
                      <a:avLst/>
                    </a:prstGeom>
                  </pic:spPr>
                </pic:pic>
              </a:graphicData>
            </a:graphic>
          </wp:anchor>
        </w:drawing>
      </w:r>
      <w:r>
        <w:rPr/>
        <w:t>Zarzeski, 1996; Zeff, 1972). For instance, Owolabi and Iyoha (2012) stated that in countries where the quality of governance institutions was relatively high, IFRS adoption was likely to be less attractive as high quality institutions represented high opportunity and switching costs to</w:t>
      </w:r>
      <w:r>
        <w:rPr>
          <w:spacing w:val="-13"/>
        </w:rPr>
        <w:t> </w:t>
      </w:r>
      <w:r>
        <w:rPr/>
        <w:t>adopting</w:t>
      </w:r>
      <w:r>
        <w:rPr>
          <w:spacing w:val="-13"/>
        </w:rPr>
        <w:t> </w:t>
      </w:r>
      <w:r>
        <w:rPr/>
        <w:t>international</w:t>
      </w:r>
      <w:r>
        <w:rPr>
          <w:spacing w:val="-13"/>
        </w:rPr>
        <w:t> </w:t>
      </w:r>
      <w:r>
        <w:rPr/>
        <w:t>accounting</w:t>
      </w:r>
      <w:r>
        <w:rPr>
          <w:spacing w:val="-13"/>
        </w:rPr>
        <w:t> </w:t>
      </w:r>
      <w:r>
        <w:rPr/>
        <w:t>standards.</w:t>
      </w:r>
      <w:r>
        <w:rPr>
          <w:spacing w:val="-14"/>
        </w:rPr>
        <w:t> </w:t>
      </w:r>
      <w:r>
        <w:rPr/>
        <w:t>The</w:t>
      </w:r>
      <w:r>
        <w:rPr>
          <w:spacing w:val="-14"/>
        </w:rPr>
        <w:t> </w:t>
      </w:r>
      <w:r>
        <w:rPr/>
        <w:t>opportunity</w:t>
      </w:r>
      <w:r>
        <w:rPr>
          <w:spacing w:val="-13"/>
        </w:rPr>
        <w:t> </w:t>
      </w:r>
      <w:r>
        <w:rPr/>
        <w:t>costs</w:t>
      </w:r>
      <w:r>
        <w:rPr>
          <w:spacing w:val="-12"/>
        </w:rPr>
        <w:t> </w:t>
      </w:r>
      <w:r>
        <w:rPr/>
        <w:t>arise</w:t>
      </w:r>
      <w:r>
        <w:rPr>
          <w:spacing w:val="-12"/>
        </w:rPr>
        <w:t> </w:t>
      </w:r>
      <w:r>
        <w:rPr/>
        <w:t>because</w:t>
      </w:r>
      <w:r>
        <w:rPr>
          <w:spacing w:val="-12"/>
        </w:rPr>
        <w:t> </w:t>
      </w:r>
      <w:r>
        <w:rPr/>
        <w:t>in</w:t>
      </w:r>
      <w:r>
        <w:rPr>
          <w:spacing w:val="-13"/>
        </w:rPr>
        <w:t> </w:t>
      </w:r>
      <w:r>
        <w:rPr/>
        <w:t>adopting IFRS,</w:t>
      </w:r>
      <w:r>
        <w:rPr>
          <w:spacing w:val="-15"/>
        </w:rPr>
        <w:t> </w:t>
      </w:r>
      <w:r>
        <w:rPr/>
        <w:t>countries</w:t>
      </w:r>
      <w:r>
        <w:rPr>
          <w:spacing w:val="-15"/>
        </w:rPr>
        <w:t> </w:t>
      </w:r>
      <w:r>
        <w:rPr/>
        <w:t>forgo</w:t>
      </w:r>
      <w:r>
        <w:rPr>
          <w:spacing w:val="-15"/>
        </w:rPr>
        <w:t> </w:t>
      </w:r>
      <w:r>
        <w:rPr/>
        <w:t>the</w:t>
      </w:r>
      <w:r>
        <w:rPr>
          <w:spacing w:val="-15"/>
        </w:rPr>
        <w:t> </w:t>
      </w:r>
      <w:r>
        <w:rPr/>
        <w:t>benefits</w:t>
      </w:r>
      <w:r>
        <w:rPr>
          <w:spacing w:val="-15"/>
        </w:rPr>
        <w:t> </w:t>
      </w:r>
      <w:r>
        <w:rPr/>
        <w:t>of</w:t>
      </w:r>
      <w:r>
        <w:rPr>
          <w:spacing w:val="-15"/>
        </w:rPr>
        <w:t> </w:t>
      </w:r>
      <w:r>
        <w:rPr/>
        <w:t>any</w:t>
      </w:r>
      <w:r>
        <w:rPr>
          <w:spacing w:val="-15"/>
        </w:rPr>
        <w:t> </w:t>
      </w:r>
      <w:r>
        <w:rPr/>
        <w:t>past</w:t>
      </w:r>
      <w:r>
        <w:rPr>
          <w:spacing w:val="-15"/>
        </w:rPr>
        <w:t> </w:t>
      </w:r>
      <w:r>
        <w:rPr/>
        <w:t>and</w:t>
      </w:r>
      <w:r>
        <w:rPr>
          <w:spacing w:val="-15"/>
        </w:rPr>
        <w:t> </w:t>
      </w:r>
      <w:r>
        <w:rPr/>
        <w:t>potential</w:t>
      </w:r>
      <w:r>
        <w:rPr>
          <w:spacing w:val="-15"/>
        </w:rPr>
        <w:t> </w:t>
      </w:r>
      <w:r>
        <w:rPr/>
        <w:t>future</w:t>
      </w:r>
      <w:r>
        <w:rPr>
          <w:spacing w:val="-15"/>
        </w:rPr>
        <w:t> </w:t>
      </w:r>
      <w:r>
        <w:rPr/>
        <w:t>innovations</w:t>
      </w:r>
      <w:r>
        <w:rPr>
          <w:spacing w:val="-15"/>
        </w:rPr>
        <w:t> </w:t>
      </w:r>
      <w:r>
        <w:rPr/>
        <w:t>in</w:t>
      </w:r>
      <w:r>
        <w:rPr>
          <w:spacing w:val="-15"/>
        </w:rPr>
        <w:t> </w:t>
      </w:r>
      <w:r>
        <w:rPr/>
        <w:t>local</w:t>
      </w:r>
      <w:r>
        <w:rPr>
          <w:spacing w:val="-15"/>
        </w:rPr>
        <w:t> </w:t>
      </w:r>
      <w:r>
        <w:rPr/>
        <w:t>reporting standards specific to their economies. In many developing countries, the qualities of local governance institutions are low and thus are important determinants of the decision to adopt IFRS (Ball et al., 2000; Leuz et al., 2003; Ball, 2006). Thus, among countries with less developed institutions like Nigeria, the decision to adopt IFRS is likely to be driven by lower opportunity and switching costs.</w:t>
      </w:r>
    </w:p>
    <w:p>
      <w:pPr>
        <w:pStyle w:val="Heading3"/>
        <w:numPr>
          <w:ilvl w:val="2"/>
          <w:numId w:val="22"/>
        </w:numPr>
        <w:tabs>
          <w:tab w:pos="1480" w:val="left" w:leader="none"/>
        </w:tabs>
        <w:spacing w:line="240" w:lineRule="auto" w:before="1" w:after="0"/>
        <w:ind w:left="1480" w:right="0" w:hanging="540"/>
        <w:jc w:val="both"/>
      </w:pPr>
      <w:bookmarkStart w:name="_TOC_250054" w:id="16"/>
      <w:r>
        <w:rPr/>
        <w:t>IFRS</w:t>
      </w:r>
      <w:r>
        <w:rPr>
          <w:spacing w:val="-4"/>
        </w:rPr>
        <w:t> </w:t>
      </w:r>
      <w:r>
        <w:rPr/>
        <w:t>Adoption</w:t>
      </w:r>
      <w:r>
        <w:rPr>
          <w:spacing w:val="-1"/>
        </w:rPr>
        <w:t> </w:t>
      </w:r>
      <w:r>
        <w:rPr/>
        <w:t>and</w:t>
      </w:r>
      <w:r>
        <w:rPr>
          <w:spacing w:val="-1"/>
        </w:rPr>
        <w:t> </w:t>
      </w:r>
      <w:r>
        <w:rPr/>
        <w:t>Financial</w:t>
      </w:r>
      <w:r>
        <w:rPr>
          <w:spacing w:val="-1"/>
        </w:rPr>
        <w:t> </w:t>
      </w:r>
      <w:r>
        <w:rPr/>
        <w:t>Reporting</w:t>
      </w:r>
      <w:r>
        <w:rPr>
          <w:spacing w:val="-4"/>
        </w:rPr>
        <w:t> </w:t>
      </w:r>
      <w:bookmarkEnd w:id="16"/>
      <w:r>
        <w:rPr>
          <w:spacing w:val="-2"/>
        </w:rPr>
        <w:t>Quality</w:t>
      </w:r>
    </w:p>
    <w:p>
      <w:pPr>
        <w:pStyle w:val="BodyText"/>
        <w:rPr>
          <w:b/>
        </w:rPr>
      </w:pPr>
    </w:p>
    <w:p>
      <w:pPr>
        <w:pStyle w:val="BodyText"/>
        <w:spacing w:line="480" w:lineRule="auto"/>
        <w:ind w:left="940" w:right="1433"/>
        <w:jc w:val="both"/>
      </w:pPr>
      <w:r>
        <w:rPr/>
        <w:t>IFRSs adoption impacting reporting quality has become an issue of empirical discourse and has</w:t>
      </w:r>
      <w:r>
        <w:rPr>
          <w:spacing w:val="-1"/>
        </w:rPr>
        <w:t> </w:t>
      </w:r>
      <w:r>
        <w:rPr/>
        <w:t>received wide</w:t>
      </w:r>
      <w:r>
        <w:rPr>
          <w:spacing w:val="-2"/>
        </w:rPr>
        <w:t> </w:t>
      </w:r>
      <w:r>
        <w:rPr/>
        <w:t>academic</w:t>
      </w:r>
      <w:r>
        <w:rPr>
          <w:spacing w:val="-2"/>
        </w:rPr>
        <w:t> </w:t>
      </w:r>
      <w:r>
        <w:rPr/>
        <w:t>attention.</w:t>
      </w:r>
      <w:r>
        <w:rPr>
          <w:spacing w:val="-1"/>
        </w:rPr>
        <w:t> </w:t>
      </w:r>
      <w:r>
        <w:rPr/>
        <w:t>An</w:t>
      </w:r>
      <w:r>
        <w:rPr>
          <w:spacing w:val="-2"/>
        </w:rPr>
        <w:t> </w:t>
      </w:r>
      <w:r>
        <w:rPr/>
        <w:t>interesting</w:t>
      </w:r>
      <w:r>
        <w:rPr>
          <w:spacing w:val="-1"/>
        </w:rPr>
        <w:t> </w:t>
      </w:r>
      <w:r>
        <w:rPr/>
        <w:t>discussion</w:t>
      </w:r>
      <w:r>
        <w:rPr>
          <w:spacing w:val="-1"/>
        </w:rPr>
        <w:t> </w:t>
      </w:r>
      <w:r>
        <w:rPr/>
        <w:t>regarding this adoption</w:t>
      </w:r>
      <w:r>
        <w:rPr>
          <w:spacing w:val="-1"/>
        </w:rPr>
        <w:t> </w:t>
      </w:r>
      <w:r>
        <w:rPr/>
        <w:t>is</w:t>
      </w:r>
      <w:r>
        <w:rPr>
          <w:spacing w:val="-1"/>
        </w:rPr>
        <w:t> </w:t>
      </w:r>
      <w:r>
        <w:rPr/>
        <w:t>the one</w:t>
      </w:r>
      <w:r>
        <w:rPr>
          <w:spacing w:val="-7"/>
        </w:rPr>
        <w:t> </w:t>
      </w:r>
      <w:r>
        <w:rPr/>
        <w:t>concerning</w:t>
      </w:r>
      <w:r>
        <w:rPr>
          <w:spacing w:val="-6"/>
        </w:rPr>
        <w:t> </w:t>
      </w:r>
      <w:r>
        <w:rPr/>
        <w:t>high</w:t>
      </w:r>
      <w:r>
        <w:rPr>
          <w:spacing w:val="-5"/>
        </w:rPr>
        <w:t> </w:t>
      </w:r>
      <w:r>
        <w:rPr/>
        <w:t>quality</w:t>
      </w:r>
      <w:r>
        <w:rPr>
          <w:spacing w:val="-5"/>
        </w:rPr>
        <w:t> </w:t>
      </w:r>
      <w:r>
        <w:rPr/>
        <w:t>financial</w:t>
      </w:r>
      <w:r>
        <w:rPr>
          <w:spacing w:val="-6"/>
        </w:rPr>
        <w:t> </w:t>
      </w:r>
      <w:r>
        <w:rPr/>
        <w:t>statements.</w:t>
      </w:r>
      <w:r>
        <w:rPr>
          <w:spacing w:val="-8"/>
        </w:rPr>
        <w:t> </w:t>
      </w:r>
      <w:r>
        <w:rPr/>
        <w:t>This</w:t>
      </w:r>
      <w:r>
        <w:rPr>
          <w:spacing w:val="-5"/>
        </w:rPr>
        <w:t> </w:t>
      </w:r>
      <w:r>
        <w:rPr/>
        <w:t>discussion</w:t>
      </w:r>
      <w:r>
        <w:rPr>
          <w:spacing w:val="-6"/>
        </w:rPr>
        <w:t> </w:t>
      </w:r>
      <w:r>
        <w:rPr/>
        <w:t>becomes</w:t>
      </w:r>
      <w:r>
        <w:rPr>
          <w:spacing w:val="-9"/>
        </w:rPr>
        <w:t> </w:t>
      </w:r>
      <w:r>
        <w:rPr/>
        <w:t>even</w:t>
      </w:r>
      <w:r>
        <w:rPr>
          <w:spacing w:val="-6"/>
        </w:rPr>
        <w:t> </w:t>
      </w:r>
      <w:r>
        <w:rPr/>
        <w:t>more</w:t>
      </w:r>
      <w:r>
        <w:rPr>
          <w:spacing w:val="-7"/>
        </w:rPr>
        <w:t> </w:t>
      </w:r>
      <w:r>
        <w:rPr/>
        <w:t>relevant as the results presented in the literature on IFRS adoption and accounting quality are not unanimous. There are a number of studies suggesting that firms reporting under IFRS enjoy substantial</w:t>
      </w:r>
      <w:r>
        <w:rPr>
          <w:spacing w:val="-6"/>
        </w:rPr>
        <w:t> </w:t>
      </w:r>
      <w:r>
        <w:rPr/>
        <w:t>benefits.</w:t>
      </w:r>
      <w:r>
        <w:rPr>
          <w:spacing w:val="-6"/>
        </w:rPr>
        <w:t> </w:t>
      </w:r>
      <w:r>
        <w:rPr/>
        <w:t>The</w:t>
      </w:r>
      <w:r>
        <w:rPr>
          <w:spacing w:val="-7"/>
        </w:rPr>
        <w:t> </w:t>
      </w:r>
      <w:r>
        <w:rPr/>
        <w:t>evidence,</w:t>
      </w:r>
      <w:r>
        <w:rPr>
          <w:spacing w:val="-7"/>
        </w:rPr>
        <w:t> </w:t>
      </w:r>
      <w:r>
        <w:rPr/>
        <w:t>however,</w:t>
      </w:r>
      <w:r>
        <w:rPr>
          <w:spacing w:val="-7"/>
        </w:rPr>
        <w:t> </w:t>
      </w:r>
      <w:r>
        <w:rPr/>
        <w:t>is</w:t>
      </w:r>
      <w:r>
        <w:rPr>
          <w:spacing w:val="-6"/>
        </w:rPr>
        <w:t> </w:t>
      </w:r>
      <w:r>
        <w:rPr/>
        <w:t>far</w:t>
      </w:r>
      <w:r>
        <w:rPr>
          <w:spacing w:val="-4"/>
        </w:rPr>
        <w:t> </w:t>
      </w:r>
      <w:r>
        <w:rPr/>
        <w:t>from</w:t>
      </w:r>
      <w:r>
        <w:rPr>
          <w:spacing w:val="-7"/>
        </w:rPr>
        <w:t> </w:t>
      </w:r>
      <w:r>
        <w:rPr/>
        <w:t>conclusive</w:t>
      </w:r>
      <w:r>
        <w:rPr>
          <w:spacing w:val="-7"/>
        </w:rPr>
        <w:t> </w:t>
      </w:r>
      <w:r>
        <w:rPr/>
        <w:t>and,</w:t>
      </w:r>
      <w:r>
        <w:rPr>
          <w:spacing w:val="-6"/>
        </w:rPr>
        <w:t> </w:t>
      </w:r>
      <w:r>
        <w:rPr/>
        <w:t>in</w:t>
      </w:r>
      <w:r>
        <w:rPr>
          <w:spacing w:val="-6"/>
        </w:rPr>
        <w:t> </w:t>
      </w:r>
      <w:r>
        <w:rPr/>
        <w:t>many</w:t>
      </w:r>
      <w:r>
        <w:rPr>
          <w:spacing w:val="-7"/>
        </w:rPr>
        <w:t> </w:t>
      </w:r>
      <w:r>
        <w:rPr/>
        <w:t>cases,</w:t>
      </w:r>
      <w:r>
        <w:rPr>
          <w:spacing w:val="-7"/>
        </w:rPr>
        <w:t> </w:t>
      </w:r>
      <w:r>
        <w:rPr/>
        <w:t>mixed. Further, it is not clear that the documented benefits can be attributed to the adoption of IFRS, i.e., to the standards themselves. For instance, the benefits could stem from broader commitments to more transparency by some firms. Moreover, the studies generally focus on the average effects of IFRS adoption and do not examine the cross-sectional differences in adoption</w:t>
      </w:r>
      <w:r>
        <w:rPr>
          <w:spacing w:val="-6"/>
        </w:rPr>
        <w:t> </w:t>
      </w:r>
      <w:r>
        <w:rPr/>
        <w:t>quality</w:t>
      </w:r>
      <w:r>
        <w:rPr>
          <w:spacing w:val="-6"/>
        </w:rPr>
        <w:t> </w:t>
      </w:r>
      <w:r>
        <w:rPr/>
        <w:t>and</w:t>
      </w:r>
      <w:r>
        <w:rPr>
          <w:spacing w:val="-6"/>
        </w:rPr>
        <w:t> </w:t>
      </w:r>
      <w:r>
        <w:rPr/>
        <w:t>compliance.</w:t>
      </w:r>
      <w:r>
        <w:rPr>
          <w:spacing w:val="-6"/>
        </w:rPr>
        <w:t> </w:t>
      </w:r>
      <w:r>
        <w:rPr/>
        <w:t>The</w:t>
      </w:r>
      <w:r>
        <w:rPr>
          <w:spacing w:val="-7"/>
        </w:rPr>
        <w:t> </w:t>
      </w:r>
      <w:r>
        <w:rPr/>
        <w:t>study</w:t>
      </w:r>
      <w:r>
        <w:rPr>
          <w:spacing w:val="-4"/>
        </w:rPr>
        <w:t> </w:t>
      </w:r>
      <w:r>
        <w:rPr/>
        <w:t>by</w:t>
      </w:r>
      <w:r>
        <w:rPr>
          <w:spacing w:val="-6"/>
        </w:rPr>
        <w:t> </w:t>
      </w:r>
      <w:r>
        <w:rPr/>
        <w:t>Ogundana</w:t>
      </w:r>
      <w:r>
        <w:rPr>
          <w:spacing w:val="-7"/>
        </w:rPr>
        <w:t> </w:t>
      </w:r>
      <w:r>
        <w:rPr/>
        <w:t>et</w:t>
      </w:r>
      <w:r>
        <w:rPr>
          <w:spacing w:val="-6"/>
        </w:rPr>
        <w:t> </w:t>
      </w:r>
      <w:r>
        <w:rPr/>
        <w:t>al.</w:t>
      </w:r>
      <w:r>
        <w:rPr>
          <w:spacing w:val="-6"/>
        </w:rPr>
        <w:t> </w:t>
      </w:r>
      <w:r>
        <w:rPr/>
        <w:t>(2017)</w:t>
      </w:r>
      <w:r>
        <w:rPr>
          <w:spacing w:val="-7"/>
        </w:rPr>
        <w:t> </w:t>
      </w:r>
      <w:r>
        <w:rPr/>
        <w:t>investigated</w:t>
      </w:r>
      <w:r>
        <w:rPr>
          <w:spacing w:val="-6"/>
        </w:rPr>
        <w:t> </w:t>
      </w:r>
      <w:r>
        <w:rPr/>
        <w:t>the</w:t>
      </w:r>
      <w:r>
        <w:rPr>
          <w:spacing w:val="-6"/>
        </w:rPr>
        <w:t> </w:t>
      </w:r>
      <w:r>
        <w:rPr/>
        <w:t>impact of mandatory IFRS adoption on the quality of accounting information in Nigerian banks. The study adopted a survey research design involving the collection of data from accounting academics</w:t>
      </w:r>
      <w:r>
        <w:rPr>
          <w:spacing w:val="2"/>
        </w:rPr>
        <w:t> </w:t>
      </w:r>
      <w:r>
        <w:rPr/>
        <w:t>in</w:t>
      </w:r>
      <w:r>
        <w:rPr>
          <w:spacing w:val="4"/>
        </w:rPr>
        <w:t> </w:t>
      </w:r>
      <w:r>
        <w:rPr/>
        <w:t>selected</w:t>
      </w:r>
      <w:r>
        <w:rPr>
          <w:spacing w:val="2"/>
        </w:rPr>
        <w:t> </w:t>
      </w:r>
      <w:r>
        <w:rPr/>
        <w:t>private</w:t>
      </w:r>
      <w:r>
        <w:rPr>
          <w:spacing w:val="3"/>
        </w:rPr>
        <w:t> </w:t>
      </w:r>
      <w:r>
        <w:rPr/>
        <w:t>universities</w:t>
      </w:r>
      <w:r>
        <w:rPr>
          <w:spacing w:val="2"/>
        </w:rPr>
        <w:t> </w:t>
      </w:r>
      <w:r>
        <w:rPr/>
        <w:t>in</w:t>
      </w:r>
      <w:r>
        <w:rPr>
          <w:spacing w:val="4"/>
        </w:rPr>
        <w:t> </w:t>
      </w:r>
      <w:r>
        <w:rPr/>
        <w:t>Nigeria.</w:t>
      </w:r>
      <w:r>
        <w:rPr>
          <w:spacing w:val="3"/>
        </w:rPr>
        <w:t> </w:t>
      </w:r>
      <w:r>
        <w:rPr/>
        <w:t>Secondary</w:t>
      </w:r>
      <w:r>
        <w:rPr>
          <w:spacing w:val="1"/>
        </w:rPr>
        <w:t> </w:t>
      </w:r>
      <w:r>
        <w:rPr/>
        <w:t>data</w:t>
      </w:r>
      <w:r>
        <w:rPr>
          <w:spacing w:val="3"/>
        </w:rPr>
        <w:t> </w:t>
      </w:r>
      <w:r>
        <w:rPr/>
        <w:t>were</w:t>
      </w:r>
      <w:r>
        <w:rPr>
          <w:spacing w:val="3"/>
        </w:rPr>
        <w:t> </w:t>
      </w:r>
      <w:r>
        <w:rPr/>
        <w:t>also</w:t>
      </w:r>
      <w:r>
        <w:rPr>
          <w:spacing w:val="4"/>
        </w:rPr>
        <w:t> </w:t>
      </w:r>
      <w:r>
        <w:rPr/>
        <w:t>obtained</w:t>
      </w:r>
      <w:r>
        <w:rPr>
          <w:spacing w:val="3"/>
        </w:rPr>
        <w:t> </w:t>
      </w:r>
      <w:r>
        <w:rPr>
          <w:spacing w:val="-4"/>
        </w:rPr>
        <w:t>from</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85248">
            <wp:simplePos x="0" y="0"/>
            <wp:positionH relativeFrom="page">
              <wp:posOffset>1095451</wp:posOffset>
            </wp:positionH>
            <wp:positionV relativeFrom="paragraph">
              <wp:posOffset>1850770</wp:posOffset>
            </wp:positionV>
            <wp:extent cx="5106847" cy="5238115"/>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5" cstate="print"/>
                    <a:stretch>
                      <a:fillRect/>
                    </a:stretch>
                  </pic:blipFill>
                  <pic:spPr>
                    <a:xfrm>
                      <a:off x="0" y="0"/>
                      <a:ext cx="5106847" cy="5238115"/>
                    </a:xfrm>
                    <a:prstGeom prst="rect">
                      <a:avLst/>
                    </a:prstGeom>
                  </pic:spPr>
                </pic:pic>
              </a:graphicData>
            </a:graphic>
          </wp:anchor>
        </w:drawing>
      </w:r>
      <w:r>
        <w:rPr/>
        <w:t>the annual reports of twelve (12) Nigerian banks listed on the floor of the Nigerian Stock Exchange</w:t>
      </w:r>
      <w:r>
        <w:rPr>
          <w:spacing w:val="-15"/>
        </w:rPr>
        <w:t> </w:t>
      </w:r>
      <w:r>
        <w:rPr/>
        <w:t>during</w:t>
      </w:r>
      <w:r>
        <w:rPr>
          <w:spacing w:val="-15"/>
        </w:rPr>
        <w:t> </w:t>
      </w:r>
      <w:r>
        <w:rPr/>
        <w:t>the</w:t>
      </w:r>
      <w:r>
        <w:rPr>
          <w:spacing w:val="-15"/>
        </w:rPr>
        <w:t> </w:t>
      </w:r>
      <w:r>
        <w:rPr/>
        <w:t>period</w:t>
      </w:r>
      <w:r>
        <w:rPr>
          <w:spacing w:val="-15"/>
        </w:rPr>
        <w:t> </w:t>
      </w:r>
      <w:r>
        <w:rPr/>
        <w:t>2009</w:t>
      </w:r>
      <w:r>
        <w:rPr>
          <w:spacing w:val="-15"/>
        </w:rPr>
        <w:t> </w:t>
      </w:r>
      <w:r>
        <w:rPr/>
        <w:t>to</w:t>
      </w:r>
      <w:r>
        <w:rPr>
          <w:spacing w:val="-15"/>
        </w:rPr>
        <w:t> </w:t>
      </w:r>
      <w:r>
        <w:rPr/>
        <w:t>2014.</w:t>
      </w:r>
      <w:r>
        <w:rPr>
          <w:spacing w:val="-15"/>
        </w:rPr>
        <w:t> </w:t>
      </w:r>
      <w:r>
        <w:rPr/>
        <w:t>The</w:t>
      </w:r>
      <w:r>
        <w:rPr>
          <w:spacing w:val="-15"/>
        </w:rPr>
        <w:t> </w:t>
      </w:r>
      <w:r>
        <w:rPr/>
        <w:t>sample</w:t>
      </w:r>
      <w:r>
        <w:rPr>
          <w:spacing w:val="-15"/>
        </w:rPr>
        <w:t> </w:t>
      </w:r>
      <w:r>
        <w:rPr/>
        <w:t>had</w:t>
      </w:r>
      <w:r>
        <w:rPr>
          <w:spacing w:val="-15"/>
        </w:rPr>
        <w:t> </w:t>
      </w:r>
      <w:r>
        <w:rPr/>
        <w:t>two</w:t>
      </w:r>
      <w:r>
        <w:rPr>
          <w:spacing w:val="-15"/>
        </w:rPr>
        <w:t> </w:t>
      </w:r>
      <w:r>
        <w:rPr/>
        <w:t>sub-samples,</w:t>
      </w:r>
      <w:r>
        <w:rPr>
          <w:spacing w:val="-15"/>
        </w:rPr>
        <w:t> </w:t>
      </w:r>
      <w:r>
        <w:rPr/>
        <w:t>pre-IFRS</w:t>
      </w:r>
      <w:r>
        <w:rPr>
          <w:spacing w:val="-15"/>
        </w:rPr>
        <w:t> </w:t>
      </w:r>
      <w:r>
        <w:rPr/>
        <w:t>adoption sample</w:t>
      </w:r>
      <w:r>
        <w:rPr>
          <w:spacing w:val="-6"/>
        </w:rPr>
        <w:t> </w:t>
      </w:r>
      <w:r>
        <w:rPr/>
        <w:t>(2009</w:t>
      </w:r>
      <w:r>
        <w:rPr>
          <w:spacing w:val="-6"/>
        </w:rPr>
        <w:t> </w:t>
      </w:r>
      <w:r>
        <w:rPr/>
        <w:t>to</w:t>
      </w:r>
      <w:r>
        <w:rPr>
          <w:spacing w:val="-4"/>
        </w:rPr>
        <w:t> </w:t>
      </w:r>
      <w:r>
        <w:rPr/>
        <w:t>2011)</w:t>
      </w:r>
      <w:r>
        <w:rPr>
          <w:spacing w:val="-3"/>
        </w:rPr>
        <w:t> </w:t>
      </w:r>
      <w:r>
        <w:rPr/>
        <w:t>and</w:t>
      </w:r>
      <w:r>
        <w:rPr>
          <w:spacing w:val="-5"/>
        </w:rPr>
        <w:t> </w:t>
      </w:r>
      <w:r>
        <w:rPr/>
        <w:t>post-IFRS</w:t>
      </w:r>
      <w:r>
        <w:rPr>
          <w:spacing w:val="-4"/>
        </w:rPr>
        <w:t> </w:t>
      </w:r>
      <w:r>
        <w:rPr/>
        <w:t>adoption</w:t>
      </w:r>
      <w:r>
        <w:rPr>
          <w:spacing w:val="-5"/>
        </w:rPr>
        <w:t> </w:t>
      </w:r>
      <w:r>
        <w:rPr/>
        <w:t>samples</w:t>
      </w:r>
      <w:r>
        <w:rPr>
          <w:spacing w:val="-5"/>
        </w:rPr>
        <w:t> </w:t>
      </w:r>
      <w:r>
        <w:rPr/>
        <w:t>(2012</w:t>
      </w:r>
      <w:r>
        <w:rPr>
          <w:spacing w:val="-6"/>
        </w:rPr>
        <w:t> </w:t>
      </w:r>
      <w:r>
        <w:rPr/>
        <w:t>to</w:t>
      </w:r>
      <w:r>
        <w:rPr>
          <w:spacing w:val="-4"/>
        </w:rPr>
        <w:t> </w:t>
      </w:r>
      <w:r>
        <w:rPr/>
        <w:t>2014).</w:t>
      </w:r>
      <w:r>
        <w:rPr>
          <w:spacing w:val="-5"/>
        </w:rPr>
        <w:t> </w:t>
      </w:r>
      <w:r>
        <w:rPr/>
        <w:t>The</w:t>
      </w:r>
      <w:r>
        <w:rPr>
          <w:spacing w:val="-6"/>
        </w:rPr>
        <w:t> </w:t>
      </w:r>
      <w:r>
        <w:rPr/>
        <w:t>findings</w:t>
      </w:r>
      <w:r>
        <w:rPr>
          <w:spacing w:val="-4"/>
        </w:rPr>
        <w:t> </w:t>
      </w:r>
      <w:r>
        <w:rPr/>
        <w:t>revealed that there was a significant relationship between IFRS adoption and accounting quality information. Masoud (2017) examined the effect of mandatory IFSR adoption of IFRS on the ability</w:t>
      </w:r>
      <w:r>
        <w:rPr>
          <w:spacing w:val="-15"/>
        </w:rPr>
        <w:t> </w:t>
      </w:r>
      <w:r>
        <w:rPr/>
        <w:t>of</w:t>
      </w:r>
      <w:r>
        <w:rPr>
          <w:spacing w:val="-15"/>
        </w:rPr>
        <w:t> </w:t>
      </w:r>
      <w:r>
        <w:rPr/>
        <w:t>financial</w:t>
      </w:r>
      <w:r>
        <w:rPr>
          <w:spacing w:val="-15"/>
        </w:rPr>
        <w:t> </w:t>
      </w:r>
      <w:r>
        <w:rPr/>
        <w:t>analysts</w:t>
      </w:r>
      <w:r>
        <w:rPr>
          <w:spacing w:val="-15"/>
        </w:rPr>
        <w:t> </w:t>
      </w:r>
      <w:r>
        <w:rPr/>
        <w:t>to</w:t>
      </w:r>
      <w:r>
        <w:rPr>
          <w:spacing w:val="-14"/>
        </w:rPr>
        <w:t> </w:t>
      </w:r>
      <w:r>
        <w:rPr/>
        <w:t>forecast</w:t>
      </w:r>
      <w:r>
        <w:rPr>
          <w:spacing w:val="-15"/>
        </w:rPr>
        <w:t> </w:t>
      </w:r>
      <w:r>
        <w:rPr/>
        <w:t>earnings</w:t>
      </w:r>
      <w:r>
        <w:rPr>
          <w:spacing w:val="-15"/>
        </w:rPr>
        <w:t> </w:t>
      </w:r>
      <w:r>
        <w:rPr/>
        <w:t>accurately.</w:t>
      </w:r>
      <w:r>
        <w:rPr>
          <w:spacing w:val="-14"/>
        </w:rPr>
        <w:t> </w:t>
      </w:r>
      <w:r>
        <w:rPr/>
        <w:t>The</w:t>
      </w:r>
      <w:r>
        <w:rPr>
          <w:spacing w:val="-15"/>
        </w:rPr>
        <w:t> </w:t>
      </w:r>
      <w:r>
        <w:rPr/>
        <w:t>sample</w:t>
      </w:r>
      <w:r>
        <w:rPr>
          <w:spacing w:val="-14"/>
        </w:rPr>
        <w:t> </w:t>
      </w:r>
      <w:r>
        <w:rPr/>
        <w:t>consisted</w:t>
      </w:r>
      <w:r>
        <w:rPr>
          <w:spacing w:val="-15"/>
        </w:rPr>
        <w:t> </w:t>
      </w:r>
      <w:r>
        <w:rPr/>
        <w:t>of</w:t>
      </w:r>
      <w:r>
        <w:rPr>
          <w:spacing w:val="-15"/>
        </w:rPr>
        <w:t> </w:t>
      </w:r>
      <w:r>
        <w:rPr/>
        <w:t>firms</w:t>
      </w:r>
      <w:r>
        <w:rPr>
          <w:spacing w:val="-14"/>
        </w:rPr>
        <w:t> </w:t>
      </w:r>
      <w:r>
        <w:rPr/>
        <w:t>listed on</w:t>
      </w:r>
      <w:r>
        <w:rPr>
          <w:spacing w:val="-14"/>
        </w:rPr>
        <w:t> </w:t>
      </w:r>
      <w:r>
        <w:rPr/>
        <w:t>the</w:t>
      </w:r>
      <w:r>
        <w:rPr>
          <w:spacing w:val="-15"/>
        </w:rPr>
        <w:t> </w:t>
      </w:r>
      <w:r>
        <w:rPr/>
        <w:t>Jordanian</w:t>
      </w:r>
      <w:r>
        <w:rPr>
          <w:spacing w:val="-12"/>
        </w:rPr>
        <w:t> </w:t>
      </w:r>
      <w:r>
        <w:rPr/>
        <w:t>Stock</w:t>
      </w:r>
      <w:r>
        <w:rPr>
          <w:spacing w:val="-15"/>
        </w:rPr>
        <w:t> </w:t>
      </w:r>
      <w:r>
        <w:rPr/>
        <w:t>Exchange</w:t>
      </w:r>
      <w:r>
        <w:rPr>
          <w:spacing w:val="-15"/>
        </w:rPr>
        <w:t> </w:t>
      </w:r>
      <w:r>
        <w:rPr/>
        <w:t>during</w:t>
      </w:r>
      <w:r>
        <w:rPr>
          <w:spacing w:val="-15"/>
        </w:rPr>
        <w:t> </w:t>
      </w:r>
      <w:r>
        <w:rPr/>
        <w:t>the</w:t>
      </w:r>
      <w:r>
        <w:rPr>
          <w:spacing w:val="-15"/>
        </w:rPr>
        <w:t> </w:t>
      </w:r>
      <w:r>
        <w:rPr/>
        <w:t>period</w:t>
      </w:r>
      <w:r>
        <w:rPr>
          <w:spacing w:val="-14"/>
        </w:rPr>
        <w:t> </w:t>
      </w:r>
      <w:r>
        <w:rPr/>
        <w:t>2002</w:t>
      </w:r>
      <w:r>
        <w:rPr>
          <w:spacing w:val="-14"/>
        </w:rPr>
        <w:t> </w:t>
      </w:r>
      <w:r>
        <w:rPr/>
        <w:t>to</w:t>
      </w:r>
      <w:r>
        <w:rPr>
          <w:spacing w:val="-14"/>
        </w:rPr>
        <w:t> </w:t>
      </w:r>
      <w:r>
        <w:rPr/>
        <w:t>2013.</w:t>
      </w:r>
      <w:r>
        <w:rPr>
          <w:spacing w:val="-14"/>
        </w:rPr>
        <w:t> </w:t>
      </w:r>
      <w:r>
        <w:rPr/>
        <w:t>Using</w:t>
      </w:r>
      <w:r>
        <w:rPr>
          <w:spacing w:val="-14"/>
        </w:rPr>
        <w:t> </w:t>
      </w:r>
      <w:r>
        <w:rPr/>
        <w:t>a</w:t>
      </w:r>
      <w:r>
        <w:rPr>
          <w:spacing w:val="-13"/>
        </w:rPr>
        <w:t> </w:t>
      </w:r>
      <w:r>
        <w:rPr/>
        <w:t>panel</w:t>
      </w:r>
      <w:r>
        <w:rPr>
          <w:spacing w:val="-14"/>
        </w:rPr>
        <w:t> </w:t>
      </w:r>
      <w:r>
        <w:rPr/>
        <w:t>data</w:t>
      </w:r>
      <w:r>
        <w:rPr>
          <w:spacing w:val="-13"/>
        </w:rPr>
        <w:t> </w:t>
      </w:r>
      <w:r>
        <w:rPr/>
        <w:t>estimation technique, the result revealed that a mandatory adoption of IFRS improved the ability of analysts</w:t>
      </w:r>
      <w:r>
        <w:rPr>
          <w:spacing w:val="-3"/>
        </w:rPr>
        <w:t> </w:t>
      </w:r>
      <w:r>
        <w:rPr/>
        <w:t>to</w:t>
      </w:r>
      <w:r>
        <w:rPr>
          <w:spacing w:val="-3"/>
        </w:rPr>
        <w:t> </w:t>
      </w:r>
      <w:r>
        <w:rPr/>
        <w:t>forecast</w:t>
      </w:r>
      <w:r>
        <w:rPr>
          <w:spacing w:val="-3"/>
        </w:rPr>
        <w:t> </w:t>
      </w:r>
      <w:r>
        <w:rPr/>
        <w:t>earnings</w:t>
      </w:r>
      <w:r>
        <w:rPr>
          <w:spacing w:val="-3"/>
        </w:rPr>
        <w:t> </w:t>
      </w:r>
      <w:r>
        <w:rPr/>
        <w:t>accurately.</w:t>
      </w:r>
      <w:r>
        <w:rPr>
          <w:spacing w:val="-3"/>
        </w:rPr>
        <w:t> </w:t>
      </w:r>
      <w:r>
        <w:rPr/>
        <w:t>The</w:t>
      </w:r>
      <w:r>
        <w:rPr>
          <w:spacing w:val="-3"/>
        </w:rPr>
        <w:t> </w:t>
      </w:r>
      <w:r>
        <w:rPr/>
        <w:t>findings</w:t>
      </w:r>
      <w:r>
        <w:rPr>
          <w:spacing w:val="-3"/>
        </w:rPr>
        <w:t> </w:t>
      </w:r>
      <w:r>
        <w:rPr/>
        <w:t>were</w:t>
      </w:r>
      <w:r>
        <w:rPr>
          <w:spacing w:val="-4"/>
        </w:rPr>
        <w:t> </w:t>
      </w:r>
      <w:r>
        <w:rPr/>
        <w:t>the</w:t>
      </w:r>
      <w:r>
        <w:rPr>
          <w:spacing w:val="-3"/>
        </w:rPr>
        <w:t> </w:t>
      </w:r>
      <w:r>
        <w:rPr/>
        <w:t>evidence</w:t>
      </w:r>
      <w:r>
        <w:rPr>
          <w:spacing w:val="-3"/>
        </w:rPr>
        <w:t> </w:t>
      </w:r>
      <w:r>
        <w:rPr/>
        <w:t>of an</w:t>
      </w:r>
      <w:r>
        <w:rPr>
          <w:spacing w:val="-3"/>
        </w:rPr>
        <w:t> </w:t>
      </w:r>
      <w:r>
        <w:rPr/>
        <w:t>improvement</w:t>
      </w:r>
      <w:r>
        <w:rPr>
          <w:spacing w:val="-3"/>
        </w:rPr>
        <w:t> </w:t>
      </w:r>
      <w:r>
        <w:rPr/>
        <w:t>in earnings quality of Jordanian listed firms after the collective requirements to adopt IFRS.</w:t>
      </w:r>
    </w:p>
    <w:p>
      <w:pPr>
        <w:pStyle w:val="BodyText"/>
        <w:spacing w:line="480" w:lineRule="auto" w:before="1"/>
        <w:ind w:left="940" w:right="1435"/>
        <w:jc w:val="both"/>
      </w:pPr>
      <w:r>
        <w:rPr/>
        <w:t>The</w:t>
      </w:r>
      <w:r>
        <w:rPr>
          <w:spacing w:val="-8"/>
        </w:rPr>
        <w:t> </w:t>
      </w:r>
      <w:r>
        <w:rPr/>
        <w:t>study</w:t>
      </w:r>
      <w:r>
        <w:rPr>
          <w:spacing w:val="-6"/>
        </w:rPr>
        <w:t> </w:t>
      </w:r>
      <w:r>
        <w:rPr/>
        <w:t>by</w:t>
      </w:r>
      <w:r>
        <w:rPr>
          <w:spacing w:val="-7"/>
        </w:rPr>
        <w:t> </w:t>
      </w:r>
      <w:r>
        <w:rPr/>
        <w:t>Adeyemi</w:t>
      </w:r>
      <w:r>
        <w:rPr>
          <w:spacing w:val="-6"/>
        </w:rPr>
        <w:t> </w:t>
      </w:r>
      <w:r>
        <w:rPr/>
        <w:t>(2016)</w:t>
      </w:r>
      <w:r>
        <w:rPr>
          <w:spacing w:val="-8"/>
        </w:rPr>
        <w:t> </w:t>
      </w:r>
      <w:r>
        <w:rPr/>
        <w:t>examined</w:t>
      </w:r>
      <w:r>
        <w:rPr>
          <w:spacing w:val="-4"/>
        </w:rPr>
        <w:t> </w:t>
      </w:r>
      <w:r>
        <w:rPr/>
        <w:t>IFRS</w:t>
      </w:r>
      <w:r>
        <w:rPr>
          <w:spacing w:val="-6"/>
        </w:rPr>
        <w:t> </w:t>
      </w:r>
      <w:r>
        <w:rPr/>
        <w:t>adoption</w:t>
      </w:r>
      <w:r>
        <w:rPr>
          <w:spacing w:val="-7"/>
        </w:rPr>
        <w:t> </w:t>
      </w:r>
      <w:r>
        <w:rPr/>
        <w:t>and</w:t>
      </w:r>
      <w:r>
        <w:rPr>
          <w:spacing w:val="-7"/>
        </w:rPr>
        <w:t> </w:t>
      </w:r>
      <w:r>
        <w:rPr/>
        <w:t>earnings</w:t>
      </w:r>
      <w:r>
        <w:rPr>
          <w:spacing w:val="-7"/>
        </w:rPr>
        <w:t> </w:t>
      </w:r>
      <w:r>
        <w:rPr/>
        <w:t>management</w:t>
      </w:r>
      <w:r>
        <w:rPr>
          <w:spacing w:val="-7"/>
        </w:rPr>
        <w:t> </w:t>
      </w:r>
      <w:r>
        <w:rPr/>
        <w:t>in</w:t>
      </w:r>
      <w:r>
        <w:rPr>
          <w:spacing w:val="-6"/>
        </w:rPr>
        <w:t> </w:t>
      </w:r>
      <w:r>
        <w:rPr/>
        <w:t>Nigerian non-financial</w:t>
      </w:r>
      <w:r>
        <w:rPr>
          <w:spacing w:val="-11"/>
        </w:rPr>
        <w:t> </w:t>
      </w:r>
      <w:r>
        <w:rPr/>
        <w:t>quoted</w:t>
      </w:r>
      <w:r>
        <w:rPr>
          <w:spacing w:val="-11"/>
        </w:rPr>
        <w:t> </w:t>
      </w:r>
      <w:r>
        <w:rPr/>
        <w:t>companies.</w:t>
      </w:r>
      <w:r>
        <w:rPr>
          <w:spacing w:val="-11"/>
        </w:rPr>
        <w:t> </w:t>
      </w:r>
      <w:r>
        <w:rPr/>
        <w:t>The</w:t>
      </w:r>
      <w:r>
        <w:rPr>
          <w:spacing w:val="-12"/>
        </w:rPr>
        <w:t> </w:t>
      </w:r>
      <w:r>
        <w:rPr/>
        <w:t>sample</w:t>
      </w:r>
      <w:r>
        <w:rPr>
          <w:spacing w:val="-12"/>
        </w:rPr>
        <w:t> </w:t>
      </w:r>
      <w:r>
        <w:rPr/>
        <w:t>consisted</w:t>
      </w:r>
      <w:r>
        <w:rPr>
          <w:spacing w:val="-11"/>
        </w:rPr>
        <w:t> </w:t>
      </w:r>
      <w:r>
        <w:rPr/>
        <w:t>of</w:t>
      </w:r>
      <w:r>
        <w:rPr>
          <w:spacing w:val="-11"/>
        </w:rPr>
        <w:t> </w:t>
      </w:r>
      <w:r>
        <w:rPr/>
        <w:t>seventy</w:t>
      </w:r>
      <w:r>
        <w:rPr>
          <w:spacing w:val="-10"/>
        </w:rPr>
        <w:t> </w:t>
      </w:r>
      <w:r>
        <w:rPr/>
        <w:t>five</w:t>
      </w:r>
      <w:r>
        <w:rPr>
          <w:spacing w:val="-12"/>
        </w:rPr>
        <w:t> </w:t>
      </w:r>
      <w:r>
        <w:rPr/>
        <w:t>(75)</w:t>
      </w:r>
      <w:r>
        <w:rPr>
          <w:spacing w:val="-12"/>
        </w:rPr>
        <w:t> </w:t>
      </w:r>
      <w:r>
        <w:rPr/>
        <w:t>non-financial</w:t>
      </w:r>
      <w:r>
        <w:rPr>
          <w:spacing w:val="-11"/>
        </w:rPr>
        <w:t> </w:t>
      </w:r>
      <w:r>
        <w:rPr/>
        <w:t>firms listed on the floor of the Nigerian Stock Exchange during the period 2010 to 2014. Using the panel data estimation technique, the study revealed that IFRS adoption in Nigeria did not significantly affect the tendencies of Nigerian companies to manipulate earnings. The study also</w:t>
      </w:r>
      <w:r>
        <w:rPr>
          <w:spacing w:val="-10"/>
        </w:rPr>
        <w:t> </w:t>
      </w:r>
      <w:r>
        <w:rPr/>
        <w:t>found</w:t>
      </w:r>
      <w:r>
        <w:rPr>
          <w:spacing w:val="-12"/>
        </w:rPr>
        <w:t> </w:t>
      </w:r>
      <w:r>
        <w:rPr/>
        <w:t>that</w:t>
      </w:r>
      <w:r>
        <w:rPr>
          <w:spacing w:val="-9"/>
        </w:rPr>
        <w:t> </w:t>
      </w:r>
      <w:r>
        <w:rPr/>
        <w:t>a</w:t>
      </w:r>
      <w:r>
        <w:rPr>
          <w:spacing w:val="-12"/>
        </w:rPr>
        <w:t> </w:t>
      </w:r>
      <w:r>
        <w:rPr/>
        <w:t>higher</w:t>
      </w:r>
      <w:r>
        <w:rPr>
          <w:spacing w:val="-12"/>
        </w:rPr>
        <w:t> </w:t>
      </w:r>
      <w:r>
        <w:rPr/>
        <w:t>audit</w:t>
      </w:r>
      <w:r>
        <w:rPr>
          <w:spacing w:val="-10"/>
        </w:rPr>
        <w:t> </w:t>
      </w:r>
      <w:r>
        <w:rPr/>
        <w:t>quality</w:t>
      </w:r>
      <w:r>
        <w:rPr>
          <w:spacing w:val="-11"/>
        </w:rPr>
        <w:t> </w:t>
      </w:r>
      <w:r>
        <w:rPr/>
        <w:t>and</w:t>
      </w:r>
      <w:r>
        <w:rPr>
          <w:spacing w:val="-9"/>
        </w:rPr>
        <w:t> </w:t>
      </w:r>
      <w:r>
        <w:rPr/>
        <w:t>a</w:t>
      </w:r>
      <w:r>
        <w:rPr>
          <w:spacing w:val="-12"/>
        </w:rPr>
        <w:t> </w:t>
      </w:r>
      <w:r>
        <w:rPr/>
        <w:t>large</w:t>
      </w:r>
      <w:r>
        <w:rPr>
          <w:spacing w:val="-11"/>
        </w:rPr>
        <w:t> </w:t>
      </w:r>
      <w:r>
        <w:rPr/>
        <w:t>firm</w:t>
      </w:r>
      <w:r>
        <w:rPr>
          <w:spacing w:val="-11"/>
        </w:rPr>
        <w:t> </w:t>
      </w:r>
      <w:r>
        <w:rPr/>
        <w:t>size</w:t>
      </w:r>
      <w:r>
        <w:rPr>
          <w:spacing w:val="-12"/>
        </w:rPr>
        <w:t> </w:t>
      </w:r>
      <w:r>
        <w:rPr/>
        <w:t>did</w:t>
      </w:r>
      <w:r>
        <w:rPr>
          <w:spacing w:val="-9"/>
        </w:rPr>
        <w:t> </w:t>
      </w:r>
      <w:r>
        <w:rPr/>
        <w:t>not</w:t>
      </w:r>
      <w:r>
        <w:rPr>
          <w:spacing w:val="-8"/>
        </w:rPr>
        <w:t> </w:t>
      </w:r>
      <w:r>
        <w:rPr/>
        <w:t>create</w:t>
      </w:r>
      <w:r>
        <w:rPr>
          <w:spacing w:val="-9"/>
        </w:rPr>
        <w:t> </w:t>
      </w:r>
      <w:r>
        <w:rPr/>
        <w:t>a</w:t>
      </w:r>
      <w:r>
        <w:rPr>
          <w:spacing w:val="-12"/>
        </w:rPr>
        <w:t> </w:t>
      </w:r>
      <w:r>
        <w:rPr/>
        <w:t>situation</w:t>
      </w:r>
      <w:r>
        <w:rPr>
          <w:spacing w:val="-11"/>
        </w:rPr>
        <w:t> </w:t>
      </w:r>
      <w:r>
        <w:rPr/>
        <w:t>where</w:t>
      </w:r>
      <w:r>
        <w:rPr>
          <w:spacing w:val="-10"/>
        </w:rPr>
        <w:t> </w:t>
      </w:r>
      <w:r>
        <w:rPr/>
        <w:t>IFRS adoption affected earnings management. The study recommended that regulatory bodies such as the Security and Exchange Commission (SEC) and the Financial Reporting Council of Nigeria (FRCN) should devise means of encouraging quoted companies in Nigeria to employ the</w:t>
      </w:r>
      <w:r>
        <w:rPr>
          <w:spacing w:val="-5"/>
        </w:rPr>
        <w:t> </w:t>
      </w:r>
      <w:r>
        <w:rPr/>
        <w:t>services</w:t>
      </w:r>
      <w:r>
        <w:rPr>
          <w:spacing w:val="-5"/>
        </w:rPr>
        <w:t> </w:t>
      </w:r>
      <w:r>
        <w:rPr/>
        <w:t>of</w:t>
      </w:r>
      <w:r>
        <w:rPr>
          <w:spacing w:val="-6"/>
        </w:rPr>
        <w:t> </w:t>
      </w:r>
      <w:r>
        <w:rPr/>
        <w:t>Big4</w:t>
      </w:r>
      <w:r>
        <w:rPr>
          <w:spacing w:val="-4"/>
        </w:rPr>
        <w:t> </w:t>
      </w:r>
      <w:r>
        <w:rPr/>
        <w:t>audit</w:t>
      </w:r>
      <w:r>
        <w:rPr>
          <w:spacing w:val="-2"/>
        </w:rPr>
        <w:t> </w:t>
      </w:r>
      <w:r>
        <w:rPr/>
        <w:t>firms</w:t>
      </w:r>
      <w:r>
        <w:rPr>
          <w:spacing w:val="-4"/>
        </w:rPr>
        <w:t> </w:t>
      </w:r>
      <w:r>
        <w:rPr/>
        <w:t>so</w:t>
      </w:r>
      <w:r>
        <w:rPr>
          <w:spacing w:val="-3"/>
        </w:rPr>
        <w:t> </w:t>
      </w:r>
      <w:r>
        <w:rPr/>
        <w:t>as</w:t>
      </w:r>
      <w:r>
        <w:rPr>
          <w:spacing w:val="-5"/>
        </w:rPr>
        <w:t> </w:t>
      </w:r>
      <w:r>
        <w:rPr/>
        <w:t>to</w:t>
      </w:r>
      <w:r>
        <w:rPr>
          <w:spacing w:val="-2"/>
        </w:rPr>
        <w:t> </w:t>
      </w:r>
      <w:r>
        <w:rPr/>
        <w:t>enhance</w:t>
      </w:r>
      <w:r>
        <w:rPr>
          <w:spacing w:val="-3"/>
        </w:rPr>
        <w:t> </w:t>
      </w:r>
      <w:r>
        <w:rPr/>
        <w:t>a</w:t>
      </w:r>
      <w:r>
        <w:rPr>
          <w:spacing w:val="-3"/>
        </w:rPr>
        <w:t> </w:t>
      </w:r>
      <w:r>
        <w:rPr/>
        <w:t>high</w:t>
      </w:r>
      <w:r>
        <w:rPr>
          <w:spacing w:val="-4"/>
        </w:rPr>
        <w:t> </w:t>
      </w:r>
      <w:r>
        <w:rPr/>
        <w:t>audit</w:t>
      </w:r>
      <w:r>
        <w:rPr>
          <w:spacing w:val="-4"/>
        </w:rPr>
        <w:t> </w:t>
      </w:r>
      <w:r>
        <w:rPr/>
        <w:t>quality.</w:t>
      </w:r>
      <w:r>
        <w:rPr>
          <w:spacing w:val="-4"/>
        </w:rPr>
        <w:t> </w:t>
      </w:r>
      <w:r>
        <w:rPr/>
        <w:t>This</w:t>
      </w:r>
      <w:r>
        <w:rPr>
          <w:spacing w:val="-4"/>
        </w:rPr>
        <w:t> </w:t>
      </w:r>
      <w:r>
        <w:rPr/>
        <w:t>suggests</w:t>
      </w:r>
      <w:r>
        <w:rPr>
          <w:spacing w:val="-4"/>
        </w:rPr>
        <w:t> </w:t>
      </w:r>
      <w:r>
        <w:rPr/>
        <w:t>that</w:t>
      </w:r>
      <w:r>
        <w:rPr>
          <w:spacing w:val="-3"/>
        </w:rPr>
        <w:t> </w:t>
      </w:r>
      <w:r>
        <w:rPr/>
        <w:t>a</w:t>
      </w:r>
      <w:r>
        <w:rPr>
          <w:spacing w:val="-6"/>
        </w:rPr>
        <w:t> </w:t>
      </w:r>
      <w:r>
        <w:rPr/>
        <w:t>high audit quality works as a constraint on earnings management, consequently reducing earnings management</w:t>
      </w:r>
      <w:r>
        <w:rPr>
          <w:spacing w:val="-7"/>
        </w:rPr>
        <w:t> </w:t>
      </w:r>
      <w:r>
        <w:rPr/>
        <w:t>practices.</w:t>
      </w:r>
      <w:r>
        <w:rPr>
          <w:spacing w:val="40"/>
        </w:rPr>
        <w:t> </w:t>
      </w:r>
      <w:r>
        <w:rPr/>
        <w:t>Patro</w:t>
      </w:r>
      <w:r>
        <w:rPr>
          <w:spacing w:val="-8"/>
        </w:rPr>
        <w:t> </w:t>
      </w:r>
      <w:r>
        <w:rPr/>
        <w:t>and</w:t>
      </w:r>
      <w:r>
        <w:rPr>
          <w:spacing w:val="-7"/>
        </w:rPr>
        <w:t> </w:t>
      </w:r>
      <w:r>
        <w:rPr/>
        <w:t>Gupta</w:t>
      </w:r>
      <w:r>
        <w:rPr>
          <w:spacing w:val="-8"/>
        </w:rPr>
        <w:t> </w:t>
      </w:r>
      <w:r>
        <w:rPr/>
        <w:t>(2016)</w:t>
      </w:r>
      <w:r>
        <w:rPr>
          <w:spacing w:val="-8"/>
        </w:rPr>
        <w:t> </w:t>
      </w:r>
      <w:r>
        <w:rPr/>
        <w:t>investigated</w:t>
      </w:r>
      <w:r>
        <w:rPr>
          <w:spacing w:val="-8"/>
        </w:rPr>
        <w:t> </w:t>
      </w:r>
      <w:r>
        <w:rPr/>
        <w:t>the</w:t>
      </w:r>
      <w:r>
        <w:rPr>
          <w:spacing w:val="-8"/>
        </w:rPr>
        <w:t> </w:t>
      </w:r>
      <w:r>
        <w:rPr/>
        <w:t>impact</w:t>
      </w:r>
      <w:r>
        <w:rPr>
          <w:spacing w:val="-7"/>
        </w:rPr>
        <w:t> </w:t>
      </w:r>
      <w:r>
        <w:rPr/>
        <w:t>of</w:t>
      </w:r>
      <w:r>
        <w:rPr>
          <w:spacing w:val="-7"/>
        </w:rPr>
        <w:t> </w:t>
      </w:r>
      <w:r>
        <w:rPr/>
        <w:t>IFRS</w:t>
      </w:r>
      <w:r>
        <w:rPr>
          <w:spacing w:val="-7"/>
        </w:rPr>
        <w:t> </w:t>
      </w:r>
      <w:r>
        <w:rPr/>
        <w:t>on</w:t>
      </w:r>
      <w:r>
        <w:rPr>
          <w:spacing w:val="-7"/>
        </w:rPr>
        <w:t> </w:t>
      </w:r>
      <w:r>
        <w:rPr/>
        <w:t>stock</w:t>
      </w:r>
      <w:r>
        <w:rPr>
          <w:spacing w:val="-8"/>
        </w:rPr>
        <w:t> </w:t>
      </w:r>
      <w:r>
        <w:rPr/>
        <w:t>price synchronicity</w:t>
      </w:r>
      <w:r>
        <w:rPr>
          <w:spacing w:val="-10"/>
        </w:rPr>
        <w:t> </w:t>
      </w:r>
      <w:r>
        <w:rPr/>
        <w:t>for</w:t>
      </w:r>
      <w:r>
        <w:rPr>
          <w:spacing w:val="-11"/>
        </w:rPr>
        <w:t> </w:t>
      </w:r>
      <w:r>
        <w:rPr/>
        <w:t>the</w:t>
      </w:r>
      <w:r>
        <w:rPr>
          <w:spacing w:val="-8"/>
        </w:rPr>
        <w:t> </w:t>
      </w:r>
      <w:r>
        <w:rPr/>
        <w:t>Asian</w:t>
      </w:r>
      <w:r>
        <w:rPr>
          <w:spacing w:val="-10"/>
        </w:rPr>
        <w:t> </w:t>
      </w:r>
      <w:r>
        <w:rPr/>
        <w:t>Market.</w:t>
      </w:r>
      <w:r>
        <w:rPr>
          <w:spacing w:val="-9"/>
        </w:rPr>
        <w:t> </w:t>
      </w:r>
      <w:r>
        <w:rPr/>
        <w:t>The</w:t>
      </w:r>
      <w:r>
        <w:rPr>
          <w:spacing w:val="-11"/>
        </w:rPr>
        <w:t> </w:t>
      </w:r>
      <w:r>
        <w:rPr/>
        <w:t>study</w:t>
      </w:r>
      <w:r>
        <w:rPr>
          <w:spacing w:val="-9"/>
        </w:rPr>
        <w:t> </w:t>
      </w:r>
      <w:r>
        <w:rPr/>
        <w:t>utilized</w:t>
      </w:r>
      <w:r>
        <w:rPr>
          <w:spacing w:val="-10"/>
        </w:rPr>
        <w:t> </w:t>
      </w:r>
      <w:r>
        <w:rPr/>
        <w:t>1800</w:t>
      </w:r>
      <w:r>
        <w:rPr>
          <w:spacing w:val="-10"/>
        </w:rPr>
        <w:t> </w:t>
      </w:r>
      <w:r>
        <w:rPr/>
        <w:t>firm</w:t>
      </w:r>
      <w:r>
        <w:rPr>
          <w:spacing w:val="-9"/>
        </w:rPr>
        <w:t> </w:t>
      </w:r>
      <w:r>
        <w:rPr/>
        <w:t>year</w:t>
      </w:r>
      <w:r>
        <w:rPr>
          <w:spacing w:val="-10"/>
        </w:rPr>
        <w:t> </w:t>
      </w:r>
      <w:r>
        <w:rPr/>
        <w:t>observations</w:t>
      </w:r>
      <w:r>
        <w:rPr>
          <w:spacing w:val="-9"/>
        </w:rPr>
        <w:t> </w:t>
      </w:r>
      <w:r>
        <w:rPr/>
        <w:t>for</w:t>
      </w:r>
      <w:r>
        <w:rPr>
          <w:spacing w:val="-11"/>
        </w:rPr>
        <w:t> </w:t>
      </w:r>
      <w:r>
        <w:rPr/>
        <w:t>four</w:t>
      </w:r>
      <w:r>
        <w:rPr>
          <w:spacing w:val="-9"/>
        </w:rPr>
        <w:t> </w:t>
      </w:r>
      <w:r>
        <w:rPr/>
        <w:t>(4) Asian markets, namely, China, Hong Kong, Israel and Philippine, where IFRS had been mandatory</w:t>
      </w:r>
      <w:r>
        <w:rPr>
          <w:spacing w:val="3"/>
        </w:rPr>
        <w:t> </w:t>
      </w:r>
      <w:r>
        <w:rPr/>
        <w:t>since</w:t>
      </w:r>
      <w:r>
        <w:rPr>
          <w:spacing w:val="6"/>
        </w:rPr>
        <w:t> </w:t>
      </w:r>
      <w:r>
        <w:rPr/>
        <w:t>2009.</w:t>
      </w:r>
      <w:r>
        <w:rPr>
          <w:spacing w:val="9"/>
        </w:rPr>
        <w:t> </w:t>
      </w:r>
      <w:r>
        <w:rPr/>
        <w:t>Different</w:t>
      </w:r>
      <w:r>
        <w:rPr>
          <w:spacing w:val="8"/>
        </w:rPr>
        <w:t> </w:t>
      </w:r>
      <w:r>
        <w:rPr/>
        <w:t>types</w:t>
      </w:r>
      <w:r>
        <w:rPr>
          <w:spacing w:val="6"/>
        </w:rPr>
        <w:t> </w:t>
      </w:r>
      <w:r>
        <w:rPr/>
        <w:t>of</w:t>
      </w:r>
      <w:r>
        <w:rPr>
          <w:spacing w:val="6"/>
        </w:rPr>
        <w:t> </w:t>
      </w:r>
      <w:r>
        <w:rPr/>
        <w:t>panel</w:t>
      </w:r>
      <w:r>
        <w:rPr>
          <w:spacing w:val="7"/>
        </w:rPr>
        <w:t> </w:t>
      </w:r>
      <w:r>
        <w:rPr/>
        <w:t>data</w:t>
      </w:r>
      <w:r>
        <w:rPr>
          <w:spacing w:val="5"/>
        </w:rPr>
        <w:t> </w:t>
      </w:r>
      <w:r>
        <w:rPr/>
        <w:t>estimates</w:t>
      </w:r>
      <w:r>
        <w:rPr>
          <w:spacing w:val="7"/>
        </w:rPr>
        <w:t> </w:t>
      </w:r>
      <w:r>
        <w:rPr/>
        <w:t>were</w:t>
      </w:r>
      <w:r>
        <w:rPr>
          <w:spacing w:val="6"/>
        </w:rPr>
        <w:t> </w:t>
      </w:r>
      <w:r>
        <w:rPr/>
        <w:t>used</w:t>
      </w:r>
      <w:r>
        <w:rPr>
          <w:spacing w:val="8"/>
        </w:rPr>
        <w:t> </w:t>
      </w:r>
      <w:r>
        <w:rPr/>
        <w:t>and</w:t>
      </w:r>
      <w:r>
        <w:rPr>
          <w:spacing w:val="6"/>
        </w:rPr>
        <w:t> </w:t>
      </w:r>
      <w:r>
        <w:rPr/>
        <w:t>compared</w:t>
      </w:r>
      <w:r>
        <w:rPr>
          <w:spacing w:val="6"/>
        </w:rPr>
        <w:t> </w:t>
      </w:r>
      <w:r>
        <w:rPr/>
        <w:t>so</w:t>
      </w:r>
      <w:r>
        <w:rPr>
          <w:spacing w:val="9"/>
        </w:rPr>
        <w:t> </w:t>
      </w:r>
      <w:r>
        <w:rPr>
          <w:spacing w:val="-5"/>
        </w:rPr>
        <w:t>as</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685760">
            <wp:simplePos x="0" y="0"/>
            <wp:positionH relativeFrom="page">
              <wp:posOffset>1095451</wp:posOffset>
            </wp:positionH>
            <wp:positionV relativeFrom="paragraph">
              <wp:posOffset>1850770</wp:posOffset>
            </wp:positionV>
            <wp:extent cx="5106847" cy="523811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5" cstate="print"/>
                    <a:stretch>
                      <a:fillRect/>
                    </a:stretch>
                  </pic:blipFill>
                  <pic:spPr>
                    <a:xfrm>
                      <a:off x="0" y="0"/>
                      <a:ext cx="5106847" cy="5238115"/>
                    </a:xfrm>
                    <a:prstGeom prst="rect">
                      <a:avLst/>
                    </a:prstGeom>
                  </pic:spPr>
                </pic:pic>
              </a:graphicData>
            </a:graphic>
          </wp:anchor>
        </w:drawing>
      </w:r>
      <w:r>
        <w:rPr/>
        <w:t>to interpret the results with the best suited parameters for different data sets for different markets.</w:t>
      </w:r>
      <w:r>
        <w:rPr>
          <w:spacing w:val="-12"/>
        </w:rPr>
        <w:t> </w:t>
      </w:r>
      <w:r>
        <w:rPr/>
        <w:t>The</w:t>
      </w:r>
      <w:r>
        <w:rPr>
          <w:spacing w:val="-12"/>
        </w:rPr>
        <w:t> </w:t>
      </w:r>
      <w:r>
        <w:rPr/>
        <w:t>result</w:t>
      </w:r>
      <w:r>
        <w:rPr>
          <w:spacing w:val="-12"/>
        </w:rPr>
        <w:t> </w:t>
      </w:r>
      <w:r>
        <w:rPr/>
        <w:t>supported</w:t>
      </w:r>
      <w:r>
        <w:rPr>
          <w:spacing w:val="-13"/>
        </w:rPr>
        <w:t> </w:t>
      </w:r>
      <w:r>
        <w:rPr/>
        <w:t>the</w:t>
      </w:r>
      <w:r>
        <w:rPr>
          <w:spacing w:val="-11"/>
        </w:rPr>
        <w:t> </w:t>
      </w:r>
      <w:r>
        <w:rPr/>
        <w:t>argument</w:t>
      </w:r>
      <w:r>
        <w:rPr>
          <w:spacing w:val="-10"/>
        </w:rPr>
        <w:t> </w:t>
      </w:r>
      <w:r>
        <w:rPr/>
        <w:t>that</w:t>
      </w:r>
      <w:r>
        <w:rPr>
          <w:spacing w:val="-13"/>
        </w:rPr>
        <w:t> </w:t>
      </w:r>
      <w:r>
        <w:rPr/>
        <w:t>for</w:t>
      </w:r>
      <w:r>
        <w:rPr>
          <w:spacing w:val="-12"/>
        </w:rPr>
        <w:t> </w:t>
      </w:r>
      <w:r>
        <w:rPr/>
        <w:t>all</w:t>
      </w:r>
      <w:r>
        <w:rPr>
          <w:spacing w:val="-12"/>
        </w:rPr>
        <w:t> </w:t>
      </w:r>
      <w:r>
        <w:rPr/>
        <w:t>four</w:t>
      </w:r>
      <w:r>
        <w:rPr>
          <w:spacing w:val="-12"/>
        </w:rPr>
        <w:t> </w:t>
      </w:r>
      <w:r>
        <w:rPr/>
        <w:t>markets</w:t>
      </w:r>
      <w:r>
        <w:rPr>
          <w:spacing w:val="-12"/>
        </w:rPr>
        <w:t> </w:t>
      </w:r>
      <w:r>
        <w:rPr/>
        <w:t>considered,</w:t>
      </w:r>
      <w:r>
        <w:rPr>
          <w:spacing w:val="-11"/>
        </w:rPr>
        <w:t> </w:t>
      </w:r>
      <w:r>
        <w:rPr/>
        <w:t>IFRS</w:t>
      </w:r>
      <w:r>
        <w:rPr>
          <w:spacing w:val="-12"/>
        </w:rPr>
        <w:t> </w:t>
      </w:r>
      <w:r>
        <w:rPr/>
        <w:t>adoption improved the information environment through the capitalization of</w:t>
      </w:r>
      <w:r>
        <w:rPr>
          <w:spacing w:val="-1"/>
        </w:rPr>
        <w:t> </w:t>
      </w:r>
      <w:r>
        <w:rPr/>
        <w:t>firm specific</w:t>
      </w:r>
      <w:r>
        <w:rPr>
          <w:spacing w:val="-1"/>
        </w:rPr>
        <w:t> </w:t>
      </w:r>
      <w:r>
        <w:rPr/>
        <w:t>information into stock prices, thereby reducing stock price synchronicity. Akpata (2015) examined IFRS adoption</w:t>
      </w:r>
      <w:r>
        <w:rPr>
          <w:spacing w:val="-14"/>
        </w:rPr>
        <w:t> </w:t>
      </w:r>
      <w:r>
        <w:rPr/>
        <w:t>and</w:t>
      </w:r>
      <w:r>
        <w:rPr>
          <w:spacing w:val="-14"/>
        </w:rPr>
        <w:t> </w:t>
      </w:r>
      <w:r>
        <w:rPr/>
        <w:t>value</w:t>
      </w:r>
      <w:r>
        <w:rPr>
          <w:spacing w:val="-15"/>
        </w:rPr>
        <w:t> </w:t>
      </w:r>
      <w:r>
        <w:rPr/>
        <w:t>relevance</w:t>
      </w:r>
      <w:r>
        <w:rPr>
          <w:spacing w:val="-15"/>
        </w:rPr>
        <w:t> </w:t>
      </w:r>
      <w:r>
        <w:rPr/>
        <w:t>of</w:t>
      </w:r>
      <w:r>
        <w:rPr>
          <w:spacing w:val="-13"/>
        </w:rPr>
        <w:t> </w:t>
      </w:r>
      <w:r>
        <w:rPr/>
        <w:t>financial</w:t>
      </w:r>
      <w:r>
        <w:rPr>
          <w:spacing w:val="-14"/>
        </w:rPr>
        <w:t> </w:t>
      </w:r>
      <w:r>
        <w:rPr/>
        <w:t>information</w:t>
      </w:r>
      <w:r>
        <w:rPr>
          <w:spacing w:val="-14"/>
        </w:rPr>
        <w:t> </w:t>
      </w:r>
      <w:r>
        <w:rPr/>
        <w:t>of</w:t>
      </w:r>
      <w:r>
        <w:rPr>
          <w:spacing w:val="-15"/>
        </w:rPr>
        <w:t> </w:t>
      </w:r>
      <w:r>
        <w:rPr/>
        <w:t>listed</w:t>
      </w:r>
      <w:r>
        <w:rPr>
          <w:spacing w:val="-15"/>
        </w:rPr>
        <w:t> </w:t>
      </w:r>
      <w:r>
        <w:rPr/>
        <w:t>deposit</w:t>
      </w:r>
      <w:r>
        <w:rPr>
          <w:spacing w:val="-14"/>
        </w:rPr>
        <w:t> </w:t>
      </w:r>
      <w:r>
        <w:rPr/>
        <w:t>money</w:t>
      </w:r>
      <w:r>
        <w:rPr>
          <w:spacing w:val="-14"/>
        </w:rPr>
        <w:t> </w:t>
      </w:r>
      <w:r>
        <w:rPr/>
        <w:t>banks</w:t>
      </w:r>
      <w:r>
        <w:rPr>
          <w:spacing w:val="-14"/>
        </w:rPr>
        <w:t> </w:t>
      </w:r>
      <w:r>
        <w:rPr/>
        <w:t>in</w:t>
      </w:r>
      <w:r>
        <w:rPr>
          <w:spacing w:val="-14"/>
        </w:rPr>
        <w:t> </w:t>
      </w:r>
      <w:r>
        <w:rPr/>
        <w:t>Nigeria. The sample consisted of seventeen (17) listed banks during the period 2006 to 2013. The sample</w:t>
      </w:r>
      <w:r>
        <w:rPr>
          <w:spacing w:val="-14"/>
        </w:rPr>
        <w:t> </w:t>
      </w:r>
      <w:r>
        <w:rPr/>
        <w:t>consisted</w:t>
      </w:r>
      <w:r>
        <w:rPr>
          <w:spacing w:val="-13"/>
        </w:rPr>
        <w:t> </w:t>
      </w:r>
      <w:r>
        <w:rPr/>
        <w:t>of</w:t>
      </w:r>
      <w:r>
        <w:rPr>
          <w:spacing w:val="-14"/>
        </w:rPr>
        <w:t> </w:t>
      </w:r>
      <w:r>
        <w:rPr/>
        <w:t>two</w:t>
      </w:r>
      <w:r>
        <w:rPr>
          <w:spacing w:val="-13"/>
        </w:rPr>
        <w:t> </w:t>
      </w:r>
      <w:r>
        <w:rPr/>
        <w:t>sub-samples,</w:t>
      </w:r>
      <w:r>
        <w:rPr>
          <w:spacing w:val="-13"/>
        </w:rPr>
        <w:t> </w:t>
      </w:r>
      <w:r>
        <w:rPr/>
        <w:t>pre-IFRS</w:t>
      </w:r>
      <w:r>
        <w:rPr>
          <w:spacing w:val="-12"/>
        </w:rPr>
        <w:t> </w:t>
      </w:r>
      <w:r>
        <w:rPr/>
        <w:t>adoption</w:t>
      </w:r>
      <w:r>
        <w:rPr>
          <w:spacing w:val="-13"/>
        </w:rPr>
        <w:t> </w:t>
      </w:r>
      <w:r>
        <w:rPr/>
        <w:t>sample</w:t>
      </w:r>
      <w:r>
        <w:rPr>
          <w:spacing w:val="-14"/>
        </w:rPr>
        <w:t> </w:t>
      </w:r>
      <w:r>
        <w:rPr/>
        <w:t>(2006</w:t>
      </w:r>
      <w:r>
        <w:rPr>
          <w:spacing w:val="-14"/>
        </w:rPr>
        <w:t> </w:t>
      </w:r>
      <w:r>
        <w:rPr/>
        <w:t>to</w:t>
      </w:r>
      <w:r>
        <w:rPr>
          <w:spacing w:val="-15"/>
        </w:rPr>
        <w:t> </w:t>
      </w:r>
      <w:r>
        <w:rPr/>
        <w:t>2009)</w:t>
      </w:r>
      <w:r>
        <w:rPr>
          <w:spacing w:val="-14"/>
        </w:rPr>
        <w:t> </w:t>
      </w:r>
      <w:r>
        <w:rPr/>
        <w:t>and</w:t>
      </w:r>
      <w:r>
        <w:rPr>
          <w:spacing w:val="-13"/>
        </w:rPr>
        <w:t> </w:t>
      </w:r>
      <w:r>
        <w:rPr/>
        <w:t>post-IFRS adoption samples (2010 to 2013). Using the Generalised Least Square (GLS), the study revealed</w:t>
      </w:r>
      <w:r>
        <w:rPr>
          <w:spacing w:val="-15"/>
        </w:rPr>
        <w:t> </w:t>
      </w:r>
      <w:r>
        <w:rPr/>
        <w:t>that</w:t>
      </w:r>
      <w:r>
        <w:rPr>
          <w:spacing w:val="-15"/>
        </w:rPr>
        <w:t> </w:t>
      </w:r>
      <w:r>
        <w:rPr/>
        <w:t>pre-IFRS</w:t>
      </w:r>
      <w:r>
        <w:rPr>
          <w:spacing w:val="-15"/>
        </w:rPr>
        <w:t> </w:t>
      </w:r>
      <w:r>
        <w:rPr/>
        <w:t>financial</w:t>
      </w:r>
      <w:r>
        <w:rPr>
          <w:spacing w:val="-15"/>
        </w:rPr>
        <w:t> </w:t>
      </w:r>
      <w:r>
        <w:rPr/>
        <w:t>information</w:t>
      </w:r>
      <w:r>
        <w:rPr>
          <w:spacing w:val="-15"/>
        </w:rPr>
        <w:t> </w:t>
      </w:r>
      <w:r>
        <w:rPr/>
        <w:t>was</w:t>
      </w:r>
      <w:r>
        <w:rPr>
          <w:spacing w:val="-15"/>
        </w:rPr>
        <w:t> </w:t>
      </w:r>
      <w:r>
        <w:rPr/>
        <w:t>relevant,</w:t>
      </w:r>
      <w:r>
        <w:rPr>
          <w:spacing w:val="-15"/>
        </w:rPr>
        <w:t> </w:t>
      </w:r>
      <w:r>
        <w:rPr/>
        <w:t>post-IFRS</w:t>
      </w:r>
      <w:r>
        <w:rPr>
          <w:spacing w:val="-15"/>
        </w:rPr>
        <w:t> </w:t>
      </w:r>
      <w:r>
        <w:rPr/>
        <w:t>financial</w:t>
      </w:r>
      <w:r>
        <w:rPr>
          <w:spacing w:val="-15"/>
        </w:rPr>
        <w:t> </w:t>
      </w:r>
      <w:r>
        <w:rPr/>
        <w:t>information</w:t>
      </w:r>
      <w:r>
        <w:rPr>
          <w:spacing w:val="-15"/>
        </w:rPr>
        <w:t> </w:t>
      </w:r>
      <w:r>
        <w:rPr/>
        <w:t>had very weak value relevance and post-IFRS financial information had no value relevance over pre-IFRS financial information. The study concluded that there was a need for strong enforcement effort, rigorous IFRS training and good corporate governance.</w:t>
      </w:r>
    </w:p>
    <w:p>
      <w:pPr>
        <w:pStyle w:val="BodyText"/>
        <w:spacing w:line="480" w:lineRule="auto" w:before="1"/>
        <w:ind w:left="940" w:right="1435"/>
        <w:jc w:val="both"/>
      </w:pPr>
      <w:r>
        <w:rPr/>
        <w:t>Yurt and Ergun (2015) examined the impact of IFRS adoption on accounting quality. The sample</w:t>
      </w:r>
      <w:r>
        <w:rPr>
          <w:spacing w:val="-6"/>
        </w:rPr>
        <w:t> </w:t>
      </w:r>
      <w:r>
        <w:rPr/>
        <w:t>consisted</w:t>
      </w:r>
      <w:r>
        <w:rPr>
          <w:spacing w:val="-5"/>
        </w:rPr>
        <w:t> </w:t>
      </w:r>
      <w:r>
        <w:rPr/>
        <w:t>of</w:t>
      </w:r>
      <w:r>
        <w:rPr>
          <w:spacing w:val="-6"/>
        </w:rPr>
        <w:t> </w:t>
      </w:r>
      <w:r>
        <w:rPr/>
        <w:t>financial</w:t>
      </w:r>
      <w:r>
        <w:rPr>
          <w:spacing w:val="-5"/>
        </w:rPr>
        <w:t> </w:t>
      </w:r>
      <w:r>
        <w:rPr/>
        <w:t>statements</w:t>
      </w:r>
      <w:r>
        <w:rPr>
          <w:spacing w:val="-5"/>
        </w:rPr>
        <w:t> </w:t>
      </w:r>
      <w:r>
        <w:rPr/>
        <w:t>of</w:t>
      </w:r>
      <w:r>
        <w:rPr>
          <w:spacing w:val="-6"/>
        </w:rPr>
        <w:t> </w:t>
      </w:r>
      <w:r>
        <w:rPr/>
        <w:t>the</w:t>
      </w:r>
      <w:r>
        <w:rPr>
          <w:spacing w:val="-3"/>
        </w:rPr>
        <w:t> </w:t>
      </w:r>
      <w:r>
        <w:rPr/>
        <w:t>nineteen</w:t>
      </w:r>
      <w:r>
        <w:rPr>
          <w:spacing w:val="-2"/>
        </w:rPr>
        <w:t> </w:t>
      </w:r>
      <w:r>
        <w:rPr/>
        <w:t>(19)</w:t>
      </w:r>
      <w:r>
        <w:rPr>
          <w:spacing w:val="-6"/>
        </w:rPr>
        <w:t> </w:t>
      </w:r>
      <w:r>
        <w:rPr/>
        <w:t>largest</w:t>
      </w:r>
      <w:r>
        <w:rPr>
          <w:spacing w:val="-2"/>
        </w:rPr>
        <w:t> </w:t>
      </w:r>
      <w:r>
        <w:rPr/>
        <w:t>companies</w:t>
      </w:r>
      <w:r>
        <w:rPr>
          <w:spacing w:val="-5"/>
        </w:rPr>
        <w:t> </w:t>
      </w:r>
      <w:r>
        <w:rPr/>
        <w:t>listed</w:t>
      </w:r>
      <w:r>
        <w:rPr>
          <w:spacing w:val="-5"/>
        </w:rPr>
        <w:t> </w:t>
      </w:r>
      <w:r>
        <w:rPr/>
        <w:t>in</w:t>
      </w:r>
      <w:r>
        <w:rPr>
          <w:spacing w:val="-4"/>
        </w:rPr>
        <w:t> </w:t>
      </w:r>
      <w:r>
        <w:rPr/>
        <w:t>Borsa Istanbul</w:t>
      </w:r>
      <w:r>
        <w:rPr>
          <w:spacing w:val="-11"/>
        </w:rPr>
        <w:t> </w:t>
      </w:r>
      <w:r>
        <w:rPr/>
        <w:t>using</w:t>
      </w:r>
      <w:r>
        <w:rPr>
          <w:spacing w:val="-11"/>
        </w:rPr>
        <w:t> </w:t>
      </w:r>
      <w:r>
        <w:rPr/>
        <w:t>accounting</w:t>
      </w:r>
      <w:r>
        <w:rPr>
          <w:spacing w:val="-10"/>
        </w:rPr>
        <w:t> </w:t>
      </w:r>
      <w:r>
        <w:rPr/>
        <w:t>quality</w:t>
      </w:r>
      <w:r>
        <w:rPr>
          <w:spacing w:val="-11"/>
        </w:rPr>
        <w:t> </w:t>
      </w:r>
      <w:r>
        <w:rPr/>
        <w:t>metrics</w:t>
      </w:r>
      <w:r>
        <w:rPr>
          <w:spacing w:val="-12"/>
        </w:rPr>
        <w:t> </w:t>
      </w:r>
      <w:r>
        <w:rPr/>
        <w:t>and</w:t>
      </w:r>
      <w:r>
        <w:rPr>
          <w:spacing w:val="-12"/>
        </w:rPr>
        <w:t> </w:t>
      </w:r>
      <w:r>
        <w:rPr/>
        <w:t>trend</w:t>
      </w:r>
      <w:r>
        <w:rPr>
          <w:spacing w:val="-12"/>
        </w:rPr>
        <w:t> </w:t>
      </w:r>
      <w:r>
        <w:rPr/>
        <w:t>analysis.</w:t>
      </w:r>
      <w:r>
        <w:rPr>
          <w:spacing w:val="-11"/>
        </w:rPr>
        <w:t> </w:t>
      </w:r>
      <w:r>
        <w:rPr/>
        <w:t>The</w:t>
      </w:r>
      <w:r>
        <w:rPr>
          <w:spacing w:val="-13"/>
        </w:rPr>
        <w:t> </w:t>
      </w:r>
      <w:r>
        <w:rPr/>
        <w:t>study</w:t>
      </w:r>
      <w:r>
        <w:rPr>
          <w:spacing w:val="-11"/>
        </w:rPr>
        <w:t> </w:t>
      </w:r>
      <w:r>
        <w:rPr/>
        <w:t>found</w:t>
      </w:r>
      <w:r>
        <w:rPr>
          <w:spacing w:val="-12"/>
        </w:rPr>
        <w:t> </w:t>
      </w:r>
      <w:r>
        <w:rPr/>
        <w:t>evidence</w:t>
      </w:r>
      <w:r>
        <w:rPr>
          <w:spacing w:val="-13"/>
        </w:rPr>
        <w:t> </w:t>
      </w:r>
      <w:r>
        <w:rPr/>
        <w:t>that</w:t>
      </w:r>
      <w:r>
        <w:rPr>
          <w:spacing w:val="-8"/>
        </w:rPr>
        <w:t> </w:t>
      </w:r>
      <w:r>
        <w:rPr/>
        <w:t>the implementation</w:t>
      </w:r>
      <w:r>
        <w:rPr>
          <w:spacing w:val="-10"/>
        </w:rPr>
        <w:t> </w:t>
      </w:r>
      <w:r>
        <w:rPr/>
        <w:t>of</w:t>
      </w:r>
      <w:r>
        <w:rPr>
          <w:spacing w:val="-11"/>
        </w:rPr>
        <w:t> </w:t>
      </w:r>
      <w:r>
        <w:rPr/>
        <w:t>IFRS</w:t>
      </w:r>
      <w:r>
        <w:rPr>
          <w:spacing w:val="-10"/>
        </w:rPr>
        <w:t> </w:t>
      </w:r>
      <w:r>
        <w:rPr/>
        <w:t>helped</w:t>
      </w:r>
      <w:r>
        <w:rPr>
          <w:spacing w:val="-10"/>
        </w:rPr>
        <w:t> </w:t>
      </w:r>
      <w:r>
        <w:rPr/>
        <w:t>to</w:t>
      </w:r>
      <w:r>
        <w:rPr>
          <w:spacing w:val="-10"/>
        </w:rPr>
        <w:t> </w:t>
      </w:r>
      <w:r>
        <w:rPr/>
        <w:t>improve</w:t>
      </w:r>
      <w:r>
        <w:rPr>
          <w:spacing w:val="-12"/>
        </w:rPr>
        <w:t> </w:t>
      </w:r>
      <w:r>
        <w:rPr/>
        <w:t>accounting</w:t>
      </w:r>
      <w:r>
        <w:rPr>
          <w:spacing w:val="-11"/>
        </w:rPr>
        <w:t> </w:t>
      </w:r>
      <w:r>
        <w:rPr/>
        <w:t>quality</w:t>
      </w:r>
      <w:r>
        <w:rPr>
          <w:spacing w:val="-10"/>
        </w:rPr>
        <w:t> </w:t>
      </w:r>
      <w:r>
        <w:rPr/>
        <w:t>in</w:t>
      </w:r>
      <w:r>
        <w:rPr>
          <w:spacing w:val="-10"/>
        </w:rPr>
        <w:t> </w:t>
      </w:r>
      <w:r>
        <w:rPr/>
        <w:t>Turkey.</w:t>
      </w:r>
      <w:r>
        <w:rPr>
          <w:spacing w:val="-11"/>
        </w:rPr>
        <w:t> </w:t>
      </w:r>
      <w:r>
        <w:rPr/>
        <w:t>Umubong</w:t>
      </w:r>
      <w:r>
        <w:rPr>
          <w:spacing w:val="-11"/>
        </w:rPr>
        <w:t> </w:t>
      </w:r>
      <w:r>
        <w:rPr/>
        <w:t>and</w:t>
      </w:r>
      <w:r>
        <w:rPr>
          <w:spacing w:val="-11"/>
        </w:rPr>
        <w:t> </w:t>
      </w:r>
      <w:r>
        <w:rPr/>
        <w:t>Akani (2015)</w:t>
      </w:r>
      <w:r>
        <w:rPr>
          <w:spacing w:val="-4"/>
        </w:rPr>
        <w:t> </w:t>
      </w:r>
      <w:r>
        <w:rPr/>
        <w:t>investigated</w:t>
      </w:r>
      <w:r>
        <w:rPr>
          <w:spacing w:val="-4"/>
        </w:rPr>
        <w:t> </w:t>
      </w:r>
      <w:r>
        <w:rPr/>
        <w:t>IFRS</w:t>
      </w:r>
      <w:r>
        <w:rPr>
          <w:spacing w:val="-4"/>
        </w:rPr>
        <w:t> </w:t>
      </w:r>
      <w:r>
        <w:rPr/>
        <w:t>adoption</w:t>
      </w:r>
      <w:r>
        <w:rPr>
          <w:spacing w:val="-4"/>
        </w:rPr>
        <w:t> </w:t>
      </w:r>
      <w:r>
        <w:rPr/>
        <w:t>and</w:t>
      </w:r>
      <w:r>
        <w:rPr>
          <w:spacing w:val="-4"/>
        </w:rPr>
        <w:t> </w:t>
      </w:r>
      <w:r>
        <w:rPr/>
        <w:t>accounting</w:t>
      </w:r>
      <w:r>
        <w:rPr>
          <w:spacing w:val="-4"/>
        </w:rPr>
        <w:t> </w:t>
      </w:r>
      <w:r>
        <w:rPr/>
        <w:t>quality</w:t>
      </w:r>
      <w:r>
        <w:rPr>
          <w:spacing w:val="-4"/>
        </w:rPr>
        <w:t> </w:t>
      </w:r>
      <w:r>
        <w:rPr/>
        <w:t>of</w:t>
      </w:r>
      <w:r>
        <w:rPr>
          <w:spacing w:val="-4"/>
        </w:rPr>
        <w:t> </w:t>
      </w:r>
      <w:r>
        <w:rPr/>
        <w:t>using</w:t>
      </w:r>
      <w:r>
        <w:rPr>
          <w:spacing w:val="-6"/>
        </w:rPr>
        <w:t> </w:t>
      </w:r>
      <w:r>
        <w:rPr/>
        <w:t>a</w:t>
      </w:r>
      <w:r>
        <w:rPr>
          <w:spacing w:val="-5"/>
        </w:rPr>
        <w:t> </w:t>
      </w:r>
      <w:r>
        <w:rPr/>
        <w:t>sample</w:t>
      </w:r>
      <w:r>
        <w:rPr>
          <w:spacing w:val="-5"/>
        </w:rPr>
        <w:t> </w:t>
      </w:r>
      <w:r>
        <w:rPr/>
        <w:t>of</w:t>
      </w:r>
      <w:r>
        <w:rPr>
          <w:spacing w:val="-4"/>
        </w:rPr>
        <w:t> </w:t>
      </w:r>
      <w:r>
        <w:rPr/>
        <w:t>manufacturing firms in Nigeria over a five year period. Multiple regression analysis was performed on accounting</w:t>
      </w:r>
      <w:r>
        <w:rPr>
          <w:spacing w:val="-7"/>
        </w:rPr>
        <w:t> </w:t>
      </w:r>
      <w:r>
        <w:rPr/>
        <w:t>quality</w:t>
      </w:r>
      <w:r>
        <w:rPr>
          <w:spacing w:val="-7"/>
        </w:rPr>
        <w:t> </w:t>
      </w:r>
      <w:r>
        <w:rPr/>
        <w:t>variables</w:t>
      </w:r>
      <w:r>
        <w:rPr>
          <w:spacing w:val="-8"/>
        </w:rPr>
        <w:t> </w:t>
      </w:r>
      <w:r>
        <w:rPr/>
        <w:t>and</w:t>
      </w:r>
      <w:r>
        <w:rPr>
          <w:spacing w:val="-7"/>
        </w:rPr>
        <w:t> </w:t>
      </w:r>
      <w:r>
        <w:rPr/>
        <w:t>t-test</w:t>
      </w:r>
      <w:r>
        <w:rPr>
          <w:spacing w:val="-7"/>
        </w:rPr>
        <w:t> </w:t>
      </w:r>
      <w:r>
        <w:rPr/>
        <w:t>was</w:t>
      </w:r>
      <w:r>
        <w:rPr>
          <w:spacing w:val="-5"/>
        </w:rPr>
        <w:t> </w:t>
      </w:r>
      <w:r>
        <w:rPr/>
        <w:t>carried</w:t>
      </w:r>
      <w:r>
        <w:rPr>
          <w:spacing w:val="-5"/>
        </w:rPr>
        <w:t> </w:t>
      </w:r>
      <w:r>
        <w:rPr/>
        <w:t>out</w:t>
      </w:r>
      <w:r>
        <w:rPr>
          <w:spacing w:val="-7"/>
        </w:rPr>
        <w:t> </w:t>
      </w:r>
      <w:r>
        <w:rPr/>
        <w:t>for</w:t>
      </w:r>
      <w:r>
        <w:rPr>
          <w:spacing w:val="-9"/>
        </w:rPr>
        <w:t> </w:t>
      </w:r>
      <w:r>
        <w:rPr/>
        <w:t>equality</w:t>
      </w:r>
      <w:r>
        <w:rPr>
          <w:spacing w:val="-7"/>
        </w:rPr>
        <w:t> </w:t>
      </w:r>
      <w:r>
        <w:rPr/>
        <w:t>of</w:t>
      </w:r>
      <w:r>
        <w:rPr>
          <w:spacing w:val="-8"/>
        </w:rPr>
        <w:t> </w:t>
      </w:r>
      <w:r>
        <w:rPr/>
        <w:t>mean</w:t>
      </w:r>
      <w:r>
        <w:rPr>
          <w:spacing w:val="-7"/>
        </w:rPr>
        <w:t> </w:t>
      </w:r>
      <w:r>
        <w:rPr/>
        <w:t>to</w:t>
      </w:r>
      <w:r>
        <w:rPr>
          <w:spacing w:val="-7"/>
        </w:rPr>
        <w:t> </w:t>
      </w:r>
      <w:r>
        <w:rPr/>
        <w:t>compare</w:t>
      </w:r>
      <w:r>
        <w:rPr>
          <w:spacing w:val="-8"/>
        </w:rPr>
        <w:t> </w:t>
      </w:r>
      <w:r>
        <w:rPr/>
        <w:t>pre</w:t>
      </w:r>
      <w:r>
        <w:rPr>
          <w:spacing w:val="-9"/>
        </w:rPr>
        <w:t> </w:t>
      </w:r>
      <w:r>
        <w:rPr/>
        <w:t>and post IFRS. The result revealed that there was a decline in accounting quality using earnings management, value relevance and timely loss recognition as independent variables. Earnings and book value of equity as well as timely loss recognition were less value relevant in post- IFRS compared to pre-IFRS period. Mikova (2014) investigated the influence of IFRS on earnings manipulation, evidence from the European Union. The sample consisted of 603 companies</w:t>
      </w:r>
      <w:r>
        <w:rPr>
          <w:spacing w:val="59"/>
        </w:rPr>
        <w:t> </w:t>
      </w:r>
      <w:r>
        <w:rPr/>
        <w:t>listed</w:t>
      </w:r>
      <w:r>
        <w:rPr>
          <w:spacing w:val="61"/>
        </w:rPr>
        <w:t> </w:t>
      </w:r>
      <w:r>
        <w:rPr/>
        <w:t>on</w:t>
      </w:r>
      <w:r>
        <w:rPr>
          <w:spacing w:val="64"/>
        </w:rPr>
        <w:t> </w:t>
      </w:r>
      <w:r>
        <w:rPr/>
        <w:t>the</w:t>
      </w:r>
      <w:r>
        <w:rPr>
          <w:spacing w:val="62"/>
        </w:rPr>
        <w:t> </w:t>
      </w:r>
      <w:r>
        <w:rPr/>
        <w:t>market</w:t>
      </w:r>
      <w:r>
        <w:rPr>
          <w:spacing w:val="64"/>
        </w:rPr>
        <w:t> </w:t>
      </w:r>
      <w:r>
        <w:rPr/>
        <w:t>of</w:t>
      </w:r>
      <w:r>
        <w:rPr>
          <w:spacing w:val="64"/>
        </w:rPr>
        <w:t> </w:t>
      </w:r>
      <w:r>
        <w:rPr/>
        <w:t>the</w:t>
      </w:r>
      <w:r>
        <w:rPr>
          <w:spacing w:val="63"/>
        </w:rPr>
        <w:t> </w:t>
      </w:r>
      <w:r>
        <w:rPr/>
        <w:t>European</w:t>
      </w:r>
      <w:r>
        <w:rPr>
          <w:spacing w:val="62"/>
        </w:rPr>
        <w:t> </w:t>
      </w:r>
      <w:r>
        <w:rPr/>
        <w:t>Union</w:t>
      </w:r>
      <w:r>
        <w:rPr>
          <w:spacing w:val="62"/>
        </w:rPr>
        <w:t> </w:t>
      </w:r>
      <w:r>
        <w:rPr/>
        <w:t>members</w:t>
      </w:r>
      <w:r>
        <w:rPr>
          <w:spacing w:val="60"/>
        </w:rPr>
        <w:t> </w:t>
      </w:r>
      <w:r>
        <w:rPr/>
        <w:t>representing</w:t>
      </w:r>
      <w:r>
        <w:rPr>
          <w:spacing w:val="62"/>
        </w:rPr>
        <w:t> </w:t>
      </w:r>
      <w:r>
        <w:rPr/>
        <w:t>both</w:t>
      </w:r>
      <w:r>
        <w:rPr>
          <w:spacing w:val="62"/>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86272">
            <wp:simplePos x="0" y="0"/>
            <wp:positionH relativeFrom="page">
              <wp:posOffset>1095451</wp:posOffset>
            </wp:positionH>
            <wp:positionV relativeFrom="paragraph">
              <wp:posOffset>1850770</wp:posOffset>
            </wp:positionV>
            <wp:extent cx="5106847" cy="523811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5" cstate="print"/>
                    <a:stretch>
                      <a:fillRect/>
                    </a:stretch>
                  </pic:blipFill>
                  <pic:spPr>
                    <a:xfrm>
                      <a:off x="0" y="0"/>
                      <a:ext cx="5106847" cy="5238115"/>
                    </a:xfrm>
                    <a:prstGeom prst="rect">
                      <a:avLst/>
                    </a:prstGeom>
                  </pic:spPr>
                </pic:pic>
              </a:graphicData>
            </a:graphic>
          </wp:anchor>
        </w:drawing>
      </w:r>
      <w:r>
        <w:rPr/>
        <w:t>continental</w:t>
      </w:r>
      <w:r>
        <w:rPr>
          <w:spacing w:val="-11"/>
        </w:rPr>
        <w:t> </w:t>
      </w:r>
      <w:r>
        <w:rPr/>
        <w:t>code-law</w:t>
      </w:r>
      <w:r>
        <w:rPr>
          <w:spacing w:val="-11"/>
        </w:rPr>
        <w:t> </w:t>
      </w:r>
      <w:r>
        <w:rPr/>
        <w:t>traditions</w:t>
      </w:r>
      <w:r>
        <w:rPr>
          <w:spacing w:val="-10"/>
        </w:rPr>
        <w:t> </w:t>
      </w:r>
      <w:r>
        <w:rPr/>
        <w:t>and</w:t>
      </w:r>
      <w:r>
        <w:rPr>
          <w:spacing w:val="-11"/>
        </w:rPr>
        <w:t> </w:t>
      </w:r>
      <w:r>
        <w:rPr/>
        <w:t>the</w:t>
      </w:r>
      <w:r>
        <w:rPr>
          <w:spacing w:val="-11"/>
        </w:rPr>
        <w:t> </w:t>
      </w:r>
      <w:r>
        <w:rPr/>
        <w:t>common-law</w:t>
      </w:r>
      <w:r>
        <w:rPr>
          <w:spacing w:val="-11"/>
        </w:rPr>
        <w:t> </w:t>
      </w:r>
      <w:r>
        <w:rPr/>
        <w:t>tradition.</w:t>
      </w:r>
      <w:r>
        <w:rPr>
          <w:spacing w:val="-10"/>
        </w:rPr>
        <w:t> </w:t>
      </w:r>
      <w:r>
        <w:rPr/>
        <w:t>The</w:t>
      </w:r>
      <w:r>
        <w:rPr>
          <w:spacing w:val="-12"/>
        </w:rPr>
        <w:t> </w:t>
      </w:r>
      <w:r>
        <w:rPr/>
        <w:t>analysis</w:t>
      </w:r>
      <w:r>
        <w:rPr>
          <w:spacing w:val="-10"/>
        </w:rPr>
        <w:t> </w:t>
      </w:r>
      <w:r>
        <w:rPr/>
        <w:t>covered</w:t>
      </w:r>
      <w:r>
        <w:rPr>
          <w:spacing w:val="-7"/>
        </w:rPr>
        <w:t> </w:t>
      </w:r>
      <w:r>
        <w:rPr/>
        <w:t>the</w:t>
      </w:r>
      <w:r>
        <w:rPr>
          <w:spacing w:val="-11"/>
        </w:rPr>
        <w:t> </w:t>
      </w:r>
      <w:r>
        <w:rPr/>
        <w:t>period 1992 to 2013 divided in two sub-periods: before IFRS adoption and after IFRS adoption. It resulted in 10,251 firm year observations (observations before IFRS adoption and 4513 firm year</w:t>
      </w:r>
      <w:r>
        <w:rPr>
          <w:spacing w:val="-14"/>
        </w:rPr>
        <w:t> </w:t>
      </w:r>
      <w:r>
        <w:rPr/>
        <w:t>observation</w:t>
      </w:r>
      <w:r>
        <w:rPr>
          <w:spacing w:val="-11"/>
        </w:rPr>
        <w:t> </w:t>
      </w:r>
      <w:r>
        <w:rPr/>
        <w:t>after</w:t>
      </w:r>
      <w:r>
        <w:rPr>
          <w:spacing w:val="-11"/>
        </w:rPr>
        <w:t> </w:t>
      </w:r>
      <w:r>
        <w:rPr/>
        <w:t>IFRS</w:t>
      </w:r>
      <w:r>
        <w:rPr>
          <w:spacing w:val="-12"/>
        </w:rPr>
        <w:t> </w:t>
      </w:r>
      <w:r>
        <w:rPr/>
        <w:t>adoption).</w:t>
      </w:r>
      <w:r>
        <w:rPr>
          <w:spacing w:val="-14"/>
        </w:rPr>
        <w:t> </w:t>
      </w:r>
      <w:r>
        <w:rPr/>
        <w:t>Using</w:t>
      </w:r>
      <w:r>
        <w:rPr>
          <w:spacing w:val="-13"/>
        </w:rPr>
        <w:t> </w:t>
      </w:r>
      <w:r>
        <w:rPr/>
        <w:t>accrual</w:t>
      </w:r>
      <w:r>
        <w:rPr>
          <w:spacing w:val="-13"/>
        </w:rPr>
        <w:t> </w:t>
      </w:r>
      <w:r>
        <w:rPr/>
        <w:t>metric</w:t>
      </w:r>
      <w:r>
        <w:rPr>
          <w:spacing w:val="-11"/>
        </w:rPr>
        <w:t> </w:t>
      </w:r>
      <w:r>
        <w:rPr/>
        <w:t>as</w:t>
      </w:r>
      <w:r>
        <w:rPr>
          <w:spacing w:val="-9"/>
        </w:rPr>
        <w:t> </w:t>
      </w:r>
      <w:r>
        <w:rPr/>
        <w:t>the</w:t>
      </w:r>
      <w:r>
        <w:rPr>
          <w:spacing w:val="-11"/>
        </w:rPr>
        <w:t> </w:t>
      </w:r>
      <w:r>
        <w:rPr/>
        <w:t>accounting</w:t>
      </w:r>
      <w:r>
        <w:rPr>
          <w:spacing w:val="-13"/>
        </w:rPr>
        <w:t> </w:t>
      </w:r>
      <w:r>
        <w:rPr/>
        <w:t>quality</w:t>
      </w:r>
      <w:r>
        <w:rPr>
          <w:spacing w:val="-13"/>
        </w:rPr>
        <w:t> </w:t>
      </w:r>
      <w:r>
        <w:rPr/>
        <w:t>measure, the result revealed that in the entire European Union, earnings management decreased and accounting quality was enhanced in only about 16.6% (100 companies) of the examined companies. The remaining 83.45% (503 companies) did not support the idea of an improvement in reporting quality after IFRS adoption. The</w:t>
      </w:r>
      <w:r>
        <w:rPr>
          <w:spacing w:val="-1"/>
        </w:rPr>
        <w:t> </w:t>
      </w:r>
      <w:r>
        <w:rPr/>
        <w:t>study did not support the idea that convergence to international accounting standards ensured lower earnings management, implying an improvement in reporting quality. The study opined that the level of other institutional factors such as national legal system, the enforcement mechanism as well as management incentives were probably more important than accounting standards alone. Therefore, it was suggested that all relevant factors, not only IFRS, should be considered in creating an international competitive environment to ensure an improvement in transparency and comparability of financial statements, higher cross-border investment, stronger capital market and investors’ protection.</w:t>
      </w:r>
    </w:p>
    <w:p>
      <w:pPr>
        <w:pStyle w:val="BodyText"/>
        <w:spacing w:line="480" w:lineRule="auto" w:before="2"/>
        <w:ind w:left="940" w:right="1436"/>
        <w:jc w:val="both"/>
      </w:pPr>
      <w:r>
        <w:rPr/>
        <w:t>The study by Hui-Sung and Tzu-Han (2014) examined the effect of IFRS, information asymmetry</w:t>
      </w:r>
      <w:r>
        <w:rPr>
          <w:spacing w:val="-15"/>
        </w:rPr>
        <w:t> </w:t>
      </w:r>
      <w:r>
        <w:rPr/>
        <w:t>and</w:t>
      </w:r>
      <w:r>
        <w:rPr>
          <w:spacing w:val="-15"/>
        </w:rPr>
        <w:t> </w:t>
      </w:r>
      <w:r>
        <w:rPr/>
        <w:t>corporate</w:t>
      </w:r>
      <w:r>
        <w:rPr>
          <w:spacing w:val="-15"/>
        </w:rPr>
        <w:t> </w:t>
      </w:r>
      <w:r>
        <w:rPr/>
        <w:t>governance</w:t>
      </w:r>
      <w:r>
        <w:rPr>
          <w:spacing w:val="-15"/>
        </w:rPr>
        <w:t> </w:t>
      </w:r>
      <w:r>
        <w:rPr/>
        <w:t>on</w:t>
      </w:r>
      <w:r>
        <w:rPr>
          <w:spacing w:val="-15"/>
        </w:rPr>
        <w:t> </w:t>
      </w:r>
      <w:r>
        <w:rPr/>
        <w:t>the</w:t>
      </w:r>
      <w:r>
        <w:rPr>
          <w:spacing w:val="-15"/>
        </w:rPr>
        <w:t> </w:t>
      </w:r>
      <w:r>
        <w:rPr/>
        <w:t>quality</w:t>
      </w:r>
      <w:r>
        <w:rPr>
          <w:spacing w:val="-15"/>
        </w:rPr>
        <w:t> </w:t>
      </w:r>
      <w:r>
        <w:rPr/>
        <w:t>of</w:t>
      </w:r>
      <w:r>
        <w:rPr>
          <w:spacing w:val="-15"/>
        </w:rPr>
        <w:t> </w:t>
      </w:r>
      <w:r>
        <w:rPr/>
        <w:t>accounting</w:t>
      </w:r>
      <w:r>
        <w:rPr>
          <w:spacing w:val="-15"/>
        </w:rPr>
        <w:t> </w:t>
      </w:r>
      <w:r>
        <w:rPr/>
        <w:t>information.</w:t>
      </w:r>
      <w:r>
        <w:rPr>
          <w:spacing w:val="-15"/>
        </w:rPr>
        <w:t> </w:t>
      </w:r>
      <w:r>
        <w:rPr/>
        <w:t>The</w:t>
      </w:r>
      <w:r>
        <w:rPr>
          <w:spacing w:val="-15"/>
        </w:rPr>
        <w:t> </w:t>
      </w:r>
      <w:r>
        <w:rPr/>
        <w:t>study</w:t>
      </w:r>
      <w:r>
        <w:rPr>
          <w:spacing w:val="-15"/>
        </w:rPr>
        <w:t> </w:t>
      </w:r>
      <w:r>
        <w:rPr/>
        <w:t>made a</w:t>
      </w:r>
      <w:r>
        <w:rPr>
          <w:spacing w:val="-1"/>
        </w:rPr>
        <w:t> </w:t>
      </w:r>
      <w:r>
        <w:rPr/>
        <w:t>comparison of information quality variances under</w:t>
      </w:r>
      <w:r>
        <w:rPr>
          <w:spacing w:val="-1"/>
        </w:rPr>
        <w:t> </w:t>
      </w:r>
      <w:r>
        <w:rPr/>
        <w:t>the</w:t>
      </w:r>
      <w:r>
        <w:rPr>
          <w:spacing w:val="-1"/>
        </w:rPr>
        <w:t> </w:t>
      </w:r>
      <w:r>
        <w:rPr/>
        <w:t>Chinese GAAP system and the IFRS system. The sample consisted of forty two (42) companies issuing A shares and B shares on the Shenzhen Stock Exchange</w:t>
      </w:r>
      <w:r>
        <w:rPr>
          <w:spacing w:val="40"/>
        </w:rPr>
        <w:t> </w:t>
      </w:r>
      <w:r>
        <w:rPr/>
        <w:t>and forty four (44) companies issuing both shares on the Shanghai Stock Exchange during the time period 2002 to 2009 resulting in 1376 firm year observations.</w:t>
      </w:r>
      <w:r>
        <w:rPr>
          <w:spacing w:val="-14"/>
        </w:rPr>
        <w:t> </w:t>
      </w:r>
      <w:r>
        <w:rPr/>
        <w:t>The</w:t>
      </w:r>
      <w:r>
        <w:rPr>
          <w:spacing w:val="-14"/>
        </w:rPr>
        <w:t> </w:t>
      </w:r>
      <w:r>
        <w:rPr/>
        <w:t>findings</w:t>
      </w:r>
      <w:r>
        <w:rPr>
          <w:spacing w:val="-14"/>
        </w:rPr>
        <w:t> </w:t>
      </w:r>
      <w:r>
        <w:rPr/>
        <w:t>revealed</w:t>
      </w:r>
      <w:r>
        <w:rPr>
          <w:spacing w:val="-15"/>
        </w:rPr>
        <w:t> </w:t>
      </w:r>
      <w:r>
        <w:rPr/>
        <w:t>that</w:t>
      </w:r>
      <w:r>
        <w:rPr>
          <w:spacing w:val="-12"/>
        </w:rPr>
        <w:t> </w:t>
      </w:r>
      <w:r>
        <w:rPr/>
        <w:t>IFRS</w:t>
      </w:r>
      <w:r>
        <w:rPr>
          <w:spacing w:val="-14"/>
        </w:rPr>
        <w:t> </w:t>
      </w:r>
      <w:r>
        <w:rPr/>
        <w:t>adoption</w:t>
      </w:r>
      <w:r>
        <w:rPr>
          <w:spacing w:val="-14"/>
        </w:rPr>
        <w:t> </w:t>
      </w:r>
      <w:r>
        <w:rPr/>
        <w:t>was</w:t>
      </w:r>
      <w:r>
        <w:rPr>
          <w:spacing w:val="-14"/>
        </w:rPr>
        <w:t> </w:t>
      </w:r>
      <w:r>
        <w:rPr/>
        <w:t>not</w:t>
      </w:r>
      <w:r>
        <w:rPr>
          <w:spacing w:val="-14"/>
        </w:rPr>
        <w:t> </w:t>
      </w:r>
      <w:r>
        <w:rPr/>
        <w:t>a</w:t>
      </w:r>
      <w:r>
        <w:rPr>
          <w:spacing w:val="-15"/>
        </w:rPr>
        <w:t> </w:t>
      </w:r>
      <w:r>
        <w:rPr/>
        <w:t>silver</w:t>
      </w:r>
      <w:r>
        <w:rPr>
          <w:spacing w:val="-15"/>
        </w:rPr>
        <w:t> </w:t>
      </w:r>
      <w:r>
        <w:rPr/>
        <w:t>bullet.</w:t>
      </w:r>
      <w:r>
        <w:rPr>
          <w:spacing w:val="-14"/>
        </w:rPr>
        <w:t> </w:t>
      </w:r>
      <w:r>
        <w:rPr/>
        <w:t>It</w:t>
      </w:r>
      <w:r>
        <w:rPr>
          <w:spacing w:val="-12"/>
        </w:rPr>
        <w:t> </w:t>
      </w:r>
      <w:r>
        <w:rPr/>
        <w:t>could</w:t>
      </w:r>
      <w:r>
        <w:rPr>
          <w:spacing w:val="-12"/>
        </w:rPr>
        <w:t> </w:t>
      </w:r>
      <w:r>
        <w:rPr/>
        <w:t>enhance accounting information quality but it did not have a significant effect on the improvement of information</w:t>
      </w:r>
      <w:r>
        <w:rPr>
          <w:spacing w:val="2"/>
        </w:rPr>
        <w:t> </w:t>
      </w:r>
      <w:r>
        <w:rPr/>
        <w:t>asymmetry.</w:t>
      </w:r>
      <w:r>
        <w:rPr>
          <w:spacing w:val="3"/>
        </w:rPr>
        <w:t> </w:t>
      </w:r>
      <w:r>
        <w:rPr/>
        <w:t>The</w:t>
      </w:r>
      <w:r>
        <w:rPr>
          <w:spacing w:val="3"/>
        </w:rPr>
        <w:t> </w:t>
      </w:r>
      <w:r>
        <w:rPr/>
        <w:t>study</w:t>
      </w:r>
      <w:r>
        <w:rPr>
          <w:spacing w:val="4"/>
        </w:rPr>
        <w:t> </w:t>
      </w:r>
      <w:r>
        <w:rPr/>
        <w:t>concluded</w:t>
      </w:r>
      <w:r>
        <w:rPr>
          <w:spacing w:val="5"/>
        </w:rPr>
        <w:t> </w:t>
      </w:r>
      <w:r>
        <w:rPr/>
        <w:t>that</w:t>
      </w:r>
      <w:r>
        <w:rPr>
          <w:spacing w:val="3"/>
        </w:rPr>
        <w:t> </w:t>
      </w:r>
      <w:r>
        <w:rPr/>
        <w:t>accounting</w:t>
      </w:r>
      <w:r>
        <w:rPr>
          <w:spacing w:val="4"/>
        </w:rPr>
        <w:t> </w:t>
      </w:r>
      <w:r>
        <w:rPr/>
        <w:t>quality</w:t>
      </w:r>
      <w:r>
        <w:rPr>
          <w:spacing w:val="4"/>
        </w:rPr>
        <w:t> </w:t>
      </w:r>
      <w:r>
        <w:rPr/>
        <w:t>could</w:t>
      </w:r>
      <w:r>
        <w:rPr>
          <w:spacing w:val="2"/>
        </w:rPr>
        <w:t> </w:t>
      </w:r>
      <w:r>
        <w:rPr/>
        <w:t>only</w:t>
      </w:r>
      <w:r>
        <w:rPr>
          <w:spacing w:val="4"/>
        </w:rPr>
        <w:t> </w:t>
      </w:r>
      <w:r>
        <w:rPr/>
        <w:t>be</w:t>
      </w:r>
      <w:r>
        <w:rPr>
          <w:spacing w:val="3"/>
        </w:rPr>
        <w:t> </w:t>
      </w:r>
      <w:r>
        <w:rPr>
          <w:spacing w:val="-2"/>
        </w:rPr>
        <w:t>improved</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6784">
            <wp:simplePos x="0" y="0"/>
            <wp:positionH relativeFrom="page">
              <wp:posOffset>1095451</wp:posOffset>
            </wp:positionH>
            <wp:positionV relativeFrom="paragraph">
              <wp:posOffset>1850770</wp:posOffset>
            </wp:positionV>
            <wp:extent cx="5106847" cy="523811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5" cstate="print"/>
                    <a:stretch>
                      <a:fillRect/>
                    </a:stretch>
                  </pic:blipFill>
                  <pic:spPr>
                    <a:xfrm>
                      <a:off x="0" y="0"/>
                      <a:ext cx="5106847" cy="5238115"/>
                    </a:xfrm>
                    <a:prstGeom prst="rect">
                      <a:avLst/>
                    </a:prstGeom>
                  </pic:spPr>
                </pic:pic>
              </a:graphicData>
            </a:graphic>
          </wp:anchor>
        </w:drawing>
      </w:r>
      <w:r>
        <w:rPr/>
        <w:t>with mechanisms to reduce information asymmetry and enhance corporate governance along with</w:t>
      </w:r>
      <w:r>
        <w:rPr>
          <w:spacing w:val="-15"/>
        </w:rPr>
        <w:t> </w:t>
      </w:r>
      <w:r>
        <w:rPr/>
        <w:t>IFRS</w:t>
      </w:r>
      <w:r>
        <w:rPr>
          <w:spacing w:val="-15"/>
        </w:rPr>
        <w:t> </w:t>
      </w:r>
      <w:r>
        <w:rPr/>
        <w:t>adoption.</w:t>
      </w:r>
      <w:r>
        <w:rPr>
          <w:spacing w:val="-15"/>
        </w:rPr>
        <w:t> </w:t>
      </w:r>
      <w:r>
        <w:rPr/>
        <w:t>Nulla</w:t>
      </w:r>
      <w:r>
        <w:rPr>
          <w:spacing w:val="-15"/>
        </w:rPr>
        <w:t> </w:t>
      </w:r>
      <w:r>
        <w:rPr/>
        <w:t>(2014)</w:t>
      </w:r>
      <w:r>
        <w:rPr>
          <w:spacing w:val="-15"/>
        </w:rPr>
        <w:t> </w:t>
      </w:r>
      <w:r>
        <w:rPr/>
        <w:t>examined</w:t>
      </w:r>
      <w:r>
        <w:rPr>
          <w:spacing w:val="-15"/>
        </w:rPr>
        <w:t> </w:t>
      </w:r>
      <w:r>
        <w:rPr/>
        <w:t>IFRS</w:t>
      </w:r>
      <w:r>
        <w:rPr>
          <w:spacing w:val="-15"/>
        </w:rPr>
        <w:t> </w:t>
      </w:r>
      <w:r>
        <w:rPr/>
        <w:t>adoption</w:t>
      </w:r>
      <w:r>
        <w:rPr>
          <w:spacing w:val="-15"/>
        </w:rPr>
        <w:t> </w:t>
      </w:r>
      <w:r>
        <w:rPr/>
        <w:t>influence</w:t>
      </w:r>
      <w:r>
        <w:rPr>
          <w:spacing w:val="-15"/>
        </w:rPr>
        <w:t> </w:t>
      </w:r>
      <w:r>
        <w:rPr/>
        <w:t>of</w:t>
      </w:r>
      <w:r>
        <w:rPr>
          <w:spacing w:val="-15"/>
        </w:rPr>
        <w:t> </w:t>
      </w:r>
      <w:r>
        <w:rPr/>
        <w:t>the</w:t>
      </w:r>
      <w:r>
        <w:rPr>
          <w:spacing w:val="-15"/>
        </w:rPr>
        <w:t> </w:t>
      </w:r>
      <w:r>
        <w:rPr/>
        <w:t>quality</w:t>
      </w:r>
      <w:r>
        <w:rPr>
          <w:spacing w:val="-15"/>
        </w:rPr>
        <w:t> </w:t>
      </w:r>
      <w:r>
        <w:rPr/>
        <w:t>of</w:t>
      </w:r>
      <w:r>
        <w:rPr>
          <w:spacing w:val="-15"/>
        </w:rPr>
        <w:t> </w:t>
      </w:r>
      <w:r>
        <w:rPr/>
        <w:t>reporting in Canada. It was a comparative study between Canadian GAAP and IFRS to understand the extent</w:t>
      </w:r>
      <w:r>
        <w:rPr>
          <w:spacing w:val="-15"/>
        </w:rPr>
        <w:t> </w:t>
      </w:r>
      <w:r>
        <w:rPr/>
        <w:t>and</w:t>
      </w:r>
      <w:r>
        <w:rPr>
          <w:spacing w:val="-15"/>
        </w:rPr>
        <w:t> </w:t>
      </w:r>
      <w:r>
        <w:rPr/>
        <w:t>nature</w:t>
      </w:r>
      <w:r>
        <w:rPr>
          <w:spacing w:val="-15"/>
        </w:rPr>
        <w:t> </w:t>
      </w:r>
      <w:r>
        <w:rPr/>
        <w:t>of</w:t>
      </w:r>
      <w:r>
        <w:rPr>
          <w:spacing w:val="-15"/>
        </w:rPr>
        <w:t> </w:t>
      </w:r>
      <w:r>
        <w:rPr/>
        <w:t>the</w:t>
      </w:r>
      <w:r>
        <w:rPr>
          <w:spacing w:val="-14"/>
        </w:rPr>
        <w:t> </w:t>
      </w:r>
      <w:r>
        <w:rPr/>
        <w:t>impact</w:t>
      </w:r>
      <w:r>
        <w:rPr>
          <w:spacing w:val="-14"/>
        </w:rPr>
        <w:t> </w:t>
      </w:r>
      <w:r>
        <w:rPr/>
        <w:t>on</w:t>
      </w:r>
      <w:r>
        <w:rPr>
          <w:spacing w:val="-14"/>
        </w:rPr>
        <w:t> </w:t>
      </w:r>
      <w:r>
        <w:rPr/>
        <w:t>financial</w:t>
      </w:r>
      <w:r>
        <w:rPr>
          <w:spacing w:val="-14"/>
        </w:rPr>
        <w:t> </w:t>
      </w:r>
      <w:r>
        <w:rPr/>
        <w:t>reporting</w:t>
      </w:r>
      <w:r>
        <w:rPr>
          <w:spacing w:val="-14"/>
        </w:rPr>
        <w:t> </w:t>
      </w:r>
      <w:r>
        <w:rPr/>
        <w:t>on</w:t>
      </w:r>
      <w:r>
        <w:rPr>
          <w:spacing w:val="-14"/>
        </w:rPr>
        <w:t> </w:t>
      </w:r>
      <w:r>
        <w:rPr/>
        <w:t>nine</w:t>
      </w:r>
      <w:r>
        <w:rPr>
          <w:spacing w:val="-15"/>
        </w:rPr>
        <w:t> </w:t>
      </w:r>
      <w:r>
        <w:rPr/>
        <w:t>(9)</w:t>
      </w:r>
      <w:r>
        <w:rPr>
          <w:spacing w:val="-15"/>
        </w:rPr>
        <w:t> </w:t>
      </w:r>
      <w:r>
        <w:rPr/>
        <w:t>largest</w:t>
      </w:r>
      <w:r>
        <w:rPr>
          <w:spacing w:val="-14"/>
        </w:rPr>
        <w:t> </w:t>
      </w:r>
      <w:r>
        <w:rPr/>
        <w:t>Canadian</w:t>
      </w:r>
      <w:r>
        <w:rPr>
          <w:spacing w:val="-15"/>
        </w:rPr>
        <w:t> </w:t>
      </w:r>
      <w:r>
        <w:rPr/>
        <w:t>banks.</w:t>
      </w:r>
      <w:r>
        <w:rPr>
          <w:spacing w:val="-14"/>
        </w:rPr>
        <w:t> </w:t>
      </w:r>
      <w:r>
        <w:rPr/>
        <w:t>Using a</w:t>
      </w:r>
      <w:r>
        <w:rPr>
          <w:spacing w:val="-15"/>
        </w:rPr>
        <w:t> </w:t>
      </w:r>
      <w:r>
        <w:rPr/>
        <w:t>quantitative</w:t>
      </w:r>
      <w:r>
        <w:rPr>
          <w:spacing w:val="-15"/>
        </w:rPr>
        <w:t> </w:t>
      </w:r>
      <w:r>
        <w:rPr/>
        <w:t>research</w:t>
      </w:r>
      <w:r>
        <w:rPr>
          <w:spacing w:val="-15"/>
        </w:rPr>
        <w:t> </w:t>
      </w:r>
      <w:r>
        <w:rPr/>
        <w:t>design,</w:t>
      </w:r>
      <w:r>
        <w:rPr>
          <w:spacing w:val="-15"/>
        </w:rPr>
        <w:t> </w:t>
      </w:r>
      <w:r>
        <w:rPr/>
        <w:t>the</w:t>
      </w:r>
      <w:r>
        <w:rPr>
          <w:spacing w:val="-15"/>
        </w:rPr>
        <w:t> </w:t>
      </w:r>
      <w:r>
        <w:rPr/>
        <w:t>result</w:t>
      </w:r>
      <w:r>
        <w:rPr>
          <w:spacing w:val="-15"/>
        </w:rPr>
        <w:t> </w:t>
      </w:r>
      <w:r>
        <w:rPr/>
        <w:t>revealed</w:t>
      </w:r>
      <w:r>
        <w:rPr>
          <w:spacing w:val="-15"/>
        </w:rPr>
        <w:t> </w:t>
      </w:r>
      <w:r>
        <w:rPr/>
        <w:t>that</w:t>
      </w:r>
      <w:r>
        <w:rPr>
          <w:spacing w:val="-15"/>
        </w:rPr>
        <w:t> </w:t>
      </w:r>
      <w:r>
        <w:rPr/>
        <w:t>under</w:t>
      </w:r>
      <w:r>
        <w:rPr>
          <w:spacing w:val="-15"/>
        </w:rPr>
        <w:t> </w:t>
      </w:r>
      <w:r>
        <w:rPr/>
        <w:t>IFRS</w:t>
      </w:r>
      <w:r>
        <w:rPr>
          <w:spacing w:val="-15"/>
        </w:rPr>
        <w:t> </w:t>
      </w:r>
      <w:r>
        <w:rPr/>
        <w:t>regime,</w:t>
      </w:r>
      <w:r>
        <w:rPr>
          <w:spacing w:val="-15"/>
        </w:rPr>
        <w:t> </w:t>
      </w:r>
      <w:r>
        <w:rPr/>
        <w:t>there</w:t>
      </w:r>
      <w:r>
        <w:rPr>
          <w:spacing w:val="-15"/>
        </w:rPr>
        <w:t> </w:t>
      </w:r>
      <w:r>
        <w:rPr/>
        <w:t>was</w:t>
      </w:r>
      <w:r>
        <w:rPr>
          <w:spacing w:val="-15"/>
        </w:rPr>
        <w:t> </w:t>
      </w:r>
      <w:r>
        <w:rPr/>
        <w:t>an</w:t>
      </w:r>
      <w:r>
        <w:rPr>
          <w:spacing w:val="-15"/>
        </w:rPr>
        <w:t> </w:t>
      </w:r>
      <w:r>
        <w:rPr/>
        <w:t>increase in value relevance (earnings influence to market price), an increase in persistency and predictability in earnings and cash flows, and an increase in earnings to shareholders value. Also, the</w:t>
      </w:r>
      <w:r>
        <w:rPr>
          <w:spacing w:val="-1"/>
        </w:rPr>
        <w:t> </w:t>
      </w:r>
      <w:r>
        <w:rPr/>
        <w:t>study also found a</w:t>
      </w:r>
      <w:r>
        <w:rPr>
          <w:spacing w:val="-1"/>
        </w:rPr>
        <w:t> </w:t>
      </w:r>
      <w:r>
        <w:rPr/>
        <w:t>decrease</w:t>
      </w:r>
      <w:r>
        <w:rPr>
          <w:spacing w:val="-1"/>
        </w:rPr>
        <w:t> </w:t>
      </w:r>
      <w:r>
        <w:rPr/>
        <w:t>in accruals and timeliness loss of</w:t>
      </w:r>
      <w:r>
        <w:rPr>
          <w:spacing w:val="-1"/>
        </w:rPr>
        <w:t> </w:t>
      </w:r>
      <w:r>
        <w:rPr/>
        <w:t>recognition (reduction in</w:t>
      </w:r>
      <w:r>
        <w:rPr>
          <w:spacing w:val="-3"/>
        </w:rPr>
        <w:t> </w:t>
      </w:r>
      <w:r>
        <w:rPr/>
        <w:t>income</w:t>
      </w:r>
      <w:r>
        <w:rPr>
          <w:spacing w:val="-4"/>
        </w:rPr>
        <w:t> </w:t>
      </w:r>
      <w:r>
        <w:rPr/>
        <w:t>smoothing)</w:t>
      </w:r>
      <w:r>
        <w:rPr>
          <w:spacing w:val="-3"/>
        </w:rPr>
        <w:t> </w:t>
      </w:r>
      <w:r>
        <w:rPr/>
        <w:t>and</w:t>
      </w:r>
      <w:r>
        <w:rPr>
          <w:spacing w:val="-2"/>
        </w:rPr>
        <w:t> </w:t>
      </w:r>
      <w:r>
        <w:rPr/>
        <w:t>a</w:t>
      </w:r>
      <w:r>
        <w:rPr>
          <w:spacing w:val="-4"/>
        </w:rPr>
        <w:t> </w:t>
      </w:r>
      <w:r>
        <w:rPr/>
        <w:t>decrease</w:t>
      </w:r>
      <w:r>
        <w:rPr>
          <w:spacing w:val="-4"/>
        </w:rPr>
        <w:t> </w:t>
      </w:r>
      <w:r>
        <w:rPr/>
        <w:t>in</w:t>
      </w:r>
      <w:r>
        <w:rPr>
          <w:spacing w:val="-3"/>
        </w:rPr>
        <w:t> </w:t>
      </w:r>
      <w:r>
        <w:rPr/>
        <w:t>the</w:t>
      </w:r>
      <w:r>
        <w:rPr>
          <w:spacing w:val="-4"/>
        </w:rPr>
        <w:t> </w:t>
      </w:r>
      <w:r>
        <w:rPr/>
        <w:t>accounting</w:t>
      </w:r>
      <w:r>
        <w:rPr>
          <w:spacing w:val="-3"/>
        </w:rPr>
        <w:t> </w:t>
      </w:r>
      <w:r>
        <w:rPr/>
        <w:t>valuation</w:t>
      </w:r>
      <w:r>
        <w:rPr>
          <w:spacing w:val="-3"/>
        </w:rPr>
        <w:t> </w:t>
      </w:r>
      <w:r>
        <w:rPr/>
        <w:t>usefulness</w:t>
      </w:r>
      <w:r>
        <w:rPr>
          <w:spacing w:val="-3"/>
        </w:rPr>
        <w:t> </w:t>
      </w:r>
      <w:r>
        <w:rPr/>
        <w:t>(earnings</w:t>
      </w:r>
      <w:r>
        <w:rPr>
          <w:spacing w:val="-3"/>
        </w:rPr>
        <w:t> </w:t>
      </w:r>
      <w:r>
        <w:rPr/>
        <w:t>to</w:t>
      </w:r>
      <w:r>
        <w:rPr>
          <w:spacing w:val="-3"/>
        </w:rPr>
        <w:t> </w:t>
      </w:r>
      <w:r>
        <w:rPr/>
        <w:t>book value per share).</w:t>
      </w:r>
      <w:r>
        <w:rPr>
          <w:spacing w:val="40"/>
        </w:rPr>
        <w:t> </w:t>
      </w:r>
      <w:r>
        <w:rPr/>
        <w:t>The studies by Bouchareb, Ajina, Souid (2014) and Boumediene, Boumediene</w:t>
      </w:r>
      <w:r>
        <w:rPr>
          <w:spacing w:val="-6"/>
        </w:rPr>
        <w:t> </w:t>
      </w:r>
      <w:r>
        <w:rPr/>
        <w:t>and</w:t>
      </w:r>
      <w:r>
        <w:rPr>
          <w:spacing w:val="-3"/>
        </w:rPr>
        <w:t> </w:t>
      </w:r>
      <w:r>
        <w:rPr/>
        <w:t>Nafti</w:t>
      </w:r>
      <w:r>
        <w:rPr>
          <w:spacing w:val="-5"/>
        </w:rPr>
        <w:t> </w:t>
      </w:r>
      <w:r>
        <w:rPr/>
        <w:t>(2014)</w:t>
      </w:r>
      <w:r>
        <w:rPr>
          <w:spacing w:val="-6"/>
        </w:rPr>
        <w:t> </w:t>
      </w:r>
      <w:r>
        <w:rPr/>
        <w:t>examined</w:t>
      </w:r>
      <w:r>
        <w:rPr>
          <w:spacing w:val="-3"/>
        </w:rPr>
        <w:t> </w:t>
      </w:r>
      <w:r>
        <w:rPr/>
        <w:t>the</w:t>
      </w:r>
      <w:r>
        <w:rPr>
          <w:spacing w:val="-5"/>
        </w:rPr>
        <w:t> </w:t>
      </w:r>
      <w:r>
        <w:rPr/>
        <w:t>impact</w:t>
      </w:r>
      <w:r>
        <w:rPr>
          <w:spacing w:val="-4"/>
        </w:rPr>
        <w:t> </w:t>
      </w:r>
      <w:r>
        <w:rPr/>
        <w:t>of</w:t>
      </w:r>
      <w:r>
        <w:rPr>
          <w:spacing w:val="-2"/>
        </w:rPr>
        <w:t> </w:t>
      </w:r>
      <w:r>
        <w:rPr/>
        <w:t>IFRS</w:t>
      </w:r>
      <w:r>
        <w:rPr>
          <w:spacing w:val="-4"/>
        </w:rPr>
        <w:t> </w:t>
      </w:r>
      <w:r>
        <w:rPr/>
        <w:t>adoption</w:t>
      </w:r>
      <w:r>
        <w:rPr>
          <w:spacing w:val="-5"/>
        </w:rPr>
        <w:t> </w:t>
      </w:r>
      <w:r>
        <w:rPr/>
        <w:t>on</w:t>
      </w:r>
      <w:r>
        <w:rPr>
          <w:spacing w:val="-2"/>
        </w:rPr>
        <w:t> </w:t>
      </w:r>
      <w:r>
        <w:rPr/>
        <w:t>accounting</w:t>
      </w:r>
      <w:r>
        <w:rPr>
          <w:spacing w:val="-5"/>
        </w:rPr>
        <w:t> </w:t>
      </w:r>
      <w:r>
        <w:rPr/>
        <w:t>quality</w:t>
      </w:r>
      <w:r>
        <w:rPr>
          <w:spacing w:val="-4"/>
        </w:rPr>
        <w:t> </w:t>
      </w:r>
      <w:r>
        <w:rPr/>
        <w:t>in France. Both studies used accruals as accounting quality metrics and found that the level of discretionary accruals decreased significantly after the application of IFRS.</w:t>
      </w:r>
    </w:p>
    <w:p>
      <w:pPr>
        <w:pStyle w:val="BodyText"/>
        <w:spacing w:line="480" w:lineRule="auto" w:before="1"/>
        <w:ind w:left="940" w:right="1434"/>
        <w:jc w:val="both"/>
      </w:pPr>
      <w:r>
        <w:rPr/>
        <w:t>Uyar</w:t>
      </w:r>
      <w:r>
        <w:rPr>
          <w:spacing w:val="-11"/>
        </w:rPr>
        <w:t> </w:t>
      </w:r>
      <w:r>
        <w:rPr/>
        <w:t>(2013)</w:t>
      </w:r>
      <w:r>
        <w:rPr>
          <w:spacing w:val="-11"/>
        </w:rPr>
        <w:t> </w:t>
      </w:r>
      <w:r>
        <w:rPr/>
        <w:t>investigated</w:t>
      </w:r>
      <w:r>
        <w:rPr>
          <w:spacing w:val="-7"/>
        </w:rPr>
        <w:t> </w:t>
      </w:r>
      <w:r>
        <w:rPr/>
        <w:t>the</w:t>
      </w:r>
      <w:r>
        <w:rPr>
          <w:spacing w:val="-11"/>
        </w:rPr>
        <w:t> </w:t>
      </w:r>
      <w:r>
        <w:rPr/>
        <w:t>relationship</w:t>
      </w:r>
      <w:r>
        <w:rPr>
          <w:spacing w:val="-10"/>
        </w:rPr>
        <w:t> </w:t>
      </w:r>
      <w:r>
        <w:rPr/>
        <w:t>between</w:t>
      </w:r>
      <w:r>
        <w:rPr>
          <w:spacing w:val="-8"/>
        </w:rPr>
        <w:t> </w:t>
      </w:r>
      <w:r>
        <w:rPr/>
        <w:t>IFSR</w:t>
      </w:r>
      <w:r>
        <w:rPr>
          <w:spacing w:val="-10"/>
        </w:rPr>
        <w:t> </w:t>
      </w:r>
      <w:r>
        <w:rPr/>
        <w:t>adoption</w:t>
      </w:r>
      <w:r>
        <w:rPr>
          <w:spacing w:val="-11"/>
        </w:rPr>
        <w:t> </w:t>
      </w:r>
      <w:r>
        <w:rPr/>
        <w:t>and</w:t>
      </w:r>
      <w:r>
        <w:rPr>
          <w:spacing w:val="-8"/>
        </w:rPr>
        <w:t> </w:t>
      </w:r>
      <w:r>
        <w:rPr/>
        <w:t>accounting</w:t>
      </w:r>
      <w:r>
        <w:rPr>
          <w:spacing w:val="-11"/>
        </w:rPr>
        <w:t> </w:t>
      </w:r>
      <w:r>
        <w:rPr/>
        <w:t>quality</w:t>
      </w:r>
      <w:r>
        <w:rPr>
          <w:spacing w:val="-11"/>
        </w:rPr>
        <w:t> </w:t>
      </w:r>
      <w:r>
        <w:rPr/>
        <w:t>using a sample of firms listed on the Istanbul Stock Exchange. The accounting quality metrics used were for earnings management (discretionary accruals, income smoothing and small positive earnings), timely loss recognition and value relevance. The study revealed that the quality of accounting</w:t>
      </w:r>
      <w:r>
        <w:rPr>
          <w:spacing w:val="-12"/>
        </w:rPr>
        <w:t> </w:t>
      </w:r>
      <w:r>
        <w:rPr/>
        <w:t>information</w:t>
      </w:r>
      <w:r>
        <w:rPr>
          <w:spacing w:val="-11"/>
        </w:rPr>
        <w:t> </w:t>
      </w:r>
      <w:r>
        <w:rPr/>
        <w:t>improved</w:t>
      </w:r>
      <w:r>
        <w:rPr>
          <w:spacing w:val="-12"/>
        </w:rPr>
        <w:t> </w:t>
      </w:r>
      <w:r>
        <w:rPr/>
        <w:t>and</w:t>
      </w:r>
      <w:r>
        <w:rPr>
          <w:spacing w:val="-12"/>
        </w:rPr>
        <w:t> </w:t>
      </w:r>
      <w:r>
        <w:rPr/>
        <w:t>the</w:t>
      </w:r>
      <w:r>
        <w:rPr>
          <w:spacing w:val="-12"/>
        </w:rPr>
        <w:t> </w:t>
      </w:r>
      <w:r>
        <w:rPr/>
        <w:t>market</w:t>
      </w:r>
      <w:r>
        <w:rPr>
          <w:spacing w:val="-11"/>
        </w:rPr>
        <w:t> </w:t>
      </w:r>
      <w:r>
        <w:rPr/>
        <w:t>became</w:t>
      </w:r>
      <w:r>
        <w:rPr>
          <w:spacing w:val="-12"/>
        </w:rPr>
        <w:t> </w:t>
      </w:r>
      <w:r>
        <w:rPr/>
        <w:t>active</w:t>
      </w:r>
      <w:r>
        <w:rPr>
          <w:spacing w:val="-13"/>
        </w:rPr>
        <w:t> </w:t>
      </w:r>
      <w:r>
        <w:rPr/>
        <w:t>in</w:t>
      </w:r>
      <w:r>
        <w:rPr>
          <w:spacing w:val="-11"/>
        </w:rPr>
        <w:t> </w:t>
      </w:r>
      <w:r>
        <w:rPr/>
        <w:t>post-IFRS</w:t>
      </w:r>
      <w:r>
        <w:rPr>
          <w:spacing w:val="-11"/>
        </w:rPr>
        <w:t> </w:t>
      </w:r>
      <w:r>
        <w:rPr/>
        <w:t>adoption</w:t>
      </w:r>
      <w:r>
        <w:rPr>
          <w:spacing w:val="-14"/>
        </w:rPr>
        <w:t> </w:t>
      </w:r>
      <w:r>
        <w:rPr/>
        <w:t>regime. Ahmad,</w:t>
      </w:r>
      <w:r>
        <w:rPr>
          <w:spacing w:val="-5"/>
        </w:rPr>
        <w:t> </w:t>
      </w:r>
      <w:r>
        <w:rPr/>
        <w:t>Neel</w:t>
      </w:r>
      <w:r>
        <w:rPr>
          <w:spacing w:val="-5"/>
        </w:rPr>
        <w:t> </w:t>
      </w:r>
      <w:r>
        <w:rPr/>
        <w:t>and</w:t>
      </w:r>
      <w:r>
        <w:rPr>
          <w:spacing w:val="-3"/>
        </w:rPr>
        <w:t> </w:t>
      </w:r>
      <w:r>
        <w:rPr/>
        <w:t>Wang</w:t>
      </w:r>
      <w:r>
        <w:rPr>
          <w:spacing w:val="-5"/>
        </w:rPr>
        <w:t> </w:t>
      </w:r>
      <w:r>
        <w:rPr/>
        <w:t>(2013)</w:t>
      </w:r>
      <w:r>
        <w:rPr>
          <w:spacing w:val="-6"/>
        </w:rPr>
        <w:t> </w:t>
      </w:r>
      <w:r>
        <w:rPr/>
        <w:t>examined</w:t>
      </w:r>
      <w:r>
        <w:rPr>
          <w:spacing w:val="-5"/>
        </w:rPr>
        <w:t> </w:t>
      </w:r>
      <w:r>
        <w:rPr/>
        <w:t>the</w:t>
      </w:r>
      <w:r>
        <w:rPr>
          <w:spacing w:val="-6"/>
        </w:rPr>
        <w:t> </w:t>
      </w:r>
      <w:r>
        <w:rPr/>
        <w:t>impact</w:t>
      </w:r>
      <w:r>
        <w:rPr>
          <w:spacing w:val="-5"/>
        </w:rPr>
        <w:t> </w:t>
      </w:r>
      <w:r>
        <w:rPr/>
        <w:t>of</w:t>
      </w:r>
      <w:r>
        <w:rPr>
          <w:spacing w:val="-3"/>
        </w:rPr>
        <w:t> </w:t>
      </w:r>
      <w:r>
        <w:rPr/>
        <w:t>IFRS</w:t>
      </w:r>
      <w:r>
        <w:rPr>
          <w:spacing w:val="-5"/>
        </w:rPr>
        <w:t> </w:t>
      </w:r>
      <w:r>
        <w:rPr/>
        <w:t>adoption</w:t>
      </w:r>
      <w:r>
        <w:rPr>
          <w:spacing w:val="-5"/>
        </w:rPr>
        <w:t> </w:t>
      </w:r>
      <w:r>
        <w:rPr/>
        <w:t>and</w:t>
      </w:r>
      <w:r>
        <w:rPr>
          <w:spacing w:val="-3"/>
        </w:rPr>
        <w:t> </w:t>
      </w:r>
      <w:r>
        <w:rPr/>
        <w:t>accounting</w:t>
      </w:r>
      <w:r>
        <w:rPr>
          <w:spacing w:val="-5"/>
        </w:rPr>
        <w:t> </w:t>
      </w:r>
      <w:r>
        <w:rPr/>
        <w:t>quality among sixteen (16) European countries (Greece, Italy, Portugal, Spain, Austria, Belgium, Denmark, Finland, France, Germany, Ireland, Netherland, Norway, Sweden, Switzerland and the</w:t>
      </w:r>
      <w:r>
        <w:rPr>
          <w:spacing w:val="-6"/>
        </w:rPr>
        <w:t> </w:t>
      </w:r>
      <w:r>
        <w:rPr/>
        <w:t>UK).</w:t>
      </w:r>
      <w:r>
        <w:rPr>
          <w:spacing w:val="-4"/>
        </w:rPr>
        <w:t> </w:t>
      </w:r>
      <w:r>
        <w:rPr/>
        <w:t>The</w:t>
      </w:r>
      <w:r>
        <w:rPr>
          <w:spacing w:val="-5"/>
        </w:rPr>
        <w:t> </w:t>
      </w:r>
      <w:r>
        <w:rPr/>
        <w:t>accounting</w:t>
      </w:r>
      <w:r>
        <w:rPr>
          <w:spacing w:val="-6"/>
        </w:rPr>
        <w:t> </w:t>
      </w:r>
      <w:r>
        <w:rPr/>
        <w:t>quality</w:t>
      </w:r>
      <w:r>
        <w:rPr>
          <w:spacing w:val="-5"/>
        </w:rPr>
        <w:t> </w:t>
      </w:r>
      <w:r>
        <w:rPr/>
        <w:t>metrics</w:t>
      </w:r>
      <w:r>
        <w:rPr>
          <w:spacing w:val="-6"/>
        </w:rPr>
        <w:t> </w:t>
      </w:r>
      <w:r>
        <w:rPr/>
        <w:t>used</w:t>
      </w:r>
      <w:r>
        <w:rPr>
          <w:spacing w:val="-3"/>
        </w:rPr>
        <w:t> </w:t>
      </w:r>
      <w:r>
        <w:rPr/>
        <w:t>were</w:t>
      </w:r>
      <w:r>
        <w:rPr>
          <w:spacing w:val="-5"/>
        </w:rPr>
        <w:t> </w:t>
      </w:r>
      <w:r>
        <w:rPr/>
        <w:t>earnings</w:t>
      </w:r>
      <w:r>
        <w:rPr>
          <w:spacing w:val="-6"/>
        </w:rPr>
        <w:t> </w:t>
      </w:r>
      <w:r>
        <w:rPr/>
        <w:t>management</w:t>
      </w:r>
      <w:r>
        <w:rPr>
          <w:spacing w:val="-5"/>
        </w:rPr>
        <w:t> </w:t>
      </w:r>
      <w:r>
        <w:rPr/>
        <w:t>(income</w:t>
      </w:r>
      <w:r>
        <w:rPr>
          <w:spacing w:val="-6"/>
        </w:rPr>
        <w:t> </w:t>
      </w:r>
      <w:r>
        <w:rPr/>
        <w:t>smoothing, using earnings management to meet or beat a target) and time loss recognition. The study revealed that there was an increase in income smoothing and a significant reduction in time loss</w:t>
      </w:r>
      <w:r>
        <w:rPr>
          <w:spacing w:val="-8"/>
        </w:rPr>
        <w:t> </w:t>
      </w:r>
      <w:r>
        <w:rPr/>
        <w:t>recognition</w:t>
      </w:r>
      <w:r>
        <w:rPr>
          <w:spacing w:val="-5"/>
        </w:rPr>
        <w:t> </w:t>
      </w:r>
      <w:r>
        <w:rPr/>
        <w:t>but</w:t>
      </w:r>
      <w:r>
        <w:rPr>
          <w:spacing w:val="-6"/>
        </w:rPr>
        <w:t> </w:t>
      </w:r>
      <w:r>
        <w:rPr/>
        <w:t>did</w:t>
      </w:r>
      <w:r>
        <w:rPr>
          <w:spacing w:val="-5"/>
        </w:rPr>
        <w:t> </w:t>
      </w:r>
      <w:r>
        <w:rPr/>
        <w:t>not</w:t>
      </w:r>
      <w:r>
        <w:rPr>
          <w:spacing w:val="-6"/>
        </w:rPr>
        <w:t> </w:t>
      </w:r>
      <w:r>
        <w:rPr/>
        <w:t>find</w:t>
      </w:r>
      <w:r>
        <w:rPr>
          <w:spacing w:val="-7"/>
        </w:rPr>
        <w:t> </w:t>
      </w:r>
      <w:r>
        <w:rPr/>
        <w:t>evidence</w:t>
      </w:r>
      <w:r>
        <w:rPr>
          <w:spacing w:val="-4"/>
        </w:rPr>
        <w:t> </w:t>
      </w:r>
      <w:r>
        <w:rPr/>
        <w:t>consistent</w:t>
      </w:r>
      <w:r>
        <w:rPr>
          <w:spacing w:val="-6"/>
        </w:rPr>
        <w:t> </w:t>
      </w:r>
      <w:r>
        <w:rPr/>
        <w:t>with</w:t>
      </w:r>
      <w:r>
        <w:rPr>
          <w:spacing w:val="-6"/>
        </w:rPr>
        <w:t> </w:t>
      </w:r>
      <w:r>
        <w:rPr/>
        <w:t>meeting</w:t>
      </w:r>
      <w:r>
        <w:rPr>
          <w:spacing w:val="-6"/>
        </w:rPr>
        <w:t> </w:t>
      </w:r>
      <w:r>
        <w:rPr/>
        <w:t>or</w:t>
      </w:r>
      <w:r>
        <w:rPr>
          <w:spacing w:val="-7"/>
        </w:rPr>
        <w:t> </w:t>
      </w:r>
      <w:r>
        <w:rPr/>
        <w:t>beating</w:t>
      </w:r>
      <w:r>
        <w:rPr>
          <w:spacing w:val="-6"/>
        </w:rPr>
        <w:t> </w:t>
      </w:r>
      <w:r>
        <w:rPr/>
        <w:t>target.</w:t>
      </w:r>
      <w:r>
        <w:rPr>
          <w:spacing w:val="-5"/>
        </w:rPr>
        <w:t> </w:t>
      </w:r>
      <w:r>
        <w:rPr>
          <w:spacing w:val="-2"/>
        </w:rPr>
        <w:t>Generally,</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7296">
            <wp:simplePos x="0" y="0"/>
            <wp:positionH relativeFrom="page">
              <wp:posOffset>1095451</wp:posOffset>
            </wp:positionH>
            <wp:positionV relativeFrom="paragraph">
              <wp:posOffset>1850770</wp:posOffset>
            </wp:positionV>
            <wp:extent cx="5106847" cy="523811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5" cstate="print"/>
                    <a:stretch>
                      <a:fillRect/>
                    </a:stretch>
                  </pic:blipFill>
                  <pic:spPr>
                    <a:xfrm>
                      <a:off x="0" y="0"/>
                      <a:ext cx="5106847" cy="5238115"/>
                    </a:xfrm>
                    <a:prstGeom prst="rect">
                      <a:avLst/>
                    </a:prstGeom>
                  </pic:spPr>
                </pic:pic>
              </a:graphicData>
            </a:graphic>
          </wp:anchor>
        </w:drawing>
      </w:r>
      <w:r>
        <w:rPr/>
        <w:t>accounting quality decreased mainly for adopters of IFRS in strong enforcement countries. That could imply that strong enforcement was a substitute for international accounting standards. The study by Kargin (2013) investigated the impact of IFRS on value relevance of accounting information. The sample consisted of firms listed on the Istanbul Stock Exchange from 1998 to 2011, it adopted the Ohlson (1995) value relevance model to explore the relationship</w:t>
      </w:r>
      <w:r>
        <w:rPr>
          <w:spacing w:val="-15"/>
        </w:rPr>
        <w:t> </w:t>
      </w:r>
      <w:r>
        <w:rPr/>
        <w:t>among</w:t>
      </w:r>
      <w:r>
        <w:rPr>
          <w:spacing w:val="-15"/>
        </w:rPr>
        <w:t> </w:t>
      </w:r>
      <w:r>
        <w:rPr/>
        <w:t>the</w:t>
      </w:r>
      <w:r>
        <w:rPr>
          <w:spacing w:val="-15"/>
        </w:rPr>
        <w:t> </w:t>
      </w:r>
      <w:r>
        <w:rPr/>
        <w:t>market</w:t>
      </w:r>
      <w:r>
        <w:rPr>
          <w:spacing w:val="-15"/>
        </w:rPr>
        <w:t> </w:t>
      </w:r>
      <w:r>
        <w:rPr/>
        <w:t>value</w:t>
      </w:r>
      <w:r>
        <w:rPr>
          <w:spacing w:val="-15"/>
        </w:rPr>
        <w:t> </w:t>
      </w:r>
      <w:r>
        <w:rPr/>
        <w:t>of</w:t>
      </w:r>
      <w:r>
        <w:rPr>
          <w:spacing w:val="-14"/>
        </w:rPr>
        <w:t> </w:t>
      </w:r>
      <w:r>
        <w:rPr/>
        <w:t>equity</w:t>
      </w:r>
      <w:r>
        <w:rPr>
          <w:spacing w:val="-15"/>
        </w:rPr>
        <w:t> </w:t>
      </w:r>
      <w:r>
        <w:rPr/>
        <w:t>and</w:t>
      </w:r>
      <w:r>
        <w:rPr>
          <w:spacing w:val="-15"/>
        </w:rPr>
        <w:t> </w:t>
      </w:r>
      <w:r>
        <w:rPr/>
        <w:t>two</w:t>
      </w:r>
      <w:r>
        <w:rPr>
          <w:spacing w:val="-15"/>
        </w:rPr>
        <w:t> </w:t>
      </w:r>
      <w:r>
        <w:rPr/>
        <w:t>main</w:t>
      </w:r>
      <w:r>
        <w:rPr>
          <w:spacing w:val="-15"/>
        </w:rPr>
        <w:t> </w:t>
      </w:r>
      <w:r>
        <w:rPr/>
        <w:t>financial</w:t>
      </w:r>
      <w:r>
        <w:rPr>
          <w:spacing w:val="-15"/>
        </w:rPr>
        <w:t> </w:t>
      </w:r>
      <w:r>
        <w:rPr/>
        <w:t>reporting</w:t>
      </w:r>
      <w:r>
        <w:rPr>
          <w:spacing w:val="-15"/>
        </w:rPr>
        <w:t> </w:t>
      </w:r>
      <w:r>
        <w:rPr/>
        <w:t>variables</w:t>
      </w:r>
      <w:r>
        <w:rPr>
          <w:spacing w:val="-13"/>
        </w:rPr>
        <w:t> </w:t>
      </w:r>
      <w:r>
        <w:rPr/>
        <w:t>(book value of equity per share and earnings per share). The result revealed that the value relevance of accounting information improved in post IFRS period (20025 to 2011) considering book value</w:t>
      </w:r>
      <w:r>
        <w:rPr>
          <w:spacing w:val="-5"/>
        </w:rPr>
        <w:t> </w:t>
      </w:r>
      <w:r>
        <w:rPr/>
        <w:t>of</w:t>
      </w:r>
      <w:r>
        <w:rPr>
          <w:spacing w:val="-3"/>
        </w:rPr>
        <w:t> </w:t>
      </w:r>
      <w:r>
        <w:rPr/>
        <w:t>equity</w:t>
      </w:r>
      <w:r>
        <w:rPr>
          <w:spacing w:val="-2"/>
        </w:rPr>
        <w:t> </w:t>
      </w:r>
      <w:r>
        <w:rPr/>
        <w:t>while</w:t>
      </w:r>
      <w:r>
        <w:rPr>
          <w:spacing w:val="-5"/>
        </w:rPr>
        <w:t> </w:t>
      </w:r>
      <w:r>
        <w:rPr/>
        <w:t>improvement</w:t>
      </w:r>
      <w:r>
        <w:rPr>
          <w:spacing w:val="-3"/>
        </w:rPr>
        <w:t> </w:t>
      </w:r>
      <w:r>
        <w:rPr/>
        <w:t>was</w:t>
      </w:r>
      <w:r>
        <w:rPr>
          <w:spacing w:val="-4"/>
        </w:rPr>
        <w:t> </w:t>
      </w:r>
      <w:r>
        <w:rPr/>
        <w:t>not</w:t>
      </w:r>
      <w:r>
        <w:rPr>
          <w:spacing w:val="-4"/>
        </w:rPr>
        <w:t> </w:t>
      </w:r>
      <w:r>
        <w:rPr/>
        <w:t>been observed</w:t>
      </w:r>
      <w:r>
        <w:rPr>
          <w:spacing w:val="-5"/>
        </w:rPr>
        <w:t> </w:t>
      </w:r>
      <w:r>
        <w:rPr/>
        <w:t>in</w:t>
      </w:r>
      <w:r>
        <w:rPr>
          <w:spacing w:val="-1"/>
        </w:rPr>
        <w:t> </w:t>
      </w:r>
      <w:r>
        <w:rPr/>
        <w:t>value</w:t>
      </w:r>
      <w:r>
        <w:rPr>
          <w:spacing w:val="-3"/>
        </w:rPr>
        <w:t> </w:t>
      </w:r>
      <w:r>
        <w:rPr/>
        <w:t>relevance</w:t>
      </w:r>
      <w:r>
        <w:rPr>
          <w:spacing w:val="-6"/>
        </w:rPr>
        <w:t> </w:t>
      </w:r>
      <w:r>
        <w:rPr/>
        <w:t>of</w:t>
      </w:r>
      <w:r>
        <w:rPr>
          <w:spacing w:val="-6"/>
        </w:rPr>
        <w:t> </w:t>
      </w:r>
      <w:r>
        <w:rPr/>
        <w:t>earnings.</w:t>
      </w:r>
      <w:r>
        <w:rPr>
          <w:spacing w:val="-5"/>
        </w:rPr>
        <w:t> </w:t>
      </w:r>
      <w:r>
        <w:rPr/>
        <w:t>The study</w:t>
      </w:r>
      <w:r>
        <w:rPr>
          <w:spacing w:val="-15"/>
        </w:rPr>
        <w:t> </w:t>
      </w:r>
      <w:r>
        <w:rPr/>
        <w:t>by</w:t>
      </w:r>
      <w:r>
        <w:rPr>
          <w:spacing w:val="-15"/>
        </w:rPr>
        <w:t> </w:t>
      </w:r>
      <w:r>
        <w:rPr/>
        <w:t>Ames</w:t>
      </w:r>
      <w:r>
        <w:rPr>
          <w:spacing w:val="-15"/>
        </w:rPr>
        <w:t> </w:t>
      </w:r>
      <w:r>
        <w:rPr/>
        <w:t>(2013)</w:t>
      </w:r>
      <w:r>
        <w:rPr>
          <w:spacing w:val="-15"/>
        </w:rPr>
        <w:t> </w:t>
      </w:r>
      <w:r>
        <w:rPr/>
        <w:t>examined</w:t>
      </w:r>
      <w:r>
        <w:rPr>
          <w:spacing w:val="-15"/>
        </w:rPr>
        <w:t> </w:t>
      </w:r>
      <w:r>
        <w:rPr/>
        <w:t>IFRS</w:t>
      </w:r>
      <w:r>
        <w:rPr>
          <w:spacing w:val="-15"/>
        </w:rPr>
        <w:t> </w:t>
      </w:r>
      <w:r>
        <w:rPr/>
        <w:t>adoption</w:t>
      </w:r>
      <w:r>
        <w:rPr>
          <w:spacing w:val="-15"/>
        </w:rPr>
        <w:t> </w:t>
      </w:r>
      <w:r>
        <w:rPr/>
        <w:t>and</w:t>
      </w:r>
      <w:r>
        <w:rPr>
          <w:spacing w:val="-15"/>
        </w:rPr>
        <w:t> </w:t>
      </w:r>
      <w:r>
        <w:rPr/>
        <w:t>accounting</w:t>
      </w:r>
      <w:r>
        <w:rPr>
          <w:spacing w:val="-15"/>
        </w:rPr>
        <w:t> </w:t>
      </w:r>
      <w:r>
        <w:rPr/>
        <w:t>quality</w:t>
      </w:r>
      <w:r>
        <w:rPr>
          <w:spacing w:val="-15"/>
        </w:rPr>
        <w:t> </w:t>
      </w:r>
      <w:r>
        <w:rPr/>
        <w:t>using</w:t>
      </w:r>
      <w:r>
        <w:rPr>
          <w:spacing w:val="-15"/>
        </w:rPr>
        <w:t> </w:t>
      </w:r>
      <w:r>
        <w:rPr/>
        <w:t>a</w:t>
      </w:r>
      <w:r>
        <w:rPr>
          <w:spacing w:val="-15"/>
        </w:rPr>
        <w:t> </w:t>
      </w:r>
      <w:r>
        <w:rPr/>
        <w:t>sample</w:t>
      </w:r>
      <w:r>
        <w:rPr>
          <w:spacing w:val="-15"/>
        </w:rPr>
        <w:t> </w:t>
      </w:r>
      <w:r>
        <w:rPr/>
        <w:t>of</w:t>
      </w:r>
      <w:r>
        <w:rPr>
          <w:spacing w:val="-15"/>
        </w:rPr>
        <w:t> </w:t>
      </w:r>
      <w:r>
        <w:rPr/>
        <w:t>South Africa firms. The study revealed that although the value relevance of major statement of financial</w:t>
      </w:r>
      <w:r>
        <w:rPr>
          <w:spacing w:val="-14"/>
        </w:rPr>
        <w:t> </w:t>
      </w:r>
      <w:r>
        <w:rPr/>
        <w:t>position</w:t>
      </w:r>
      <w:r>
        <w:rPr>
          <w:spacing w:val="-14"/>
        </w:rPr>
        <w:t> </w:t>
      </w:r>
      <w:r>
        <w:rPr/>
        <w:t>components</w:t>
      </w:r>
      <w:r>
        <w:rPr>
          <w:spacing w:val="-14"/>
        </w:rPr>
        <w:t> </w:t>
      </w:r>
      <w:r>
        <w:rPr/>
        <w:t>changed</w:t>
      </w:r>
      <w:r>
        <w:rPr>
          <w:spacing w:val="-13"/>
        </w:rPr>
        <w:t> </w:t>
      </w:r>
      <w:r>
        <w:rPr/>
        <w:t>in</w:t>
      </w:r>
      <w:r>
        <w:rPr>
          <w:spacing w:val="-14"/>
        </w:rPr>
        <w:t> </w:t>
      </w:r>
      <w:r>
        <w:rPr/>
        <w:t>post</w:t>
      </w:r>
      <w:r>
        <w:rPr>
          <w:spacing w:val="-11"/>
        </w:rPr>
        <w:t> </w:t>
      </w:r>
      <w:r>
        <w:rPr/>
        <w:t>IFRS</w:t>
      </w:r>
      <w:r>
        <w:rPr>
          <w:spacing w:val="-13"/>
        </w:rPr>
        <w:t> </w:t>
      </w:r>
      <w:r>
        <w:rPr/>
        <w:t>regime,</w:t>
      </w:r>
      <w:r>
        <w:rPr>
          <w:spacing w:val="-14"/>
        </w:rPr>
        <w:t> </w:t>
      </w:r>
      <w:r>
        <w:rPr/>
        <w:t>however,</w:t>
      </w:r>
      <w:r>
        <w:rPr>
          <w:spacing w:val="-14"/>
        </w:rPr>
        <w:t> </w:t>
      </w:r>
      <w:r>
        <w:rPr/>
        <w:t>the</w:t>
      </w:r>
      <w:r>
        <w:rPr>
          <w:spacing w:val="-12"/>
        </w:rPr>
        <w:t> </w:t>
      </w:r>
      <w:r>
        <w:rPr/>
        <w:t>earnings</w:t>
      </w:r>
      <w:r>
        <w:rPr>
          <w:spacing w:val="-14"/>
        </w:rPr>
        <w:t> </w:t>
      </w:r>
      <w:r>
        <w:rPr/>
        <w:t>quality</w:t>
      </w:r>
      <w:r>
        <w:rPr>
          <w:spacing w:val="-12"/>
        </w:rPr>
        <w:t> </w:t>
      </w:r>
      <w:r>
        <w:rPr/>
        <w:t>was not significantly improved in post IFRS adoption.</w:t>
      </w:r>
    </w:p>
    <w:p>
      <w:pPr>
        <w:pStyle w:val="BodyText"/>
        <w:spacing w:line="480" w:lineRule="auto" w:before="1"/>
        <w:ind w:left="940" w:right="1437"/>
        <w:jc w:val="both"/>
      </w:pPr>
      <w:r>
        <w:rPr/>
        <w:t>Andre and Filip (2012) investigated accounting conservatism in Europe and the impact of mandatory IFRS adoption and whether varied institutional and legal settings survived the change. The study consisted of fifteen (15) early European countries resulting in 2477 firms that adopted IFRS in 2005.</w:t>
      </w:r>
      <w:r>
        <w:rPr>
          <w:spacing w:val="40"/>
        </w:rPr>
        <w:t> </w:t>
      </w:r>
      <w:r>
        <w:rPr/>
        <w:t>The findings revealed that the institutional and legal difference across</w:t>
      </w:r>
      <w:r>
        <w:rPr>
          <w:spacing w:val="-7"/>
        </w:rPr>
        <w:t> </w:t>
      </w:r>
      <w:r>
        <w:rPr/>
        <w:t>countries</w:t>
      </w:r>
      <w:r>
        <w:rPr>
          <w:spacing w:val="-7"/>
        </w:rPr>
        <w:t> </w:t>
      </w:r>
      <w:r>
        <w:rPr/>
        <w:t>disappeared</w:t>
      </w:r>
      <w:r>
        <w:rPr>
          <w:spacing w:val="-7"/>
        </w:rPr>
        <w:t> </w:t>
      </w:r>
      <w:r>
        <w:rPr/>
        <w:t>after</w:t>
      </w:r>
      <w:r>
        <w:rPr>
          <w:spacing w:val="-7"/>
        </w:rPr>
        <w:t> </w:t>
      </w:r>
      <w:r>
        <w:rPr/>
        <w:t>a</w:t>
      </w:r>
      <w:r>
        <w:rPr>
          <w:spacing w:val="-7"/>
        </w:rPr>
        <w:t> </w:t>
      </w:r>
      <w:r>
        <w:rPr/>
        <w:t>mandatory</w:t>
      </w:r>
      <w:r>
        <w:rPr>
          <w:spacing w:val="-4"/>
        </w:rPr>
        <w:t> </w:t>
      </w:r>
      <w:r>
        <w:rPr/>
        <w:t>IFRS</w:t>
      </w:r>
      <w:r>
        <w:rPr>
          <w:spacing w:val="-6"/>
        </w:rPr>
        <w:t> </w:t>
      </w:r>
      <w:r>
        <w:rPr/>
        <w:t>adoption.</w:t>
      </w:r>
      <w:r>
        <w:rPr>
          <w:spacing w:val="-7"/>
        </w:rPr>
        <w:t> </w:t>
      </w:r>
      <w:r>
        <w:rPr/>
        <w:t>Also,</w:t>
      </w:r>
      <w:r>
        <w:rPr>
          <w:spacing w:val="-8"/>
        </w:rPr>
        <w:t> </w:t>
      </w:r>
      <w:r>
        <w:rPr/>
        <w:t>the</w:t>
      </w:r>
      <w:r>
        <w:rPr>
          <w:spacing w:val="-7"/>
        </w:rPr>
        <w:t> </w:t>
      </w:r>
      <w:r>
        <w:rPr/>
        <w:t>level</w:t>
      </w:r>
      <w:r>
        <w:rPr>
          <w:spacing w:val="-6"/>
        </w:rPr>
        <w:t> </w:t>
      </w:r>
      <w:r>
        <w:rPr/>
        <w:t>of</w:t>
      </w:r>
      <w:r>
        <w:rPr>
          <w:spacing w:val="-7"/>
        </w:rPr>
        <w:t> </w:t>
      </w:r>
      <w:r>
        <w:rPr/>
        <w:t>conservatism in post-IFRS regime was not significantly different across majority of European countries, across legal origin or traditions, across governance, investors’ protection and enforcement regimes, across debt based and equity based economies, or across more different tax-book conformity regimes. The study also found weak evidence that insider economies with weak enforcement</w:t>
      </w:r>
      <w:r>
        <w:rPr>
          <w:spacing w:val="-3"/>
        </w:rPr>
        <w:t> </w:t>
      </w:r>
      <w:r>
        <w:rPr/>
        <w:t>continued</w:t>
      </w:r>
      <w:r>
        <w:rPr>
          <w:spacing w:val="-1"/>
        </w:rPr>
        <w:t> </w:t>
      </w:r>
      <w:r>
        <w:rPr/>
        <w:t>to</w:t>
      </w:r>
      <w:r>
        <w:rPr>
          <w:spacing w:val="-1"/>
        </w:rPr>
        <w:t> </w:t>
      </w:r>
      <w:r>
        <w:rPr/>
        <w:t>have</w:t>
      </w:r>
      <w:r>
        <w:rPr>
          <w:spacing w:val="-2"/>
        </w:rPr>
        <w:t> </w:t>
      </w:r>
      <w:r>
        <w:rPr/>
        <w:t>a</w:t>
      </w:r>
      <w:r>
        <w:rPr>
          <w:spacing w:val="-4"/>
        </w:rPr>
        <w:t> </w:t>
      </w:r>
      <w:r>
        <w:rPr/>
        <w:t>lower</w:t>
      </w:r>
      <w:r>
        <w:rPr>
          <w:spacing w:val="-3"/>
        </w:rPr>
        <w:t> </w:t>
      </w:r>
      <w:r>
        <w:rPr/>
        <w:t>level</w:t>
      </w:r>
      <w:r>
        <w:rPr>
          <w:spacing w:val="-3"/>
        </w:rPr>
        <w:t> </w:t>
      </w:r>
      <w:r>
        <w:rPr/>
        <w:t>of</w:t>
      </w:r>
      <w:r>
        <w:rPr>
          <w:spacing w:val="-2"/>
        </w:rPr>
        <w:t> </w:t>
      </w:r>
      <w:r>
        <w:rPr/>
        <w:t>conservatism.</w:t>
      </w:r>
      <w:r>
        <w:rPr>
          <w:spacing w:val="-1"/>
        </w:rPr>
        <w:t> </w:t>
      </w:r>
      <w:r>
        <w:rPr/>
        <w:t>The</w:t>
      </w:r>
      <w:r>
        <w:rPr>
          <w:spacing w:val="-5"/>
        </w:rPr>
        <w:t> </w:t>
      </w:r>
      <w:r>
        <w:rPr/>
        <w:t>study,</w:t>
      </w:r>
      <w:r>
        <w:rPr>
          <w:spacing w:val="-3"/>
        </w:rPr>
        <w:t> </w:t>
      </w:r>
      <w:r>
        <w:rPr/>
        <w:t>therefore,</w:t>
      </w:r>
      <w:r>
        <w:rPr>
          <w:spacing w:val="-1"/>
        </w:rPr>
        <w:t> </w:t>
      </w:r>
      <w:r>
        <w:rPr/>
        <w:t>concluded that accounting standards did matter. Horton, G. Serafeim and I. Serafeim (2012) studied the impact</w:t>
      </w:r>
      <w:r>
        <w:rPr>
          <w:spacing w:val="-4"/>
        </w:rPr>
        <w:t> </w:t>
      </w:r>
      <w:r>
        <w:rPr/>
        <w:t>of</w:t>
      </w:r>
      <w:r>
        <w:rPr>
          <w:spacing w:val="-1"/>
        </w:rPr>
        <w:t> </w:t>
      </w:r>
      <w:r>
        <w:rPr/>
        <w:t>mandatory IFRS</w:t>
      </w:r>
      <w:r>
        <w:rPr>
          <w:spacing w:val="-1"/>
        </w:rPr>
        <w:t> </w:t>
      </w:r>
      <w:r>
        <w:rPr/>
        <w:t>adoption</w:t>
      </w:r>
      <w:r>
        <w:rPr>
          <w:spacing w:val="-1"/>
        </w:rPr>
        <w:t> </w:t>
      </w:r>
      <w:r>
        <w:rPr/>
        <w:t>on</w:t>
      </w:r>
      <w:r>
        <w:rPr>
          <w:spacing w:val="-2"/>
        </w:rPr>
        <w:t> </w:t>
      </w:r>
      <w:r>
        <w:rPr/>
        <w:t>the</w:t>
      </w:r>
      <w:r>
        <w:rPr>
          <w:spacing w:val="-1"/>
        </w:rPr>
        <w:t> </w:t>
      </w:r>
      <w:r>
        <w:rPr/>
        <w:t>information</w:t>
      </w:r>
      <w:r>
        <w:rPr>
          <w:spacing w:val="-1"/>
        </w:rPr>
        <w:t> </w:t>
      </w:r>
      <w:r>
        <w:rPr/>
        <w:t>environment.</w:t>
      </w:r>
      <w:r>
        <w:rPr>
          <w:spacing w:val="-1"/>
        </w:rPr>
        <w:t> </w:t>
      </w:r>
      <w:r>
        <w:rPr/>
        <w:t>The</w:t>
      </w:r>
      <w:r>
        <w:rPr>
          <w:spacing w:val="-2"/>
        </w:rPr>
        <w:t> </w:t>
      </w:r>
      <w:r>
        <w:rPr/>
        <w:t>sample</w:t>
      </w:r>
      <w:r>
        <w:rPr>
          <w:spacing w:val="-2"/>
        </w:rPr>
        <w:t> </w:t>
      </w:r>
      <w:r>
        <w:rPr/>
        <w:t>consisted</w:t>
      </w:r>
      <w:r>
        <w:rPr>
          <w:spacing w:val="-1"/>
        </w:rPr>
        <w:t> </w:t>
      </w:r>
      <w:r>
        <w:rPr>
          <w:spacing w:val="-5"/>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7808">
            <wp:simplePos x="0" y="0"/>
            <wp:positionH relativeFrom="page">
              <wp:posOffset>1095451</wp:posOffset>
            </wp:positionH>
            <wp:positionV relativeFrom="paragraph">
              <wp:posOffset>1850770</wp:posOffset>
            </wp:positionV>
            <wp:extent cx="5106847" cy="5238115"/>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5" cstate="print"/>
                    <a:stretch>
                      <a:fillRect/>
                    </a:stretch>
                  </pic:blipFill>
                  <pic:spPr>
                    <a:xfrm>
                      <a:off x="0" y="0"/>
                      <a:ext cx="5106847" cy="5238115"/>
                    </a:xfrm>
                    <a:prstGeom prst="rect">
                      <a:avLst/>
                    </a:prstGeom>
                  </pic:spPr>
                </pic:pic>
              </a:graphicData>
            </a:graphic>
          </wp:anchor>
        </w:drawing>
      </w:r>
      <w:r>
        <w:rPr/>
        <w:t>8124 firms, 2235 firms adopted IFRS for the first time while 635 voluntarily adopted IFRS. The majority of mandatory adopters were from Australia, France, Singapore, Sweden, Hong- Kong</w:t>
      </w:r>
      <w:r>
        <w:rPr>
          <w:spacing w:val="-2"/>
        </w:rPr>
        <w:t> </w:t>
      </w:r>
      <w:r>
        <w:rPr/>
        <w:t>and the</w:t>
      </w:r>
      <w:r>
        <w:rPr>
          <w:spacing w:val="-3"/>
        </w:rPr>
        <w:t> </w:t>
      </w:r>
      <w:r>
        <w:rPr/>
        <w:t>United</w:t>
      </w:r>
      <w:r>
        <w:rPr>
          <w:spacing w:val="-1"/>
        </w:rPr>
        <w:t> </w:t>
      </w:r>
      <w:r>
        <w:rPr/>
        <w:t>Kingdom</w:t>
      </w:r>
      <w:r>
        <w:rPr>
          <w:spacing w:val="-2"/>
        </w:rPr>
        <w:t> </w:t>
      </w:r>
      <w:r>
        <w:rPr/>
        <w:t>while</w:t>
      </w:r>
      <w:r>
        <w:rPr>
          <w:spacing w:val="-3"/>
        </w:rPr>
        <w:t> </w:t>
      </w:r>
      <w:r>
        <w:rPr/>
        <w:t>majority</w:t>
      </w:r>
      <w:r>
        <w:rPr>
          <w:spacing w:val="-2"/>
        </w:rPr>
        <w:t> </w:t>
      </w:r>
      <w:r>
        <w:rPr/>
        <w:t>of</w:t>
      </w:r>
      <w:r>
        <w:rPr>
          <w:spacing w:val="-2"/>
        </w:rPr>
        <w:t> </w:t>
      </w:r>
      <w:r>
        <w:rPr/>
        <w:t>the</w:t>
      </w:r>
      <w:r>
        <w:rPr>
          <w:spacing w:val="-3"/>
        </w:rPr>
        <w:t> </w:t>
      </w:r>
      <w:r>
        <w:rPr/>
        <w:t>voluntary</w:t>
      </w:r>
      <w:r>
        <w:rPr>
          <w:spacing w:val="-1"/>
        </w:rPr>
        <w:t> </w:t>
      </w:r>
      <w:r>
        <w:rPr/>
        <w:t>adopters</w:t>
      </w:r>
      <w:r>
        <w:rPr>
          <w:spacing w:val="-2"/>
        </w:rPr>
        <w:t> </w:t>
      </w:r>
      <w:r>
        <w:rPr/>
        <w:t>came</w:t>
      </w:r>
      <w:r>
        <w:rPr>
          <w:spacing w:val="-2"/>
        </w:rPr>
        <w:t> </w:t>
      </w:r>
      <w:r>
        <w:rPr/>
        <w:t>from</w:t>
      </w:r>
      <w:r>
        <w:rPr>
          <w:spacing w:val="-1"/>
        </w:rPr>
        <w:t> </w:t>
      </w:r>
      <w:r>
        <w:rPr/>
        <w:t>Germany, Italy and Switzerland. The result revealed that after a mandatory adoption of IFRS, forecast errors decreased relative to other firms. The study also found a decrease in forecast errors for voluntary adopters, however, it was small and not robust. Generally, the result suggested that IFRS adoption had improved the quality of information intermediation in the capital market and, as a result, firm information environment by increasing information quality and accounting comparability. Qu, Fong and Oliver (2012) examined whether IFRS convergence improved the quality of accounting information in China. The study analysed investors’ reaction to financial information released in pre and post IFRS convergence in China. The sample</w:t>
      </w:r>
      <w:r>
        <w:rPr>
          <w:spacing w:val="-9"/>
        </w:rPr>
        <w:t> </w:t>
      </w:r>
      <w:r>
        <w:rPr/>
        <w:t>consisted</w:t>
      </w:r>
      <w:r>
        <w:rPr>
          <w:spacing w:val="-8"/>
        </w:rPr>
        <w:t> </w:t>
      </w:r>
      <w:r>
        <w:rPr/>
        <w:t>of</w:t>
      </w:r>
      <w:r>
        <w:rPr>
          <w:spacing w:val="-9"/>
        </w:rPr>
        <w:t> </w:t>
      </w:r>
      <w:r>
        <w:rPr/>
        <w:t>three</w:t>
      </w:r>
      <w:r>
        <w:rPr>
          <w:spacing w:val="-7"/>
        </w:rPr>
        <w:t> </w:t>
      </w:r>
      <w:r>
        <w:rPr/>
        <w:t>hundred</w:t>
      </w:r>
      <w:r>
        <w:rPr>
          <w:spacing w:val="-8"/>
        </w:rPr>
        <w:t> </w:t>
      </w:r>
      <w:r>
        <w:rPr/>
        <w:t>and</w:t>
      </w:r>
      <w:r>
        <w:rPr>
          <w:spacing w:val="-8"/>
        </w:rPr>
        <w:t> </w:t>
      </w:r>
      <w:r>
        <w:rPr/>
        <w:t>none</w:t>
      </w:r>
      <w:r>
        <w:rPr>
          <w:spacing w:val="-9"/>
        </w:rPr>
        <w:t> </w:t>
      </w:r>
      <w:r>
        <w:rPr/>
        <w:t>(309)</w:t>
      </w:r>
      <w:r>
        <w:rPr>
          <w:spacing w:val="-9"/>
        </w:rPr>
        <w:t> </w:t>
      </w:r>
      <w:r>
        <w:rPr/>
        <w:t>firms</w:t>
      </w:r>
      <w:r>
        <w:rPr>
          <w:spacing w:val="-8"/>
        </w:rPr>
        <w:t> </w:t>
      </w:r>
      <w:r>
        <w:rPr/>
        <w:t>listed</w:t>
      </w:r>
      <w:r>
        <w:rPr>
          <w:spacing w:val="-6"/>
        </w:rPr>
        <w:t> </w:t>
      </w:r>
      <w:r>
        <w:rPr/>
        <w:t>on</w:t>
      </w:r>
      <w:r>
        <w:rPr>
          <w:spacing w:val="-8"/>
        </w:rPr>
        <w:t> </w:t>
      </w:r>
      <w:r>
        <w:rPr/>
        <w:t>the</w:t>
      </w:r>
      <w:r>
        <w:rPr>
          <w:spacing w:val="-9"/>
        </w:rPr>
        <w:t> </w:t>
      </w:r>
      <w:r>
        <w:rPr/>
        <w:t>Chinese</w:t>
      </w:r>
      <w:r>
        <w:rPr>
          <w:spacing w:val="-9"/>
        </w:rPr>
        <w:t> </w:t>
      </w:r>
      <w:r>
        <w:rPr/>
        <w:t>Stock</w:t>
      </w:r>
      <w:r>
        <w:rPr>
          <w:spacing w:val="-9"/>
        </w:rPr>
        <w:t> </w:t>
      </w:r>
      <w:r>
        <w:rPr/>
        <w:t>Exchange. The findings showed that earnings per share and book value of equity were stronger explanatory</w:t>
      </w:r>
      <w:r>
        <w:rPr>
          <w:spacing w:val="-10"/>
        </w:rPr>
        <w:t> </w:t>
      </w:r>
      <w:r>
        <w:rPr/>
        <w:t>factors</w:t>
      </w:r>
      <w:r>
        <w:rPr>
          <w:spacing w:val="-9"/>
        </w:rPr>
        <w:t> </w:t>
      </w:r>
      <w:r>
        <w:rPr/>
        <w:t>of</w:t>
      </w:r>
      <w:r>
        <w:rPr>
          <w:spacing w:val="-10"/>
        </w:rPr>
        <w:t> </w:t>
      </w:r>
      <w:r>
        <w:rPr/>
        <w:t>market</w:t>
      </w:r>
      <w:r>
        <w:rPr>
          <w:spacing w:val="-9"/>
        </w:rPr>
        <w:t> </w:t>
      </w:r>
      <w:r>
        <w:rPr/>
        <w:t>return</w:t>
      </w:r>
      <w:r>
        <w:rPr>
          <w:spacing w:val="-10"/>
        </w:rPr>
        <w:t> </w:t>
      </w:r>
      <w:r>
        <w:rPr/>
        <w:t>in</w:t>
      </w:r>
      <w:r>
        <w:rPr>
          <w:spacing w:val="-9"/>
        </w:rPr>
        <w:t> </w:t>
      </w:r>
      <w:r>
        <w:rPr/>
        <w:t>both</w:t>
      </w:r>
      <w:r>
        <w:rPr>
          <w:spacing w:val="-9"/>
        </w:rPr>
        <w:t> </w:t>
      </w:r>
      <w:r>
        <w:rPr/>
        <w:t>pre</w:t>
      </w:r>
      <w:r>
        <w:rPr>
          <w:spacing w:val="-11"/>
        </w:rPr>
        <w:t> </w:t>
      </w:r>
      <w:r>
        <w:rPr/>
        <w:t>and</w:t>
      </w:r>
      <w:r>
        <w:rPr>
          <w:spacing w:val="-10"/>
        </w:rPr>
        <w:t> </w:t>
      </w:r>
      <w:r>
        <w:rPr/>
        <w:t>post</w:t>
      </w:r>
      <w:r>
        <w:rPr>
          <w:spacing w:val="-9"/>
        </w:rPr>
        <w:t> </w:t>
      </w:r>
      <w:r>
        <w:rPr/>
        <w:t>IFRS</w:t>
      </w:r>
      <w:r>
        <w:rPr>
          <w:spacing w:val="-9"/>
        </w:rPr>
        <w:t> </w:t>
      </w:r>
      <w:r>
        <w:rPr/>
        <w:t>convergence</w:t>
      </w:r>
      <w:r>
        <w:rPr>
          <w:spacing w:val="-6"/>
        </w:rPr>
        <w:t> </w:t>
      </w:r>
      <w:r>
        <w:rPr/>
        <w:t>periods.</w:t>
      </w:r>
      <w:r>
        <w:rPr>
          <w:spacing w:val="-10"/>
        </w:rPr>
        <w:t> </w:t>
      </w:r>
      <w:r>
        <w:rPr/>
        <w:t>The</w:t>
      </w:r>
      <w:r>
        <w:rPr>
          <w:spacing w:val="-11"/>
        </w:rPr>
        <w:t> </w:t>
      </w:r>
      <w:r>
        <w:rPr/>
        <w:t>result also suggested that investors’ reliance on the income statement information for investment decision became greater in post IFRS convergence period.</w:t>
      </w:r>
    </w:p>
    <w:p>
      <w:pPr>
        <w:pStyle w:val="BodyText"/>
        <w:spacing w:line="480" w:lineRule="auto" w:before="2"/>
        <w:ind w:left="940" w:right="1438"/>
        <w:jc w:val="both"/>
      </w:pPr>
      <w:r>
        <w:rPr/>
        <w:t>Outa</w:t>
      </w:r>
      <w:r>
        <w:rPr>
          <w:spacing w:val="-4"/>
        </w:rPr>
        <w:t> </w:t>
      </w:r>
      <w:r>
        <w:rPr/>
        <w:t>(2011)</w:t>
      </w:r>
      <w:r>
        <w:rPr>
          <w:spacing w:val="-2"/>
        </w:rPr>
        <w:t> </w:t>
      </w:r>
      <w:r>
        <w:rPr/>
        <w:t>examined</w:t>
      </w:r>
      <w:r>
        <w:rPr>
          <w:spacing w:val="-1"/>
        </w:rPr>
        <w:t> </w:t>
      </w:r>
      <w:r>
        <w:rPr/>
        <w:t>the</w:t>
      </w:r>
      <w:r>
        <w:rPr>
          <w:spacing w:val="-3"/>
        </w:rPr>
        <w:t> </w:t>
      </w:r>
      <w:r>
        <w:rPr/>
        <w:t>impact</w:t>
      </w:r>
      <w:r>
        <w:rPr>
          <w:spacing w:val="-3"/>
        </w:rPr>
        <w:t> </w:t>
      </w:r>
      <w:r>
        <w:rPr/>
        <w:t>of IFRS</w:t>
      </w:r>
      <w:r>
        <w:rPr>
          <w:spacing w:val="-3"/>
        </w:rPr>
        <w:t> </w:t>
      </w:r>
      <w:r>
        <w:rPr/>
        <w:t>adoption</w:t>
      </w:r>
      <w:r>
        <w:rPr>
          <w:spacing w:val="-3"/>
        </w:rPr>
        <w:t> </w:t>
      </w:r>
      <w:r>
        <w:rPr/>
        <w:t>on</w:t>
      </w:r>
      <w:r>
        <w:rPr>
          <w:spacing w:val="-3"/>
        </w:rPr>
        <w:t> </w:t>
      </w:r>
      <w:r>
        <w:rPr/>
        <w:t>accounting</w:t>
      </w:r>
      <w:r>
        <w:rPr>
          <w:spacing w:val="-3"/>
        </w:rPr>
        <w:t> </w:t>
      </w:r>
      <w:r>
        <w:rPr/>
        <w:t>quality</w:t>
      </w:r>
      <w:r>
        <w:rPr>
          <w:spacing w:val="-3"/>
        </w:rPr>
        <w:t> </w:t>
      </w:r>
      <w:r>
        <w:rPr/>
        <w:t>of</w:t>
      </w:r>
      <w:r>
        <w:rPr>
          <w:spacing w:val="-3"/>
        </w:rPr>
        <w:t> </w:t>
      </w:r>
      <w:r>
        <w:rPr/>
        <w:t>listed</w:t>
      </w:r>
      <w:r>
        <w:rPr>
          <w:spacing w:val="-3"/>
        </w:rPr>
        <w:t> </w:t>
      </w:r>
      <w:r>
        <w:rPr/>
        <w:t>companies in Kenya. The study consisted of thirty two (firms) during the period 1995 to 2005, resulting in 320 firm year observations. The data obtained were divided into five years before IFRS adoption (1995</w:t>
      </w:r>
      <w:r>
        <w:rPr>
          <w:spacing w:val="-1"/>
        </w:rPr>
        <w:t> </w:t>
      </w:r>
      <w:r>
        <w:rPr/>
        <w:t>to 1999) and five</w:t>
      </w:r>
      <w:r>
        <w:rPr>
          <w:spacing w:val="-2"/>
        </w:rPr>
        <w:t> </w:t>
      </w:r>
      <w:r>
        <w:rPr/>
        <w:t>years after IFRS adoption. The</w:t>
      </w:r>
      <w:r>
        <w:rPr>
          <w:spacing w:val="-2"/>
        </w:rPr>
        <w:t> </w:t>
      </w:r>
      <w:r>
        <w:rPr/>
        <w:t>result revealed</w:t>
      </w:r>
      <w:r>
        <w:rPr>
          <w:spacing w:val="-1"/>
        </w:rPr>
        <w:t> </w:t>
      </w:r>
      <w:r>
        <w:rPr/>
        <w:t>that three</w:t>
      </w:r>
      <w:r>
        <w:rPr>
          <w:spacing w:val="-1"/>
        </w:rPr>
        <w:t> </w:t>
      </w:r>
      <w:r>
        <w:rPr/>
        <w:t>out of the eight metrics used in measuring accounting quality showed evidence of marginal improvement in accounting quality while the remaining five metrics indicated that it had marginally declined. The study by Aubert and Grudnitski (2011) examined the impact of mandatory adoption of IFRS in the EU firms (20 industries in 13 European countries). To assess</w:t>
      </w:r>
      <w:r>
        <w:rPr>
          <w:spacing w:val="-17"/>
        </w:rPr>
        <w:t> </w:t>
      </w:r>
      <w:r>
        <w:rPr/>
        <w:t>the</w:t>
      </w:r>
      <w:r>
        <w:rPr>
          <w:spacing w:val="-15"/>
        </w:rPr>
        <w:t> </w:t>
      </w:r>
      <w:r>
        <w:rPr/>
        <w:t>impact</w:t>
      </w:r>
      <w:r>
        <w:rPr>
          <w:spacing w:val="-15"/>
        </w:rPr>
        <w:t> </w:t>
      </w:r>
      <w:r>
        <w:rPr/>
        <w:t>of</w:t>
      </w:r>
      <w:r>
        <w:rPr>
          <w:spacing w:val="-15"/>
        </w:rPr>
        <w:t> </w:t>
      </w:r>
      <w:r>
        <w:rPr/>
        <w:t>IFRS</w:t>
      </w:r>
      <w:r>
        <w:rPr>
          <w:spacing w:val="-15"/>
        </w:rPr>
        <w:t> </w:t>
      </w:r>
      <w:r>
        <w:rPr/>
        <w:t>on</w:t>
      </w:r>
      <w:r>
        <w:rPr>
          <w:spacing w:val="-15"/>
        </w:rPr>
        <w:t> </w:t>
      </w:r>
      <w:r>
        <w:rPr/>
        <w:t>the</w:t>
      </w:r>
      <w:r>
        <w:rPr>
          <w:spacing w:val="-15"/>
        </w:rPr>
        <w:t> </w:t>
      </w:r>
      <w:r>
        <w:rPr/>
        <w:t>quality</w:t>
      </w:r>
      <w:r>
        <w:rPr>
          <w:spacing w:val="-15"/>
        </w:rPr>
        <w:t> </w:t>
      </w:r>
      <w:r>
        <w:rPr/>
        <w:t>of</w:t>
      </w:r>
      <w:r>
        <w:rPr>
          <w:spacing w:val="-16"/>
        </w:rPr>
        <w:t> </w:t>
      </w:r>
      <w:r>
        <w:rPr/>
        <w:t>financial</w:t>
      </w:r>
      <w:r>
        <w:rPr>
          <w:spacing w:val="-15"/>
        </w:rPr>
        <w:t> </w:t>
      </w:r>
      <w:r>
        <w:rPr/>
        <w:t>reporting,</w:t>
      </w:r>
      <w:r>
        <w:rPr>
          <w:spacing w:val="-15"/>
        </w:rPr>
        <w:t> </w:t>
      </w:r>
      <w:r>
        <w:rPr/>
        <w:t>a</w:t>
      </w:r>
      <w:r>
        <w:rPr>
          <w:spacing w:val="-15"/>
        </w:rPr>
        <w:t> </w:t>
      </w:r>
      <w:r>
        <w:rPr/>
        <w:t>comparison</w:t>
      </w:r>
      <w:r>
        <w:rPr>
          <w:spacing w:val="-14"/>
        </w:rPr>
        <w:t> </w:t>
      </w:r>
      <w:r>
        <w:rPr/>
        <w:t>was</w:t>
      </w:r>
      <w:r>
        <w:rPr>
          <w:spacing w:val="-15"/>
        </w:rPr>
        <w:t> </w:t>
      </w:r>
      <w:r>
        <w:rPr/>
        <w:t>made</w:t>
      </w:r>
      <w:r>
        <w:rPr>
          <w:spacing w:val="-16"/>
        </w:rPr>
        <w:t> </w:t>
      </w:r>
      <w:r>
        <w:rPr>
          <w:spacing w:val="-2"/>
        </w:rPr>
        <w:t>between</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8320">
            <wp:simplePos x="0" y="0"/>
            <wp:positionH relativeFrom="page">
              <wp:posOffset>1095451</wp:posOffset>
            </wp:positionH>
            <wp:positionV relativeFrom="paragraph">
              <wp:posOffset>1850770</wp:posOffset>
            </wp:positionV>
            <wp:extent cx="5106847" cy="523811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5106847" cy="5238115"/>
                    </a:xfrm>
                    <a:prstGeom prst="rect">
                      <a:avLst/>
                    </a:prstGeom>
                  </pic:spPr>
                </pic:pic>
              </a:graphicData>
            </a:graphic>
          </wp:anchor>
        </w:drawing>
      </w:r>
      <w:r>
        <w:rPr/>
        <w:t>two standards (IFRS and local standards [LG]). The result revealed that the quality of discretionary</w:t>
      </w:r>
      <w:r>
        <w:rPr>
          <w:spacing w:val="-9"/>
        </w:rPr>
        <w:t> </w:t>
      </w:r>
      <w:r>
        <w:rPr/>
        <w:t>accruals</w:t>
      </w:r>
      <w:r>
        <w:rPr>
          <w:spacing w:val="-8"/>
        </w:rPr>
        <w:t> </w:t>
      </w:r>
      <w:r>
        <w:rPr/>
        <w:t>was</w:t>
      </w:r>
      <w:r>
        <w:rPr>
          <w:spacing w:val="-10"/>
        </w:rPr>
        <w:t> </w:t>
      </w:r>
      <w:r>
        <w:rPr/>
        <w:t>significantly</w:t>
      </w:r>
      <w:r>
        <w:rPr>
          <w:spacing w:val="-11"/>
        </w:rPr>
        <w:t> </w:t>
      </w:r>
      <w:r>
        <w:rPr/>
        <w:t>higher</w:t>
      </w:r>
      <w:r>
        <w:rPr>
          <w:spacing w:val="-10"/>
        </w:rPr>
        <w:t> </w:t>
      </w:r>
      <w:r>
        <w:rPr/>
        <w:t>under</w:t>
      </w:r>
      <w:r>
        <w:rPr>
          <w:spacing w:val="-9"/>
        </w:rPr>
        <w:t> </w:t>
      </w:r>
      <w:r>
        <w:rPr/>
        <w:t>IFRS</w:t>
      </w:r>
      <w:r>
        <w:rPr>
          <w:spacing w:val="-10"/>
        </w:rPr>
        <w:t> </w:t>
      </w:r>
      <w:r>
        <w:rPr/>
        <w:t>than</w:t>
      </w:r>
      <w:r>
        <w:rPr>
          <w:spacing w:val="-5"/>
        </w:rPr>
        <w:t> </w:t>
      </w:r>
      <w:r>
        <w:rPr/>
        <w:t>under</w:t>
      </w:r>
      <w:r>
        <w:rPr>
          <w:spacing w:val="-9"/>
        </w:rPr>
        <w:t> </w:t>
      </w:r>
      <w:r>
        <w:rPr/>
        <w:t>LG</w:t>
      </w:r>
      <w:r>
        <w:rPr>
          <w:spacing w:val="-9"/>
        </w:rPr>
        <w:t> </w:t>
      </w:r>
      <w:r>
        <w:rPr/>
        <w:t>for</w:t>
      </w:r>
      <w:r>
        <w:rPr>
          <w:spacing w:val="-11"/>
        </w:rPr>
        <w:t> </w:t>
      </w:r>
      <w:r>
        <w:rPr/>
        <w:t>firms</w:t>
      </w:r>
      <w:r>
        <w:rPr>
          <w:spacing w:val="-10"/>
        </w:rPr>
        <w:t> </w:t>
      </w:r>
      <w:r>
        <w:rPr/>
        <w:t>in</w:t>
      </w:r>
      <w:r>
        <w:rPr>
          <w:spacing w:val="-8"/>
        </w:rPr>
        <w:t> </w:t>
      </w:r>
      <w:r>
        <w:rPr/>
        <w:t>Finland, Greece and Sweden. Maggina and Tsaklanganos (2011) examined the relationship between IFRS adoption and accounting quality in Greece. The reporting quality metrics used were the value relevance model and the result revealed that there were no effect of IFRS adoption on stock price and return. Hellmand (2011) investigated the impact of IFRS adoption on accounting quality in Sweden. Using value relevance as the metrics for reporting quality, the study found that voluntary IFRS adoption gave firms the discretion used for earnings management purposes. Klimczak (2011) examined the empirical relationship between IFRS adoption and accounting quality in Poland. Using</w:t>
      </w:r>
      <w:r>
        <w:rPr>
          <w:spacing w:val="-3"/>
        </w:rPr>
        <w:t> </w:t>
      </w:r>
      <w:r>
        <w:rPr/>
        <w:t>value relevance as the metrics for reporting quality, the study found that the impact of IFRS adoption on reporting quality was relatively small. Nartktabtee and Patpanichchot (2011a) investigated the impact of IFRS adoption on reporting</w:t>
      </w:r>
      <w:r>
        <w:rPr>
          <w:spacing w:val="-2"/>
        </w:rPr>
        <w:t> </w:t>
      </w:r>
      <w:r>
        <w:rPr/>
        <w:t>quality</w:t>
      </w:r>
      <w:r>
        <w:rPr>
          <w:spacing w:val="-2"/>
        </w:rPr>
        <w:t> </w:t>
      </w:r>
      <w:r>
        <w:rPr/>
        <w:t>in</w:t>
      </w:r>
      <w:r>
        <w:rPr>
          <w:spacing w:val="-2"/>
        </w:rPr>
        <w:t> </w:t>
      </w:r>
      <w:r>
        <w:rPr/>
        <w:t>Seventeen</w:t>
      </w:r>
      <w:r>
        <w:rPr>
          <w:spacing w:val="-2"/>
        </w:rPr>
        <w:t> </w:t>
      </w:r>
      <w:r>
        <w:rPr/>
        <w:t>(17) European</w:t>
      </w:r>
      <w:r>
        <w:rPr>
          <w:spacing w:val="-2"/>
        </w:rPr>
        <w:t> </w:t>
      </w:r>
      <w:r>
        <w:rPr/>
        <w:t>countries</w:t>
      </w:r>
      <w:r>
        <w:rPr>
          <w:spacing w:val="-2"/>
        </w:rPr>
        <w:t> </w:t>
      </w:r>
      <w:r>
        <w:rPr/>
        <w:t>(Austria,</w:t>
      </w:r>
      <w:r>
        <w:rPr>
          <w:spacing w:val="-2"/>
        </w:rPr>
        <w:t> </w:t>
      </w:r>
      <w:r>
        <w:rPr/>
        <w:t>Belgium, Denmark, Finland, France,</w:t>
      </w:r>
      <w:r>
        <w:rPr>
          <w:spacing w:val="-4"/>
        </w:rPr>
        <w:t> </w:t>
      </w:r>
      <w:r>
        <w:rPr/>
        <w:t>Germany,</w:t>
      </w:r>
      <w:r>
        <w:rPr>
          <w:spacing w:val="-5"/>
        </w:rPr>
        <w:t> </w:t>
      </w:r>
      <w:r>
        <w:rPr/>
        <w:t>Greece,</w:t>
      </w:r>
      <w:r>
        <w:rPr>
          <w:spacing w:val="-4"/>
        </w:rPr>
        <w:t> </w:t>
      </w:r>
      <w:r>
        <w:rPr/>
        <w:t>Ireland,</w:t>
      </w:r>
      <w:r>
        <w:rPr>
          <w:spacing w:val="-4"/>
        </w:rPr>
        <w:t> </w:t>
      </w:r>
      <w:r>
        <w:rPr/>
        <w:t>Italy,</w:t>
      </w:r>
      <w:r>
        <w:rPr>
          <w:spacing w:val="-7"/>
        </w:rPr>
        <w:t> </w:t>
      </w:r>
      <w:r>
        <w:rPr/>
        <w:t>Luxembourg,</w:t>
      </w:r>
      <w:r>
        <w:rPr>
          <w:spacing w:val="-8"/>
        </w:rPr>
        <w:t> </w:t>
      </w:r>
      <w:r>
        <w:rPr/>
        <w:t>Netherland,</w:t>
      </w:r>
      <w:r>
        <w:rPr>
          <w:spacing w:val="-7"/>
        </w:rPr>
        <w:t> </w:t>
      </w:r>
      <w:r>
        <w:rPr/>
        <w:t>Norway,</w:t>
      </w:r>
      <w:r>
        <w:rPr>
          <w:spacing w:val="-7"/>
        </w:rPr>
        <w:t> </w:t>
      </w:r>
      <w:r>
        <w:rPr/>
        <w:t>Poland,</w:t>
      </w:r>
      <w:r>
        <w:rPr>
          <w:spacing w:val="-7"/>
        </w:rPr>
        <w:t> </w:t>
      </w:r>
      <w:r>
        <w:rPr/>
        <w:t>Portugal, Spain, Swede, UK). The reporting quality metrics used were value relevance. The findings revealed</w:t>
      </w:r>
      <w:r>
        <w:rPr>
          <w:spacing w:val="-8"/>
        </w:rPr>
        <w:t> </w:t>
      </w:r>
      <w:r>
        <w:rPr/>
        <w:t>that</w:t>
      </w:r>
      <w:r>
        <w:rPr>
          <w:spacing w:val="-8"/>
        </w:rPr>
        <w:t> </w:t>
      </w:r>
      <w:r>
        <w:rPr/>
        <w:t>the</w:t>
      </w:r>
      <w:r>
        <w:rPr>
          <w:spacing w:val="-9"/>
        </w:rPr>
        <w:t> </w:t>
      </w:r>
      <w:r>
        <w:rPr/>
        <w:t>adoption</w:t>
      </w:r>
      <w:r>
        <w:rPr>
          <w:spacing w:val="-8"/>
        </w:rPr>
        <w:t> </w:t>
      </w:r>
      <w:r>
        <w:rPr/>
        <w:t>of</w:t>
      </w:r>
      <w:r>
        <w:rPr>
          <w:spacing w:val="-9"/>
        </w:rPr>
        <w:t> </w:t>
      </w:r>
      <w:r>
        <w:rPr/>
        <w:t>IFRS</w:t>
      </w:r>
      <w:r>
        <w:rPr>
          <w:spacing w:val="-8"/>
        </w:rPr>
        <w:t> </w:t>
      </w:r>
      <w:r>
        <w:rPr/>
        <w:t>led</w:t>
      </w:r>
      <w:r>
        <w:rPr>
          <w:spacing w:val="-8"/>
        </w:rPr>
        <w:t> </w:t>
      </w:r>
      <w:r>
        <w:rPr/>
        <w:t>to</w:t>
      </w:r>
      <w:r>
        <w:rPr>
          <w:spacing w:val="-8"/>
        </w:rPr>
        <w:t> </w:t>
      </w:r>
      <w:r>
        <w:rPr/>
        <w:t>an</w:t>
      </w:r>
      <w:r>
        <w:rPr>
          <w:spacing w:val="-8"/>
        </w:rPr>
        <w:t> </w:t>
      </w:r>
      <w:r>
        <w:rPr/>
        <w:t>improvement</w:t>
      </w:r>
      <w:r>
        <w:rPr>
          <w:spacing w:val="-8"/>
        </w:rPr>
        <w:t> </w:t>
      </w:r>
      <w:r>
        <w:rPr/>
        <w:t>in</w:t>
      </w:r>
      <w:r>
        <w:rPr>
          <w:spacing w:val="-8"/>
        </w:rPr>
        <w:t> </w:t>
      </w:r>
      <w:r>
        <w:rPr/>
        <w:t>value</w:t>
      </w:r>
      <w:r>
        <w:rPr>
          <w:spacing w:val="-9"/>
        </w:rPr>
        <w:t> </w:t>
      </w:r>
      <w:r>
        <w:rPr/>
        <w:t>relevance</w:t>
      </w:r>
      <w:r>
        <w:rPr>
          <w:spacing w:val="-9"/>
        </w:rPr>
        <w:t> </w:t>
      </w:r>
      <w:r>
        <w:rPr/>
        <w:t>for</w:t>
      </w:r>
      <w:r>
        <w:rPr>
          <w:spacing w:val="-10"/>
        </w:rPr>
        <w:t> </w:t>
      </w:r>
      <w:r>
        <w:rPr/>
        <w:t>countries</w:t>
      </w:r>
      <w:r>
        <w:rPr>
          <w:spacing w:val="-8"/>
        </w:rPr>
        <w:t> </w:t>
      </w:r>
      <w:r>
        <w:rPr/>
        <w:t>with high deviation of local accounting standards from IFRS and high investors protection.</w:t>
      </w:r>
    </w:p>
    <w:p>
      <w:pPr>
        <w:pStyle w:val="BodyText"/>
        <w:spacing w:line="480" w:lineRule="auto" w:before="2"/>
        <w:ind w:left="940" w:right="1436"/>
        <w:jc w:val="both"/>
      </w:pPr>
      <w:r>
        <w:rPr/>
        <w:t>Elbannan (2010) investigated the impact of IFRS adoption on earnings management in a sample of Egyptian firms. The result revealed that earnings management did not decrease in post IFRS adoption regime. They attributed that lack of improvement in reporting quality to the</w:t>
      </w:r>
      <w:r>
        <w:rPr>
          <w:spacing w:val="-6"/>
        </w:rPr>
        <w:t> </w:t>
      </w:r>
      <w:r>
        <w:rPr/>
        <w:t>lack</w:t>
      </w:r>
      <w:r>
        <w:rPr>
          <w:spacing w:val="-6"/>
        </w:rPr>
        <w:t> </w:t>
      </w:r>
      <w:r>
        <w:rPr/>
        <w:t>of</w:t>
      </w:r>
      <w:r>
        <w:rPr>
          <w:spacing w:val="-7"/>
        </w:rPr>
        <w:t> </w:t>
      </w:r>
      <w:r>
        <w:rPr/>
        <w:t>enforcement</w:t>
      </w:r>
      <w:r>
        <w:rPr>
          <w:spacing w:val="-6"/>
        </w:rPr>
        <w:t> </w:t>
      </w:r>
      <w:r>
        <w:rPr/>
        <w:t>of</w:t>
      </w:r>
      <w:r>
        <w:rPr>
          <w:spacing w:val="-7"/>
        </w:rPr>
        <w:t> </w:t>
      </w:r>
      <w:r>
        <w:rPr/>
        <w:t>the</w:t>
      </w:r>
      <w:r>
        <w:rPr>
          <w:spacing w:val="-5"/>
        </w:rPr>
        <w:t> </w:t>
      </w:r>
      <w:r>
        <w:rPr/>
        <w:t>standards</w:t>
      </w:r>
      <w:r>
        <w:rPr>
          <w:spacing w:val="-6"/>
        </w:rPr>
        <w:t> </w:t>
      </w:r>
      <w:r>
        <w:rPr/>
        <w:t>by</w:t>
      </w:r>
      <w:r>
        <w:rPr>
          <w:spacing w:val="-6"/>
        </w:rPr>
        <w:t> </w:t>
      </w:r>
      <w:r>
        <w:rPr/>
        <w:t>regulators</w:t>
      </w:r>
      <w:r>
        <w:rPr>
          <w:spacing w:val="-6"/>
        </w:rPr>
        <w:t> </w:t>
      </w:r>
      <w:r>
        <w:rPr/>
        <w:t>and</w:t>
      </w:r>
      <w:r>
        <w:rPr>
          <w:spacing w:val="-6"/>
        </w:rPr>
        <w:t> </w:t>
      </w:r>
      <w:r>
        <w:rPr/>
        <w:t>inadequate</w:t>
      </w:r>
      <w:r>
        <w:rPr>
          <w:spacing w:val="-6"/>
        </w:rPr>
        <w:t> </w:t>
      </w:r>
      <w:r>
        <w:rPr/>
        <w:t>training</w:t>
      </w:r>
      <w:r>
        <w:rPr>
          <w:spacing w:val="-6"/>
        </w:rPr>
        <w:t> </w:t>
      </w:r>
      <w:r>
        <w:rPr/>
        <w:t>of</w:t>
      </w:r>
      <w:r>
        <w:rPr>
          <w:spacing w:val="-4"/>
        </w:rPr>
        <w:t> </w:t>
      </w:r>
      <w:r>
        <w:rPr/>
        <w:t>practitioners. Houque, Zijl, Dunstan and Karim (2010) investigated the effect of IFRS adoption and investors’ protection on earnings quality around the world. The study used discretionary accruals</w:t>
      </w:r>
      <w:r>
        <w:rPr>
          <w:spacing w:val="-7"/>
        </w:rPr>
        <w:t> </w:t>
      </w:r>
      <w:r>
        <w:rPr/>
        <w:t>as</w:t>
      </w:r>
      <w:r>
        <w:rPr>
          <w:spacing w:val="-7"/>
        </w:rPr>
        <w:t> </w:t>
      </w:r>
      <w:r>
        <w:rPr/>
        <w:t>the</w:t>
      </w:r>
      <w:r>
        <w:rPr>
          <w:spacing w:val="-8"/>
        </w:rPr>
        <w:t> </w:t>
      </w:r>
      <w:r>
        <w:rPr/>
        <w:t>metrics</w:t>
      </w:r>
      <w:r>
        <w:rPr>
          <w:spacing w:val="-5"/>
        </w:rPr>
        <w:t> </w:t>
      </w:r>
      <w:r>
        <w:rPr/>
        <w:t>for</w:t>
      </w:r>
      <w:r>
        <w:rPr>
          <w:spacing w:val="-8"/>
        </w:rPr>
        <w:t> </w:t>
      </w:r>
      <w:r>
        <w:rPr/>
        <w:t>earnings</w:t>
      </w:r>
      <w:r>
        <w:rPr>
          <w:spacing w:val="-7"/>
        </w:rPr>
        <w:t> </w:t>
      </w:r>
      <w:r>
        <w:rPr/>
        <w:t>quality.</w:t>
      </w:r>
      <w:r>
        <w:rPr>
          <w:spacing w:val="-7"/>
        </w:rPr>
        <w:t> </w:t>
      </w:r>
      <w:r>
        <w:rPr/>
        <w:t>The</w:t>
      </w:r>
      <w:r>
        <w:rPr>
          <w:spacing w:val="-8"/>
        </w:rPr>
        <w:t> </w:t>
      </w:r>
      <w:r>
        <w:rPr/>
        <w:t>sample</w:t>
      </w:r>
      <w:r>
        <w:rPr>
          <w:spacing w:val="-8"/>
        </w:rPr>
        <w:t> </w:t>
      </w:r>
      <w:r>
        <w:rPr/>
        <w:t>consisted</w:t>
      </w:r>
      <w:r>
        <w:rPr>
          <w:spacing w:val="-7"/>
        </w:rPr>
        <w:t> </w:t>
      </w:r>
      <w:r>
        <w:rPr/>
        <w:t>of</w:t>
      </w:r>
      <w:r>
        <w:rPr>
          <w:spacing w:val="-6"/>
        </w:rPr>
        <w:t> </w:t>
      </w:r>
      <w:r>
        <w:rPr/>
        <w:t>forty</w:t>
      </w:r>
      <w:r>
        <w:rPr>
          <w:spacing w:val="-7"/>
        </w:rPr>
        <w:t> </w:t>
      </w:r>
      <w:r>
        <w:rPr/>
        <w:t>six</w:t>
      </w:r>
      <w:r>
        <w:rPr>
          <w:spacing w:val="-7"/>
        </w:rPr>
        <w:t> </w:t>
      </w:r>
      <w:r>
        <w:rPr/>
        <w:t>countries</w:t>
      </w:r>
      <w:r>
        <w:rPr>
          <w:spacing w:val="-5"/>
        </w:rPr>
        <w:t> </w:t>
      </w:r>
      <w:r>
        <w:rPr/>
        <w:t>around the</w:t>
      </w:r>
      <w:r>
        <w:rPr>
          <w:spacing w:val="25"/>
        </w:rPr>
        <w:t> </w:t>
      </w:r>
      <w:r>
        <w:rPr/>
        <w:t>globe</w:t>
      </w:r>
      <w:r>
        <w:rPr>
          <w:spacing w:val="28"/>
        </w:rPr>
        <w:t> </w:t>
      </w:r>
      <w:r>
        <w:rPr/>
        <w:t>resulting</w:t>
      </w:r>
      <w:r>
        <w:rPr>
          <w:spacing w:val="29"/>
        </w:rPr>
        <w:t> </w:t>
      </w:r>
      <w:r>
        <w:rPr/>
        <w:t>in</w:t>
      </w:r>
      <w:r>
        <w:rPr>
          <w:spacing w:val="29"/>
        </w:rPr>
        <w:t> </w:t>
      </w:r>
      <w:r>
        <w:rPr/>
        <w:t>104,</w:t>
      </w:r>
      <w:r>
        <w:rPr>
          <w:spacing w:val="27"/>
        </w:rPr>
        <w:t> </w:t>
      </w:r>
      <w:r>
        <w:rPr/>
        <w:t>348</w:t>
      </w:r>
      <w:r>
        <w:rPr>
          <w:spacing w:val="28"/>
        </w:rPr>
        <w:t> </w:t>
      </w:r>
      <w:r>
        <w:rPr/>
        <w:t>firm</w:t>
      </w:r>
      <w:r>
        <w:rPr>
          <w:spacing w:val="28"/>
        </w:rPr>
        <w:t> </w:t>
      </w:r>
      <w:r>
        <w:rPr/>
        <w:t>year</w:t>
      </w:r>
      <w:r>
        <w:rPr>
          <w:spacing w:val="30"/>
        </w:rPr>
        <w:t> </w:t>
      </w:r>
      <w:r>
        <w:rPr/>
        <w:t>observation</w:t>
      </w:r>
      <w:r>
        <w:rPr>
          <w:spacing w:val="27"/>
        </w:rPr>
        <w:t> </w:t>
      </w:r>
      <w:r>
        <w:rPr/>
        <w:t>during</w:t>
      </w:r>
      <w:r>
        <w:rPr>
          <w:spacing w:val="28"/>
        </w:rPr>
        <w:t> </w:t>
      </w:r>
      <w:r>
        <w:rPr/>
        <w:t>the</w:t>
      </w:r>
      <w:r>
        <w:rPr>
          <w:spacing w:val="27"/>
        </w:rPr>
        <w:t> </w:t>
      </w:r>
      <w:r>
        <w:rPr/>
        <w:t>period</w:t>
      </w:r>
      <w:r>
        <w:rPr>
          <w:spacing w:val="30"/>
        </w:rPr>
        <w:t> </w:t>
      </w:r>
      <w:r>
        <w:rPr/>
        <w:t>2000</w:t>
      </w:r>
      <w:r>
        <w:rPr>
          <w:spacing w:val="27"/>
        </w:rPr>
        <w:t> </w:t>
      </w:r>
      <w:r>
        <w:rPr/>
        <w:t>to</w:t>
      </w:r>
      <w:r>
        <w:rPr>
          <w:spacing w:val="29"/>
        </w:rPr>
        <w:t> </w:t>
      </w:r>
      <w:r>
        <w:rPr/>
        <w:t>2007.</w:t>
      </w:r>
      <w:r>
        <w:rPr>
          <w:spacing w:val="28"/>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88832">
            <wp:simplePos x="0" y="0"/>
            <wp:positionH relativeFrom="page">
              <wp:posOffset>1095451</wp:posOffset>
            </wp:positionH>
            <wp:positionV relativeFrom="paragraph">
              <wp:posOffset>1850770</wp:posOffset>
            </wp:positionV>
            <wp:extent cx="5106847" cy="523811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 cstate="print"/>
                    <a:stretch>
                      <a:fillRect/>
                    </a:stretch>
                  </pic:blipFill>
                  <pic:spPr>
                    <a:xfrm>
                      <a:off x="0" y="0"/>
                      <a:ext cx="5106847" cy="5238115"/>
                    </a:xfrm>
                    <a:prstGeom prst="rect">
                      <a:avLst/>
                    </a:prstGeom>
                  </pic:spPr>
                </pic:pic>
              </a:graphicData>
            </a:graphic>
          </wp:anchor>
        </w:drawing>
      </w:r>
      <w:r>
        <w:rPr/>
        <w:t>findings revealed that earnings quality increased for mandatory IFRS adoption when a country’s investors’ protection regime provided strong protection. The result highlighted the importance of investors’ protection for financial reporting quality and the need for regulators to design mechanisms that limited managers’ earnings management practices. The study by Chen, Tang, Jiang and Lin (2010) investigated the role of international financial reporting standards in accounting quality in the European Union. The sample consisted of fifteen (15) European</w:t>
      </w:r>
      <w:r>
        <w:rPr>
          <w:spacing w:val="-10"/>
        </w:rPr>
        <w:t> </w:t>
      </w:r>
      <w:r>
        <w:rPr/>
        <w:t>member</w:t>
      </w:r>
      <w:r>
        <w:rPr>
          <w:spacing w:val="-10"/>
        </w:rPr>
        <w:t> </w:t>
      </w:r>
      <w:r>
        <w:rPr/>
        <w:t>countries</w:t>
      </w:r>
      <w:r>
        <w:rPr>
          <w:spacing w:val="-10"/>
        </w:rPr>
        <w:t> </w:t>
      </w:r>
      <w:r>
        <w:rPr/>
        <w:t>during</w:t>
      </w:r>
      <w:r>
        <w:rPr>
          <w:spacing w:val="-10"/>
        </w:rPr>
        <w:t> </w:t>
      </w:r>
      <w:r>
        <w:rPr/>
        <w:t>the</w:t>
      </w:r>
      <w:r>
        <w:rPr>
          <w:spacing w:val="-10"/>
        </w:rPr>
        <w:t> </w:t>
      </w:r>
      <w:r>
        <w:rPr/>
        <w:t>period</w:t>
      </w:r>
      <w:r>
        <w:rPr>
          <w:spacing w:val="-10"/>
        </w:rPr>
        <w:t> </w:t>
      </w:r>
      <w:r>
        <w:rPr/>
        <w:t>2000</w:t>
      </w:r>
      <w:r>
        <w:rPr>
          <w:spacing w:val="-10"/>
        </w:rPr>
        <w:t> </w:t>
      </w:r>
      <w:r>
        <w:rPr/>
        <w:t>to</w:t>
      </w:r>
      <w:r>
        <w:rPr>
          <w:spacing w:val="-9"/>
        </w:rPr>
        <w:t> </w:t>
      </w:r>
      <w:r>
        <w:rPr/>
        <w:t>2007.</w:t>
      </w:r>
      <w:r>
        <w:rPr>
          <w:spacing w:val="-10"/>
        </w:rPr>
        <w:t> </w:t>
      </w:r>
      <w:r>
        <w:rPr/>
        <w:t>The</w:t>
      </w:r>
      <w:r>
        <w:rPr>
          <w:spacing w:val="-11"/>
        </w:rPr>
        <w:t> </w:t>
      </w:r>
      <w:r>
        <w:rPr/>
        <w:t>sample</w:t>
      </w:r>
      <w:r>
        <w:rPr>
          <w:spacing w:val="-11"/>
        </w:rPr>
        <w:t> </w:t>
      </w:r>
      <w:r>
        <w:rPr/>
        <w:t>had</w:t>
      </w:r>
      <w:r>
        <w:rPr>
          <w:spacing w:val="-10"/>
        </w:rPr>
        <w:t> </w:t>
      </w:r>
      <w:r>
        <w:rPr/>
        <w:t>two</w:t>
      </w:r>
      <w:r>
        <w:rPr>
          <w:spacing w:val="-10"/>
        </w:rPr>
        <w:t> </w:t>
      </w:r>
      <w:r>
        <w:rPr/>
        <w:t>sub-samples: pre-IFRS</w:t>
      </w:r>
      <w:r>
        <w:rPr>
          <w:spacing w:val="-2"/>
        </w:rPr>
        <w:t> </w:t>
      </w:r>
      <w:r>
        <w:rPr/>
        <w:t>sample</w:t>
      </w:r>
      <w:r>
        <w:rPr>
          <w:spacing w:val="-1"/>
        </w:rPr>
        <w:t> </w:t>
      </w:r>
      <w:r>
        <w:rPr/>
        <w:t>(2000</w:t>
      </w:r>
      <w:r>
        <w:rPr>
          <w:spacing w:val="-3"/>
        </w:rPr>
        <w:t> </w:t>
      </w:r>
      <w:r>
        <w:rPr/>
        <w:t>to</w:t>
      </w:r>
      <w:r>
        <w:rPr>
          <w:spacing w:val="-2"/>
        </w:rPr>
        <w:t> </w:t>
      </w:r>
      <w:r>
        <w:rPr/>
        <w:t>2004)</w:t>
      </w:r>
      <w:r>
        <w:rPr>
          <w:spacing w:val="-1"/>
        </w:rPr>
        <w:t> </w:t>
      </w:r>
      <w:r>
        <w:rPr/>
        <w:t>and</w:t>
      </w:r>
      <w:r>
        <w:rPr>
          <w:spacing w:val="-2"/>
        </w:rPr>
        <w:t> </w:t>
      </w:r>
      <w:r>
        <w:rPr/>
        <w:t>post-IFRS</w:t>
      </w:r>
      <w:r>
        <w:rPr>
          <w:spacing w:val="-2"/>
        </w:rPr>
        <w:t> </w:t>
      </w:r>
      <w:r>
        <w:rPr/>
        <w:t>sample</w:t>
      </w:r>
      <w:r>
        <w:rPr>
          <w:spacing w:val="-3"/>
        </w:rPr>
        <w:t> </w:t>
      </w:r>
      <w:r>
        <w:rPr/>
        <w:t>(2005 to</w:t>
      </w:r>
      <w:r>
        <w:rPr>
          <w:spacing w:val="-2"/>
        </w:rPr>
        <w:t> </w:t>
      </w:r>
      <w:r>
        <w:rPr/>
        <w:t>2007).</w:t>
      </w:r>
      <w:r>
        <w:rPr>
          <w:spacing w:val="-1"/>
        </w:rPr>
        <w:t> </w:t>
      </w:r>
      <w:r>
        <w:rPr/>
        <w:t>The</w:t>
      </w:r>
      <w:r>
        <w:rPr>
          <w:spacing w:val="-3"/>
        </w:rPr>
        <w:t> </w:t>
      </w:r>
      <w:r>
        <w:rPr/>
        <w:t>findings</w:t>
      </w:r>
      <w:r>
        <w:rPr>
          <w:spacing w:val="-2"/>
        </w:rPr>
        <w:t> </w:t>
      </w:r>
      <w:r>
        <w:rPr/>
        <w:t>revealed that most of the indicators used for accounting quality showed an improvement after IFRS adoption. The</w:t>
      </w:r>
      <w:r>
        <w:rPr>
          <w:spacing w:val="-2"/>
        </w:rPr>
        <w:t> </w:t>
      </w:r>
      <w:r>
        <w:rPr/>
        <w:t>study concluded that the improvement in accounting quality was attributable to IFRS</w:t>
      </w:r>
      <w:r>
        <w:rPr>
          <w:spacing w:val="-11"/>
        </w:rPr>
        <w:t> </w:t>
      </w:r>
      <w:r>
        <w:rPr/>
        <w:t>adoption</w:t>
      </w:r>
      <w:r>
        <w:rPr>
          <w:spacing w:val="-12"/>
        </w:rPr>
        <w:t> </w:t>
      </w:r>
      <w:r>
        <w:rPr/>
        <w:t>rather</w:t>
      </w:r>
      <w:r>
        <w:rPr>
          <w:spacing w:val="-13"/>
        </w:rPr>
        <w:t> </w:t>
      </w:r>
      <w:r>
        <w:rPr/>
        <w:t>than</w:t>
      </w:r>
      <w:r>
        <w:rPr>
          <w:spacing w:val="-12"/>
        </w:rPr>
        <w:t> </w:t>
      </w:r>
      <w:r>
        <w:rPr/>
        <w:t>changes</w:t>
      </w:r>
      <w:r>
        <w:rPr>
          <w:spacing w:val="-12"/>
        </w:rPr>
        <w:t> </w:t>
      </w:r>
      <w:r>
        <w:rPr/>
        <w:t>in</w:t>
      </w:r>
      <w:r>
        <w:rPr>
          <w:spacing w:val="-12"/>
        </w:rPr>
        <w:t> </w:t>
      </w:r>
      <w:r>
        <w:rPr/>
        <w:t>managerial</w:t>
      </w:r>
      <w:r>
        <w:rPr>
          <w:spacing w:val="-12"/>
        </w:rPr>
        <w:t> </w:t>
      </w:r>
      <w:r>
        <w:rPr/>
        <w:t>incentives,</w:t>
      </w:r>
      <w:r>
        <w:rPr>
          <w:spacing w:val="-12"/>
        </w:rPr>
        <w:t> </w:t>
      </w:r>
      <w:r>
        <w:rPr/>
        <w:t>institutional</w:t>
      </w:r>
      <w:r>
        <w:rPr>
          <w:spacing w:val="-12"/>
        </w:rPr>
        <w:t> </w:t>
      </w:r>
      <w:r>
        <w:rPr/>
        <w:t>features</w:t>
      </w:r>
      <w:r>
        <w:rPr>
          <w:spacing w:val="-12"/>
        </w:rPr>
        <w:t> </w:t>
      </w:r>
      <w:r>
        <w:rPr/>
        <w:t>of</w:t>
      </w:r>
      <w:r>
        <w:rPr>
          <w:spacing w:val="-13"/>
        </w:rPr>
        <w:t> </w:t>
      </w:r>
      <w:r>
        <w:rPr/>
        <w:t>the</w:t>
      </w:r>
      <w:r>
        <w:rPr>
          <w:spacing w:val="-13"/>
        </w:rPr>
        <w:t> </w:t>
      </w:r>
      <w:r>
        <w:rPr/>
        <w:t>capital market and general business environment.</w:t>
      </w:r>
    </w:p>
    <w:p>
      <w:pPr>
        <w:pStyle w:val="BodyText"/>
        <w:spacing w:line="480" w:lineRule="auto" w:before="1"/>
        <w:ind w:left="940" w:right="1435"/>
        <w:jc w:val="both"/>
      </w:pPr>
      <w:r>
        <w:rPr/>
        <w:t>Zhou, Xiog and Ganguli (2009) examined the impact of IFRS adoption on earnings management</w:t>
      </w:r>
      <w:r>
        <w:rPr>
          <w:spacing w:val="-3"/>
        </w:rPr>
        <w:t> </w:t>
      </w:r>
      <w:r>
        <w:rPr/>
        <w:t>among</w:t>
      </w:r>
      <w:r>
        <w:rPr>
          <w:spacing w:val="-3"/>
        </w:rPr>
        <w:t> </w:t>
      </w:r>
      <w:r>
        <w:rPr/>
        <w:t>a</w:t>
      </w:r>
      <w:r>
        <w:rPr>
          <w:spacing w:val="-3"/>
        </w:rPr>
        <w:t> </w:t>
      </w:r>
      <w:r>
        <w:rPr/>
        <w:t>sample</w:t>
      </w:r>
      <w:r>
        <w:rPr>
          <w:spacing w:val="-4"/>
        </w:rPr>
        <w:t> </w:t>
      </w:r>
      <w:r>
        <w:rPr/>
        <w:t>of</w:t>
      </w:r>
      <w:r>
        <w:rPr>
          <w:spacing w:val="-3"/>
        </w:rPr>
        <w:t> </w:t>
      </w:r>
      <w:r>
        <w:rPr/>
        <w:t>Chinese</w:t>
      </w:r>
      <w:r>
        <w:rPr>
          <w:spacing w:val="-4"/>
        </w:rPr>
        <w:t> </w:t>
      </w:r>
      <w:r>
        <w:rPr/>
        <w:t>firms.</w:t>
      </w:r>
      <w:r>
        <w:rPr>
          <w:spacing w:val="-3"/>
        </w:rPr>
        <w:t> </w:t>
      </w:r>
      <w:r>
        <w:rPr/>
        <w:t>A</w:t>
      </w:r>
      <w:r>
        <w:rPr>
          <w:spacing w:val="-6"/>
        </w:rPr>
        <w:t> </w:t>
      </w:r>
      <w:r>
        <w:rPr/>
        <w:t>comparison</w:t>
      </w:r>
      <w:r>
        <w:rPr>
          <w:spacing w:val="-3"/>
        </w:rPr>
        <w:t> </w:t>
      </w:r>
      <w:r>
        <w:rPr/>
        <w:t>was</w:t>
      </w:r>
      <w:r>
        <w:rPr>
          <w:spacing w:val="-3"/>
        </w:rPr>
        <w:t> </w:t>
      </w:r>
      <w:r>
        <w:rPr/>
        <w:t>made</w:t>
      </w:r>
      <w:r>
        <w:rPr>
          <w:spacing w:val="-5"/>
        </w:rPr>
        <w:t> </w:t>
      </w:r>
      <w:r>
        <w:rPr/>
        <w:t>between</w:t>
      </w:r>
      <w:r>
        <w:rPr>
          <w:spacing w:val="-3"/>
        </w:rPr>
        <w:t> </w:t>
      </w:r>
      <w:r>
        <w:rPr/>
        <w:t>the</w:t>
      </w:r>
      <w:r>
        <w:rPr>
          <w:spacing w:val="-3"/>
        </w:rPr>
        <w:t> </w:t>
      </w:r>
      <w:r>
        <w:rPr/>
        <w:t>Chinese standards which were rule-based and the principle-based IFRS. The study revealed that post- adoption of IFRS, earnings were less smooth which implied a decrease in earnings management. However, they did not observe an improvement in the timeliness of loss recognition.</w:t>
      </w:r>
      <w:r>
        <w:rPr>
          <w:spacing w:val="-3"/>
        </w:rPr>
        <w:t> </w:t>
      </w:r>
      <w:r>
        <w:rPr/>
        <w:t>They</w:t>
      </w:r>
      <w:r>
        <w:rPr>
          <w:spacing w:val="-3"/>
        </w:rPr>
        <w:t> </w:t>
      </w:r>
      <w:r>
        <w:rPr/>
        <w:t>concluded</w:t>
      </w:r>
      <w:r>
        <w:rPr>
          <w:spacing w:val="-3"/>
        </w:rPr>
        <w:t> </w:t>
      </w:r>
      <w:r>
        <w:rPr/>
        <w:t>that</w:t>
      </w:r>
      <w:r>
        <w:rPr>
          <w:spacing w:val="-3"/>
        </w:rPr>
        <w:t> </w:t>
      </w:r>
      <w:r>
        <w:rPr/>
        <w:t>the</w:t>
      </w:r>
      <w:r>
        <w:rPr>
          <w:spacing w:val="-3"/>
        </w:rPr>
        <w:t> </w:t>
      </w:r>
      <w:r>
        <w:rPr/>
        <w:t>improvement</w:t>
      </w:r>
      <w:r>
        <w:rPr>
          <w:spacing w:val="-3"/>
        </w:rPr>
        <w:t> </w:t>
      </w:r>
      <w:r>
        <w:rPr/>
        <w:t>of</w:t>
      </w:r>
      <w:r>
        <w:rPr>
          <w:spacing w:val="-3"/>
        </w:rPr>
        <w:t> </w:t>
      </w:r>
      <w:r>
        <w:rPr/>
        <w:t>reporting</w:t>
      </w:r>
      <w:r>
        <w:rPr>
          <w:spacing w:val="-2"/>
        </w:rPr>
        <w:t> </w:t>
      </w:r>
      <w:r>
        <w:rPr/>
        <w:t>quality</w:t>
      </w:r>
      <w:r>
        <w:rPr>
          <w:spacing w:val="-3"/>
        </w:rPr>
        <w:t> </w:t>
      </w:r>
      <w:r>
        <w:rPr/>
        <w:t>in</w:t>
      </w:r>
      <w:r>
        <w:rPr>
          <w:spacing w:val="40"/>
        </w:rPr>
        <w:t> </w:t>
      </w:r>
      <w:r>
        <w:rPr/>
        <w:t>post</w:t>
      </w:r>
      <w:r>
        <w:rPr>
          <w:spacing w:val="-3"/>
        </w:rPr>
        <w:t> </w:t>
      </w:r>
      <w:r>
        <w:rPr/>
        <w:t>IFRS</w:t>
      </w:r>
      <w:r>
        <w:rPr>
          <w:spacing w:val="-3"/>
        </w:rPr>
        <w:t> </w:t>
      </w:r>
      <w:r>
        <w:rPr/>
        <w:t>adoption was</w:t>
      </w:r>
      <w:r>
        <w:rPr>
          <w:spacing w:val="-15"/>
        </w:rPr>
        <w:t> </w:t>
      </w:r>
      <w:r>
        <w:rPr/>
        <w:t>at</w:t>
      </w:r>
      <w:r>
        <w:rPr>
          <w:spacing w:val="-15"/>
        </w:rPr>
        <w:t> </w:t>
      </w:r>
      <w:r>
        <w:rPr/>
        <w:t>least</w:t>
      </w:r>
      <w:r>
        <w:rPr>
          <w:spacing w:val="-15"/>
        </w:rPr>
        <w:t> </w:t>
      </w:r>
      <w:r>
        <w:rPr/>
        <w:t>somewhat</w:t>
      </w:r>
      <w:r>
        <w:rPr>
          <w:spacing w:val="-15"/>
        </w:rPr>
        <w:t> </w:t>
      </w:r>
      <w:r>
        <w:rPr/>
        <w:t>neutralized</w:t>
      </w:r>
      <w:r>
        <w:rPr>
          <w:spacing w:val="-15"/>
        </w:rPr>
        <w:t> </w:t>
      </w:r>
      <w:r>
        <w:rPr/>
        <w:t>by</w:t>
      </w:r>
      <w:r>
        <w:rPr>
          <w:spacing w:val="-15"/>
        </w:rPr>
        <w:t> </w:t>
      </w:r>
      <w:r>
        <w:rPr/>
        <w:t>more</w:t>
      </w:r>
      <w:r>
        <w:rPr>
          <w:spacing w:val="-15"/>
        </w:rPr>
        <w:t> </w:t>
      </w:r>
      <w:r>
        <w:rPr/>
        <w:t>opportunities</w:t>
      </w:r>
      <w:r>
        <w:rPr>
          <w:spacing w:val="-15"/>
        </w:rPr>
        <w:t> </w:t>
      </w:r>
      <w:r>
        <w:rPr/>
        <w:t>for</w:t>
      </w:r>
      <w:r>
        <w:rPr>
          <w:spacing w:val="-15"/>
        </w:rPr>
        <w:t> </w:t>
      </w:r>
      <w:r>
        <w:rPr/>
        <w:t>earnings</w:t>
      </w:r>
      <w:r>
        <w:rPr>
          <w:spacing w:val="-15"/>
        </w:rPr>
        <w:t> </w:t>
      </w:r>
      <w:r>
        <w:rPr/>
        <w:t>management</w:t>
      </w:r>
      <w:r>
        <w:rPr>
          <w:spacing w:val="-15"/>
        </w:rPr>
        <w:t> </w:t>
      </w:r>
      <w:r>
        <w:rPr/>
        <w:t>under</w:t>
      </w:r>
      <w:r>
        <w:rPr>
          <w:spacing w:val="-15"/>
        </w:rPr>
        <w:t> </w:t>
      </w:r>
      <w:r>
        <w:rPr/>
        <w:t>IFRS. Nikolaos and Dimosthenis (2009) examined the effect of mandatory application of IFRS on value relevance of accounting data in Greece. The sample consisted of eighty five (85) firms during</w:t>
      </w:r>
      <w:r>
        <w:rPr>
          <w:spacing w:val="-11"/>
        </w:rPr>
        <w:t> </w:t>
      </w:r>
      <w:r>
        <w:rPr/>
        <w:t>the</w:t>
      </w:r>
      <w:r>
        <w:rPr>
          <w:spacing w:val="-11"/>
        </w:rPr>
        <w:t> </w:t>
      </w:r>
      <w:r>
        <w:rPr/>
        <w:t>period</w:t>
      </w:r>
      <w:r>
        <w:rPr>
          <w:spacing w:val="-11"/>
        </w:rPr>
        <w:t> </w:t>
      </w:r>
      <w:r>
        <w:rPr/>
        <w:t>2003</w:t>
      </w:r>
      <w:r>
        <w:rPr>
          <w:spacing w:val="-11"/>
        </w:rPr>
        <w:t> </w:t>
      </w:r>
      <w:r>
        <w:rPr/>
        <w:t>to</w:t>
      </w:r>
      <w:r>
        <w:rPr>
          <w:spacing w:val="-12"/>
        </w:rPr>
        <w:t> </w:t>
      </w:r>
      <w:r>
        <w:rPr/>
        <w:t>2006.</w:t>
      </w:r>
      <w:r>
        <w:rPr>
          <w:spacing w:val="-11"/>
        </w:rPr>
        <w:t> </w:t>
      </w:r>
      <w:r>
        <w:rPr/>
        <w:t>The</w:t>
      </w:r>
      <w:r>
        <w:rPr>
          <w:spacing w:val="-11"/>
        </w:rPr>
        <w:t> </w:t>
      </w:r>
      <w:r>
        <w:rPr/>
        <w:t>sample</w:t>
      </w:r>
      <w:r>
        <w:rPr>
          <w:spacing w:val="-11"/>
        </w:rPr>
        <w:t> </w:t>
      </w:r>
      <w:r>
        <w:rPr/>
        <w:t>was</w:t>
      </w:r>
      <w:r>
        <w:rPr>
          <w:spacing w:val="-10"/>
        </w:rPr>
        <w:t> </w:t>
      </w:r>
      <w:r>
        <w:rPr/>
        <w:t>split</w:t>
      </w:r>
      <w:r>
        <w:rPr>
          <w:spacing w:val="-10"/>
        </w:rPr>
        <w:t> </w:t>
      </w:r>
      <w:r>
        <w:rPr/>
        <w:t>into</w:t>
      </w:r>
      <w:r>
        <w:rPr>
          <w:spacing w:val="-12"/>
        </w:rPr>
        <w:t> </w:t>
      </w:r>
      <w:r>
        <w:rPr/>
        <w:t>two</w:t>
      </w:r>
      <w:r>
        <w:rPr>
          <w:spacing w:val="-11"/>
        </w:rPr>
        <w:t> </w:t>
      </w:r>
      <w:r>
        <w:rPr/>
        <w:t>sub-samples:</w:t>
      </w:r>
      <w:r>
        <w:rPr>
          <w:spacing w:val="-11"/>
        </w:rPr>
        <w:t> </w:t>
      </w:r>
      <w:r>
        <w:rPr/>
        <w:t>pre-IFRS</w:t>
      </w:r>
      <w:r>
        <w:rPr>
          <w:spacing w:val="-10"/>
        </w:rPr>
        <w:t> </w:t>
      </w:r>
      <w:r>
        <w:rPr/>
        <w:t>adoption and post-IFRS adoption samples with one hundred and seventy (170) firm year observations each. The result revealed that IFRS adoption positively affected the value relevance of consolidated</w:t>
      </w:r>
      <w:r>
        <w:rPr>
          <w:spacing w:val="30"/>
        </w:rPr>
        <w:t> </w:t>
      </w:r>
      <w:r>
        <w:rPr/>
        <w:t>net</w:t>
      </w:r>
      <w:r>
        <w:rPr>
          <w:spacing w:val="32"/>
        </w:rPr>
        <w:t> </w:t>
      </w:r>
      <w:r>
        <w:rPr/>
        <w:t>income</w:t>
      </w:r>
      <w:r>
        <w:rPr>
          <w:spacing w:val="35"/>
        </w:rPr>
        <w:t> </w:t>
      </w:r>
      <w:r>
        <w:rPr/>
        <w:t>and</w:t>
      </w:r>
      <w:r>
        <w:rPr>
          <w:spacing w:val="32"/>
        </w:rPr>
        <w:t> </w:t>
      </w:r>
      <w:r>
        <w:rPr/>
        <w:t>book</w:t>
      </w:r>
      <w:r>
        <w:rPr>
          <w:spacing w:val="34"/>
        </w:rPr>
        <w:t> </w:t>
      </w:r>
      <w:r>
        <w:rPr/>
        <w:t>value</w:t>
      </w:r>
      <w:r>
        <w:rPr>
          <w:spacing w:val="35"/>
        </w:rPr>
        <w:t> </w:t>
      </w:r>
      <w:r>
        <w:rPr/>
        <w:t>although</w:t>
      </w:r>
      <w:r>
        <w:rPr>
          <w:spacing w:val="32"/>
        </w:rPr>
        <w:t> </w:t>
      </w:r>
      <w:r>
        <w:rPr/>
        <w:t>it</w:t>
      </w:r>
      <w:r>
        <w:rPr>
          <w:spacing w:val="34"/>
        </w:rPr>
        <w:t> </w:t>
      </w:r>
      <w:r>
        <w:rPr/>
        <w:t>had</w:t>
      </w:r>
      <w:r>
        <w:rPr>
          <w:spacing w:val="32"/>
        </w:rPr>
        <w:t> </w:t>
      </w:r>
      <w:r>
        <w:rPr/>
        <w:t>no</w:t>
      </w:r>
      <w:r>
        <w:rPr>
          <w:spacing w:val="34"/>
        </w:rPr>
        <w:t> </w:t>
      </w:r>
      <w:r>
        <w:rPr/>
        <w:t>effect</w:t>
      </w:r>
      <w:r>
        <w:rPr>
          <w:spacing w:val="33"/>
        </w:rPr>
        <w:t> </w:t>
      </w:r>
      <w:r>
        <w:rPr/>
        <w:t>on</w:t>
      </w:r>
      <w:r>
        <w:rPr>
          <w:spacing w:val="34"/>
        </w:rPr>
        <w:t> </w:t>
      </w:r>
      <w:r>
        <w:rPr/>
        <w:t>their</w:t>
      </w:r>
      <w:r>
        <w:rPr>
          <w:spacing w:val="33"/>
        </w:rPr>
        <w:t> </w:t>
      </w:r>
      <w:r>
        <w:rPr>
          <w:spacing w:val="-2"/>
        </w:rPr>
        <w:t>unconsolidated</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89344">
            <wp:simplePos x="0" y="0"/>
            <wp:positionH relativeFrom="page">
              <wp:posOffset>1095451</wp:posOffset>
            </wp:positionH>
            <wp:positionV relativeFrom="paragraph">
              <wp:posOffset>1850770</wp:posOffset>
            </wp:positionV>
            <wp:extent cx="5106847" cy="5238115"/>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5" cstate="print"/>
                    <a:stretch>
                      <a:fillRect/>
                    </a:stretch>
                  </pic:blipFill>
                  <pic:spPr>
                    <a:xfrm>
                      <a:off x="0" y="0"/>
                      <a:ext cx="5106847" cy="5238115"/>
                    </a:xfrm>
                    <a:prstGeom prst="rect">
                      <a:avLst/>
                    </a:prstGeom>
                  </pic:spPr>
                </pic:pic>
              </a:graphicData>
            </a:graphic>
          </wp:anchor>
        </w:drawing>
      </w:r>
      <w:r>
        <w:rPr/>
        <w:t>counterpart. The study concluded that mandating IFRS adoption could prove beneficial even in an unfavourable context. Armstrong, Barth, Jagolinzer and Riedl (2008) examined market reaction to the adoption of IFRS in Europe. The sample consisted of 3265 European firms during the period 2002 to 2005. The study revealed a more positive reaction for firms with lower</w:t>
      </w:r>
      <w:r>
        <w:rPr>
          <w:spacing w:val="-14"/>
        </w:rPr>
        <w:t> </w:t>
      </w:r>
      <w:r>
        <w:rPr/>
        <w:t>quality</w:t>
      </w:r>
      <w:r>
        <w:rPr>
          <w:spacing w:val="-13"/>
        </w:rPr>
        <w:t> </w:t>
      </w:r>
      <w:r>
        <w:rPr/>
        <w:t>pre-adoption</w:t>
      </w:r>
      <w:r>
        <w:rPr>
          <w:spacing w:val="-13"/>
        </w:rPr>
        <w:t> </w:t>
      </w:r>
      <w:r>
        <w:rPr/>
        <w:t>information</w:t>
      </w:r>
      <w:r>
        <w:rPr>
          <w:spacing w:val="-13"/>
        </w:rPr>
        <w:t> </w:t>
      </w:r>
      <w:r>
        <w:rPr/>
        <w:t>which</w:t>
      </w:r>
      <w:r>
        <w:rPr>
          <w:spacing w:val="-12"/>
        </w:rPr>
        <w:t> </w:t>
      </w:r>
      <w:r>
        <w:rPr/>
        <w:t>was</w:t>
      </w:r>
      <w:r>
        <w:rPr>
          <w:spacing w:val="-10"/>
        </w:rPr>
        <w:t> </w:t>
      </w:r>
      <w:r>
        <w:rPr/>
        <w:t>more</w:t>
      </w:r>
      <w:r>
        <w:rPr>
          <w:spacing w:val="-14"/>
        </w:rPr>
        <w:t> </w:t>
      </w:r>
      <w:r>
        <w:rPr/>
        <w:t>pronounced</w:t>
      </w:r>
      <w:r>
        <w:rPr>
          <w:spacing w:val="-11"/>
        </w:rPr>
        <w:t> </w:t>
      </w:r>
      <w:r>
        <w:rPr/>
        <w:t>for</w:t>
      </w:r>
      <w:r>
        <w:rPr>
          <w:spacing w:val="-15"/>
        </w:rPr>
        <w:t> </w:t>
      </w:r>
      <w:r>
        <w:rPr/>
        <w:t>banks</w:t>
      </w:r>
      <w:r>
        <w:rPr>
          <w:spacing w:val="-13"/>
        </w:rPr>
        <w:t> </w:t>
      </w:r>
      <w:r>
        <w:rPr/>
        <w:t>with</w:t>
      </w:r>
      <w:r>
        <w:rPr>
          <w:spacing w:val="-13"/>
        </w:rPr>
        <w:t> </w:t>
      </w:r>
      <w:r>
        <w:rPr/>
        <w:t>higher</w:t>
      </w:r>
      <w:r>
        <w:rPr>
          <w:spacing w:val="-14"/>
        </w:rPr>
        <w:t> </w:t>
      </w:r>
      <w:r>
        <w:rPr/>
        <w:t>pre- adoption information asymmetry consistent with investors expecting net information quality benefit from IFRS adoption. The study also found that reaction was less positive for firms domiciled in code-law countries consistent with investors’</w:t>
      </w:r>
      <w:r>
        <w:rPr>
          <w:spacing w:val="-1"/>
        </w:rPr>
        <w:t> </w:t>
      </w:r>
      <w:r>
        <w:rPr/>
        <w:t>concern over enforcement of IFRS in</w:t>
      </w:r>
      <w:r>
        <w:rPr>
          <w:spacing w:val="-1"/>
        </w:rPr>
        <w:t> </w:t>
      </w:r>
      <w:r>
        <w:rPr/>
        <w:t>those</w:t>
      </w:r>
      <w:r>
        <w:rPr>
          <w:spacing w:val="-2"/>
        </w:rPr>
        <w:t> </w:t>
      </w:r>
      <w:r>
        <w:rPr/>
        <w:t>countries.</w:t>
      </w:r>
      <w:r>
        <w:rPr>
          <w:spacing w:val="-1"/>
        </w:rPr>
        <w:t> </w:t>
      </w:r>
      <w:r>
        <w:rPr/>
        <w:t>Overall,</w:t>
      </w:r>
      <w:r>
        <w:rPr>
          <w:spacing w:val="-1"/>
        </w:rPr>
        <w:t> </w:t>
      </w:r>
      <w:r>
        <w:rPr/>
        <w:t>the</w:t>
      </w:r>
      <w:r>
        <w:rPr>
          <w:spacing w:val="-2"/>
        </w:rPr>
        <w:t> </w:t>
      </w:r>
      <w:r>
        <w:rPr/>
        <w:t>findings</w:t>
      </w:r>
      <w:r>
        <w:rPr>
          <w:spacing w:val="-3"/>
        </w:rPr>
        <w:t> </w:t>
      </w:r>
      <w:r>
        <w:rPr/>
        <w:t>suggested</w:t>
      </w:r>
      <w:r>
        <w:rPr>
          <w:spacing w:val="-1"/>
        </w:rPr>
        <w:t> </w:t>
      </w:r>
      <w:r>
        <w:rPr/>
        <w:t>that</w:t>
      </w:r>
      <w:r>
        <w:rPr>
          <w:spacing w:val="-1"/>
        </w:rPr>
        <w:t> </w:t>
      </w:r>
      <w:r>
        <w:rPr/>
        <w:t>investors</w:t>
      </w:r>
      <w:r>
        <w:rPr>
          <w:spacing w:val="-4"/>
        </w:rPr>
        <w:t> </w:t>
      </w:r>
      <w:r>
        <w:rPr/>
        <w:t>in</w:t>
      </w:r>
      <w:r>
        <w:rPr>
          <w:spacing w:val="-1"/>
        </w:rPr>
        <w:t> </w:t>
      </w:r>
      <w:r>
        <w:rPr/>
        <w:t>European</w:t>
      </w:r>
      <w:r>
        <w:rPr>
          <w:spacing w:val="-1"/>
        </w:rPr>
        <w:t> </w:t>
      </w:r>
      <w:r>
        <w:rPr/>
        <w:t>firms’</w:t>
      </w:r>
      <w:r>
        <w:rPr>
          <w:spacing w:val="-1"/>
        </w:rPr>
        <w:t> </w:t>
      </w:r>
      <w:r>
        <w:rPr/>
        <w:t>perceived the</w:t>
      </w:r>
      <w:r>
        <w:rPr>
          <w:spacing w:val="-15"/>
        </w:rPr>
        <w:t> </w:t>
      </w:r>
      <w:r>
        <w:rPr/>
        <w:t>net</w:t>
      </w:r>
      <w:r>
        <w:rPr>
          <w:spacing w:val="-14"/>
        </w:rPr>
        <w:t> </w:t>
      </w:r>
      <w:r>
        <w:rPr/>
        <w:t>benefit</w:t>
      </w:r>
      <w:r>
        <w:rPr>
          <w:spacing w:val="-14"/>
        </w:rPr>
        <w:t> </w:t>
      </w:r>
      <w:r>
        <w:rPr/>
        <w:t>associated</w:t>
      </w:r>
      <w:r>
        <w:rPr>
          <w:spacing w:val="-11"/>
        </w:rPr>
        <w:t> </w:t>
      </w:r>
      <w:r>
        <w:rPr/>
        <w:t>with</w:t>
      </w:r>
      <w:r>
        <w:rPr>
          <w:spacing w:val="-14"/>
        </w:rPr>
        <w:t> </w:t>
      </w:r>
      <w:r>
        <w:rPr/>
        <w:t>IFRS</w:t>
      </w:r>
      <w:r>
        <w:rPr>
          <w:spacing w:val="-14"/>
        </w:rPr>
        <w:t> </w:t>
      </w:r>
      <w:r>
        <w:rPr/>
        <w:t>adoption.</w:t>
      </w:r>
      <w:r>
        <w:rPr>
          <w:spacing w:val="-14"/>
        </w:rPr>
        <w:t> </w:t>
      </w:r>
      <w:r>
        <w:rPr/>
        <w:t>Morais</w:t>
      </w:r>
      <w:r>
        <w:rPr>
          <w:spacing w:val="-14"/>
        </w:rPr>
        <w:t> </w:t>
      </w:r>
      <w:r>
        <w:rPr/>
        <w:t>and</w:t>
      </w:r>
      <w:r>
        <w:rPr>
          <w:spacing w:val="-14"/>
        </w:rPr>
        <w:t> </w:t>
      </w:r>
      <w:r>
        <w:rPr/>
        <w:t>Curto</w:t>
      </w:r>
      <w:r>
        <w:rPr>
          <w:spacing w:val="-12"/>
        </w:rPr>
        <w:t> </w:t>
      </w:r>
      <w:r>
        <w:rPr/>
        <w:t>(2008)</w:t>
      </w:r>
      <w:r>
        <w:rPr>
          <w:spacing w:val="-15"/>
        </w:rPr>
        <w:t> </w:t>
      </w:r>
      <w:r>
        <w:rPr/>
        <w:t>investigated</w:t>
      </w:r>
      <w:r>
        <w:rPr>
          <w:spacing w:val="-15"/>
        </w:rPr>
        <w:t> </w:t>
      </w:r>
      <w:r>
        <w:rPr/>
        <w:t>the</w:t>
      </w:r>
      <w:r>
        <w:rPr>
          <w:spacing w:val="-15"/>
        </w:rPr>
        <w:t> </w:t>
      </w:r>
      <w:r>
        <w:rPr/>
        <w:t>impact of IFRS adoption on earnings quality in a sample of thirty (30) Portuguese listed firms. The study revealed that after IFRS adoption, the smoothness of earnings decreased and was interpreted as an improvement in earnings quality. However, they also found that the value relevance of accounting information decreased in the wake of IFRS adoption.</w:t>
      </w:r>
    </w:p>
    <w:p>
      <w:pPr>
        <w:pStyle w:val="BodyText"/>
        <w:spacing w:line="480" w:lineRule="auto" w:before="1"/>
        <w:ind w:left="940" w:right="1435"/>
        <w:jc w:val="both"/>
      </w:pPr>
      <w:r>
        <w:rPr/>
        <w:t>Bath, Landsman and Lang (2006) investigated International accounting standards and accounting</w:t>
      </w:r>
      <w:r>
        <w:rPr>
          <w:spacing w:val="-11"/>
        </w:rPr>
        <w:t> </w:t>
      </w:r>
      <w:r>
        <w:rPr/>
        <w:t>quality.</w:t>
      </w:r>
      <w:r>
        <w:rPr>
          <w:spacing w:val="-10"/>
        </w:rPr>
        <w:t> </w:t>
      </w:r>
      <w:r>
        <w:rPr/>
        <w:t>The</w:t>
      </w:r>
      <w:r>
        <w:rPr>
          <w:spacing w:val="-12"/>
        </w:rPr>
        <w:t> </w:t>
      </w:r>
      <w:r>
        <w:rPr/>
        <w:t>study</w:t>
      </w:r>
      <w:r>
        <w:rPr>
          <w:spacing w:val="-10"/>
        </w:rPr>
        <w:t> </w:t>
      </w:r>
      <w:r>
        <w:rPr/>
        <w:t>compared</w:t>
      </w:r>
      <w:r>
        <w:rPr>
          <w:spacing w:val="-11"/>
        </w:rPr>
        <w:t> </w:t>
      </w:r>
      <w:r>
        <w:rPr/>
        <w:t>the</w:t>
      </w:r>
      <w:r>
        <w:rPr>
          <w:spacing w:val="-11"/>
        </w:rPr>
        <w:t> </w:t>
      </w:r>
      <w:r>
        <w:rPr/>
        <w:t>characteristics</w:t>
      </w:r>
      <w:r>
        <w:rPr>
          <w:spacing w:val="-11"/>
        </w:rPr>
        <w:t> </w:t>
      </w:r>
      <w:r>
        <w:rPr/>
        <w:t>of</w:t>
      </w:r>
      <w:r>
        <w:rPr>
          <w:spacing w:val="-11"/>
        </w:rPr>
        <w:t> </w:t>
      </w:r>
      <w:r>
        <w:rPr/>
        <w:t>accounting</w:t>
      </w:r>
      <w:r>
        <w:rPr>
          <w:spacing w:val="-11"/>
        </w:rPr>
        <w:t> </w:t>
      </w:r>
      <w:r>
        <w:rPr/>
        <w:t>amount</w:t>
      </w:r>
      <w:r>
        <w:rPr>
          <w:spacing w:val="-10"/>
        </w:rPr>
        <w:t> </w:t>
      </w:r>
      <w:r>
        <w:rPr/>
        <w:t>for</w:t>
      </w:r>
      <w:r>
        <w:rPr>
          <w:spacing w:val="-12"/>
        </w:rPr>
        <w:t> </w:t>
      </w:r>
      <w:r>
        <w:rPr/>
        <w:t>firms</w:t>
      </w:r>
      <w:r>
        <w:rPr>
          <w:spacing w:val="-10"/>
        </w:rPr>
        <w:t> </w:t>
      </w:r>
      <w:r>
        <w:rPr/>
        <w:t>that applied IAS to a matched samples of firms that did not investigate whether applying IAS was associated with higher accounting quality and lower equity cost of capital. The sample consisted of 1885 firm year observations for 319 firms which adopted IAS during the period 1990 to 2003. The accounting quality metrics used were earnings management, timely loss recognition and value relevance. The result revealed that firms applying IAS evidence improved in accounting quality using the respective metrics mentioned above. However, the differences between firms applying IAS and those applying domestic GAAP in the period before IAS firms adopt IAS did not explain the differences in accounting quality. Firms applying</w:t>
      </w:r>
      <w:r>
        <w:rPr>
          <w:spacing w:val="49"/>
        </w:rPr>
        <w:t> </w:t>
      </w:r>
      <w:r>
        <w:rPr/>
        <w:t>IAS</w:t>
      </w:r>
      <w:r>
        <w:rPr>
          <w:spacing w:val="49"/>
        </w:rPr>
        <w:t> </w:t>
      </w:r>
      <w:r>
        <w:rPr/>
        <w:t>generally</w:t>
      </w:r>
      <w:r>
        <w:rPr>
          <w:spacing w:val="50"/>
        </w:rPr>
        <w:t> </w:t>
      </w:r>
      <w:r>
        <w:rPr/>
        <w:t>exhibited</w:t>
      </w:r>
      <w:r>
        <w:rPr>
          <w:spacing w:val="49"/>
        </w:rPr>
        <w:t> </w:t>
      </w:r>
      <w:r>
        <w:rPr/>
        <w:t>a</w:t>
      </w:r>
      <w:r>
        <w:rPr>
          <w:spacing w:val="49"/>
        </w:rPr>
        <w:t> </w:t>
      </w:r>
      <w:r>
        <w:rPr/>
        <w:t>higher</w:t>
      </w:r>
      <w:r>
        <w:rPr>
          <w:spacing w:val="47"/>
        </w:rPr>
        <w:t> </w:t>
      </w:r>
      <w:r>
        <w:rPr/>
        <w:t>accounting</w:t>
      </w:r>
      <w:r>
        <w:rPr>
          <w:spacing w:val="50"/>
        </w:rPr>
        <w:t> </w:t>
      </w:r>
      <w:r>
        <w:rPr/>
        <w:t>quality</w:t>
      </w:r>
      <w:r>
        <w:rPr>
          <w:spacing w:val="49"/>
        </w:rPr>
        <w:t> </w:t>
      </w:r>
      <w:r>
        <w:rPr/>
        <w:t>than</w:t>
      </w:r>
      <w:r>
        <w:rPr>
          <w:spacing w:val="49"/>
        </w:rPr>
        <w:t> </w:t>
      </w:r>
      <w:r>
        <w:rPr/>
        <w:t>when</w:t>
      </w:r>
      <w:r>
        <w:rPr>
          <w:spacing w:val="49"/>
        </w:rPr>
        <w:t> </w:t>
      </w:r>
      <w:r>
        <w:rPr/>
        <w:t>they</w:t>
      </w:r>
      <w:r>
        <w:rPr>
          <w:spacing w:val="49"/>
        </w:rPr>
        <w:t> </w:t>
      </w:r>
      <w:r>
        <w:rPr>
          <w:spacing w:val="-2"/>
        </w:rPr>
        <w:t>previously</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89856">
            <wp:simplePos x="0" y="0"/>
            <wp:positionH relativeFrom="page">
              <wp:posOffset>1095451</wp:posOffset>
            </wp:positionH>
            <wp:positionV relativeFrom="paragraph">
              <wp:posOffset>1850770</wp:posOffset>
            </wp:positionV>
            <wp:extent cx="5106847" cy="5238115"/>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5" cstate="print"/>
                    <a:stretch>
                      <a:fillRect/>
                    </a:stretch>
                  </pic:blipFill>
                  <pic:spPr>
                    <a:xfrm>
                      <a:off x="0" y="0"/>
                      <a:ext cx="5106847" cy="5238115"/>
                    </a:xfrm>
                    <a:prstGeom prst="rect">
                      <a:avLst/>
                    </a:prstGeom>
                  </pic:spPr>
                </pic:pic>
              </a:graphicData>
            </a:graphic>
          </wp:anchor>
        </w:drawing>
      </w:r>
      <w:r>
        <w:rPr/>
        <w:t>applied</w:t>
      </w:r>
      <w:r>
        <w:rPr>
          <w:spacing w:val="-15"/>
        </w:rPr>
        <w:t> </w:t>
      </w:r>
      <w:r>
        <w:rPr/>
        <w:t>domestic</w:t>
      </w:r>
      <w:r>
        <w:rPr>
          <w:spacing w:val="-15"/>
        </w:rPr>
        <w:t> </w:t>
      </w:r>
      <w:r>
        <w:rPr/>
        <w:t>GAAP.</w:t>
      </w:r>
      <w:r>
        <w:rPr>
          <w:spacing w:val="-15"/>
        </w:rPr>
        <w:t> </w:t>
      </w:r>
      <w:r>
        <w:rPr/>
        <w:t>The</w:t>
      </w:r>
      <w:r>
        <w:rPr>
          <w:spacing w:val="-15"/>
        </w:rPr>
        <w:t> </w:t>
      </w:r>
      <w:r>
        <w:rPr/>
        <w:t>study</w:t>
      </w:r>
      <w:r>
        <w:rPr>
          <w:spacing w:val="-15"/>
        </w:rPr>
        <w:t> </w:t>
      </w:r>
      <w:r>
        <w:rPr/>
        <w:t>by</w:t>
      </w:r>
      <w:r>
        <w:rPr>
          <w:spacing w:val="-15"/>
        </w:rPr>
        <w:t> </w:t>
      </w:r>
      <w:r>
        <w:rPr/>
        <w:t>Cameran</w:t>
      </w:r>
      <w:r>
        <w:rPr>
          <w:spacing w:val="-15"/>
        </w:rPr>
        <w:t> </w:t>
      </w:r>
      <w:r>
        <w:rPr/>
        <w:t>et</w:t>
      </w:r>
      <w:r>
        <w:rPr>
          <w:spacing w:val="-15"/>
        </w:rPr>
        <w:t> </w:t>
      </w:r>
      <w:r>
        <w:rPr/>
        <w:t>al.</w:t>
      </w:r>
      <w:r>
        <w:rPr>
          <w:spacing w:val="-15"/>
        </w:rPr>
        <w:t> </w:t>
      </w:r>
      <w:r>
        <w:rPr/>
        <w:t>(n.d.)</w:t>
      </w:r>
      <w:r>
        <w:rPr>
          <w:spacing w:val="-15"/>
        </w:rPr>
        <w:t> </w:t>
      </w:r>
      <w:r>
        <w:rPr/>
        <w:t>examined</w:t>
      </w:r>
      <w:r>
        <w:rPr>
          <w:spacing w:val="-15"/>
        </w:rPr>
        <w:t> </w:t>
      </w:r>
      <w:r>
        <w:rPr/>
        <w:t>voluntary</w:t>
      </w:r>
      <w:r>
        <w:rPr>
          <w:spacing w:val="-15"/>
        </w:rPr>
        <w:t> </w:t>
      </w:r>
      <w:r>
        <w:rPr/>
        <w:t>IFRS</w:t>
      </w:r>
      <w:r>
        <w:rPr>
          <w:spacing w:val="-15"/>
        </w:rPr>
        <w:t> </w:t>
      </w:r>
      <w:r>
        <w:rPr/>
        <w:t>adoption and earnings quality among private companies in Italy. Using a sample of Italian private companies which switched to IFRS during the period 2005 to 2008, comparison was made between before and after adoption. Using earnings management, timely loss recognition, income</w:t>
      </w:r>
      <w:r>
        <w:rPr>
          <w:spacing w:val="-9"/>
        </w:rPr>
        <w:t> </w:t>
      </w:r>
      <w:r>
        <w:rPr/>
        <w:t>smoothing,</w:t>
      </w:r>
      <w:r>
        <w:rPr>
          <w:spacing w:val="-8"/>
        </w:rPr>
        <w:t> </w:t>
      </w:r>
      <w:r>
        <w:rPr/>
        <w:t>value</w:t>
      </w:r>
      <w:r>
        <w:rPr>
          <w:spacing w:val="-9"/>
        </w:rPr>
        <w:t> </w:t>
      </w:r>
      <w:r>
        <w:rPr/>
        <w:t>relevance</w:t>
      </w:r>
      <w:r>
        <w:rPr>
          <w:spacing w:val="-9"/>
        </w:rPr>
        <w:t> </w:t>
      </w:r>
      <w:r>
        <w:rPr/>
        <w:t>(price</w:t>
      </w:r>
      <w:r>
        <w:rPr>
          <w:spacing w:val="-9"/>
        </w:rPr>
        <w:t> </w:t>
      </w:r>
      <w:r>
        <w:rPr/>
        <w:t>and</w:t>
      </w:r>
      <w:r>
        <w:rPr>
          <w:spacing w:val="-8"/>
        </w:rPr>
        <w:t> </w:t>
      </w:r>
      <w:r>
        <w:rPr/>
        <w:t>return)</w:t>
      </w:r>
      <w:r>
        <w:rPr>
          <w:spacing w:val="-9"/>
        </w:rPr>
        <w:t> </w:t>
      </w:r>
      <w:r>
        <w:rPr/>
        <w:t>as</w:t>
      </w:r>
      <w:r>
        <w:rPr>
          <w:spacing w:val="-8"/>
        </w:rPr>
        <w:t> </w:t>
      </w:r>
      <w:r>
        <w:rPr/>
        <w:t>metrics</w:t>
      </w:r>
      <w:r>
        <w:rPr>
          <w:spacing w:val="-9"/>
        </w:rPr>
        <w:t> </w:t>
      </w:r>
      <w:r>
        <w:rPr/>
        <w:t>of</w:t>
      </w:r>
      <w:r>
        <w:rPr>
          <w:spacing w:val="-9"/>
        </w:rPr>
        <w:t> </w:t>
      </w:r>
      <w:r>
        <w:rPr/>
        <w:t>reporting</w:t>
      </w:r>
      <w:r>
        <w:rPr>
          <w:spacing w:val="-8"/>
        </w:rPr>
        <w:t> </w:t>
      </w:r>
      <w:r>
        <w:rPr/>
        <w:t>quality,</w:t>
      </w:r>
      <w:r>
        <w:rPr>
          <w:spacing w:val="-8"/>
        </w:rPr>
        <w:t> </w:t>
      </w:r>
      <w:r>
        <w:rPr/>
        <w:t>the</w:t>
      </w:r>
      <w:r>
        <w:rPr>
          <w:spacing w:val="-9"/>
        </w:rPr>
        <w:t> </w:t>
      </w:r>
      <w:r>
        <w:rPr/>
        <w:t>result showed that IFRS adoption did not improve the financial reporting quality among private companies</w:t>
      </w:r>
      <w:r>
        <w:rPr>
          <w:spacing w:val="-6"/>
        </w:rPr>
        <w:t> </w:t>
      </w:r>
      <w:r>
        <w:rPr/>
        <w:t>in</w:t>
      </w:r>
      <w:r>
        <w:rPr>
          <w:spacing w:val="-3"/>
        </w:rPr>
        <w:t> </w:t>
      </w:r>
      <w:r>
        <w:rPr/>
        <w:t>Italy.</w:t>
      </w:r>
      <w:r>
        <w:rPr>
          <w:spacing w:val="-6"/>
        </w:rPr>
        <w:t> </w:t>
      </w:r>
      <w:r>
        <w:rPr/>
        <w:t>The</w:t>
      </w:r>
      <w:r>
        <w:rPr>
          <w:spacing w:val="-7"/>
        </w:rPr>
        <w:t> </w:t>
      </w:r>
      <w:r>
        <w:rPr/>
        <w:t>study</w:t>
      </w:r>
      <w:r>
        <w:rPr>
          <w:spacing w:val="-5"/>
        </w:rPr>
        <w:t> </w:t>
      </w:r>
      <w:r>
        <w:rPr/>
        <w:t>concluded</w:t>
      </w:r>
      <w:r>
        <w:rPr>
          <w:spacing w:val="-6"/>
        </w:rPr>
        <w:t> </w:t>
      </w:r>
      <w:r>
        <w:rPr/>
        <w:t>that</w:t>
      </w:r>
      <w:r>
        <w:rPr>
          <w:spacing w:val="-6"/>
        </w:rPr>
        <w:t> </w:t>
      </w:r>
      <w:r>
        <w:rPr/>
        <w:t>the</w:t>
      </w:r>
      <w:r>
        <w:rPr>
          <w:spacing w:val="-4"/>
        </w:rPr>
        <w:t> </w:t>
      </w:r>
      <w:r>
        <w:rPr/>
        <w:t>consequences</w:t>
      </w:r>
      <w:r>
        <w:rPr>
          <w:spacing w:val="-3"/>
        </w:rPr>
        <w:t> </w:t>
      </w:r>
      <w:r>
        <w:rPr/>
        <w:t>of</w:t>
      </w:r>
      <w:r>
        <w:rPr>
          <w:spacing w:val="-3"/>
        </w:rPr>
        <w:t> </w:t>
      </w:r>
      <w:r>
        <w:rPr/>
        <w:t>IFRS</w:t>
      </w:r>
      <w:r>
        <w:rPr>
          <w:spacing w:val="-5"/>
        </w:rPr>
        <w:t> </w:t>
      </w:r>
      <w:r>
        <w:rPr/>
        <w:t>adoption</w:t>
      </w:r>
      <w:r>
        <w:rPr>
          <w:spacing w:val="-6"/>
        </w:rPr>
        <w:t> </w:t>
      </w:r>
      <w:r>
        <w:rPr/>
        <w:t>depended</w:t>
      </w:r>
      <w:r>
        <w:rPr>
          <w:spacing w:val="-6"/>
        </w:rPr>
        <w:t> </w:t>
      </w:r>
      <w:r>
        <w:rPr/>
        <w:t>on the factors which reflected firm incentives.</w:t>
      </w:r>
    </w:p>
    <w:p>
      <w:pPr>
        <w:pStyle w:val="BodyText"/>
        <w:spacing w:line="480" w:lineRule="auto" w:before="1"/>
        <w:ind w:left="940" w:right="1434"/>
        <w:jc w:val="both"/>
      </w:pPr>
      <w:r>
        <w:rPr/>
        <w:t>An over view of the state of prior empirics suggested a dichotomous view on the impact of IFRS adoption on reporting quality. Although some studies didn’t find an improvement in reporting</w:t>
      </w:r>
      <w:r>
        <w:rPr>
          <w:spacing w:val="-10"/>
        </w:rPr>
        <w:t> </w:t>
      </w:r>
      <w:r>
        <w:rPr/>
        <w:t>quality</w:t>
      </w:r>
      <w:r>
        <w:rPr>
          <w:spacing w:val="-10"/>
        </w:rPr>
        <w:t> </w:t>
      </w:r>
      <w:r>
        <w:rPr/>
        <w:t>after</w:t>
      </w:r>
      <w:r>
        <w:rPr>
          <w:spacing w:val="-11"/>
        </w:rPr>
        <w:t> </w:t>
      </w:r>
      <w:r>
        <w:rPr/>
        <w:t>mandatory</w:t>
      </w:r>
      <w:r>
        <w:rPr>
          <w:spacing w:val="-9"/>
        </w:rPr>
        <w:t> </w:t>
      </w:r>
      <w:r>
        <w:rPr/>
        <w:t>IFRS</w:t>
      </w:r>
      <w:r>
        <w:rPr>
          <w:spacing w:val="-10"/>
        </w:rPr>
        <w:t> </w:t>
      </w:r>
      <w:r>
        <w:rPr/>
        <w:t>adoption</w:t>
      </w:r>
      <w:r>
        <w:rPr>
          <w:spacing w:val="-11"/>
        </w:rPr>
        <w:t> </w:t>
      </w:r>
      <w:r>
        <w:rPr/>
        <w:t>(Adeyemi,</w:t>
      </w:r>
      <w:r>
        <w:rPr>
          <w:spacing w:val="-11"/>
        </w:rPr>
        <w:t> </w:t>
      </w:r>
      <w:r>
        <w:rPr/>
        <w:t>2016;</w:t>
      </w:r>
      <w:r>
        <w:rPr>
          <w:spacing w:val="-10"/>
        </w:rPr>
        <w:t> </w:t>
      </w:r>
      <w:r>
        <w:rPr/>
        <w:t>Ahmad</w:t>
      </w:r>
      <w:r>
        <w:rPr>
          <w:spacing w:val="-11"/>
        </w:rPr>
        <w:t> </w:t>
      </w:r>
      <w:r>
        <w:rPr/>
        <w:t>et</w:t>
      </w:r>
      <w:r>
        <w:rPr>
          <w:spacing w:val="-10"/>
        </w:rPr>
        <w:t> </w:t>
      </w:r>
      <w:r>
        <w:rPr/>
        <w:t>al.,</w:t>
      </w:r>
      <w:r>
        <w:rPr>
          <w:spacing w:val="-10"/>
        </w:rPr>
        <w:t> </w:t>
      </w:r>
      <w:r>
        <w:rPr/>
        <w:t>2013;</w:t>
      </w:r>
      <w:r>
        <w:rPr>
          <w:spacing w:val="-10"/>
        </w:rPr>
        <w:t> </w:t>
      </w:r>
      <w:r>
        <w:rPr/>
        <w:t>Akpata, 2015; Ames, 2013; Andre &amp; Filip, 2012; Aubert &amp; Grudnitski, 2011; Cameran et al., n.d.; Elbannan, 2010; Hellmand, 2011; Hui-Sung &amp; Tzu-Han, 2014; Klimczak, 2011; Mikova, 2014;</w:t>
      </w:r>
      <w:r>
        <w:rPr>
          <w:spacing w:val="-10"/>
        </w:rPr>
        <w:t> </w:t>
      </w:r>
      <w:r>
        <w:rPr/>
        <w:t>Maggina</w:t>
      </w:r>
      <w:r>
        <w:rPr>
          <w:spacing w:val="-11"/>
        </w:rPr>
        <w:t> </w:t>
      </w:r>
      <w:r>
        <w:rPr/>
        <w:t>&amp;</w:t>
      </w:r>
      <w:r>
        <w:rPr>
          <w:spacing w:val="-10"/>
        </w:rPr>
        <w:t> </w:t>
      </w:r>
      <w:r>
        <w:rPr/>
        <w:t>Tsaklanganos,</w:t>
      </w:r>
      <w:r>
        <w:rPr>
          <w:spacing w:val="-10"/>
        </w:rPr>
        <w:t> </w:t>
      </w:r>
      <w:r>
        <w:rPr/>
        <w:t>2011;</w:t>
      </w:r>
      <w:r>
        <w:rPr>
          <w:spacing w:val="-9"/>
        </w:rPr>
        <w:t> </w:t>
      </w:r>
      <w:r>
        <w:rPr/>
        <w:t>Morais</w:t>
      </w:r>
      <w:r>
        <w:rPr>
          <w:spacing w:val="-10"/>
        </w:rPr>
        <w:t> </w:t>
      </w:r>
      <w:r>
        <w:rPr/>
        <w:t>&amp;</w:t>
      </w:r>
      <w:r>
        <w:rPr>
          <w:spacing w:val="-10"/>
        </w:rPr>
        <w:t> </w:t>
      </w:r>
      <w:r>
        <w:rPr/>
        <w:t>Curto,</w:t>
      </w:r>
      <w:r>
        <w:rPr>
          <w:spacing w:val="-11"/>
        </w:rPr>
        <w:t> </w:t>
      </w:r>
      <w:r>
        <w:rPr/>
        <w:t>2008;</w:t>
      </w:r>
      <w:r>
        <w:rPr>
          <w:spacing w:val="-10"/>
        </w:rPr>
        <w:t> </w:t>
      </w:r>
      <w:r>
        <w:rPr/>
        <w:t>Outa</w:t>
      </w:r>
      <w:r>
        <w:rPr>
          <w:spacing w:val="-12"/>
        </w:rPr>
        <w:t> </w:t>
      </w:r>
      <w:r>
        <w:rPr/>
        <w:t>2011;</w:t>
      </w:r>
      <w:r>
        <w:rPr>
          <w:spacing w:val="-10"/>
        </w:rPr>
        <w:t> </w:t>
      </w:r>
      <w:r>
        <w:rPr/>
        <w:t>Umubong</w:t>
      </w:r>
      <w:r>
        <w:rPr>
          <w:spacing w:val="-11"/>
        </w:rPr>
        <w:t> </w:t>
      </w:r>
      <w:r>
        <w:rPr/>
        <w:t>&amp;</w:t>
      </w:r>
      <w:r>
        <w:rPr>
          <w:spacing w:val="-10"/>
        </w:rPr>
        <w:t> </w:t>
      </w:r>
      <w:r>
        <w:rPr/>
        <w:t>Akani, 2015; Zhou et al., 2009), however, majority of the studies found evidence to support the relationship</w:t>
      </w:r>
      <w:r>
        <w:rPr>
          <w:spacing w:val="-2"/>
        </w:rPr>
        <w:t> </w:t>
      </w:r>
      <w:r>
        <w:rPr/>
        <w:t>(Armstrong et</w:t>
      </w:r>
      <w:r>
        <w:rPr>
          <w:spacing w:val="-2"/>
        </w:rPr>
        <w:t> </w:t>
      </w:r>
      <w:r>
        <w:rPr/>
        <w:t>al.,</w:t>
      </w:r>
      <w:r>
        <w:rPr>
          <w:spacing w:val="-2"/>
        </w:rPr>
        <w:t> </w:t>
      </w:r>
      <w:r>
        <w:rPr/>
        <w:t>2008;</w:t>
      </w:r>
      <w:r>
        <w:rPr>
          <w:spacing w:val="-1"/>
        </w:rPr>
        <w:t> </w:t>
      </w:r>
      <w:r>
        <w:rPr/>
        <w:t>Bath</w:t>
      </w:r>
      <w:r>
        <w:rPr>
          <w:spacing w:val="-2"/>
        </w:rPr>
        <w:t> </w:t>
      </w:r>
      <w:r>
        <w:rPr/>
        <w:t>et</w:t>
      </w:r>
      <w:r>
        <w:rPr>
          <w:spacing w:val="-1"/>
        </w:rPr>
        <w:t> </w:t>
      </w:r>
      <w:r>
        <w:rPr/>
        <w:t>al.,</w:t>
      </w:r>
      <w:r>
        <w:rPr>
          <w:spacing w:val="-2"/>
        </w:rPr>
        <w:t> </w:t>
      </w:r>
      <w:r>
        <w:rPr/>
        <w:t>2006;</w:t>
      </w:r>
      <w:r>
        <w:rPr>
          <w:spacing w:val="-2"/>
        </w:rPr>
        <w:t> </w:t>
      </w:r>
      <w:r>
        <w:rPr/>
        <w:t>Bouchareb</w:t>
      </w:r>
      <w:r>
        <w:rPr>
          <w:spacing w:val="-1"/>
        </w:rPr>
        <w:t> </w:t>
      </w:r>
      <w:r>
        <w:rPr/>
        <w:t>et</w:t>
      </w:r>
      <w:r>
        <w:rPr>
          <w:spacing w:val="-1"/>
        </w:rPr>
        <w:t> </w:t>
      </w:r>
      <w:r>
        <w:rPr/>
        <w:t>al.,</w:t>
      </w:r>
      <w:r>
        <w:rPr>
          <w:spacing w:val="-2"/>
        </w:rPr>
        <w:t> </w:t>
      </w:r>
      <w:r>
        <w:rPr/>
        <w:t>2014;</w:t>
      </w:r>
      <w:r>
        <w:rPr>
          <w:spacing w:val="-2"/>
        </w:rPr>
        <w:t> </w:t>
      </w:r>
      <w:r>
        <w:rPr/>
        <w:t>Boumediene</w:t>
      </w:r>
      <w:r>
        <w:rPr>
          <w:spacing w:val="-2"/>
        </w:rPr>
        <w:t> </w:t>
      </w:r>
      <w:r>
        <w:rPr/>
        <w:t>et al., 2014; Chen et al., 2010; Horton et al., 2012;</w:t>
      </w:r>
      <w:r>
        <w:rPr>
          <w:spacing w:val="40"/>
        </w:rPr>
        <w:t> </w:t>
      </w:r>
      <w:r>
        <w:rPr/>
        <w:t>Houque et al., 2010; Kargin, 2013; Masoud, 2017; Nartktabtee &amp; Patpanichchot, 2011a; Nulla, 2014; Nikolaos et al., 2009; Ogundana et al.,</w:t>
      </w:r>
      <w:r>
        <w:rPr>
          <w:spacing w:val="-11"/>
        </w:rPr>
        <w:t> </w:t>
      </w:r>
      <w:r>
        <w:rPr/>
        <w:t>2017;</w:t>
      </w:r>
      <w:r>
        <w:rPr>
          <w:spacing w:val="-11"/>
        </w:rPr>
        <w:t> </w:t>
      </w:r>
      <w:r>
        <w:rPr/>
        <w:t>Patro</w:t>
      </w:r>
      <w:r>
        <w:rPr>
          <w:spacing w:val="-12"/>
        </w:rPr>
        <w:t> </w:t>
      </w:r>
      <w:r>
        <w:rPr/>
        <w:t>&amp;</w:t>
      </w:r>
      <w:r>
        <w:rPr>
          <w:spacing w:val="-11"/>
        </w:rPr>
        <w:t> </w:t>
      </w:r>
      <w:r>
        <w:rPr/>
        <w:t>Gupta,</w:t>
      </w:r>
      <w:r>
        <w:rPr>
          <w:spacing w:val="-8"/>
        </w:rPr>
        <w:t> </w:t>
      </w:r>
      <w:r>
        <w:rPr/>
        <w:t>2016;</w:t>
      </w:r>
      <w:r>
        <w:rPr>
          <w:spacing w:val="-11"/>
        </w:rPr>
        <w:t> </w:t>
      </w:r>
      <w:r>
        <w:rPr/>
        <w:t>Qu</w:t>
      </w:r>
      <w:r>
        <w:rPr>
          <w:spacing w:val="-12"/>
        </w:rPr>
        <w:t> </w:t>
      </w:r>
      <w:r>
        <w:rPr/>
        <w:t>et</w:t>
      </w:r>
      <w:r>
        <w:rPr>
          <w:spacing w:val="-11"/>
        </w:rPr>
        <w:t> </w:t>
      </w:r>
      <w:r>
        <w:rPr/>
        <w:t>al.,</w:t>
      </w:r>
      <w:r>
        <w:rPr>
          <w:spacing w:val="-11"/>
        </w:rPr>
        <w:t> </w:t>
      </w:r>
      <w:r>
        <w:rPr/>
        <w:t>2012;</w:t>
      </w:r>
      <w:r>
        <w:rPr>
          <w:spacing w:val="-9"/>
        </w:rPr>
        <w:t> </w:t>
      </w:r>
      <w:r>
        <w:rPr/>
        <w:t>Uyar,</w:t>
      </w:r>
      <w:r>
        <w:rPr>
          <w:spacing w:val="-12"/>
        </w:rPr>
        <w:t> </w:t>
      </w:r>
      <w:r>
        <w:rPr/>
        <w:t>2013;</w:t>
      </w:r>
      <w:r>
        <w:rPr>
          <w:spacing w:val="-11"/>
        </w:rPr>
        <w:t> </w:t>
      </w:r>
      <w:r>
        <w:rPr/>
        <w:t>Yurt</w:t>
      </w:r>
      <w:r>
        <w:rPr>
          <w:spacing w:val="-11"/>
        </w:rPr>
        <w:t> </w:t>
      </w:r>
      <w:r>
        <w:rPr/>
        <w:t>&amp;</w:t>
      </w:r>
      <w:r>
        <w:rPr>
          <w:spacing w:val="-12"/>
        </w:rPr>
        <w:t> </w:t>
      </w:r>
      <w:r>
        <w:rPr/>
        <w:t>Ergun,</w:t>
      </w:r>
      <w:r>
        <w:rPr>
          <w:spacing w:val="-11"/>
        </w:rPr>
        <w:t> </w:t>
      </w:r>
      <w:r>
        <w:rPr/>
        <w:t>2015).</w:t>
      </w:r>
      <w:r>
        <w:rPr>
          <w:spacing w:val="-11"/>
        </w:rPr>
        <w:t> </w:t>
      </w:r>
      <w:r>
        <w:rPr/>
        <w:t>Prior</w:t>
      </w:r>
      <w:r>
        <w:rPr>
          <w:spacing w:val="-12"/>
        </w:rPr>
        <w:t> </w:t>
      </w:r>
      <w:r>
        <w:rPr/>
        <w:t>studies that evidenced that IFRS had improved the quality of reporting information opined that IFRS adoption in itself was not a silver bullet, rather, its efficacy depended on other institutional factors such as national legal systems, strong enforcement efforts, and strong corporate governance,</w:t>
      </w:r>
      <w:r>
        <w:rPr>
          <w:spacing w:val="-6"/>
        </w:rPr>
        <w:t> </w:t>
      </w:r>
      <w:r>
        <w:rPr/>
        <w:t>among</w:t>
      </w:r>
      <w:r>
        <w:rPr>
          <w:spacing w:val="-5"/>
        </w:rPr>
        <w:t> </w:t>
      </w:r>
      <w:r>
        <w:rPr/>
        <w:t>others.</w:t>
      </w:r>
      <w:r>
        <w:rPr>
          <w:spacing w:val="-6"/>
        </w:rPr>
        <w:t> </w:t>
      </w:r>
      <w:r>
        <w:rPr/>
        <w:t>For</w:t>
      </w:r>
      <w:r>
        <w:rPr>
          <w:spacing w:val="-7"/>
        </w:rPr>
        <w:t> </w:t>
      </w:r>
      <w:r>
        <w:rPr/>
        <w:t>instance,</w:t>
      </w:r>
      <w:r>
        <w:rPr>
          <w:spacing w:val="-6"/>
        </w:rPr>
        <w:t> </w:t>
      </w:r>
      <w:r>
        <w:rPr/>
        <w:t>Ahmed</w:t>
      </w:r>
      <w:r>
        <w:rPr>
          <w:spacing w:val="-6"/>
        </w:rPr>
        <w:t> </w:t>
      </w:r>
      <w:r>
        <w:rPr/>
        <w:t>et</w:t>
      </w:r>
      <w:r>
        <w:rPr>
          <w:spacing w:val="-3"/>
        </w:rPr>
        <w:t> </w:t>
      </w:r>
      <w:r>
        <w:rPr/>
        <w:t>al.</w:t>
      </w:r>
      <w:r>
        <w:rPr>
          <w:spacing w:val="-5"/>
        </w:rPr>
        <w:t> </w:t>
      </w:r>
      <w:r>
        <w:rPr/>
        <w:t>(2012)</w:t>
      </w:r>
      <w:r>
        <w:rPr>
          <w:spacing w:val="-7"/>
        </w:rPr>
        <w:t> </w:t>
      </w:r>
      <w:r>
        <w:rPr/>
        <w:t>stated</w:t>
      </w:r>
      <w:r>
        <w:rPr>
          <w:spacing w:val="-6"/>
        </w:rPr>
        <w:t> </w:t>
      </w:r>
      <w:r>
        <w:rPr/>
        <w:t>that</w:t>
      </w:r>
      <w:r>
        <w:rPr>
          <w:spacing w:val="-6"/>
        </w:rPr>
        <w:t> </w:t>
      </w:r>
      <w:r>
        <w:rPr/>
        <w:t>it</w:t>
      </w:r>
      <w:r>
        <w:rPr>
          <w:spacing w:val="-2"/>
        </w:rPr>
        <w:t> </w:t>
      </w:r>
      <w:r>
        <w:rPr/>
        <w:t>could</w:t>
      </w:r>
      <w:r>
        <w:rPr>
          <w:spacing w:val="-5"/>
        </w:rPr>
        <w:t> </w:t>
      </w:r>
      <w:r>
        <w:rPr/>
        <w:t>be</w:t>
      </w:r>
      <w:r>
        <w:rPr>
          <w:spacing w:val="-7"/>
        </w:rPr>
        <w:t> </w:t>
      </w:r>
      <w:r>
        <w:rPr/>
        <w:t>difficult</w:t>
      </w:r>
      <w:r>
        <w:rPr>
          <w:spacing w:val="-5"/>
        </w:rPr>
        <w:t> </w:t>
      </w:r>
      <w:r>
        <w:rPr/>
        <w:t>to make a definitive predictions that IFRS had improved financial reporting quality because the change</w:t>
      </w:r>
      <w:r>
        <w:rPr>
          <w:spacing w:val="-5"/>
        </w:rPr>
        <w:t> </w:t>
      </w:r>
      <w:r>
        <w:rPr/>
        <w:t>in</w:t>
      </w:r>
      <w:r>
        <w:rPr>
          <w:spacing w:val="-1"/>
        </w:rPr>
        <w:t> </w:t>
      </w:r>
      <w:r>
        <w:rPr/>
        <w:t>accounting</w:t>
      </w:r>
      <w:r>
        <w:rPr>
          <w:spacing w:val="-4"/>
        </w:rPr>
        <w:t> </w:t>
      </w:r>
      <w:r>
        <w:rPr/>
        <w:t>quality</w:t>
      </w:r>
      <w:r>
        <w:rPr>
          <w:spacing w:val="-3"/>
        </w:rPr>
        <w:t> </w:t>
      </w:r>
      <w:r>
        <w:rPr/>
        <w:t>from</w:t>
      </w:r>
      <w:r>
        <w:rPr>
          <w:spacing w:val="-2"/>
        </w:rPr>
        <w:t> </w:t>
      </w:r>
      <w:r>
        <w:rPr/>
        <w:t>pre-IFRS</w:t>
      </w:r>
      <w:r>
        <w:rPr>
          <w:spacing w:val="-3"/>
        </w:rPr>
        <w:t> </w:t>
      </w:r>
      <w:r>
        <w:rPr/>
        <w:t>periods</w:t>
      </w:r>
      <w:r>
        <w:rPr>
          <w:spacing w:val="-4"/>
        </w:rPr>
        <w:t> </w:t>
      </w:r>
      <w:r>
        <w:rPr/>
        <w:t>to</w:t>
      </w:r>
      <w:r>
        <w:rPr>
          <w:spacing w:val="-3"/>
        </w:rPr>
        <w:t> </w:t>
      </w:r>
      <w:r>
        <w:rPr/>
        <w:t>the</w:t>
      </w:r>
      <w:r>
        <w:rPr>
          <w:spacing w:val="-3"/>
        </w:rPr>
        <w:t> </w:t>
      </w:r>
      <w:r>
        <w:rPr/>
        <w:t>post-IFRS</w:t>
      </w:r>
      <w:r>
        <w:rPr>
          <w:spacing w:val="-3"/>
        </w:rPr>
        <w:t> </w:t>
      </w:r>
      <w:r>
        <w:rPr/>
        <w:t>periods</w:t>
      </w:r>
      <w:r>
        <w:rPr>
          <w:spacing w:val="-4"/>
        </w:rPr>
        <w:t> </w:t>
      </w:r>
      <w:r>
        <w:rPr/>
        <w:t>depended on:</w:t>
      </w:r>
      <w:r>
        <w:rPr>
          <w:spacing w:val="-2"/>
        </w:rPr>
        <w:t> </w:t>
      </w:r>
      <w:r>
        <w:rPr>
          <w:spacing w:val="-5"/>
        </w:rPr>
        <w:t>(i)</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90368">
            <wp:simplePos x="0" y="0"/>
            <wp:positionH relativeFrom="page">
              <wp:posOffset>1095451</wp:posOffset>
            </wp:positionH>
            <wp:positionV relativeFrom="paragraph">
              <wp:posOffset>1850770</wp:posOffset>
            </wp:positionV>
            <wp:extent cx="5106847" cy="5238115"/>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5" cstate="print"/>
                    <a:stretch>
                      <a:fillRect/>
                    </a:stretch>
                  </pic:blipFill>
                  <pic:spPr>
                    <a:xfrm>
                      <a:off x="0" y="0"/>
                      <a:ext cx="5106847" cy="5238115"/>
                    </a:xfrm>
                    <a:prstGeom prst="rect">
                      <a:avLst/>
                    </a:prstGeom>
                  </pic:spPr>
                </pic:pic>
              </a:graphicData>
            </a:graphic>
          </wp:anchor>
        </w:drawing>
      </w:r>
      <w:r>
        <w:rPr/>
        <w:t>whether the IFRS was of higher or lower quality than the domestic GAAP, for example, whether they increased or decreased overall managerial discretion; and (ii) the efficacy of enforcement mechanisms. By a higher quality standard, they meant a standard that either reduced managerial</w:t>
      </w:r>
      <w:r>
        <w:rPr>
          <w:spacing w:val="-1"/>
        </w:rPr>
        <w:t> </w:t>
      </w:r>
      <w:r>
        <w:rPr/>
        <w:t>discretion</w:t>
      </w:r>
      <w:r>
        <w:rPr>
          <w:spacing w:val="-1"/>
        </w:rPr>
        <w:t> </w:t>
      </w:r>
      <w:r>
        <w:rPr/>
        <w:t>over</w:t>
      </w:r>
      <w:r>
        <w:rPr>
          <w:spacing w:val="-2"/>
        </w:rPr>
        <w:t> </w:t>
      </w:r>
      <w:r>
        <w:rPr/>
        <w:t>accounting choices</w:t>
      </w:r>
      <w:r>
        <w:rPr>
          <w:spacing w:val="-1"/>
        </w:rPr>
        <w:t> </w:t>
      </w:r>
      <w:r>
        <w:rPr/>
        <w:t>or</w:t>
      </w:r>
      <w:r>
        <w:rPr>
          <w:spacing w:val="-2"/>
        </w:rPr>
        <w:t> </w:t>
      </w:r>
      <w:r>
        <w:rPr/>
        <w:t>inherently</w:t>
      </w:r>
      <w:r>
        <w:rPr>
          <w:spacing w:val="-1"/>
        </w:rPr>
        <w:t> </w:t>
      </w:r>
      <w:r>
        <w:rPr/>
        <w:t>disallowed smoothing</w:t>
      </w:r>
      <w:r>
        <w:rPr>
          <w:spacing w:val="-1"/>
        </w:rPr>
        <w:t> </w:t>
      </w:r>
      <w:r>
        <w:rPr/>
        <w:t>or overstatement of earnings. If IFRS is of higher quality than domestic GAAP, and they are appropriately enforced, then we expect a mandatory adoption of IFRS to improve accounting quality.</w:t>
      </w:r>
      <w:r>
        <w:rPr>
          <w:spacing w:val="-12"/>
        </w:rPr>
        <w:t> </w:t>
      </w:r>
      <w:r>
        <w:rPr/>
        <w:t>On</w:t>
      </w:r>
      <w:r>
        <w:rPr>
          <w:spacing w:val="-13"/>
        </w:rPr>
        <w:t> </w:t>
      </w:r>
      <w:r>
        <w:rPr/>
        <w:t>the</w:t>
      </w:r>
      <w:r>
        <w:rPr>
          <w:spacing w:val="-13"/>
        </w:rPr>
        <w:t> </w:t>
      </w:r>
      <w:r>
        <w:rPr/>
        <w:t>other</w:t>
      </w:r>
      <w:r>
        <w:rPr>
          <w:spacing w:val="-13"/>
        </w:rPr>
        <w:t> </w:t>
      </w:r>
      <w:r>
        <w:rPr/>
        <w:t>hand,</w:t>
      </w:r>
      <w:r>
        <w:rPr>
          <w:spacing w:val="-12"/>
        </w:rPr>
        <w:t> </w:t>
      </w:r>
      <w:r>
        <w:rPr/>
        <w:t>if</w:t>
      </w:r>
      <w:r>
        <w:rPr>
          <w:spacing w:val="-12"/>
        </w:rPr>
        <w:t> </w:t>
      </w:r>
      <w:r>
        <w:rPr/>
        <w:t>IFRS</w:t>
      </w:r>
      <w:r>
        <w:rPr>
          <w:spacing w:val="-10"/>
        </w:rPr>
        <w:t> </w:t>
      </w:r>
      <w:r>
        <w:rPr/>
        <w:t>is</w:t>
      </w:r>
      <w:r>
        <w:rPr>
          <w:spacing w:val="-12"/>
        </w:rPr>
        <w:t> </w:t>
      </w:r>
      <w:r>
        <w:rPr/>
        <w:t>of</w:t>
      </w:r>
      <w:r>
        <w:rPr>
          <w:spacing w:val="-13"/>
        </w:rPr>
        <w:t> </w:t>
      </w:r>
      <w:r>
        <w:rPr/>
        <w:t>lower</w:t>
      </w:r>
      <w:r>
        <w:rPr>
          <w:spacing w:val="-13"/>
        </w:rPr>
        <w:t> </w:t>
      </w:r>
      <w:r>
        <w:rPr/>
        <w:t>quality</w:t>
      </w:r>
      <w:r>
        <w:rPr>
          <w:spacing w:val="-12"/>
        </w:rPr>
        <w:t> </w:t>
      </w:r>
      <w:r>
        <w:rPr/>
        <w:t>than</w:t>
      </w:r>
      <w:r>
        <w:rPr>
          <w:spacing w:val="-13"/>
        </w:rPr>
        <w:t> </w:t>
      </w:r>
      <w:r>
        <w:rPr/>
        <w:t>domestic</w:t>
      </w:r>
      <w:r>
        <w:rPr>
          <w:spacing w:val="-13"/>
        </w:rPr>
        <w:t> </w:t>
      </w:r>
      <w:r>
        <w:rPr/>
        <w:t>GAAP</w:t>
      </w:r>
      <w:r>
        <w:rPr>
          <w:spacing w:val="-12"/>
        </w:rPr>
        <w:t> </w:t>
      </w:r>
      <w:r>
        <w:rPr/>
        <w:t>or</w:t>
      </w:r>
      <w:r>
        <w:rPr>
          <w:spacing w:val="-13"/>
        </w:rPr>
        <w:t> </w:t>
      </w:r>
      <w:r>
        <w:rPr/>
        <w:t>if</w:t>
      </w:r>
      <w:r>
        <w:rPr>
          <w:spacing w:val="-10"/>
        </w:rPr>
        <w:t> </w:t>
      </w:r>
      <w:r>
        <w:rPr/>
        <w:t>IFRS</w:t>
      </w:r>
      <w:r>
        <w:rPr>
          <w:spacing w:val="-11"/>
        </w:rPr>
        <w:t> </w:t>
      </w:r>
      <w:r>
        <w:rPr/>
        <w:t>weakens enforcement</w:t>
      </w:r>
      <w:r>
        <w:rPr>
          <w:spacing w:val="-3"/>
        </w:rPr>
        <w:t> </w:t>
      </w:r>
      <w:r>
        <w:rPr/>
        <w:t>(for</w:t>
      </w:r>
      <w:r>
        <w:rPr>
          <w:spacing w:val="-3"/>
        </w:rPr>
        <w:t> </w:t>
      </w:r>
      <w:r>
        <w:rPr/>
        <w:t>example,</w:t>
      </w:r>
      <w:r>
        <w:rPr>
          <w:spacing w:val="-3"/>
        </w:rPr>
        <w:t> </w:t>
      </w:r>
      <w:r>
        <w:rPr/>
        <w:t>because</w:t>
      </w:r>
      <w:r>
        <w:rPr>
          <w:spacing w:val="-4"/>
        </w:rPr>
        <w:t> </w:t>
      </w:r>
      <w:r>
        <w:rPr/>
        <w:t>of</w:t>
      </w:r>
      <w:r>
        <w:rPr>
          <w:spacing w:val="-3"/>
        </w:rPr>
        <w:t> </w:t>
      </w:r>
      <w:r>
        <w:rPr/>
        <w:t>increased</w:t>
      </w:r>
      <w:r>
        <w:rPr>
          <w:spacing w:val="-3"/>
        </w:rPr>
        <w:t> </w:t>
      </w:r>
      <w:r>
        <w:rPr/>
        <w:t>discretion</w:t>
      </w:r>
      <w:r>
        <w:rPr>
          <w:spacing w:val="-3"/>
        </w:rPr>
        <w:t> </w:t>
      </w:r>
      <w:r>
        <w:rPr/>
        <w:t>or</w:t>
      </w:r>
      <w:r>
        <w:rPr>
          <w:spacing w:val="-4"/>
        </w:rPr>
        <w:t> </w:t>
      </w:r>
      <w:r>
        <w:rPr/>
        <w:t>flexibility),</w:t>
      </w:r>
      <w:r>
        <w:rPr>
          <w:spacing w:val="-3"/>
        </w:rPr>
        <w:t> </w:t>
      </w:r>
      <w:r>
        <w:rPr/>
        <w:t>then</w:t>
      </w:r>
      <w:r>
        <w:rPr>
          <w:spacing w:val="-3"/>
        </w:rPr>
        <w:t> </w:t>
      </w:r>
      <w:r>
        <w:rPr/>
        <w:t>it</w:t>
      </w:r>
      <w:r>
        <w:rPr>
          <w:spacing w:val="-3"/>
        </w:rPr>
        <w:t> </w:t>
      </w:r>
      <w:r>
        <w:rPr/>
        <w:t>would</w:t>
      </w:r>
      <w:r>
        <w:rPr>
          <w:spacing w:val="-3"/>
        </w:rPr>
        <w:t> </w:t>
      </w:r>
      <w:r>
        <w:rPr/>
        <w:t>expect to reduce accounting quality.</w:t>
      </w:r>
      <w:r>
        <w:rPr>
          <w:spacing w:val="40"/>
        </w:rPr>
        <w:t> </w:t>
      </w:r>
      <w:r>
        <w:rPr/>
        <w:t>Similarly, they posited that evidence in previous studies suggested that the accounting quality was generally higher in strong enforcement countries relative to weak enforcement countries. This, in turn, suggests that there may be systematic differences</w:t>
      </w:r>
      <w:r>
        <w:rPr>
          <w:spacing w:val="-10"/>
        </w:rPr>
        <w:t> </w:t>
      </w:r>
      <w:r>
        <w:rPr/>
        <w:t>in</w:t>
      </w:r>
      <w:r>
        <w:rPr>
          <w:spacing w:val="-8"/>
        </w:rPr>
        <w:t> </w:t>
      </w:r>
      <w:r>
        <w:rPr/>
        <w:t>the</w:t>
      </w:r>
      <w:r>
        <w:rPr>
          <w:spacing w:val="-11"/>
        </w:rPr>
        <w:t> </w:t>
      </w:r>
      <w:r>
        <w:rPr/>
        <w:t>effects</w:t>
      </w:r>
      <w:r>
        <w:rPr>
          <w:spacing w:val="-8"/>
        </w:rPr>
        <w:t> </w:t>
      </w:r>
      <w:r>
        <w:rPr/>
        <w:t>of</w:t>
      </w:r>
      <w:r>
        <w:rPr>
          <w:spacing w:val="-11"/>
        </w:rPr>
        <w:t> </w:t>
      </w:r>
      <w:r>
        <w:rPr/>
        <w:t>the</w:t>
      </w:r>
      <w:r>
        <w:rPr>
          <w:spacing w:val="-9"/>
        </w:rPr>
        <w:t> </w:t>
      </w:r>
      <w:r>
        <w:rPr/>
        <w:t>IFRS</w:t>
      </w:r>
      <w:r>
        <w:rPr>
          <w:spacing w:val="-10"/>
        </w:rPr>
        <w:t> </w:t>
      </w:r>
      <w:r>
        <w:rPr/>
        <w:t>adoption</w:t>
      </w:r>
      <w:r>
        <w:rPr>
          <w:spacing w:val="-11"/>
        </w:rPr>
        <w:t> </w:t>
      </w:r>
      <w:r>
        <w:rPr/>
        <w:t>in</w:t>
      </w:r>
      <w:r>
        <w:rPr>
          <w:spacing w:val="-10"/>
        </w:rPr>
        <w:t> </w:t>
      </w:r>
      <w:r>
        <w:rPr/>
        <w:t>strong</w:t>
      </w:r>
      <w:r>
        <w:rPr>
          <w:spacing w:val="-11"/>
        </w:rPr>
        <w:t> </w:t>
      </w:r>
      <w:r>
        <w:rPr/>
        <w:t>enforcement</w:t>
      </w:r>
      <w:r>
        <w:rPr>
          <w:spacing w:val="-10"/>
        </w:rPr>
        <w:t> </w:t>
      </w:r>
      <w:r>
        <w:rPr/>
        <w:t>versus</w:t>
      </w:r>
      <w:r>
        <w:rPr>
          <w:spacing w:val="-6"/>
        </w:rPr>
        <w:t> </w:t>
      </w:r>
      <w:r>
        <w:rPr/>
        <w:t>weak</w:t>
      </w:r>
      <w:r>
        <w:rPr>
          <w:spacing w:val="-8"/>
        </w:rPr>
        <w:t> </w:t>
      </w:r>
      <w:r>
        <w:rPr/>
        <w:t>enforcement </w:t>
      </w:r>
      <w:r>
        <w:rPr>
          <w:spacing w:val="-2"/>
        </w:rPr>
        <w:t>countries.</w:t>
      </w:r>
    </w:p>
    <w:p>
      <w:pPr>
        <w:pStyle w:val="BodyText"/>
        <w:spacing w:line="480" w:lineRule="auto" w:before="1"/>
        <w:ind w:left="940" w:right="1433"/>
        <w:jc w:val="both"/>
      </w:pPr>
      <w:r>
        <w:rPr/>
        <w:t>For strong enforcement countries, if IFRS is of higher quality than domestic GAAP, and they are appropriately enforced, one should expect an improvement in accounting quality. For example, if IFRS eliminated accounting alternatives that were opportunistically used by the managers, it would improve the accounting quality.</w:t>
      </w:r>
      <w:r>
        <w:rPr>
          <w:spacing w:val="40"/>
        </w:rPr>
        <w:t> </w:t>
      </w:r>
      <w:r>
        <w:rPr/>
        <w:t>However, Nelson (2003) concluded that aggressiveness of reporting decisions increased with the imprecision of the relevant reporting standard based on a survey-based research. In addition, they believed that even in strong enforcement countries, relatively loose standards could result in more opportunistic. For instance, the accounting quality may decline after the mandatory IFRS adoption because principles-based standards are looser, on average, than domestic standards and thus, more difficult to enforce. This was supported by Paananen and Lin (2008) who found that the evidence of a decline in accounting quality in Germany, a strong enforcement country, after the</w:t>
      </w:r>
      <w:r>
        <w:rPr>
          <w:spacing w:val="-11"/>
        </w:rPr>
        <w:t> </w:t>
      </w:r>
      <w:r>
        <w:rPr/>
        <w:t>mandatory</w:t>
      </w:r>
      <w:r>
        <w:rPr>
          <w:spacing w:val="-4"/>
        </w:rPr>
        <w:t> </w:t>
      </w:r>
      <w:r>
        <w:rPr/>
        <w:t>IFRS</w:t>
      </w:r>
      <w:r>
        <w:rPr>
          <w:spacing w:val="-7"/>
        </w:rPr>
        <w:t> </w:t>
      </w:r>
      <w:r>
        <w:rPr/>
        <w:t>adoption.</w:t>
      </w:r>
      <w:r>
        <w:rPr>
          <w:spacing w:val="-9"/>
        </w:rPr>
        <w:t> </w:t>
      </w:r>
      <w:r>
        <w:rPr/>
        <w:t>Ball</w:t>
      </w:r>
      <w:r>
        <w:rPr>
          <w:spacing w:val="-8"/>
        </w:rPr>
        <w:t> </w:t>
      </w:r>
      <w:r>
        <w:rPr/>
        <w:t>(2006)</w:t>
      </w:r>
      <w:r>
        <w:rPr>
          <w:spacing w:val="-8"/>
        </w:rPr>
        <w:t> </w:t>
      </w:r>
      <w:r>
        <w:rPr/>
        <w:t>believed</w:t>
      </w:r>
      <w:r>
        <w:rPr>
          <w:spacing w:val="-3"/>
        </w:rPr>
        <w:t> </w:t>
      </w:r>
      <w:r>
        <w:rPr/>
        <w:t>that</w:t>
      </w:r>
      <w:r>
        <w:rPr>
          <w:spacing w:val="-8"/>
        </w:rPr>
        <w:t> </w:t>
      </w:r>
      <w:r>
        <w:rPr/>
        <w:t>in</w:t>
      </w:r>
      <w:r>
        <w:rPr>
          <w:spacing w:val="-8"/>
        </w:rPr>
        <w:t> </w:t>
      </w:r>
      <w:r>
        <w:rPr/>
        <w:t>the</w:t>
      </w:r>
      <w:r>
        <w:rPr>
          <w:spacing w:val="-7"/>
        </w:rPr>
        <w:t> </w:t>
      </w:r>
      <w:r>
        <w:rPr/>
        <w:t>absence</w:t>
      </w:r>
      <w:r>
        <w:rPr>
          <w:spacing w:val="-6"/>
        </w:rPr>
        <w:t> </w:t>
      </w:r>
      <w:r>
        <w:rPr/>
        <w:t>of</w:t>
      </w:r>
      <w:r>
        <w:rPr>
          <w:spacing w:val="-7"/>
        </w:rPr>
        <w:t> </w:t>
      </w:r>
      <w:r>
        <w:rPr/>
        <w:t>suitable</w:t>
      </w:r>
      <w:r>
        <w:rPr>
          <w:spacing w:val="-8"/>
        </w:rPr>
        <w:t> </w:t>
      </w:r>
      <w:r>
        <w:rPr>
          <w:spacing w:val="-2"/>
        </w:rPr>
        <w:t>enforcement</w:t>
      </w:r>
    </w:p>
    <w:p>
      <w:pPr>
        <w:spacing w:after="0" w:line="480" w:lineRule="auto"/>
        <w:jc w:val="both"/>
        <w:sectPr>
          <w:pgSz w:w="11910" w:h="16840"/>
          <w:pgMar w:header="0" w:footer="971" w:top="1360" w:bottom="1160" w:left="500" w:right="0"/>
        </w:sectPr>
      </w:pPr>
    </w:p>
    <w:p>
      <w:pPr>
        <w:pStyle w:val="BodyText"/>
        <w:spacing w:line="480" w:lineRule="auto" w:before="61"/>
        <w:ind w:left="940" w:right="1432"/>
        <w:jc w:val="both"/>
      </w:pPr>
      <w:r>
        <w:rPr/>
        <w:drawing>
          <wp:anchor distT="0" distB="0" distL="0" distR="0" allowOverlap="1" layoutInCell="1" locked="0" behindDoc="1" simplePos="0" relativeHeight="477690880">
            <wp:simplePos x="0" y="0"/>
            <wp:positionH relativeFrom="page">
              <wp:posOffset>1095451</wp:posOffset>
            </wp:positionH>
            <wp:positionV relativeFrom="paragraph">
              <wp:posOffset>1850770</wp:posOffset>
            </wp:positionV>
            <wp:extent cx="5106847" cy="5238115"/>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5" cstate="print"/>
                    <a:stretch>
                      <a:fillRect/>
                    </a:stretch>
                  </pic:blipFill>
                  <pic:spPr>
                    <a:xfrm>
                      <a:off x="0" y="0"/>
                      <a:ext cx="5106847" cy="5238115"/>
                    </a:xfrm>
                    <a:prstGeom prst="rect">
                      <a:avLst/>
                    </a:prstGeom>
                  </pic:spPr>
                </pic:pic>
              </a:graphicData>
            </a:graphic>
          </wp:anchor>
        </w:drawing>
      </w:r>
      <w:r>
        <w:rPr/>
        <w:t>mechanisms, real convergence and harmonization was infeasible, resulting in diminished comparability. Collectively, these studies suggest that loose standards can lead to a decline in accounting quality even in strong enforcement countries.</w:t>
      </w:r>
      <w:r>
        <w:rPr>
          <w:spacing w:val="40"/>
        </w:rPr>
        <w:t> </w:t>
      </w:r>
      <w:r>
        <w:rPr/>
        <w:t>On the other hand, in the weak enforcement</w:t>
      </w:r>
      <w:r>
        <w:rPr>
          <w:spacing w:val="-9"/>
        </w:rPr>
        <w:t> </w:t>
      </w:r>
      <w:r>
        <w:rPr/>
        <w:t>countries,</w:t>
      </w:r>
      <w:r>
        <w:rPr>
          <w:spacing w:val="-9"/>
        </w:rPr>
        <w:t> </w:t>
      </w:r>
      <w:r>
        <w:rPr/>
        <w:t>previous</w:t>
      </w:r>
      <w:r>
        <w:rPr>
          <w:spacing w:val="-9"/>
        </w:rPr>
        <w:t> </w:t>
      </w:r>
      <w:r>
        <w:rPr/>
        <w:t>research</w:t>
      </w:r>
      <w:r>
        <w:rPr>
          <w:spacing w:val="-9"/>
        </w:rPr>
        <w:t> </w:t>
      </w:r>
      <w:r>
        <w:rPr/>
        <w:t>studies</w:t>
      </w:r>
      <w:r>
        <w:rPr>
          <w:spacing w:val="-9"/>
        </w:rPr>
        <w:t> </w:t>
      </w:r>
      <w:r>
        <w:rPr/>
        <w:t>such</w:t>
      </w:r>
      <w:r>
        <w:rPr>
          <w:spacing w:val="-9"/>
        </w:rPr>
        <w:t> </w:t>
      </w:r>
      <w:r>
        <w:rPr/>
        <w:t>as</w:t>
      </w:r>
      <w:r>
        <w:rPr>
          <w:spacing w:val="-7"/>
        </w:rPr>
        <w:t> </w:t>
      </w:r>
      <w:r>
        <w:rPr/>
        <w:t>by</w:t>
      </w:r>
      <w:r>
        <w:rPr>
          <w:spacing w:val="-9"/>
        </w:rPr>
        <w:t> </w:t>
      </w:r>
      <w:r>
        <w:rPr/>
        <w:t>Leuz,</w:t>
      </w:r>
      <w:r>
        <w:rPr>
          <w:spacing w:val="-9"/>
        </w:rPr>
        <w:t> </w:t>
      </w:r>
      <w:r>
        <w:rPr/>
        <w:t>Nanda</w:t>
      </w:r>
      <w:r>
        <w:rPr>
          <w:spacing w:val="-10"/>
        </w:rPr>
        <w:t> </w:t>
      </w:r>
      <w:r>
        <w:rPr/>
        <w:t>and</w:t>
      </w:r>
      <w:r>
        <w:rPr>
          <w:spacing w:val="-9"/>
        </w:rPr>
        <w:t> </w:t>
      </w:r>
      <w:r>
        <w:rPr/>
        <w:t>Wysocki</w:t>
      </w:r>
      <w:r>
        <w:rPr>
          <w:spacing w:val="-9"/>
        </w:rPr>
        <w:t> </w:t>
      </w:r>
      <w:r>
        <w:rPr/>
        <w:t>(2003), Burgstahler, Hail and Leuz (2006), Holthausen (2009), and Hope (2003) argued that rules or standards were generally not effective, that is, without adequate enforcement, even the best accounting standards would be inconsequential. Extending this logic, even if the IFRS is of a higher</w:t>
      </w:r>
      <w:r>
        <w:rPr>
          <w:spacing w:val="-15"/>
        </w:rPr>
        <w:t> </w:t>
      </w:r>
      <w:r>
        <w:rPr/>
        <w:t>quality</w:t>
      </w:r>
      <w:r>
        <w:rPr>
          <w:spacing w:val="-15"/>
        </w:rPr>
        <w:t> </w:t>
      </w:r>
      <w:r>
        <w:rPr/>
        <w:t>than</w:t>
      </w:r>
      <w:r>
        <w:rPr>
          <w:spacing w:val="-15"/>
        </w:rPr>
        <w:t> </w:t>
      </w:r>
      <w:r>
        <w:rPr/>
        <w:t>a</w:t>
      </w:r>
      <w:r>
        <w:rPr>
          <w:spacing w:val="-15"/>
        </w:rPr>
        <w:t> </w:t>
      </w:r>
      <w:r>
        <w:rPr/>
        <w:t>domestic</w:t>
      </w:r>
      <w:r>
        <w:rPr>
          <w:spacing w:val="-15"/>
        </w:rPr>
        <w:t> </w:t>
      </w:r>
      <w:r>
        <w:rPr/>
        <w:t>GAAP,</w:t>
      </w:r>
      <w:r>
        <w:rPr>
          <w:spacing w:val="-15"/>
        </w:rPr>
        <w:t> </w:t>
      </w:r>
      <w:r>
        <w:rPr/>
        <w:t>they</w:t>
      </w:r>
      <w:r>
        <w:rPr>
          <w:spacing w:val="-15"/>
        </w:rPr>
        <w:t> </w:t>
      </w:r>
      <w:r>
        <w:rPr/>
        <w:t>are</w:t>
      </w:r>
      <w:r>
        <w:rPr>
          <w:spacing w:val="-15"/>
        </w:rPr>
        <w:t> </w:t>
      </w:r>
      <w:r>
        <w:rPr/>
        <w:t>unlikely</w:t>
      </w:r>
      <w:r>
        <w:rPr>
          <w:spacing w:val="-15"/>
        </w:rPr>
        <w:t> </w:t>
      </w:r>
      <w:r>
        <w:rPr/>
        <w:t>to</w:t>
      </w:r>
      <w:r>
        <w:rPr>
          <w:spacing w:val="-15"/>
        </w:rPr>
        <w:t> </w:t>
      </w:r>
      <w:r>
        <w:rPr/>
        <w:t>result</w:t>
      </w:r>
      <w:r>
        <w:rPr>
          <w:spacing w:val="-15"/>
        </w:rPr>
        <w:t> </w:t>
      </w:r>
      <w:r>
        <w:rPr/>
        <w:t>in</w:t>
      </w:r>
      <w:r>
        <w:rPr>
          <w:spacing w:val="-15"/>
        </w:rPr>
        <w:t> </w:t>
      </w:r>
      <w:r>
        <w:rPr/>
        <w:t>improvements</w:t>
      </w:r>
      <w:r>
        <w:rPr>
          <w:spacing w:val="-15"/>
        </w:rPr>
        <w:t> </w:t>
      </w:r>
      <w:r>
        <w:rPr/>
        <w:t>in</w:t>
      </w:r>
      <w:r>
        <w:rPr>
          <w:spacing w:val="-15"/>
        </w:rPr>
        <w:t> </w:t>
      </w:r>
      <w:r>
        <w:rPr/>
        <w:t>accounting quality in weak enforcement countries because they are unlikely to be properly enforced. Therefore,</w:t>
      </w:r>
      <w:r>
        <w:rPr>
          <w:spacing w:val="-7"/>
        </w:rPr>
        <w:t> </w:t>
      </w:r>
      <w:r>
        <w:rPr/>
        <w:t>do</w:t>
      </w:r>
      <w:r>
        <w:rPr>
          <w:spacing w:val="-7"/>
        </w:rPr>
        <w:t> </w:t>
      </w:r>
      <w:r>
        <w:rPr/>
        <w:t>not</w:t>
      </w:r>
      <w:r>
        <w:rPr>
          <w:spacing w:val="-7"/>
        </w:rPr>
        <w:t> </w:t>
      </w:r>
      <w:r>
        <w:rPr/>
        <w:t>expect</w:t>
      </w:r>
      <w:r>
        <w:rPr>
          <w:spacing w:val="-7"/>
        </w:rPr>
        <w:t> </w:t>
      </w:r>
      <w:r>
        <w:rPr/>
        <w:t>a</w:t>
      </w:r>
      <w:r>
        <w:rPr>
          <w:spacing w:val="-8"/>
        </w:rPr>
        <w:t> </w:t>
      </w:r>
      <w:r>
        <w:rPr/>
        <w:t>change</w:t>
      </w:r>
      <w:r>
        <w:rPr>
          <w:spacing w:val="-8"/>
        </w:rPr>
        <w:t> </w:t>
      </w:r>
      <w:r>
        <w:rPr/>
        <w:t>in</w:t>
      </w:r>
      <w:r>
        <w:rPr>
          <w:spacing w:val="-7"/>
        </w:rPr>
        <w:t> </w:t>
      </w:r>
      <w:r>
        <w:rPr/>
        <w:t>accounting</w:t>
      </w:r>
      <w:r>
        <w:rPr>
          <w:spacing w:val="-7"/>
        </w:rPr>
        <w:t> </w:t>
      </w:r>
      <w:r>
        <w:rPr/>
        <w:t>quality</w:t>
      </w:r>
      <w:r>
        <w:rPr>
          <w:spacing w:val="-7"/>
        </w:rPr>
        <w:t> </w:t>
      </w:r>
      <w:r>
        <w:rPr/>
        <w:t>after</w:t>
      </w:r>
      <w:r>
        <w:rPr>
          <w:spacing w:val="-8"/>
        </w:rPr>
        <w:t> </w:t>
      </w:r>
      <w:r>
        <w:rPr/>
        <w:t>the</w:t>
      </w:r>
      <w:r>
        <w:rPr>
          <w:spacing w:val="-8"/>
        </w:rPr>
        <w:t> </w:t>
      </w:r>
      <w:r>
        <w:rPr/>
        <w:t>mandatory</w:t>
      </w:r>
      <w:r>
        <w:rPr>
          <w:spacing w:val="-7"/>
        </w:rPr>
        <w:t> </w:t>
      </w:r>
      <w:r>
        <w:rPr/>
        <w:t>IFRS</w:t>
      </w:r>
      <w:r>
        <w:rPr>
          <w:spacing w:val="-7"/>
        </w:rPr>
        <w:t> </w:t>
      </w:r>
      <w:r>
        <w:rPr/>
        <w:t>adoption</w:t>
      </w:r>
      <w:r>
        <w:rPr>
          <w:spacing w:val="-7"/>
        </w:rPr>
        <w:t> </w:t>
      </w:r>
      <w:r>
        <w:rPr/>
        <w:t>for firms in weak enforcement countries. Therefore, this study sought to explore corporate governance attributes such as board and ownership structure on financial reporting quality making a comparison between the Nigerian GAAP (NGAAP), otherwise known as the pre- IFRS regime and post-IFRS regime. This would expand the horizon of knowledge given that the IFRS is generally perceived to be of higher quality standards than the NGAAP and that Nigeria is perceived to be a weak enforcement country. The results of the study would share light on the foregoing discourse and appropriate recommendation made in the light of peculiarities that are distinct to developing countries like Nigeria.</w:t>
      </w:r>
    </w:p>
    <w:p>
      <w:pPr>
        <w:pStyle w:val="BodyText"/>
      </w:pPr>
    </w:p>
    <w:p>
      <w:pPr>
        <w:pStyle w:val="BodyText"/>
        <w:spacing w:before="2"/>
      </w:pPr>
    </w:p>
    <w:p>
      <w:pPr>
        <w:pStyle w:val="Heading3"/>
        <w:numPr>
          <w:ilvl w:val="1"/>
          <w:numId w:val="23"/>
        </w:numPr>
        <w:tabs>
          <w:tab w:pos="1300" w:val="left" w:leader="none"/>
        </w:tabs>
        <w:spacing w:line="240" w:lineRule="auto" w:before="0" w:after="0"/>
        <w:ind w:left="1300" w:right="0" w:hanging="360"/>
        <w:jc w:val="left"/>
      </w:pPr>
      <w:bookmarkStart w:name="_TOC_250053" w:id="17"/>
      <w:r>
        <w:rPr/>
        <w:t>Corporate</w:t>
      </w:r>
      <w:r>
        <w:rPr>
          <w:spacing w:val="-5"/>
        </w:rPr>
        <w:t> </w:t>
      </w:r>
      <w:bookmarkEnd w:id="17"/>
      <w:r>
        <w:rPr>
          <w:spacing w:val="-2"/>
        </w:rPr>
        <w:t>Governance</w:t>
      </w:r>
    </w:p>
    <w:p>
      <w:pPr>
        <w:pStyle w:val="BodyText"/>
        <w:rPr>
          <w:b/>
        </w:rPr>
      </w:pPr>
    </w:p>
    <w:p>
      <w:pPr>
        <w:pStyle w:val="BodyText"/>
        <w:spacing w:line="480" w:lineRule="auto"/>
        <w:ind w:left="940" w:right="1438"/>
        <w:jc w:val="both"/>
      </w:pPr>
      <w:r>
        <w:rPr/>
        <w:t>The concept of corporate governance is traceable to the classical thesis ‘’The Modern Corporation</w:t>
      </w:r>
      <w:r>
        <w:rPr>
          <w:spacing w:val="-1"/>
        </w:rPr>
        <w:t> </w:t>
      </w:r>
      <w:r>
        <w:rPr/>
        <w:t>and</w:t>
      </w:r>
      <w:r>
        <w:rPr>
          <w:spacing w:val="-1"/>
        </w:rPr>
        <w:t> </w:t>
      </w:r>
      <w:r>
        <w:rPr/>
        <w:t>Private Property’’</w:t>
      </w:r>
      <w:r>
        <w:rPr>
          <w:spacing w:val="-2"/>
        </w:rPr>
        <w:t> </w:t>
      </w:r>
      <w:r>
        <w:rPr/>
        <w:t>by</w:t>
      </w:r>
      <w:r>
        <w:rPr>
          <w:spacing w:val="-1"/>
        </w:rPr>
        <w:t> </w:t>
      </w:r>
      <w:r>
        <w:rPr/>
        <w:t>Berle and Means</w:t>
      </w:r>
      <w:r>
        <w:rPr>
          <w:spacing w:val="-1"/>
        </w:rPr>
        <w:t> </w:t>
      </w:r>
      <w:r>
        <w:rPr/>
        <w:t>(1932). The classical</w:t>
      </w:r>
      <w:r>
        <w:rPr>
          <w:spacing w:val="-1"/>
        </w:rPr>
        <w:t> </w:t>
      </w:r>
      <w:r>
        <w:rPr/>
        <w:t>thesis</w:t>
      </w:r>
      <w:r>
        <w:rPr>
          <w:spacing w:val="-1"/>
        </w:rPr>
        <w:t> </w:t>
      </w:r>
      <w:r>
        <w:rPr/>
        <w:t>described a fundamental agency problem in modern firms where there were a separation of ownership from control.</w:t>
      </w:r>
      <w:r>
        <w:rPr>
          <w:spacing w:val="40"/>
        </w:rPr>
        <w:t> </w:t>
      </w:r>
      <w:r>
        <w:rPr/>
        <w:t>Adam Smith (1937) cited in Fan (2004, p.2) made a caustic remark about the agency problem:</w:t>
      </w:r>
    </w:p>
    <w:p>
      <w:pPr>
        <w:spacing w:after="0" w:line="480" w:lineRule="auto"/>
        <w:jc w:val="both"/>
        <w:sectPr>
          <w:pgSz w:w="11910" w:h="16840"/>
          <w:pgMar w:header="0" w:footer="971" w:top="1360" w:bottom="1160" w:left="500" w:right="0"/>
        </w:sectPr>
      </w:pPr>
    </w:p>
    <w:p>
      <w:pPr>
        <w:pStyle w:val="BodyText"/>
        <w:spacing w:line="480" w:lineRule="auto" w:before="61"/>
        <w:ind w:left="1660" w:right="2455"/>
        <w:jc w:val="both"/>
      </w:pPr>
      <w:r>
        <w:rPr/>
        <w:drawing>
          <wp:anchor distT="0" distB="0" distL="0" distR="0" allowOverlap="1" layoutInCell="1" locked="0" behindDoc="1" simplePos="0" relativeHeight="477691392">
            <wp:simplePos x="0" y="0"/>
            <wp:positionH relativeFrom="page">
              <wp:posOffset>1095451</wp:posOffset>
            </wp:positionH>
            <wp:positionV relativeFrom="paragraph">
              <wp:posOffset>1850770</wp:posOffset>
            </wp:positionV>
            <wp:extent cx="5106847" cy="5238115"/>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5" cstate="print"/>
                    <a:stretch>
                      <a:fillRect/>
                    </a:stretch>
                  </pic:blipFill>
                  <pic:spPr>
                    <a:xfrm>
                      <a:off x="0" y="0"/>
                      <a:ext cx="5106847" cy="5238115"/>
                    </a:xfrm>
                    <a:prstGeom prst="rect">
                      <a:avLst/>
                    </a:prstGeom>
                  </pic:spPr>
                </pic:pic>
              </a:graphicData>
            </a:graphic>
          </wp:anchor>
        </w:drawing>
      </w:r>
      <w:r>
        <w:rPr/>
        <w:t>The directors of such companies, however, being the managers of other people’s</w:t>
      </w:r>
      <w:r>
        <w:rPr>
          <w:spacing w:val="-1"/>
        </w:rPr>
        <w:t> </w:t>
      </w:r>
      <w:r>
        <w:rPr/>
        <w:t>money than</w:t>
      </w:r>
      <w:r>
        <w:rPr>
          <w:spacing w:val="-1"/>
        </w:rPr>
        <w:t> </w:t>
      </w:r>
      <w:r>
        <w:rPr/>
        <w:t>their</w:t>
      </w:r>
      <w:r>
        <w:rPr>
          <w:spacing w:val="-1"/>
        </w:rPr>
        <w:t> </w:t>
      </w:r>
      <w:r>
        <w:rPr/>
        <w:t>own,</w:t>
      </w:r>
      <w:r>
        <w:rPr>
          <w:spacing w:val="-1"/>
        </w:rPr>
        <w:t> </w:t>
      </w:r>
      <w:r>
        <w:rPr/>
        <w:t>it cannot well be expected,</w:t>
      </w:r>
      <w:r>
        <w:rPr>
          <w:spacing w:val="-1"/>
        </w:rPr>
        <w:t> </w:t>
      </w:r>
      <w:r>
        <w:rPr/>
        <w:t>that they</w:t>
      </w:r>
      <w:r>
        <w:rPr>
          <w:spacing w:val="-1"/>
        </w:rPr>
        <w:t> </w:t>
      </w:r>
      <w:r>
        <w:rPr/>
        <w:t>should watch over it with the same anxious vigilance with which the partners in a private</w:t>
      </w:r>
      <w:r>
        <w:rPr>
          <w:spacing w:val="-11"/>
        </w:rPr>
        <w:t> </w:t>
      </w:r>
      <w:r>
        <w:rPr/>
        <w:t>co-partnery</w:t>
      </w:r>
      <w:r>
        <w:rPr>
          <w:spacing w:val="-9"/>
        </w:rPr>
        <w:t> </w:t>
      </w:r>
      <w:r>
        <w:rPr/>
        <w:t>frequently</w:t>
      </w:r>
      <w:r>
        <w:rPr>
          <w:spacing w:val="-10"/>
        </w:rPr>
        <w:t> </w:t>
      </w:r>
      <w:r>
        <w:rPr/>
        <w:t>watch</w:t>
      </w:r>
      <w:r>
        <w:rPr>
          <w:spacing w:val="-9"/>
        </w:rPr>
        <w:t> </w:t>
      </w:r>
      <w:r>
        <w:rPr/>
        <w:t>over</w:t>
      </w:r>
      <w:r>
        <w:rPr>
          <w:spacing w:val="-9"/>
        </w:rPr>
        <w:t> </w:t>
      </w:r>
      <w:r>
        <w:rPr/>
        <w:t>them…Negligence</w:t>
      </w:r>
      <w:r>
        <w:rPr>
          <w:spacing w:val="-9"/>
        </w:rPr>
        <w:t> </w:t>
      </w:r>
      <w:r>
        <w:rPr/>
        <w:t>and</w:t>
      </w:r>
      <w:r>
        <w:rPr>
          <w:spacing w:val="-8"/>
        </w:rPr>
        <w:t> </w:t>
      </w:r>
      <w:r>
        <w:rPr/>
        <w:t>profusion, therefore,</w:t>
      </w:r>
      <w:r>
        <w:rPr>
          <w:spacing w:val="-11"/>
        </w:rPr>
        <w:t> </w:t>
      </w:r>
      <w:r>
        <w:rPr/>
        <w:t>must</w:t>
      </w:r>
      <w:r>
        <w:rPr>
          <w:spacing w:val="-10"/>
        </w:rPr>
        <w:t> </w:t>
      </w:r>
      <w:r>
        <w:rPr/>
        <w:t>always</w:t>
      </w:r>
      <w:r>
        <w:rPr>
          <w:spacing w:val="-10"/>
        </w:rPr>
        <w:t> </w:t>
      </w:r>
      <w:r>
        <w:rPr/>
        <w:t>prevail</w:t>
      </w:r>
      <w:r>
        <w:rPr>
          <w:spacing w:val="-10"/>
        </w:rPr>
        <w:t> </w:t>
      </w:r>
      <w:r>
        <w:rPr/>
        <w:t>more</w:t>
      </w:r>
      <w:r>
        <w:rPr>
          <w:spacing w:val="-12"/>
        </w:rPr>
        <w:t> </w:t>
      </w:r>
      <w:r>
        <w:rPr/>
        <w:t>or</w:t>
      </w:r>
      <w:r>
        <w:rPr>
          <w:spacing w:val="-9"/>
        </w:rPr>
        <w:t> </w:t>
      </w:r>
      <w:r>
        <w:rPr/>
        <w:t>less,</w:t>
      </w:r>
      <w:r>
        <w:rPr>
          <w:spacing w:val="-11"/>
        </w:rPr>
        <w:t> </w:t>
      </w:r>
      <w:r>
        <w:rPr/>
        <w:t>in</w:t>
      </w:r>
      <w:r>
        <w:rPr>
          <w:spacing w:val="-10"/>
        </w:rPr>
        <w:t> </w:t>
      </w:r>
      <w:r>
        <w:rPr/>
        <w:t>the</w:t>
      </w:r>
      <w:r>
        <w:rPr>
          <w:spacing w:val="-9"/>
        </w:rPr>
        <w:t> </w:t>
      </w:r>
      <w:r>
        <w:rPr/>
        <w:t>management</w:t>
      </w:r>
      <w:r>
        <w:rPr>
          <w:spacing w:val="-11"/>
        </w:rPr>
        <w:t> </w:t>
      </w:r>
      <w:r>
        <w:rPr/>
        <w:t>of</w:t>
      </w:r>
      <w:r>
        <w:rPr>
          <w:spacing w:val="-9"/>
        </w:rPr>
        <w:t> </w:t>
      </w:r>
      <w:r>
        <w:rPr/>
        <w:t>the</w:t>
      </w:r>
      <w:r>
        <w:rPr>
          <w:spacing w:val="-11"/>
        </w:rPr>
        <w:t> </w:t>
      </w:r>
      <w:r>
        <w:rPr/>
        <w:t>affairs of such a company.</w:t>
      </w:r>
    </w:p>
    <w:p>
      <w:pPr>
        <w:pStyle w:val="BodyText"/>
        <w:spacing w:before="1"/>
        <w:ind w:left="940"/>
        <w:jc w:val="both"/>
      </w:pPr>
      <w:r>
        <w:rPr/>
        <w:t>Similarly,</w:t>
      </w:r>
      <w:r>
        <w:rPr>
          <w:spacing w:val="-1"/>
        </w:rPr>
        <w:t> </w:t>
      </w:r>
      <w:r>
        <w:rPr/>
        <w:t>Fan</w:t>
      </w:r>
      <w:r>
        <w:rPr>
          <w:spacing w:val="-1"/>
        </w:rPr>
        <w:t> </w:t>
      </w:r>
      <w:r>
        <w:rPr/>
        <w:t>(2004, p.</w:t>
      </w:r>
      <w:r>
        <w:rPr>
          <w:spacing w:val="1"/>
        </w:rPr>
        <w:t> </w:t>
      </w:r>
      <w:r>
        <w:rPr/>
        <w:t>2) described</w:t>
      </w:r>
      <w:r>
        <w:rPr>
          <w:spacing w:val="-1"/>
        </w:rPr>
        <w:t> </w:t>
      </w:r>
      <w:r>
        <w:rPr/>
        <w:t>the</w:t>
      </w:r>
      <w:r>
        <w:rPr>
          <w:spacing w:val="-2"/>
        </w:rPr>
        <w:t> </w:t>
      </w:r>
      <w:r>
        <w:rPr/>
        <w:t>separation of</w:t>
      </w:r>
      <w:r>
        <w:rPr>
          <w:spacing w:val="-2"/>
        </w:rPr>
        <w:t> </w:t>
      </w:r>
      <w:r>
        <w:rPr/>
        <w:t>ownership from</w:t>
      </w:r>
      <w:r>
        <w:rPr>
          <w:spacing w:val="-1"/>
        </w:rPr>
        <w:t> </w:t>
      </w:r>
      <w:r>
        <w:rPr/>
        <w:t>control </w:t>
      </w:r>
      <w:r>
        <w:rPr>
          <w:spacing w:val="-5"/>
        </w:rPr>
        <w:t>as:</w:t>
      </w:r>
    </w:p>
    <w:p>
      <w:pPr>
        <w:pStyle w:val="BodyText"/>
      </w:pPr>
    </w:p>
    <w:p>
      <w:pPr>
        <w:pStyle w:val="BodyText"/>
        <w:spacing w:line="480" w:lineRule="auto"/>
        <w:ind w:left="1931" w:right="2362"/>
        <w:jc w:val="both"/>
      </w:pPr>
      <w:r>
        <w:rPr/>
        <w:t>It has often been said that the</w:t>
      </w:r>
      <w:r>
        <w:rPr>
          <w:spacing w:val="-1"/>
        </w:rPr>
        <w:t> </w:t>
      </w:r>
      <w:r>
        <w:rPr/>
        <w:t>owner of a</w:t>
      </w:r>
      <w:r>
        <w:rPr>
          <w:spacing w:val="-1"/>
        </w:rPr>
        <w:t> </w:t>
      </w:r>
      <w:r>
        <w:rPr/>
        <w:t>horse</w:t>
      </w:r>
      <w:r>
        <w:rPr>
          <w:spacing w:val="-1"/>
        </w:rPr>
        <w:t> </w:t>
      </w:r>
      <w:r>
        <w:rPr/>
        <w:t>is responsible. If the</w:t>
      </w:r>
      <w:r>
        <w:rPr>
          <w:spacing w:val="-1"/>
        </w:rPr>
        <w:t> </w:t>
      </w:r>
      <w:r>
        <w:rPr/>
        <w:t>horse lives he must feed it. If the horse dies he must bury it. No such responsibility attaches to a share of stock. The owner is practically powerless through his own efforts to affect the underlying property. The spiritual values that formerly went with ownership have been separated from it…the responsibility and the substance which have been an integral part of ownership in the past are being transferred to a separate group in whose hands lies control.</w:t>
      </w:r>
    </w:p>
    <w:p>
      <w:pPr>
        <w:pStyle w:val="BodyText"/>
        <w:spacing w:line="480" w:lineRule="auto" w:before="1"/>
        <w:ind w:left="940" w:right="1432"/>
        <w:jc w:val="both"/>
      </w:pPr>
      <w:r>
        <w:rPr/>
        <w:t>Jensen</w:t>
      </w:r>
      <w:r>
        <w:rPr>
          <w:spacing w:val="-1"/>
        </w:rPr>
        <w:t> </w:t>
      </w:r>
      <w:r>
        <w:rPr/>
        <w:t>and</w:t>
      </w:r>
      <w:r>
        <w:rPr>
          <w:spacing w:val="-1"/>
        </w:rPr>
        <w:t> </w:t>
      </w:r>
      <w:r>
        <w:rPr/>
        <w:t>Meckling</w:t>
      </w:r>
      <w:r>
        <w:rPr>
          <w:spacing w:val="-1"/>
        </w:rPr>
        <w:t> </w:t>
      </w:r>
      <w:r>
        <w:rPr/>
        <w:t>(1976)</w:t>
      </w:r>
      <w:r>
        <w:rPr>
          <w:spacing w:val="-2"/>
        </w:rPr>
        <w:t> </w:t>
      </w:r>
      <w:r>
        <w:rPr/>
        <w:t>further</w:t>
      </w:r>
      <w:r>
        <w:rPr>
          <w:spacing w:val="-2"/>
        </w:rPr>
        <w:t> </w:t>
      </w:r>
      <w:r>
        <w:rPr/>
        <w:t>explained agency</w:t>
      </w:r>
      <w:r>
        <w:rPr>
          <w:spacing w:val="-1"/>
        </w:rPr>
        <w:t> </w:t>
      </w:r>
      <w:r>
        <w:rPr/>
        <w:t>relationship</w:t>
      </w:r>
      <w:r>
        <w:rPr>
          <w:spacing w:val="-1"/>
        </w:rPr>
        <w:t> </w:t>
      </w:r>
      <w:r>
        <w:rPr/>
        <w:t>and</w:t>
      </w:r>
      <w:r>
        <w:rPr>
          <w:spacing w:val="-1"/>
        </w:rPr>
        <w:t> </w:t>
      </w:r>
      <w:r>
        <w:rPr/>
        <w:t>identified</w:t>
      </w:r>
      <w:r>
        <w:rPr>
          <w:spacing w:val="-1"/>
        </w:rPr>
        <w:t> </w:t>
      </w:r>
      <w:r>
        <w:rPr/>
        <w:t>agency cost. Agency</w:t>
      </w:r>
      <w:r>
        <w:rPr>
          <w:spacing w:val="-1"/>
        </w:rPr>
        <w:t> </w:t>
      </w:r>
      <w:r>
        <w:rPr/>
        <w:t>relationship</w:t>
      </w:r>
      <w:r>
        <w:rPr>
          <w:spacing w:val="-3"/>
        </w:rPr>
        <w:t> </w:t>
      </w:r>
      <w:r>
        <w:rPr/>
        <w:t>is</w:t>
      </w:r>
      <w:r>
        <w:rPr>
          <w:spacing w:val="-3"/>
        </w:rPr>
        <w:t> </w:t>
      </w:r>
      <w:r>
        <w:rPr/>
        <w:t>a</w:t>
      </w:r>
      <w:r>
        <w:rPr>
          <w:spacing w:val="-2"/>
        </w:rPr>
        <w:t> </w:t>
      </w:r>
      <w:r>
        <w:rPr/>
        <w:t>contract</w:t>
      </w:r>
      <w:r>
        <w:rPr>
          <w:spacing w:val="-3"/>
        </w:rPr>
        <w:t> </w:t>
      </w:r>
      <w:r>
        <w:rPr/>
        <w:t>under</w:t>
      </w:r>
      <w:r>
        <w:rPr>
          <w:spacing w:val="-2"/>
        </w:rPr>
        <w:t> </w:t>
      </w:r>
      <w:r>
        <w:rPr/>
        <w:t>which</w:t>
      </w:r>
      <w:r>
        <w:rPr>
          <w:spacing w:val="-3"/>
        </w:rPr>
        <w:t> </w:t>
      </w:r>
      <w:r>
        <w:rPr/>
        <w:t>one</w:t>
      </w:r>
      <w:r>
        <w:rPr>
          <w:spacing w:val="-2"/>
        </w:rPr>
        <w:t> </w:t>
      </w:r>
      <w:r>
        <w:rPr/>
        <w:t>or</w:t>
      </w:r>
      <w:r>
        <w:rPr>
          <w:spacing w:val="-3"/>
        </w:rPr>
        <w:t> </w:t>
      </w:r>
      <w:r>
        <w:rPr/>
        <w:t>more</w:t>
      </w:r>
      <w:r>
        <w:rPr>
          <w:spacing w:val="-2"/>
        </w:rPr>
        <w:t> </w:t>
      </w:r>
      <w:r>
        <w:rPr/>
        <w:t>persons</w:t>
      </w:r>
      <w:r>
        <w:rPr>
          <w:spacing w:val="-2"/>
        </w:rPr>
        <w:t> </w:t>
      </w:r>
      <w:r>
        <w:rPr/>
        <w:t>(principal)</w:t>
      </w:r>
      <w:r>
        <w:rPr>
          <w:spacing w:val="-3"/>
        </w:rPr>
        <w:t> </w:t>
      </w:r>
      <w:r>
        <w:rPr/>
        <w:t>engage</w:t>
      </w:r>
      <w:r>
        <w:rPr>
          <w:spacing w:val="-2"/>
        </w:rPr>
        <w:t> </w:t>
      </w:r>
      <w:r>
        <w:rPr/>
        <w:t>another person (agent) to perform some services on their behalf which involves delegating some decision making-authority to the agent. Consequently, there is the tendency that conflicts of interest will arise when decision making-authority is delegated to the agent. Conflicts of interest</w:t>
      </w:r>
      <w:r>
        <w:rPr>
          <w:spacing w:val="-11"/>
        </w:rPr>
        <w:t> </w:t>
      </w:r>
      <w:r>
        <w:rPr/>
        <w:t>between</w:t>
      </w:r>
      <w:r>
        <w:rPr>
          <w:spacing w:val="-12"/>
        </w:rPr>
        <w:t> </w:t>
      </w:r>
      <w:r>
        <w:rPr/>
        <w:t>the</w:t>
      </w:r>
      <w:r>
        <w:rPr>
          <w:spacing w:val="-10"/>
        </w:rPr>
        <w:t> </w:t>
      </w:r>
      <w:r>
        <w:rPr/>
        <w:t>managers</w:t>
      </w:r>
      <w:r>
        <w:rPr>
          <w:spacing w:val="-13"/>
        </w:rPr>
        <w:t> </w:t>
      </w:r>
      <w:r>
        <w:rPr/>
        <w:t>or</w:t>
      </w:r>
      <w:r>
        <w:rPr>
          <w:spacing w:val="-13"/>
        </w:rPr>
        <w:t> </w:t>
      </w:r>
      <w:r>
        <w:rPr/>
        <w:t>controlling</w:t>
      </w:r>
      <w:r>
        <w:rPr>
          <w:spacing w:val="-12"/>
        </w:rPr>
        <w:t> </w:t>
      </w:r>
      <w:r>
        <w:rPr/>
        <w:t>shareholders</w:t>
      </w:r>
      <w:r>
        <w:rPr>
          <w:spacing w:val="-12"/>
        </w:rPr>
        <w:t> </w:t>
      </w:r>
      <w:r>
        <w:rPr/>
        <w:t>and</w:t>
      </w:r>
      <w:r>
        <w:rPr>
          <w:spacing w:val="-12"/>
        </w:rPr>
        <w:t> </w:t>
      </w:r>
      <w:r>
        <w:rPr/>
        <w:t>outside</w:t>
      </w:r>
      <w:r>
        <w:rPr>
          <w:spacing w:val="-11"/>
        </w:rPr>
        <w:t> </w:t>
      </w:r>
      <w:r>
        <w:rPr/>
        <w:t>or</w:t>
      </w:r>
      <w:r>
        <w:rPr>
          <w:spacing w:val="-13"/>
        </w:rPr>
        <w:t> </w:t>
      </w:r>
      <w:r>
        <w:rPr/>
        <w:t>minority</w:t>
      </w:r>
      <w:r>
        <w:rPr>
          <w:spacing w:val="-12"/>
        </w:rPr>
        <w:t> </w:t>
      </w:r>
      <w:r>
        <w:rPr/>
        <w:t>shareholders refer</w:t>
      </w:r>
      <w:r>
        <w:rPr>
          <w:spacing w:val="-10"/>
        </w:rPr>
        <w:t> </w:t>
      </w:r>
      <w:r>
        <w:rPr/>
        <w:t>to</w:t>
      </w:r>
      <w:r>
        <w:rPr>
          <w:spacing w:val="-9"/>
        </w:rPr>
        <w:t> </w:t>
      </w:r>
      <w:r>
        <w:rPr/>
        <w:t>the</w:t>
      </w:r>
      <w:r>
        <w:rPr>
          <w:spacing w:val="-10"/>
        </w:rPr>
        <w:t> </w:t>
      </w:r>
      <w:r>
        <w:rPr/>
        <w:t>tendency</w:t>
      </w:r>
      <w:r>
        <w:rPr>
          <w:spacing w:val="-10"/>
        </w:rPr>
        <w:t> </w:t>
      </w:r>
      <w:r>
        <w:rPr/>
        <w:t>that</w:t>
      </w:r>
      <w:r>
        <w:rPr>
          <w:spacing w:val="-10"/>
        </w:rPr>
        <w:t> </w:t>
      </w:r>
      <w:r>
        <w:rPr/>
        <w:t>the</w:t>
      </w:r>
      <w:r>
        <w:rPr>
          <w:spacing w:val="-10"/>
        </w:rPr>
        <w:t> </w:t>
      </w:r>
      <w:r>
        <w:rPr/>
        <w:t>former</w:t>
      </w:r>
      <w:r>
        <w:rPr>
          <w:spacing w:val="-11"/>
        </w:rPr>
        <w:t> </w:t>
      </w:r>
      <w:r>
        <w:rPr/>
        <w:t>may</w:t>
      </w:r>
      <w:r>
        <w:rPr>
          <w:spacing w:val="-10"/>
        </w:rPr>
        <w:t> </w:t>
      </w:r>
      <w:r>
        <w:rPr/>
        <w:t>extract</w:t>
      </w:r>
      <w:r>
        <w:rPr>
          <w:spacing w:val="-9"/>
        </w:rPr>
        <w:t> </w:t>
      </w:r>
      <w:r>
        <w:rPr/>
        <w:t>perquisites</w:t>
      </w:r>
      <w:r>
        <w:rPr>
          <w:spacing w:val="-9"/>
        </w:rPr>
        <w:t> </w:t>
      </w:r>
      <w:r>
        <w:rPr/>
        <w:t>(or</w:t>
      </w:r>
      <w:r>
        <w:rPr>
          <w:spacing w:val="-11"/>
        </w:rPr>
        <w:t> </w:t>
      </w:r>
      <w:r>
        <w:rPr/>
        <w:t>perks)</w:t>
      </w:r>
      <w:r>
        <w:rPr>
          <w:spacing w:val="-11"/>
        </w:rPr>
        <w:t> </w:t>
      </w:r>
      <w:r>
        <w:rPr/>
        <w:t>out</w:t>
      </w:r>
      <w:r>
        <w:rPr>
          <w:spacing w:val="-9"/>
        </w:rPr>
        <w:t> </w:t>
      </w:r>
      <w:r>
        <w:rPr/>
        <w:t>of</w:t>
      </w:r>
      <w:r>
        <w:rPr>
          <w:spacing w:val="-10"/>
        </w:rPr>
        <w:t> </w:t>
      </w:r>
      <w:r>
        <w:rPr/>
        <w:t>a</w:t>
      </w:r>
      <w:r>
        <w:rPr>
          <w:spacing w:val="-11"/>
        </w:rPr>
        <w:t> </w:t>
      </w:r>
      <w:r>
        <w:rPr/>
        <w:t>firm’s</w:t>
      </w:r>
      <w:r>
        <w:rPr>
          <w:spacing w:val="-10"/>
        </w:rPr>
        <w:t> </w:t>
      </w:r>
      <w:r>
        <w:rPr/>
        <w:t>resources and be less interested to pursue new profitable venture. On the other hand, agency cost is monitoring</w:t>
      </w:r>
      <w:r>
        <w:rPr>
          <w:spacing w:val="-10"/>
        </w:rPr>
        <w:t> </w:t>
      </w:r>
      <w:r>
        <w:rPr/>
        <w:t>expenditure</w:t>
      </w:r>
      <w:r>
        <w:rPr>
          <w:spacing w:val="-12"/>
        </w:rPr>
        <w:t> </w:t>
      </w:r>
      <w:r>
        <w:rPr/>
        <w:t>by</w:t>
      </w:r>
      <w:r>
        <w:rPr>
          <w:spacing w:val="-11"/>
        </w:rPr>
        <w:t> </w:t>
      </w:r>
      <w:r>
        <w:rPr/>
        <w:t>the</w:t>
      </w:r>
      <w:r>
        <w:rPr>
          <w:spacing w:val="-11"/>
        </w:rPr>
        <w:t> </w:t>
      </w:r>
      <w:r>
        <w:rPr/>
        <w:t>principal</w:t>
      </w:r>
      <w:r>
        <w:rPr>
          <w:spacing w:val="-11"/>
        </w:rPr>
        <w:t> </w:t>
      </w:r>
      <w:r>
        <w:rPr/>
        <w:t>such</w:t>
      </w:r>
      <w:r>
        <w:rPr>
          <w:spacing w:val="-11"/>
        </w:rPr>
        <w:t> </w:t>
      </w:r>
      <w:r>
        <w:rPr/>
        <w:t>as</w:t>
      </w:r>
      <w:r>
        <w:rPr>
          <w:spacing w:val="-10"/>
        </w:rPr>
        <w:t> </w:t>
      </w:r>
      <w:r>
        <w:rPr/>
        <w:t>auditing,</w:t>
      </w:r>
      <w:r>
        <w:rPr>
          <w:spacing w:val="-10"/>
        </w:rPr>
        <w:t> </w:t>
      </w:r>
      <w:r>
        <w:rPr/>
        <w:t>budgeting,</w:t>
      </w:r>
      <w:r>
        <w:rPr>
          <w:spacing w:val="-11"/>
        </w:rPr>
        <w:t> </w:t>
      </w:r>
      <w:r>
        <w:rPr/>
        <w:t>control</w:t>
      </w:r>
      <w:r>
        <w:rPr>
          <w:spacing w:val="-13"/>
        </w:rPr>
        <w:t> </w:t>
      </w:r>
      <w:r>
        <w:rPr/>
        <w:t>and</w:t>
      </w:r>
      <w:r>
        <w:rPr>
          <w:spacing w:val="-11"/>
        </w:rPr>
        <w:t> </w:t>
      </w:r>
      <w:r>
        <w:rPr/>
        <w:t>compensation system,</w:t>
      </w:r>
      <w:r>
        <w:rPr>
          <w:spacing w:val="40"/>
        </w:rPr>
        <w:t> </w:t>
      </w:r>
      <w:r>
        <w:rPr/>
        <w:t>bonding</w:t>
      </w:r>
      <w:r>
        <w:rPr>
          <w:spacing w:val="43"/>
        </w:rPr>
        <w:t> </w:t>
      </w:r>
      <w:r>
        <w:rPr/>
        <w:t>expenditure</w:t>
      </w:r>
      <w:r>
        <w:rPr>
          <w:spacing w:val="41"/>
        </w:rPr>
        <w:t> </w:t>
      </w:r>
      <w:r>
        <w:rPr/>
        <w:t>by</w:t>
      </w:r>
      <w:r>
        <w:rPr>
          <w:spacing w:val="41"/>
        </w:rPr>
        <w:t> </w:t>
      </w:r>
      <w:r>
        <w:rPr/>
        <w:t>the</w:t>
      </w:r>
      <w:r>
        <w:rPr>
          <w:spacing w:val="44"/>
        </w:rPr>
        <w:t> </w:t>
      </w:r>
      <w:r>
        <w:rPr/>
        <w:t>agent</w:t>
      </w:r>
      <w:r>
        <w:rPr>
          <w:spacing w:val="43"/>
        </w:rPr>
        <w:t> </w:t>
      </w:r>
      <w:r>
        <w:rPr/>
        <w:t>and</w:t>
      </w:r>
      <w:r>
        <w:rPr>
          <w:spacing w:val="44"/>
        </w:rPr>
        <w:t> </w:t>
      </w:r>
      <w:r>
        <w:rPr/>
        <w:t>residual</w:t>
      </w:r>
      <w:r>
        <w:rPr>
          <w:spacing w:val="43"/>
        </w:rPr>
        <w:t> </w:t>
      </w:r>
      <w:r>
        <w:rPr/>
        <w:t>loss</w:t>
      </w:r>
      <w:r>
        <w:rPr>
          <w:spacing w:val="43"/>
        </w:rPr>
        <w:t> </w:t>
      </w:r>
      <w:r>
        <w:rPr/>
        <w:t>due</w:t>
      </w:r>
      <w:r>
        <w:rPr>
          <w:spacing w:val="43"/>
        </w:rPr>
        <w:t> </w:t>
      </w:r>
      <w:r>
        <w:rPr/>
        <w:t>to</w:t>
      </w:r>
      <w:r>
        <w:rPr>
          <w:spacing w:val="43"/>
        </w:rPr>
        <w:t> </w:t>
      </w:r>
      <w:r>
        <w:rPr/>
        <w:t>divergence</w:t>
      </w:r>
      <w:r>
        <w:rPr>
          <w:spacing w:val="44"/>
        </w:rPr>
        <w:t> </w:t>
      </w:r>
      <w:r>
        <w:rPr/>
        <w:t>of</w:t>
      </w:r>
      <w:r>
        <w:rPr>
          <w:spacing w:val="44"/>
        </w:rPr>
        <w:t> </w:t>
      </w:r>
      <w:r>
        <w:rPr>
          <w:spacing w:val="-2"/>
        </w:rPr>
        <w:t>interest</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t>between the principal and agent (Jensen &amp; Meckling, 1976). Therefore, to maximize firm value,</w:t>
      </w:r>
      <w:r>
        <w:rPr>
          <w:spacing w:val="-10"/>
        </w:rPr>
        <w:t> </w:t>
      </w:r>
      <w:r>
        <w:rPr/>
        <w:t>there</w:t>
      </w:r>
      <w:r>
        <w:rPr>
          <w:spacing w:val="-11"/>
        </w:rPr>
        <w:t> </w:t>
      </w:r>
      <w:r>
        <w:rPr/>
        <w:t>is</w:t>
      </w:r>
      <w:r>
        <w:rPr>
          <w:spacing w:val="-9"/>
        </w:rPr>
        <w:t> </w:t>
      </w:r>
      <w:r>
        <w:rPr/>
        <w:t>the</w:t>
      </w:r>
      <w:r>
        <w:rPr>
          <w:spacing w:val="-10"/>
        </w:rPr>
        <w:t> </w:t>
      </w:r>
      <w:r>
        <w:rPr/>
        <w:t>need</w:t>
      </w:r>
      <w:r>
        <w:rPr>
          <w:spacing w:val="-10"/>
        </w:rPr>
        <w:t> </w:t>
      </w:r>
      <w:r>
        <w:rPr/>
        <w:t>to</w:t>
      </w:r>
      <w:r>
        <w:rPr>
          <w:spacing w:val="-7"/>
        </w:rPr>
        <w:t> </w:t>
      </w:r>
      <w:r>
        <w:rPr/>
        <w:t>reduce</w:t>
      </w:r>
      <w:r>
        <w:rPr>
          <w:spacing w:val="-11"/>
        </w:rPr>
        <w:t> </w:t>
      </w:r>
      <w:r>
        <w:rPr/>
        <w:t>such</w:t>
      </w:r>
      <w:r>
        <w:rPr>
          <w:spacing w:val="-7"/>
        </w:rPr>
        <w:t> </w:t>
      </w:r>
      <w:r>
        <w:rPr/>
        <w:t>agency</w:t>
      </w:r>
      <w:r>
        <w:rPr>
          <w:spacing w:val="-8"/>
        </w:rPr>
        <w:t> </w:t>
      </w:r>
      <w:r>
        <w:rPr/>
        <w:t>cost,</w:t>
      </w:r>
      <w:r>
        <w:rPr>
          <w:spacing w:val="-7"/>
        </w:rPr>
        <w:t> </w:t>
      </w:r>
      <w:r>
        <w:rPr/>
        <w:t>hence,</w:t>
      </w:r>
      <w:r>
        <w:rPr>
          <w:spacing w:val="-10"/>
        </w:rPr>
        <w:t> </w:t>
      </w:r>
      <w:r>
        <w:rPr/>
        <w:t>the</w:t>
      </w:r>
      <w:r>
        <w:rPr>
          <w:spacing w:val="-11"/>
        </w:rPr>
        <w:t> </w:t>
      </w:r>
      <w:r>
        <w:rPr/>
        <w:t>concept</w:t>
      </w:r>
      <w:r>
        <w:rPr>
          <w:spacing w:val="-9"/>
        </w:rPr>
        <w:t> </w:t>
      </w:r>
      <w:r>
        <w:rPr/>
        <w:t>of</w:t>
      </w:r>
      <w:r>
        <w:rPr>
          <w:spacing w:val="-8"/>
        </w:rPr>
        <w:t> </w:t>
      </w:r>
      <w:r>
        <w:rPr/>
        <w:t>corporate</w:t>
      </w:r>
      <w:r>
        <w:rPr>
          <w:spacing w:val="-10"/>
        </w:rPr>
        <w:t> </w:t>
      </w:r>
      <w:r>
        <w:rPr/>
        <w:t>governance </w:t>
      </w:r>
      <w:r>
        <w:rPr>
          <w:spacing w:val="-2"/>
        </w:rPr>
        <w:t>arose.</w:t>
      </w:r>
    </w:p>
    <w:p>
      <w:pPr>
        <w:pStyle w:val="BodyText"/>
        <w:spacing w:line="480" w:lineRule="auto"/>
        <w:ind w:left="940" w:right="1435"/>
        <w:jc w:val="both"/>
      </w:pPr>
      <w:r>
        <w:rPr/>
        <w:drawing>
          <wp:anchor distT="0" distB="0" distL="0" distR="0" allowOverlap="1" layoutInCell="1" locked="0" behindDoc="1" simplePos="0" relativeHeight="477691904">
            <wp:simplePos x="0" y="0"/>
            <wp:positionH relativeFrom="page">
              <wp:posOffset>1095451</wp:posOffset>
            </wp:positionH>
            <wp:positionV relativeFrom="paragraph">
              <wp:posOffset>760565</wp:posOffset>
            </wp:positionV>
            <wp:extent cx="5106847" cy="523811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5" cstate="print"/>
                    <a:stretch>
                      <a:fillRect/>
                    </a:stretch>
                  </pic:blipFill>
                  <pic:spPr>
                    <a:xfrm>
                      <a:off x="0" y="0"/>
                      <a:ext cx="5106847" cy="5238115"/>
                    </a:xfrm>
                    <a:prstGeom prst="rect">
                      <a:avLst/>
                    </a:prstGeom>
                  </pic:spPr>
                </pic:pic>
              </a:graphicData>
            </a:graphic>
          </wp:anchor>
        </w:drawing>
      </w:r>
      <w:r>
        <w:rPr/>
        <w:t>Corporate governance has been conceptualized in different ways, depending on several theoretical</w:t>
      </w:r>
      <w:r>
        <w:rPr>
          <w:spacing w:val="-15"/>
        </w:rPr>
        <w:t> </w:t>
      </w:r>
      <w:r>
        <w:rPr/>
        <w:t>standpoint</w:t>
      </w:r>
      <w:r>
        <w:rPr>
          <w:spacing w:val="-15"/>
        </w:rPr>
        <w:t> </w:t>
      </w:r>
      <w:r>
        <w:rPr/>
        <w:t>regarding</w:t>
      </w:r>
      <w:r>
        <w:rPr>
          <w:spacing w:val="-15"/>
        </w:rPr>
        <w:t> </w:t>
      </w:r>
      <w:r>
        <w:rPr/>
        <w:t>who</w:t>
      </w:r>
      <w:r>
        <w:rPr>
          <w:spacing w:val="-15"/>
        </w:rPr>
        <w:t> </w:t>
      </w:r>
      <w:r>
        <w:rPr/>
        <w:t>are</w:t>
      </w:r>
      <w:r>
        <w:rPr>
          <w:spacing w:val="-15"/>
        </w:rPr>
        <w:t> </w:t>
      </w:r>
      <w:r>
        <w:rPr/>
        <w:t>the</w:t>
      </w:r>
      <w:r>
        <w:rPr>
          <w:spacing w:val="-15"/>
        </w:rPr>
        <w:t> </w:t>
      </w:r>
      <w:r>
        <w:rPr/>
        <w:t>constituents</w:t>
      </w:r>
      <w:r>
        <w:rPr>
          <w:spacing w:val="-14"/>
        </w:rPr>
        <w:t> </w:t>
      </w:r>
      <w:r>
        <w:rPr/>
        <w:t>for</w:t>
      </w:r>
      <w:r>
        <w:rPr>
          <w:spacing w:val="-15"/>
        </w:rPr>
        <w:t> </w:t>
      </w:r>
      <w:r>
        <w:rPr/>
        <w:t>whose</w:t>
      </w:r>
      <w:r>
        <w:rPr>
          <w:spacing w:val="-15"/>
        </w:rPr>
        <w:t> </w:t>
      </w:r>
      <w:r>
        <w:rPr/>
        <w:t>benefit</w:t>
      </w:r>
      <w:r>
        <w:rPr>
          <w:spacing w:val="-13"/>
        </w:rPr>
        <w:t> </w:t>
      </w:r>
      <w:r>
        <w:rPr/>
        <w:t>the</w:t>
      </w:r>
      <w:r>
        <w:rPr>
          <w:spacing w:val="-15"/>
        </w:rPr>
        <w:t> </w:t>
      </w:r>
      <w:r>
        <w:rPr/>
        <w:t>company</w:t>
      </w:r>
      <w:r>
        <w:rPr>
          <w:spacing w:val="-15"/>
        </w:rPr>
        <w:t> </w:t>
      </w:r>
      <w:r>
        <w:rPr/>
        <w:t>should be managed. Such theories that have shaped the conceptualization of corporate governance include</w:t>
      </w:r>
      <w:r>
        <w:rPr>
          <w:spacing w:val="-15"/>
        </w:rPr>
        <w:t> </w:t>
      </w:r>
      <w:r>
        <w:rPr/>
        <w:t>the</w:t>
      </w:r>
      <w:r>
        <w:rPr>
          <w:spacing w:val="-15"/>
        </w:rPr>
        <w:t> </w:t>
      </w:r>
      <w:r>
        <w:rPr/>
        <w:t>agency,</w:t>
      </w:r>
      <w:r>
        <w:rPr>
          <w:spacing w:val="-15"/>
        </w:rPr>
        <w:t> </w:t>
      </w:r>
      <w:r>
        <w:rPr/>
        <w:t>stewardship</w:t>
      </w:r>
      <w:r>
        <w:rPr>
          <w:spacing w:val="-15"/>
        </w:rPr>
        <w:t> </w:t>
      </w:r>
      <w:r>
        <w:rPr/>
        <w:t>and</w:t>
      </w:r>
      <w:r>
        <w:rPr>
          <w:spacing w:val="-15"/>
        </w:rPr>
        <w:t> </w:t>
      </w:r>
      <w:r>
        <w:rPr/>
        <w:t>stakeholders’</w:t>
      </w:r>
      <w:r>
        <w:rPr>
          <w:spacing w:val="-15"/>
        </w:rPr>
        <w:t> </w:t>
      </w:r>
      <w:r>
        <w:rPr/>
        <w:t>theories.</w:t>
      </w:r>
      <w:r>
        <w:rPr>
          <w:spacing w:val="9"/>
        </w:rPr>
        <w:t> </w:t>
      </w:r>
      <w:r>
        <w:rPr/>
        <w:t>Again,</w:t>
      </w:r>
      <w:r>
        <w:rPr>
          <w:spacing w:val="-15"/>
        </w:rPr>
        <w:t> </w:t>
      </w:r>
      <w:r>
        <w:rPr/>
        <w:t>it</w:t>
      </w:r>
      <w:r>
        <w:rPr>
          <w:spacing w:val="-15"/>
        </w:rPr>
        <w:t> </w:t>
      </w:r>
      <w:r>
        <w:rPr/>
        <w:t>is</w:t>
      </w:r>
      <w:r>
        <w:rPr>
          <w:spacing w:val="-15"/>
        </w:rPr>
        <w:t> </w:t>
      </w:r>
      <w:r>
        <w:rPr/>
        <w:t>upon</w:t>
      </w:r>
      <w:r>
        <w:rPr>
          <w:spacing w:val="-15"/>
        </w:rPr>
        <w:t> </w:t>
      </w:r>
      <w:r>
        <w:rPr/>
        <w:t>these</w:t>
      </w:r>
      <w:r>
        <w:rPr>
          <w:spacing w:val="-15"/>
        </w:rPr>
        <w:t> </w:t>
      </w:r>
      <w:r>
        <w:rPr/>
        <w:t>perspectives that corporate governance models are developed. These models include the Anglo-American Model otherwise known as the Market-Oriented Model which emphasizes the interests of shareholders</w:t>
      </w:r>
      <w:r>
        <w:rPr>
          <w:spacing w:val="-13"/>
        </w:rPr>
        <w:t> </w:t>
      </w:r>
      <w:r>
        <w:rPr/>
        <w:t>while</w:t>
      </w:r>
      <w:r>
        <w:rPr>
          <w:spacing w:val="-14"/>
        </w:rPr>
        <w:t> </w:t>
      </w:r>
      <w:r>
        <w:rPr/>
        <w:t>the</w:t>
      </w:r>
      <w:r>
        <w:rPr>
          <w:spacing w:val="-14"/>
        </w:rPr>
        <w:t> </w:t>
      </w:r>
      <w:r>
        <w:rPr/>
        <w:t>Coordinated</w:t>
      </w:r>
      <w:r>
        <w:rPr>
          <w:spacing w:val="-14"/>
        </w:rPr>
        <w:t> </w:t>
      </w:r>
      <w:r>
        <w:rPr/>
        <w:t>or</w:t>
      </w:r>
      <w:r>
        <w:rPr>
          <w:spacing w:val="-14"/>
        </w:rPr>
        <w:t> </w:t>
      </w:r>
      <w:r>
        <w:rPr/>
        <w:t>Multi-Stakeholder</w:t>
      </w:r>
      <w:r>
        <w:rPr>
          <w:spacing w:val="-14"/>
        </w:rPr>
        <w:t> </w:t>
      </w:r>
      <w:r>
        <w:rPr/>
        <w:t>Model</w:t>
      </w:r>
      <w:r>
        <w:rPr>
          <w:spacing w:val="-13"/>
        </w:rPr>
        <w:t> </w:t>
      </w:r>
      <w:r>
        <w:rPr/>
        <w:t>otherwise</w:t>
      </w:r>
      <w:r>
        <w:rPr>
          <w:spacing w:val="-11"/>
        </w:rPr>
        <w:t> </w:t>
      </w:r>
      <w:r>
        <w:rPr/>
        <w:t>known</w:t>
      </w:r>
      <w:r>
        <w:rPr>
          <w:spacing w:val="-12"/>
        </w:rPr>
        <w:t> </w:t>
      </w:r>
      <w:r>
        <w:rPr/>
        <w:t>as</w:t>
      </w:r>
      <w:r>
        <w:rPr>
          <w:spacing w:val="-13"/>
        </w:rPr>
        <w:t> </w:t>
      </w:r>
      <w:r>
        <w:rPr/>
        <w:t>the</w:t>
      </w:r>
      <w:r>
        <w:rPr>
          <w:spacing w:val="-14"/>
        </w:rPr>
        <w:t> </w:t>
      </w:r>
      <w:r>
        <w:rPr/>
        <w:t>Bank- Based</w:t>
      </w:r>
      <w:r>
        <w:rPr>
          <w:spacing w:val="-15"/>
        </w:rPr>
        <w:t> </w:t>
      </w:r>
      <w:r>
        <w:rPr/>
        <w:t>Model</w:t>
      </w:r>
      <w:r>
        <w:rPr>
          <w:spacing w:val="-15"/>
        </w:rPr>
        <w:t> </w:t>
      </w:r>
      <w:r>
        <w:rPr/>
        <w:t>associated</w:t>
      </w:r>
      <w:r>
        <w:rPr>
          <w:spacing w:val="-15"/>
        </w:rPr>
        <w:t> </w:t>
      </w:r>
      <w:r>
        <w:rPr/>
        <w:t>with</w:t>
      </w:r>
      <w:r>
        <w:rPr>
          <w:spacing w:val="-15"/>
        </w:rPr>
        <w:t> </w:t>
      </w:r>
      <w:r>
        <w:rPr/>
        <w:t>Continental</w:t>
      </w:r>
      <w:r>
        <w:rPr>
          <w:spacing w:val="-15"/>
        </w:rPr>
        <w:t> </w:t>
      </w:r>
      <w:r>
        <w:rPr/>
        <w:t>Europe</w:t>
      </w:r>
      <w:r>
        <w:rPr>
          <w:spacing w:val="-15"/>
        </w:rPr>
        <w:t> </w:t>
      </w:r>
      <w:r>
        <w:rPr/>
        <w:t>and</w:t>
      </w:r>
      <w:r>
        <w:rPr>
          <w:spacing w:val="-15"/>
        </w:rPr>
        <w:t> </w:t>
      </w:r>
      <w:r>
        <w:rPr/>
        <w:t>Japan</w:t>
      </w:r>
      <w:r>
        <w:rPr>
          <w:spacing w:val="-15"/>
        </w:rPr>
        <w:t> </w:t>
      </w:r>
      <w:r>
        <w:rPr/>
        <w:t>recognizes</w:t>
      </w:r>
      <w:r>
        <w:rPr>
          <w:spacing w:val="-15"/>
        </w:rPr>
        <w:t> </w:t>
      </w:r>
      <w:r>
        <w:rPr/>
        <w:t>the</w:t>
      </w:r>
      <w:r>
        <w:rPr>
          <w:spacing w:val="-15"/>
        </w:rPr>
        <w:t> </w:t>
      </w:r>
      <w:r>
        <w:rPr/>
        <w:t>interests</w:t>
      </w:r>
      <w:r>
        <w:rPr>
          <w:spacing w:val="-15"/>
        </w:rPr>
        <w:t> </w:t>
      </w:r>
      <w:r>
        <w:rPr/>
        <w:t>of</w:t>
      </w:r>
      <w:r>
        <w:rPr>
          <w:spacing w:val="-15"/>
        </w:rPr>
        <w:t> </w:t>
      </w:r>
      <w:r>
        <w:rPr/>
        <w:t>workers, managers, suppliers, customers and the community. The agency theory emphasises the contractual</w:t>
      </w:r>
      <w:r>
        <w:rPr>
          <w:spacing w:val="-8"/>
        </w:rPr>
        <w:t> </w:t>
      </w:r>
      <w:r>
        <w:rPr/>
        <w:t>relationship</w:t>
      </w:r>
      <w:r>
        <w:rPr>
          <w:spacing w:val="-9"/>
        </w:rPr>
        <w:t> </w:t>
      </w:r>
      <w:r>
        <w:rPr/>
        <w:t>that</w:t>
      </w:r>
      <w:r>
        <w:rPr>
          <w:spacing w:val="-9"/>
        </w:rPr>
        <w:t> </w:t>
      </w:r>
      <w:r>
        <w:rPr/>
        <w:t>exists</w:t>
      </w:r>
      <w:r>
        <w:rPr>
          <w:spacing w:val="-9"/>
        </w:rPr>
        <w:t> </w:t>
      </w:r>
      <w:r>
        <w:rPr/>
        <w:t>between</w:t>
      </w:r>
      <w:r>
        <w:rPr>
          <w:spacing w:val="-10"/>
        </w:rPr>
        <w:t> </w:t>
      </w:r>
      <w:r>
        <w:rPr/>
        <w:t>the</w:t>
      </w:r>
      <w:r>
        <w:rPr>
          <w:spacing w:val="-8"/>
        </w:rPr>
        <w:t> </w:t>
      </w:r>
      <w:r>
        <w:rPr/>
        <w:t>principal</w:t>
      </w:r>
      <w:r>
        <w:rPr>
          <w:spacing w:val="-10"/>
        </w:rPr>
        <w:t> </w:t>
      </w:r>
      <w:r>
        <w:rPr/>
        <w:t>and</w:t>
      </w:r>
      <w:r>
        <w:rPr>
          <w:spacing w:val="-10"/>
        </w:rPr>
        <w:t> </w:t>
      </w:r>
      <w:r>
        <w:rPr/>
        <w:t>the</w:t>
      </w:r>
      <w:r>
        <w:rPr>
          <w:spacing w:val="-9"/>
        </w:rPr>
        <w:t> </w:t>
      </w:r>
      <w:r>
        <w:rPr/>
        <w:t>agent</w:t>
      </w:r>
      <w:r>
        <w:rPr>
          <w:spacing w:val="-9"/>
        </w:rPr>
        <w:t> </w:t>
      </w:r>
      <w:r>
        <w:rPr/>
        <w:t>unlike</w:t>
      </w:r>
      <w:r>
        <w:rPr>
          <w:spacing w:val="-11"/>
        </w:rPr>
        <w:t> </w:t>
      </w:r>
      <w:r>
        <w:rPr/>
        <w:t>the</w:t>
      </w:r>
      <w:r>
        <w:rPr>
          <w:spacing w:val="-10"/>
        </w:rPr>
        <w:t> </w:t>
      </w:r>
      <w:r>
        <w:rPr/>
        <w:t>stakeholders’ theory which sees the firm as a wider group of constituents which transcends both the management</w:t>
      </w:r>
      <w:r>
        <w:rPr>
          <w:spacing w:val="-7"/>
        </w:rPr>
        <w:t> </w:t>
      </w:r>
      <w:r>
        <w:rPr/>
        <w:t>and</w:t>
      </w:r>
      <w:r>
        <w:rPr>
          <w:spacing w:val="-10"/>
        </w:rPr>
        <w:t> </w:t>
      </w:r>
      <w:r>
        <w:rPr/>
        <w:t>shareholders.</w:t>
      </w:r>
      <w:r>
        <w:rPr>
          <w:spacing w:val="-7"/>
        </w:rPr>
        <w:t> </w:t>
      </w:r>
      <w:r>
        <w:rPr/>
        <w:t>It</w:t>
      </w:r>
      <w:r>
        <w:rPr>
          <w:spacing w:val="-7"/>
        </w:rPr>
        <w:t> </w:t>
      </w:r>
      <w:r>
        <w:rPr/>
        <w:t>further</w:t>
      </w:r>
      <w:r>
        <w:rPr>
          <w:spacing w:val="-10"/>
        </w:rPr>
        <w:t> </w:t>
      </w:r>
      <w:r>
        <w:rPr/>
        <w:t>states</w:t>
      </w:r>
      <w:r>
        <w:rPr>
          <w:spacing w:val="-7"/>
        </w:rPr>
        <w:t> </w:t>
      </w:r>
      <w:r>
        <w:rPr/>
        <w:t>that</w:t>
      </w:r>
      <w:r>
        <w:rPr>
          <w:spacing w:val="-8"/>
        </w:rPr>
        <w:t> </w:t>
      </w:r>
      <w:r>
        <w:rPr/>
        <w:t>the</w:t>
      </w:r>
      <w:r>
        <w:rPr>
          <w:spacing w:val="-10"/>
        </w:rPr>
        <w:t> </w:t>
      </w:r>
      <w:r>
        <w:rPr/>
        <w:t>directors</w:t>
      </w:r>
      <w:r>
        <w:rPr>
          <w:spacing w:val="-10"/>
        </w:rPr>
        <w:t> </w:t>
      </w:r>
      <w:r>
        <w:rPr/>
        <w:t>should</w:t>
      </w:r>
      <w:r>
        <w:rPr>
          <w:spacing w:val="-8"/>
        </w:rPr>
        <w:t> </w:t>
      </w:r>
      <w:r>
        <w:rPr/>
        <w:t>act</w:t>
      </w:r>
      <w:r>
        <w:rPr>
          <w:spacing w:val="-7"/>
        </w:rPr>
        <w:t> </w:t>
      </w:r>
      <w:r>
        <w:rPr/>
        <w:t>in</w:t>
      </w:r>
      <w:r>
        <w:rPr>
          <w:spacing w:val="-10"/>
        </w:rPr>
        <w:t> </w:t>
      </w:r>
      <w:r>
        <w:rPr/>
        <w:t>the</w:t>
      </w:r>
      <w:r>
        <w:rPr>
          <w:spacing w:val="-10"/>
        </w:rPr>
        <w:t> </w:t>
      </w:r>
      <w:r>
        <w:rPr/>
        <w:t>interest</w:t>
      </w:r>
      <w:r>
        <w:rPr>
          <w:spacing w:val="-9"/>
        </w:rPr>
        <w:t> </w:t>
      </w:r>
      <w:r>
        <w:rPr/>
        <w:t>of</w:t>
      </w:r>
      <w:r>
        <w:rPr>
          <w:spacing w:val="-8"/>
        </w:rPr>
        <w:t> </w:t>
      </w:r>
      <w:r>
        <w:rPr/>
        <w:t>all stakeholders such as creditors, government, host environment and not only that of the shareholders (Mallin, 2006). From the standpoint of the agency theory, corporate governance is a set of mechanisms through which outside investors protect themselves against expropriation by insiders, i.e., the managers and controlling shareholders (La Porta et al., </w:t>
      </w:r>
      <w:r>
        <w:rPr>
          <w:spacing w:val="-2"/>
        </w:rPr>
        <w:t>2000).</w:t>
      </w:r>
    </w:p>
    <w:p>
      <w:pPr>
        <w:pStyle w:val="BodyText"/>
        <w:spacing w:line="480" w:lineRule="auto" w:before="2"/>
        <w:ind w:left="940" w:right="1436"/>
        <w:jc w:val="both"/>
      </w:pPr>
      <w:r>
        <w:rPr/>
        <w:t>According to Rezart (2016), corporate governance is a set of rule-based processes of laws, policies,</w:t>
      </w:r>
      <w:r>
        <w:rPr>
          <w:spacing w:val="-5"/>
        </w:rPr>
        <w:t> </w:t>
      </w:r>
      <w:r>
        <w:rPr/>
        <w:t>and</w:t>
      </w:r>
      <w:r>
        <w:rPr>
          <w:spacing w:val="-2"/>
        </w:rPr>
        <w:t> </w:t>
      </w:r>
      <w:r>
        <w:rPr/>
        <w:t>accountability</w:t>
      </w:r>
      <w:r>
        <w:rPr>
          <w:spacing w:val="-5"/>
        </w:rPr>
        <w:t> </w:t>
      </w:r>
      <w:r>
        <w:rPr/>
        <w:t>that</w:t>
      </w:r>
      <w:r>
        <w:rPr>
          <w:spacing w:val="-5"/>
        </w:rPr>
        <w:t> </w:t>
      </w:r>
      <w:r>
        <w:rPr/>
        <w:t>govern</w:t>
      </w:r>
      <w:r>
        <w:rPr>
          <w:spacing w:val="-1"/>
        </w:rPr>
        <w:t> </w:t>
      </w:r>
      <w:r>
        <w:rPr/>
        <w:t>the</w:t>
      </w:r>
      <w:r>
        <w:rPr>
          <w:spacing w:val="-5"/>
        </w:rPr>
        <w:t> </w:t>
      </w:r>
      <w:r>
        <w:rPr/>
        <w:t>relationship</w:t>
      </w:r>
      <w:r>
        <w:rPr>
          <w:spacing w:val="-5"/>
        </w:rPr>
        <w:t> </w:t>
      </w:r>
      <w:r>
        <w:rPr/>
        <w:t>between</w:t>
      </w:r>
      <w:r>
        <w:rPr>
          <w:spacing w:val="-3"/>
        </w:rPr>
        <w:t> </w:t>
      </w:r>
      <w:r>
        <w:rPr/>
        <w:t>the</w:t>
      </w:r>
      <w:r>
        <w:rPr>
          <w:spacing w:val="-5"/>
        </w:rPr>
        <w:t> </w:t>
      </w:r>
      <w:r>
        <w:rPr/>
        <w:t>investors</w:t>
      </w:r>
      <w:r>
        <w:rPr>
          <w:spacing w:val="-5"/>
        </w:rPr>
        <w:t> </w:t>
      </w:r>
      <w:r>
        <w:rPr/>
        <w:t>(stock</w:t>
      </w:r>
      <w:r>
        <w:rPr>
          <w:spacing w:val="-5"/>
        </w:rPr>
        <w:t> </w:t>
      </w:r>
      <w:r>
        <w:rPr/>
        <w:t>holder</w:t>
      </w:r>
      <w:r>
        <w:rPr>
          <w:spacing w:val="-6"/>
        </w:rPr>
        <w:t> </w:t>
      </w:r>
      <w:r>
        <w:rPr/>
        <w:t>of a company) and the investee (management). Leora and Innessa (2004) opined that corporate governance was intended to address what was known as the agency problem between shareholders</w:t>
      </w:r>
      <w:r>
        <w:rPr>
          <w:spacing w:val="58"/>
        </w:rPr>
        <w:t> </w:t>
      </w:r>
      <w:r>
        <w:rPr/>
        <w:t>and</w:t>
      </w:r>
      <w:r>
        <w:rPr>
          <w:spacing w:val="58"/>
        </w:rPr>
        <w:t> </w:t>
      </w:r>
      <w:r>
        <w:rPr/>
        <w:t>managers</w:t>
      </w:r>
      <w:r>
        <w:rPr>
          <w:spacing w:val="57"/>
        </w:rPr>
        <w:t> </w:t>
      </w:r>
      <w:r>
        <w:rPr/>
        <w:t>or</w:t>
      </w:r>
      <w:r>
        <w:rPr>
          <w:spacing w:val="58"/>
        </w:rPr>
        <w:t> </w:t>
      </w:r>
      <w:r>
        <w:rPr/>
        <w:t>between</w:t>
      </w:r>
      <w:r>
        <w:rPr>
          <w:spacing w:val="57"/>
        </w:rPr>
        <w:t> </w:t>
      </w:r>
      <w:r>
        <w:rPr/>
        <w:t>majority</w:t>
      </w:r>
      <w:r>
        <w:rPr>
          <w:spacing w:val="58"/>
        </w:rPr>
        <w:t> </w:t>
      </w:r>
      <w:r>
        <w:rPr/>
        <w:t>shareholders</w:t>
      </w:r>
      <w:r>
        <w:rPr>
          <w:spacing w:val="58"/>
        </w:rPr>
        <w:t> </w:t>
      </w:r>
      <w:r>
        <w:rPr/>
        <w:t>and</w:t>
      </w:r>
      <w:r>
        <w:rPr>
          <w:spacing w:val="58"/>
        </w:rPr>
        <w:t> </w:t>
      </w:r>
      <w:r>
        <w:rPr/>
        <w:t>minority</w:t>
      </w:r>
      <w:r>
        <w:rPr>
          <w:spacing w:val="59"/>
        </w:rPr>
        <w:t> </w:t>
      </w:r>
      <w:r>
        <w:rPr>
          <w:spacing w:val="-2"/>
        </w:rPr>
        <w:t>shareholders.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92416">
            <wp:simplePos x="0" y="0"/>
            <wp:positionH relativeFrom="page">
              <wp:posOffset>1095451</wp:posOffset>
            </wp:positionH>
            <wp:positionV relativeFrom="paragraph">
              <wp:posOffset>1850770</wp:posOffset>
            </wp:positionV>
            <wp:extent cx="5106847" cy="523811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5" cstate="print"/>
                    <a:stretch>
                      <a:fillRect/>
                    </a:stretch>
                  </pic:blipFill>
                  <pic:spPr>
                    <a:xfrm>
                      <a:off x="0" y="0"/>
                      <a:ext cx="5106847" cy="5238115"/>
                    </a:xfrm>
                    <a:prstGeom prst="rect">
                      <a:avLst/>
                    </a:prstGeom>
                  </pic:spPr>
                </pic:pic>
              </a:graphicData>
            </a:graphic>
          </wp:anchor>
        </w:drawing>
      </w:r>
      <w:r>
        <w:rPr/>
        <w:t>Shleifer and Vishny (1997, p.737) stated that “corporate governance deals with the ways in which suppliers of finance to corporations assure themselves of getting a return on their investment”. Gompers, Ishi and Metrick (2003) opined that the persuasion of corporate governance</w:t>
      </w:r>
      <w:r>
        <w:rPr>
          <w:spacing w:val="-4"/>
        </w:rPr>
        <w:t> </w:t>
      </w:r>
      <w:r>
        <w:rPr/>
        <w:t>elucidated</w:t>
      </w:r>
      <w:r>
        <w:rPr>
          <w:spacing w:val="-1"/>
        </w:rPr>
        <w:t> </w:t>
      </w:r>
      <w:r>
        <w:rPr/>
        <w:t>synergistic</w:t>
      </w:r>
      <w:r>
        <w:rPr>
          <w:spacing w:val="-4"/>
        </w:rPr>
        <w:t> </w:t>
      </w:r>
      <w:r>
        <w:rPr/>
        <w:t>relationships</w:t>
      </w:r>
      <w:r>
        <w:rPr>
          <w:spacing w:val="-3"/>
        </w:rPr>
        <w:t> </w:t>
      </w:r>
      <w:r>
        <w:rPr/>
        <w:t>between</w:t>
      </w:r>
      <w:r>
        <w:rPr>
          <w:spacing w:val="-3"/>
        </w:rPr>
        <w:t> </w:t>
      </w:r>
      <w:r>
        <w:rPr/>
        <w:t>shareholders</w:t>
      </w:r>
      <w:r>
        <w:rPr>
          <w:spacing w:val="-3"/>
        </w:rPr>
        <w:t> </w:t>
      </w:r>
      <w:r>
        <w:rPr/>
        <w:t>and</w:t>
      </w:r>
      <w:r>
        <w:rPr>
          <w:spacing w:val="-1"/>
        </w:rPr>
        <w:t> </w:t>
      </w:r>
      <w:r>
        <w:rPr/>
        <w:t>management</w:t>
      </w:r>
      <w:r>
        <w:rPr>
          <w:spacing w:val="-3"/>
        </w:rPr>
        <w:t> </w:t>
      </w:r>
      <w:r>
        <w:rPr/>
        <w:t>which aimed</w:t>
      </w:r>
      <w:r>
        <w:rPr>
          <w:spacing w:val="-15"/>
        </w:rPr>
        <w:t> </w:t>
      </w:r>
      <w:r>
        <w:rPr/>
        <w:t>to</w:t>
      </w:r>
      <w:r>
        <w:rPr>
          <w:spacing w:val="-15"/>
        </w:rPr>
        <w:t> </w:t>
      </w:r>
      <w:r>
        <w:rPr/>
        <w:t>improve</w:t>
      </w:r>
      <w:r>
        <w:rPr>
          <w:spacing w:val="-15"/>
        </w:rPr>
        <w:t> </w:t>
      </w:r>
      <w:r>
        <w:rPr/>
        <w:t>organisations</w:t>
      </w:r>
      <w:r>
        <w:rPr>
          <w:spacing w:val="-15"/>
        </w:rPr>
        <w:t> </w:t>
      </w:r>
      <w:r>
        <w:rPr/>
        <w:t>efficiency</w:t>
      </w:r>
      <w:r>
        <w:rPr>
          <w:spacing w:val="-15"/>
        </w:rPr>
        <w:t> </w:t>
      </w:r>
      <w:r>
        <w:rPr/>
        <w:t>and</w:t>
      </w:r>
      <w:r>
        <w:rPr>
          <w:spacing w:val="-15"/>
        </w:rPr>
        <w:t> </w:t>
      </w:r>
      <w:r>
        <w:rPr/>
        <w:t>market</w:t>
      </w:r>
      <w:r>
        <w:rPr>
          <w:spacing w:val="-15"/>
        </w:rPr>
        <w:t> </w:t>
      </w:r>
      <w:r>
        <w:rPr/>
        <w:t>competitiveness.</w:t>
      </w:r>
      <w:r>
        <w:rPr>
          <w:spacing w:val="-15"/>
        </w:rPr>
        <w:t> </w:t>
      </w:r>
      <w:r>
        <w:rPr/>
        <w:t>Mathiesen</w:t>
      </w:r>
      <w:r>
        <w:rPr>
          <w:spacing w:val="-15"/>
        </w:rPr>
        <w:t> </w:t>
      </w:r>
      <w:r>
        <w:rPr/>
        <w:t>(2002,</w:t>
      </w:r>
      <w:r>
        <w:rPr>
          <w:spacing w:val="-15"/>
        </w:rPr>
        <w:t> </w:t>
      </w:r>
      <w:r>
        <w:rPr/>
        <w:t>p.35) stated that:</w:t>
      </w:r>
    </w:p>
    <w:p>
      <w:pPr>
        <w:pStyle w:val="BodyText"/>
        <w:spacing w:line="480" w:lineRule="auto" w:before="1"/>
        <w:ind w:left="2020" w:right="2454"/>
        <w:jc w:val="both"/>
      </w:pPr>
      <w:r>
        <w:rPr/>
        <w:t>Corporate governance is a field in economics that investigates how to secure/motivate efficient management of corporations by the use of incentive mechanisms, such as contracts, organizational designs and legislation. This is often limited to the question of improving financial performance, for example, how the corporate owners can secure/motivate that the corporate managers will deliver a competitive rate of return.</w:t>
      </w:r>
    </w:p>
    <w:p>
      <w:pPr>
        <w:pStyle w:val="BodyText"/>
        <w:spacing w:line="480" w:lineRule="auto"/>
        <w:ind w:left="940" w:right="1441"/>
        <w:jc w:val="both"/>
      </w:pPr>
      <w:r>
        <w:rPr/>
        <w:t>On the other hand, corporate governance has also been conceptualized based on the stakeholders’ theory. The Committee of Corporate Governance or CGC adopted by the Ministry of Finance Singapore (CGC, 2001) cited in Fan (2004, p.2) opined that corporate governance was:</w:t>
      </w:r>
    </w:p>
    <w:p>
      <w:pPr>
        <w:pStyle w:val="BodyText"/>
        <w:spacing w:line="480" w:lineRule="auto" w:before="1"/>
        <w:ind w:left="2111" w:right="2274"/>
        <w:jc w:val="both"/>
      </w:pPr>
      <w:r>
        <w:rPr/>
        <w:t>Processes</w:t>
      </w:r>
      <w:r>
        <w:rPr>
          <w:spacing w:val="-6"/>
        </w:rPr>
        <w:t> </w:t>
      </w:r>
      <w:r>
        <w:rPr/>
        <w:t>and</w:t>
      </w:r>
      <w:r>
        <w:rPr>
          <w:spacing w:val="-6"/>
        </w:rPr>
        <w:t> </w:t>
      </w:r>
      <w:r>
        <w:rPr/>
        <w:t>structure</w:t>
      </w:r>
      <w:r>
        <w:rPr>
          <w:spacing w:val="-7"/>
        </w:rPr>
        <w:t> </w:t>
      </w:r>
      <w:r>
        <w:rPr/>
        <w:t>by</w:t>
      </w:r>
      <w:r>
        <w:rPr>
          <w:spacing w:val="-6"/>
        </w:rPr>
        <w:t> </w:t>
      </w:r>
      <w:r>
        <w:rPr/>
        <w:t>which</w:t>
      </w:r>
      <w:r>
        <w:rPr>
          <w:spacing w:val="-6"/>
        </w:rPr>
        <w:t> </w:t>
      </w:r>
      <w:r>
        <w:rPr/>
        <w:t>the</w:t>
      </w:r>
      <w:r>
        <w:rPr>
          <w:spacing w:val="-6"/>
        </w:rPr>
        <w:t> </w:t>
      </w:r>
      <w:r>
        <w:rPr/>
        <w:t>business</w:t>
      </w:r>
      <w:r>
        <w:rPr>
          <w:spacing w:val="-5"/>
        </w:rPr>
        <w:t> </w:t>
      </w:r>
      <w:r>
        <w:rPr/>
        <w:t>and</w:t>
      </w:r>
      <w:r>
        <w:rPr>
          <w:spacing w:val="-3"/>
        </w:rPr>
        <w:t> </w:t>
      </w:r>
      <w:r>
        <w:rPr/>
        <w:t>affairs</w:t>
      </w:r>
      <w:r>
        <w:rPr>
          <w:spacing w:val="-6"/>
        </w:rPr>
        <w:t> </w:t>
      </w:r>
      <w:r>
        <w:rPr/>
        <w:t>of</w:t>
      </w:r>
      <w:r>
        <w:rPr>
          <w:spacing w:val="-7"/>
        </w:rPr>
        <w:t> </w:t>
      </w:r>
      <w:r>
        <w:rPr/>
        <w:t>the</w:t>
      </w:r>
      <w:r>
        <w:rPr>
          <w:spacing w:val="-6"/>
        </w:rPr>
        <w:t> </w:t>
      </w:r>
      <w:r>
        <w:rPr/>
        <w:t>company are</w:t>
      </w:r>
      <w:r>
        <w:rPr>
          <w:spacing w:val="-15"/>
        </w:rPr>
        <w:t> </w:t>
      </w:r>
      <w:r>
        <w:rPr/>
        <w:t>directed</w:t>
      </w:r>
      <w:r>
        <w:rPr>
          <w:spacing w:val="-15"/>
        </w:rPr>
        <w:t> </w:t>
      </w:r>
      <w:r>
        <w:rPr/>
        <w:t>and</w:t>
      </w:r>
      <w:r>
        <w:rPr>
          <w:spacing w:val="-15"/>
        </w:rPr>
        <w:t> </w:t>
      </w:r>
      <w:r>
        <w:rPr/>
        <w:t>managed,</w:t>
      </w:r>
      <w:r>
        <w:rPr>
          <w:spacing w:val="-15"/>
        </w:rPr>
        <w:t> </w:t>
      </w:r>
      <w:r>
        <w:rPr/>
        <w:t>in</w:t>
      </w:r>
      <w:r>
        <w:rPr>
          <w:spacing w:val="-15"/>
        </w:rPr>
        <w:t> </w:t>
      </w:r>
      <w:r>
        <w:rPr/>
        <w:t>order</w:t>
      </w:r>
      <w:r>
        <w:rPr>
          <w:spacing w:val="-15"/>
        </w:rPr>
        <w:t> </w:t>
      </w:r>
      <w:r>
        <w:rPr/>
        <w:t>to</w:t>
      </w:r>
      <w:r>
        <w:rPr>
          <w:spacing w:val="-15"/>
        </w:rPr>
        <w:t> </w:t>
      </w:r>
      <w:r>
        <w:rPr/>
        <w:t>enhance</w:t>
      </w:r>
      <w:r>
        <w:rPr>
          <w:spacing w:val="-15"/>
        </w:rPr>
        <w:t> </w:t>
      </w:r>
      <w:r>
        <w:rPr/>
        <w:t>long</w:t>
      </w:r>
      <w:r>
        <w:rPr>
          <w:spacing w:val="-15"/>
        </w:rPr>
        <w:t> </w:t>
      </w:r>
      <w:r>
        <w:rPr/>
        <w:t>term</w:t>
      </w:r>
      <w:r>
        <w:rPr>
          <w:spacing w:val="-15"/>
        </w:rPr>
        <w:t> </w:t>
      </w:r>
      <w:r>
        <w:rPr/>
        <w:t>shareholder</w:t>
      </w:r>
      <w:r>
        <w:rPr>
          <w:spacing w:val="-15"/>
        </w:rPr>
        <w:t> </w:t>
      </w:r>
      <w:r>
        <w:rPr/>
        <w:t>value through enhancing corporate performance and accountability, whilst taking into account the interests of other stakeholders. Good corporate governance therefore embodies both enterprise (performance) and accountability (conformance).</w:t>
      </w:r>
    </w:p>
    <w:p>
      <w:pPr>
        <w:pStyle w:val="BodyText"/>
        <w:spacing w:before="1"/>
        <w:ind w:left="940"/>
        <w:jc w:val="both"/>
      </w:pPr>
      <w:r>
        <w:rPr/>
        <w:t>The</w:t>
      </w:r>
      <w:r>
        <w:rPr>
          <w:spacing w:val="-5"/>
        </w:rPr>
        <w:t> </w:t>
      </w:r>
      <w:r>
        <w:rPr/>
        <w:t>Cadbury</w:t>
      </w:r>
      <w:r>
        <w:rPr>
          <w:spacing w:val="-2"/>
        </w:rPr>
        <w:t> </w:t>
      </w:r>
      <w:r>
        <w:rPr/>
        <w:t>report</w:t>
      </w:r>
      <w:r>
        <w:rPr>
          <w:spacing w:val="-1"/>
        </w:rPr>
        <w:t> </w:t>
      </w:r>
      <w:r>
        <w:rPr/>
        <w:t>(1992,</w:t>
      </w:r>
      <w:r>
        <w:rPr>
          <w:spacing w:val="-1"/>
        </w:rPr>
        <w:t> </w:t>
      </w:r>
      <w:r>
        <w:rPr/>
        <w:t>p.15)</w:t>
      </w:r>
      <w:r>
        <w:rPr>
          <w:spacing w:val="-2"/>
        </w:rPr>
        <w:t> </w:t>
      </w:r>
      <w:r>
        <w:rPr/>
        <w:t>defined</w:t>
      </w:r>
      <w:r>
        <w:rPr>
          <w:spacing w:val="2"/>
        </w:rPr>
        <w:t> </w:t>
      </w:r>
      <w:r>
        <w:rPr/>
        <w:t>corporate</w:t>
      </w:r>
      <w:r>
        <w:rPr>
          <w:spacing w:val="-1"/>
        </w:rPr>
        <w:t> </w:t>
      </w:r>
      <w:r>
        <w:rPr/>
        <w:t>governance as</w:t>
      </w:r>
      <w:r>
        <w:rPr>
          <w:spacing w:val="-1"/>
        </w:rPr>
        <w:t> </w:t>
      </w:r>
      <w:r>
        <w:rPr>
          <w:spacing w:val="-2"/>
        </w:rPr>
        <w:t>follows:</w:t>
      </w:r>
    </w:p>
    <w:p>
      <w:pPr>
        <w:spacing w:after="0"/>
        <w:jc w:val="both"/>
        <w:sectPr>
          <w:pgSz w:w="11910" w:h="16840"/>
          <w:pgMar w:header="0" w:footer="971" w:top="1360" w:bottom="1160" w:left="500" w:right="0"/>
        </w:sectPr>
      </w:pPr>
    </w:p>
    <w:p>
      <w:pPr>
        <w:pStyle w:val="BodyText"/>
        <w:spacing w:line="480" w:lineRule="auto" w:before="61"/>
        <w:ind w:left="2111" w:right="2182"/>
        <w:jc w:val="both"/>
      </w:pPr>
      <w:r>
        <w:rPr/>
        <w:drawing>
          <wp:anchor distT="0" distB="0" distL="0" distR="0" allowOverlap="1" layoutInCell="1" locked="0" behindDoc="1" simplePos="0" relativeHeight="477692928">
            <wp:simplePos x="0" y="0"/>
            <wp:positionH relativeFrom="page">
              <wp:posOffset>1095451</wp:posOffset>
            </wp:positionH>
            <wp:positionV relativeFrom="paragraph">
              <wp:posOffset>1850770</wp:posOffset>
            </wp:positionV>
            <wp:extent cx="5106847" cy="5238115"/>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5" cstate="print"/>
                    <a:stretch>
                      <a:fillRect/>
                    </a:stretch>
                  </pic:blipFill>
                  <pic:spPr>
                    <a:xfrm>
                      <a:off x="0" y="0"/>
                      <a:ext cx="5106847" cy="5238115"/>
                    </a:xfrm>
                    <a:prstGeom prst="rect">
                      <a:avLst/>
                    </a:prstGeom>
                  </pic:spPr>
                </pic:pic>
              </a:graphicData>
            </a:graphic>
          </wp:anchor>
        </w:drawing>
      </w:r>
      <w:r>
        <w:rPr/>
        <w:t>Corporate governance is the system by which business corporations are directed and controlled. The corporate governance structure specifies the distribution of rights and responsibilities among different participants in the corporation, such as the board, managers, shareholders and other stakeholders and spells out the rules and procedures for making decisions on corporate affairs. By doing this, it also provides the structure through which the company objectives are set, and the means of attaining those objectives and monitoring performance.</w:t>
      </w:r>
    </w:p>
    <w:p>
      <w:pPr>
        <w:pStyle w:val="BodyText"/>
        <w:spacing w:before="1"/>
        <w:ind w:left="940"/>
        <w:jc w:val="both"/>
      </w:pPr>
      <w:r>
        <w:rPr/>
        <w:t>Raut</w:t>
      </w:r>
      <w:r>
        <w:rPr>
          <w:spacing w:val="-1"/>
        </w:rPr>
        <w:t> </w:t>
      </w:r>
      <w:r>
        <w:rPr/>
        <w:t>(n.d., p.1)</w:t>
      </w:r>
      <w:r>
        <w:rPr>
          <w:spacing w:val="-1"/>
        </w:rPr>
        <w:t> </w:t>
      </w:r>
      <w:r>
        <w:rPr/>
        <w:t>posited </w:t>
      </w:r>
      <w:r>
        <w:rPr>
          <w:spacing w:val="-2"/>
        </w:rPr>
        <w:t>that:</w:t>
      </w:r>
    </w:p>
    <w:p>
      <w:pPr>
        <w:pStyle w:val="BodyText"/>
      </w:pPr>
    </w:p>
    <w:p>
      <w:pPr>
        <w:pStyle w:val="BodyText"/>
        <w:spacing w:line="480" w:lineRule="auto"/>
        <w:ind w:left="2200" w:right="2095"/>
        <w:jc w:val="both"/>
      </w:pPr>
      <w:r>
        <w:rPr/>
        <w:t>Corporate</w:t>
      </w:r>
      <w:r>
        <w:rPr>
          <w:spacing w:val="-15"/>
        </w:rPr>
        <w:t> </w:t>
      </w:r>
      <w:r>
        <w:rPr/>
        <w:t>governance</w:t>
      </w:r>
      <w:r>
        <w:rPr>
          <w:spacing w:val="-15"/>
        </w:rPr>
        <w:t> </w:t>
      </w:r>
      <w:r>
        <w:rPr/>
        <w:t>is</w:t>
      </w:r>
      <w:r>
        <w:rPr>
          <w:spacing w:val="-13"/>
        </w:rPr>
        <w:t> </w:t>
      </w:r>
      <w:r>
        <w:rPr/>
        <w:t>a</w:t>
      </w:r>
      <w:r>
        <w:rPr>
          <w:spacing w:val="-15"/>
        </w:rPr>
        <w:t> </w:t>
      </w:r>
      <w:r>
        <w:rPr/>
        <w:t>process</w:t>
      </w:r>
      <w:r>
        <w:rPr>
          <w:spacing w:val="-14"/>
        </w:rPr>
        <w:t> </w:t>
      </w:r>
      <w:r>
        <w:rPr/>
        <w:t>that</w:t>
      </w:r>
      <w:r>
        <w:rPr>
          <w:spacing w:val="-14"/>
        </w:rPr>
        <w:t> </w:t>
      </w:r>
      <w:r>
        <w:rPr/>
        <w:t>aims</w:t>
      </w:r>
      <w:r>
        <w:rPr>
          <w:spacing w:val="-14"/>
        </w:rPr>
        <w:t> </w:t>
      </w:r>
      <w:r>
        <w:rPr/>
        <w:t>to</w:t>
      </w:r>
      <w:r>
        <w:rPr>
          <w:spacing w:val="-14"/>
        </w:rPr>
        <w:t> </w:t>
      </w:r>
      <w:r>
        <w:rPr/>
        <w:t>allocate</w:t>
      </w:r>
      <w:r>
        <w:rPr>
          <w:spacing w:val="-15"/>
        </w:rPr>
        <w:t> </w:t>
      </w:r>
      <w:r>
        <w:rPr/>
        <w:t>corporate</w:t>
      </w:r>
      <w:r>
        <w:rPr>
          <w:spacing w:val="-15"/>
        </w:rPr>
        <w:t> </w:t>
      </w:r>
      <w:r>
        <w:rPr/>
        <w:t>resources in</w:t>
      </w:r>
      <w:r>
        <w:rPr>
          <w:spacing w:val="-14"/>
        </w:rPr>
        <w:t> </w:t>
      </w:r>
      <w:r>
        <w:rPr/>
        <w:t>a</w:t>
      </w:r>
      <w:r>
        <w:rPr>
          <w:spacing w:val="-15"/>
        </w:rPr>
        <w:t> </w:t>
      </w:r>
      <w:r>
        <w:rPr/>
        <w:t>manner</w:t>
      </w:r>
      <w:r>
        <w:rPr>
          <w:spacing w:val="-15"/>
        </w:rPr>
        <w:t> </w:t>
      </w:r>
      <w:r>
        <w:rPr/>
        <w:t>that</w:t>
      </w:r>
      <w:r>
        <w:rPr>
          <w:spacing w:val="-14"/>
        </w:rPr>
        <w:t> </w:t>
      </w:r>
      <w:r>
        <w:rPr/>
        <w:t>maximizes</w:t>
      </w:r>
      <w:r>
        <w:rPr>
          <w:spacing w:val="-12"/>
        </w:rPr>
        <w:t> </w:t>
      </w:r>
      <w:r>
        <w:rPr/>
        <w:t>value</w:t>
      </w:r>
      <w:r>
        <w:rPr>
          <w:spacing w:val="-15"/>
        </w:rPr>
        <w:t> </w:t>
      </w:r>
      <w:r>
        <w:rPr/>
        <w:t>for</w:t>
      </w:r>
      <w:r>
        <w:rPr>
          <w:spacing w:val="-15"/>
        </w:rPr>
        <w:t> </w:t>
      </w:r>
      <w:r>
        <w:rPr/>
        <w:t>all</w:t>
      </w:r>
      <w:r>
        <w:rPr>
          <w:spacing w:val="-13"/>
        </w:rPr>
        <w:t> </w:t>
      </w:r>
      <w:r>
        <w:rPr/>
        <w:t>stakeholders</w:t>
      </w:r>
      <w:r>
        <w:rPr>
          <w:spacing w:val="-14"/>
        </w:rPr>
        <w:t> </w:t>
      </w:r>
      <w:r>
        <w:rPr/>
        <w:t>such</w:t>
      </w:r>
      <w:r>
        <w:rPr>
          <w:spacing w:val="-14"/>
        </w:rPr>
        <w:t> </w:t>
      </w:r>
      <w:r>
        <w:rPr/>
        <w:t>as</w:t>
      </w:r>
      <w:r>
        <w:rPr>
          <w:spacing w:val="-14"/>
        </w:rPr>
        <w:t> </w:t>
      </w:r>
      <w:r>
        <w:rPr/>
        <w:t>shareholders, investors, employees, customers, suppliers, environment and the community at large and holds those at the helms to account by evaluating their decisions on transparency, inclusivity, equity and responsibility.</w:t>
      </w:r>
    </w:p>
    <w:p>
      <w:pPr>
        <w:pStyle w:val="BodyText"/>
        <w:spacing w:line="480" w:lineRule="auto"/>
        <w:ind w:left="940" w:right="1437"/>
        <w:jc w:val="both"/>
      </w:pPr>
      <w:r>
        <w:rPr/>
        <w:t>The World Bank defined governance as the exercise of political authority and the use of institutional resources to manage society's problems and affairs. Corporate governance is the set of processes, customs, policies, laws, and institutions affecting the way a corporation (or company) is directed, administered or controlled. Corporate governance also includes the relationships</w:t>
      </w:r>
      <w:r>
        <w:rPr>
          <w:spacing w:val="-8"/>
        </w:rPr>
        <w:t> </w:t>
      </w:r>
      <w:r>
        <w:rPr/>
        <w:t>among</w:t>
      </w:r>
      <w:r>
        <w:rPr>
          <w:spacing w:val="-8"/>
        </w:rPr>
        <w:t> </w:t>
      </w:r>
      <w:r>
        <w:rPr/>
        <w:t>the</w:t>
      </w:r>
      <w:r>
        <w:rPr>
          <w:spacing w:val="-9"/>
        </w:rPr>
        <w:t> </w:t>
      </w:r>
      <w:r>
        <w:rPr/>
        <w:t>many</w:t>
      </w:r>
      <w:r>
        <w:rPr>
          <w:spacing w:val="-9"/>
        </w:rPr>
        <w:t> </w:t>
      </w:r>
      <w:r>
        <w:rPr/>
        <w:t>stakeholders</w:t>
      </w:r>
      <w:r>
        <w:rPr>
          <w:spacing w:val="-8"/>
        </w:rPr>
        <w:t> </w:t>
      </w:r>
      <w:r>
        <w:rPr/>
        <w:t>involved</w:t>
      </w:r>
      <w:r>
        <w:rPr>
          <w:spacing w:val="-8"/>
        </w:rPr>
        <w:t> </w:t>
      </w:r>
      <w:r>
        <w:rPr/>
        <w:t>and</w:t>
      </w:r>
      <w:r>
        <w:rPr>
          <w:spacing w:val="-8"/>
        </w:rPr>
        <w:t> </w:t>
      </w:r>
      <w:r>
        <w:rPr/>
        <w:t>the</w:t>
      </w:r>
      <w:r>
        <w:rPr>
          <w:spacing w:val="-9"/>
        </w:rPr>
        <w:t> </w:t>
      </w:r>
      <w:r>
        <w:rPr/>
        <w:t>goals</w:t>
      </w:r>
      <w:r>
        <w:rPr>
          <w:spacing w:val="-8"/>
        </w:rPr>
        <w:t> </w:t>
      </w:r>
      <w:r>
        <w:rPr/>
        <w:t>for</w:t>
      </w:r>
      <w:r>
        <w:rPr>
          <w:spacing w:val="-10"/>
        </w:rPr>
        <w:t> </w:t>
      </w:r>
      <w:r>
        <w:rPr/>
        <w:t>which</w:t>
      </w:r>
      <w:r>
        <w:rPr>
          <w:spacing w:val="-8"/>
        </w:rPr>
        <w:t> </w:t>
      </w:r>
      <w:r>
        <w:rPr/>
        <w:t>the</w:t>
      </w:r>
      <w:r>
        <w:rPr>
          <w:spacing w:val="-9"/>
        </w:rPr>
        <w:t> </w:t>
      </w:r>
      <w:r>
        <w:rPr/>
        <w:t>corporation</w:t>
      </w:r>
      <w:r>
        <w:rPr>
          <w:spacing w:val="-8"/>
        </w:rPr>
        <w:t> </w:t>
      </w:r>
      <w:r>
        <w:rPr/>
        <w:t>is governed. Naem, Hunjra and Khalid (2012) saw corporate governance as the combination of processes, customs, policies, laws and institutions in a country by which public listed companies were directed and controlled, not only to maximize the wealth of shareholders but to achieve other corporate objectives of the company as well. The Finance Committee on Corporate Governance (2002) in Malaysia stated that it was the process and structure used to direct</w:t>
      </w:r>
      <w:r>
        <w:rPr>
          <w:spacing w:val="54"/>
        </w:rPr>
        <w:t> </w:t>
      </w:r>
      <w:r>
        <w:rPr/>
        <w:t>and</w:t>
      </w:r>
      <w:r>
        <w:rPr>
          <w:spacing w:val="53"/>
        </w:rPr>
        <w:t> </w:t>
      </w:r>
      <w:r>
        <w:rPr/>
        <w:t>manage</w:t>
      </w:r>
      <w:r>
        <w:rPr>
          <w:spacing w:val="56"/>
        </w:rPr>
        <w:t> </w:t>
      </w:r>
      <w:r>
        <w:rPr/>
        <w:t>the</w:t>
      </w:r>
      <w:r>
        <w:rPr>
          <w:spacing w:val="55"/>
        </w:rPr>
        <w:t> </w:t>
      </w:r>
      <w:r>
        <w:rPr/>
        <w:t>business</w:t>
      </w:r>
      <w:r>
        <w:rPr>
          <w:spacing w:val="55"/>
        </w:rPr>
        <w:t> </w:t>
      </w:r>
      <w:r>
        <w:rPr/>
        <w:t>and</w:t>
      </w:r>
      <w:r>
        <w:rPr>
          <w:spacing w:val="53"/>
        </w:rPr>
        <w:t> </w:t>
      </w:r>
      <w:r>
        <w:rPr/>
        <w:t>affairs</w:t>
      </w:r>
      <w:r>
        <w:rPr>
          <w:spacing w:val="53"/>
        </w:rPr>
        <w:t> </w:t>
      </w:r>
      <w:r>
        <w:rPr/>
        <w:t>of</w:t>
      </w:r>
      <w:r>
        <w:rPr>
          <w:spacing w:val="56"/>
        </w:rPr>
        <w:t> </w:t>
      </w:r>
      <w:r>
        <w:rPr/>
        <w:t>the</w:t>
      </w:r>
      <w:r>
        <w:rPr>
          <w:spacing w:val="53"/>
        </w:rPr>
        <w:t> </w:t>
      </w:r>
      <w:r>
        <w:rPr/>
        <w:t>company</w:t>
      </w:r>
      <w:r>
        <w:rPr>
          <w:spacing w:val="54"/>
        </w:rPr>
        <w:t> </w:t>
      </w:r>
      <w:r>
        <w:rPr/>
        <w:t>towards</w:t>
      </w:r>
      <w:r>
        <w:rPr>
          <w:spacing w:val="53"/>
        </w:rPr>
        <w:t> </w:t>
      </w:r>
      <w:r>
        <w:rPr/>
        <w:t>enhancing</w:t>
      </w:r>
      <w:r>
        <w:rPr>
          <w:spacing w:val="55"/>
        </w:rPr>
        <w:t> </w:t>
      </w:r>
      <w:r>
        <w:rPr>
          <w:spacing w:val="-2"/>
        </w:rPr>
        <w:t>business</w:t>
      </w:r>
    </w:p>
    <w:p>
      <w:pPr>
        <w:spacing w:after="0" w:line="480" w:lineRule="auto"/>
        <w:jc w:val="both"/>
        <w:sectPr>
          <w:pgSz w:w="11910" w:h="16840"/>
          <w:pgMar w:header="0" w:footer="971" w:top="1360" w:bottom="1160" w:left="500" w:right="0"/>
        </w:sectPr>
      </w:pPr>
    </w:p>
    <w:p>
      <w:pPr>
        <w:pStyle w:val="BodyText"/>
        <w:spacing w:line="480" w:lineRule="auto" w:before="61"/>
        <w:ind w:left="940" w:right="1439"/>
        <w:jc w:val="both"/>
      </w:pPr>
      <w:r>
        <w:rPr/>
        <w:drawing>
          <wp:anchor distT="0" distB="0" distL="0" distR="0" allowOverlap="1" layoutInCell="1" locked="0" behindDoc="1" simplePos="0" relativeHeight="477693440">
            <wp:simplePos x="0" y="0"/>
            <wp:positionH relativeFrom="page">
              <wp:posOffset>1095451</wp:posOffset>
            </wp:positionH>
            <wp:positionV relativeFrom="paragraph">
              <wp:posOffset>1850770</wp:posOffset>
            </wp:positionV>
            <wp:extent cx="5106847" cy="5238115"/>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5" cstate="print"/>
                    <a:stretch>
                      <a:fillRect/>
                    </a:stretch>
                  </pic:blipFill>
                  <pic:spPr>
                    <a:xfrm>
                      <a:off x="0" y="0"/>
                      <a:ext cx="5106847" cy="5238115"/>
                    </a:xfrm>
                    <a:prstGeom prst="rect">
                      <a:avLst/>
                    </a:prstGeom>
                  </pic:spPr>
                </pic:pic>
              </a:graphicData>
            </a:graphic>
          </wp:anchor>
        </w:drawing>
      </w:r>
      <w:r>
        <w:rPr/>
        <w:t>prosperity and corporate accountability with the ultimate objective of realizing long term shareholders value while taking into account the interest of other stakeholders. From the foregoing, although various theories have shaped the conceptualization of corporate governance,</w:t>
      </w:r>
      <w:r>
        <w:rPr>
          <w:spacing w:val="-8"/>
        </w:rPr>
        <w:t> </w:t>
      </w:r>
      <w:r>
        <w:rPr/>
        <w:t>what</w:t>
      </w:r>
      <w:r>
        <w:rPr>
          <w:spacing w:val="-8"/>
        </w:rPr>
        <w:t> </w:t>
      </w:r>
      <w:r>
        <w:rPr/>
        <w:t>is</w:t>
      </w:r>
      <w:r>
        <w:rPr>
          <w:spacing w:val="-8"/>
        </w:rPr>
        <w:t> </w:t>
      </w:r>
      <w:r>
        <w:rPr/>
        <w:t>central</w:t>
      </w:r>
      <w:r>
        <w:rPr>
          <w:spacing w:val="-8"/>
        </w:rPr>
        <w:t> </w:t>
      </w:r>
      <w:r>
        <w:rPr/>
        <w:t>to</w:t>
      </w:r>
      <w:r>
        <w:rPr>
          <w:spacing w:val="-8"/>
        </w:rPr>
        <w:t> </w:t>
      </w:r>
      <w:r>
        <w:rPr/>
        <w:t>all</w:t>
      </w:r>
      <w:r>
        <w:rPr>
          <w:spacing w:val="-8"/>
        </w:rPr>
        <w:t> </w:t>
      </w:r>
      <w:r>
        <w:rPr/>
        <w:t>of</w:t>
      </w:r>
      <w:r>
        <w:rPr>
          <w:spacing w:val="-8"/>
        </w:rPr>
        <w:t> </w:t>
      </w:r>
      <w:r>
        <w:rPr/>
        <w:t>them</w:t>
      </w:r>
      <w:r>
        <w:rPr>
          <w:spacing w:val="-8"/>
        </w:rPr>
        <w:t> </w:t>
      </w:r>
      <w:r>
        <w:rPr/>
        <w:t>is</w:t>
      </w:r>
      <w:r>
        <w:rPr>
          <w:spacing w:val="-8"/>
        </w:rPr>
        <w:t> </w:t>
      </w:r>
      <w:r>
        <w:rPr/>
        <w:t>that</w:t>
      </w:r>
      <w:r>
        <w:rPr>
          <w:spacing w:val="-8"/>
        </w:rPr>
        <w:t> </w:t>
      </w:r>
      <w:r>
        <w:rPr/>
        <w:t>corporate</w:t>
      </w:r>
      <w:r>
        <w:rPr>
          <w:spacing w:val="-9"/>
        </w:rPr>
        <w:t> </w:t>
      </w:r>
      <w:r>
        <w:rPr/>
        <w:t>governance</w:t>
      </w:r>
      <w:r>
        <w:rPr>
          <w:spacing w:val="-9"/>
        </w:rPr>
        <w:t> </w:t>
      </w:r>
      <w:r>
        <w:rPr/>
        <w:t>practice</w:t>
      </w:r>
      <w:r>
        <w:rPr>
          <w:spacing w:val="-9"/>
        </w:rPr>
        <w:t> </w:t>
      </w:r>
      <w:r>
        <w:rPr/>
        <w:t>tends</w:t>
      </w:r>
      <w:r>
        <w:rPr>
          <w:spacing w:val="-9"/>
        </w:rPr>
        <w:t> </w:t>
      </w:r>
      <w:r>
        <w:rPr/>
        <w:t>to</w:t>
      </w:r>
      <w:r>
        <w:rPr>
          <w:spacing w:val="-8"/>
        </w:rPr>
        <w:t> </w:t>
      </w:r>
      <w:r>
        <w:rPr/>
        <w:t>protect the interest of the investors and other concerned parties.</w:t>
      </w:r>
    </w:p>
    <w:p>
      <w:pPr>
        <w:pStyle w:val="BodyText"/>
      </w:pPr>
    </w:p>
    <w:p>
      <w:pPr>
        <w:pStyle w:val="BodyText"/>
        <w:spacing w:before="1"/>
      </w:pPr>
    </w:p>
    <w:p>
      <w:pPr>
        <w:pStyle w:val="Heading3"/>
        <w:numPr>
          <w:ilvl w:val="2"/>
          <w:numId w:val="23"/>
        </w:numPr>
        <w:tabs>
          <w:tab w:pos="1480" w:val="left" w:leader="none"/>
        </w:tabs>
        <w:spacing w:line="240" w:lineRule="auto" w:before="0" w:after="0"/>
        <w:ind w:left="1480" w:right="0" w:hanging="540"/>
        <w:jc w:val="left"/>
      </w:pPr>
      <w:bookmarkStart w:name="_TOC_250052" w:id="18"/>
      <w:r>
        <w:rPr/>
        <w:t>Models</w:t>
      </w:r>
      <w:r>
        <w:rPr>
          <w:spacing w:val="-2"/>
        </w:rPr>
        <w:t> </w:t>
      </w:r>
      <w:r>
        <w:rPr/>
        <w:t>of</w:t>
      </w:r>
      <w:r>
        <w:rPr>
          <w:spacing w:val="-1"/>
        </w:rPr>
        <w:t> </w:t>
      </w:r>
      <w:r>
        <w:rPr/>
        <w:t>Corporate</w:t>
      </w:r>
      <w:bookmarkEnd w:id="18"/>
      <w:r>
        <w:rPr>
          <w:spacing w:val="-2"/>
        </w:rPr>
        <w:t> Governance</w:t>
      </w:r>
    </w:p>
    <w:p>
      <w:pPr>
        <w:pStyle w:val="BodyText"/>
        <w:rPr>
          <w:b/>
        </w:rPr>
      </w:pPr>
    </w:p>
    <w:p>
      <w:pPr>
        <w:pStyle w:val="BodyText"/>
        <w:spacing w:line="480" w:lineRule="auto"/>
        <w:ind w:left="940" w:right="1432"/>
        <w:jc w:val="both"/>
      </w:pPr>
      <w:r>
        <w:rPr/>
        <w:t>There are several schools of thought on the models of corporate governance. These models differ among countries. According to Ariff and Ratnatunga (2004), corporate governance model can be analysed viz-a-viz the Anglo-Saxon and the Continental European models. According</w:t>
      </w:r>
      <w:r>
        <w:rPr>
          <w:spacing w:val="-6"/>
        </w:rPr>
        <w:t> </w:t>
      </w:r>
      <w:r>
        <w:rPr/>
        <w:t>to</w:t>
      </w:r>
      <w:r>
        <w:rPr>
          <w:spacing w:val="-5"/>
        </w:rPr>
        <w:t> </w:t>
      </w:r>
      <w:r>
        <w:rPr/>
        <w:t>Nunnenkamp</w:t>
      </w:r>
      <w:r>
        <w:rPr>
          <w:spacing w:val="-5"/>
        </w:rPr>
        <w:t> </w:t>
      </w:r>
      <w:r>
        <w:rPr/>
        <w:t>(1995),</w:t>
      </w:r>
      <w:r>
        <w:rPr>
          <w:spacing w:val="-7"/>
        </w:rPr>
        <w:t> </w:t>
      </w:r>
      <w:r>
        <w:rPr/>
        <w:t>these</w:t>
      </w:r>
      <w:r>
        <w:rPr>
          <w:spacing w:val="-7"/>
        </w:rPr>
        <w:t> </w:t>
      </w:r>
      <w:r>
        <w:rPr/>
        <w:t>models</w:t>
      </w:r>
      <w:r>
        <w:rPr>
          <w:spacing w:val="-8"/>
        </w:rPr>
        <w:t> </w:t>
      </w:r>
      <w:r>
        <w:rPr/>
        <w:t>are</w:t>
      </w:r>
      <w:r>
        <w:rPr>
          <w:spacing w:val="-8"/>
        </w:rPr>
        <w:t> </w:t>
      </w:r>
      <w:r>
        <w:rPr/>
        <w:t>classified</w:t>
      </w:r>
      <w:r>
        <w:rPr>
          <w:spacing w:val="-4"/>
        </w:rPr>
        <w:t> </w:t>
      </w:r>
      <w:r>
        <w:rPr/>
        <w:t>into</w:t>
      </w:r>
      <w:r>
        <w:rPr>
          <w:spacing w:val="-6"/>
        </w:rPr>
        <w:t> </w:t>
      </w:r>
      <w:r>
        <w:rPr/>
        <w:t>market-based</w:t>
      </w:r>
      <w:r>
        <w:rPr>
          <w:spacing w:val="-6"/>
        </w:rPr>
        <w:t> </w:t>
      </w:r>
      <w:r>
        <w:rPr/>
        <w:t>versus</w:t>
      </w:r>
      <w:r>
        <w:rPr>
          <w:spacing w:val="-6"/>
        </w:rPr>
        <w:t> </w:t>
      </w:r>
      <w:r>
        <w:rPr/>
        <w:t>bank- based</w:t>
      </w:r>
      <w:r>
        <w:rPr>
          <w:spacing w:val="-9"/>
        </w:rPr>
        <w:t> </w:t>
      </w:r>
      <w:r>
        <w:rPr/>
        <w:t>models.</w:t>
      </w:r>
      <w:r>
        <w:rPr>
          <w:spacing w:val="-9"/>
        </w:rPr>
        <w:t> </w:t>
      </w:r>
      <w:r>
        <w:rPr/>
        <w:t>Flavia</w:t>
      </w:r>
      <w:r>
        <w:rPr>
          <w:spacing w:val="-10"/>
        </w:rPr>
        <w:t> </w:t>
      </w:r>
      <w:r>
        <w:rPr/>
        <w:t>and</w:t>
      </w:r>
      <w:r>
        <w:rPr>
          <w:spacing w:val="-7"/>
        </w:rPr>
        <w:t> </w:t>
      </w:r>
      <w:r>
        <w:rPr/>
        <w:t>Bodgan</w:t>
      </w:r>
      <w:r>
        <w:rPr>
          <w:spacing w:val="-9"/>
        </w:rPr>
        <w:t> </w:t>
      </w:r>
      <w:r>
        <w:rPr/>
        <w:t>(n.d.)</w:t>
      </w:r>
      <w:r>
        <w:rPr>
          <w:spacing w:val="-11"/>
        </w:rPr>
        <w:t> </w:t>
      </w:r>
      <w:r>
        <w:rPr/>
        <w:t>classified</w:t>
      </w:r>
      <w:r>
        <w:rPr>
          <w:spacing w:val="-7"/>
        </w:rPr>
        <w:t> </w:t>
      </w:r>
      <w:r>
        <w:rPr/>
        <w:t>the</w:t>
      </w:r>
      <w:r>
        <w:rPr>
          <w:spacing w:val="-10"/>
        </w:rPr>
        <w:t> </w:t>
      </w:r>
      <w:r>
        <w:rPr/>
        <w:t>models</w:t>
      </w:r>
      <w:r>
        <w:rPr>
          <w:spacing w:val="-9"/>
        </w:rPr>
        <w:t> </w:t>
      </w:r>
      <w:r>
        <w:rPr/>
        <w:t>into:</w:t>
      </w:r>
      <w:r>
        <w:rPr>
          <w:spacing w:val="-6"/>
        </w:rPr>
        <w:t> </w:t>
      </w:r>
      <w:r>
        <w:rPr/>
        <w:t>information</w:t>
      </w:r>
      <w:r>
        <w:rPr>
          <w:spacing w:val="-9"/>
        </w:rPr>
        <w:t> </w:t>
      </w:r>
      <w:r>
        <w:rPr/>
        <w:t>internalization, stakeholder approach, bank-based governance; and information externalization, shareholder approach, market-based governance. Similarly, Clark (2005)</w:t>
      </w:r>
      <w:r>
        <w:rPr>
          <w:spacing w:val="-1"/>
        </w:rPr>
        <w:t> </w:t>
      </w:r>
      <w:r>
        <w:rPr/>
        <w:t>classified them as: (i) an outside system</w:t>
      </w:r>
      <w:r>
        <w:rPr>
          <w:spacing w:val="-14"/>
        </w:rPr>
        <w:t> </w:t>
      </w:r>
      <w:r>
        <w:rPr/>
        <w:t>of</w:t>
      </w:r>
      <w:r>
        <w:rPr>
          <w:spacing w:val="-15"/>
        </w:rPr>
        <w:t> </w:t>
      </w:r>
      <w:r>
        <w:rPr/>
        <w:t>market-based</w:t>
      </w:r>
      <w:r>
        <w:rPr>
          <w:spacing w:val="-12"/>
        </w:rPr>
        <w:t> </w:t>
      </w:r>
      <w:r>
        <w:rPr/>
        <w:t>corporate</w:t>
      </w:r>
      <w:r>
        <w:rPr>
          <w:spacing w:val="-15"/>
        </w:rPr>
        <w:t> </w:t>
      </w:r>
      <w:r>
        <w:rPr/>
        <w:t>governance</w:t>
      </w:r>
      <w:r>
        <w:rPr>
          <w:spacing w:val="-13"/>
        </w:rPr>
        <w:t> </w:t>
      </w:r>
      <w:r>
        <w:rPr/>
        <w:t>model</w:t>
      </w:r>
      <w:r>
        <w:rPr>
          <w:spacing w:val="-14"/>
        </w:rPr>
        <w:t> </w:t>
      </w:r>
      <w:r>
        <w:rPr/>
        <w:t>mostly</w:t>
      </w:r>
      <w:r>
        <w:rPr>
          <w:spacing w:val="-14"/>
        </w:rPr>
        <w:t> </w:t>
      </w:r>
      <w:r>
        <w:rPr/>
        <w:t>found</w:t>
      </w:r>
      <w:r>
        <w:rPr>
          <w:spacing w:val="-15"/>
        </w:rPr>
        <w:t> </w:t>
      </w:r>
      <w:r>
        <w:rPr/>
        <w:t>in</w:t>
      </w:r>
      <w:r>
        <w:rPr>
          <w:spacing w:val="-14"/>
        </w:rPr>
        <w:t> </w:t>
      </w:r>
      <w:r>
        <w:rPr/>
        <w:t>the</w:t>
      </w:r>
      <w:r>
        <w:rPr>
          <w:spacing w:val="-15"/>
        </w:rPr>
        <w:t> </w:t>
      </w:r>
      <w:r>
        <w:rPr/>
        <w:t>US;</w:t>
      </w:r>
      <w:r>
        <w:rPr>
          <w:spacing w:val="-14"/>
        </w:rPr>
        <w:t> </w:t>
      </w:r>
      <w:r>
        <w:rPr/>
        <w:t>and</w:t>
      </w:r>
      <w:r>
        <w:rPr>
          <w:spacing w:val="-14"/>
        </w:rPr>
        <w:t> </w:t>
      </w:r>
      <w:r>
        <w:rPr/>
        <w:t>(ii)</w:t>
      </w:r>
      <w:r>
        <w:rPr>
          <w:spacing w:val="-15"/>
        </w:rPr>
        <w:t> </w:t>
      </w:r>
      <w:r>
        <w:rPr/>
        <w:t>the</w:t>
      </w:r>
      <w:r>
        <w:rPr>
          <w:spacing w:val="-13"/>
        </w:rPr>
        <w:t> </w:t>
      </w:r>
      <w:r>
        <w:rPr/>
        <w:t>inside system of relationship based corporate governance as found in the Europe and Asian Pacific countries.</w:t>
      </w:r>
      <w:r>
        <w:rPr>
          <w:spacing w:val="-14"/>
        </w:rPr>
        <w:t> </w:t>
      </w:r>
      <w:r>
        <w:rPr/>
        <w:t>The</w:t>
      </w:r>
      <w:r>
        <w:rPr>
          <w:spacing w:val="-7"/>
        </w:rPr>
        <w:t> </w:t>
      </w:r>
      <w:r>
        <w:rPr/>
        <w:t>market-based</w:t>
      </w:r>
      <w:r>
        <w:rPr>
          <w:spacing w:val="-6"/>
        </w:rPr>
        <w:t> </w:t>
      </w:r>
      <w:r>
        <w:rPr/>
        <w:t>model</w:t>
      </w:r>
      <w:r>
        <w:rPr>
          <w:spacing w:val="-6"/>
        </w:rPr>
        <w:t> </w:t>
      </w:r>
      <w:r>
        <w:rPr/>
        <w:t>is</w:t>
      </w:r>
      <w:r>
        <w:rPr>
          <w:spacing w:val="-5"/>
        </w:rPr>
        <w:t> </w:t>
      </w:r>
      <w:r>
        <w:rPr/>
        <w:t>tailored</w:t>
      </w:r>
      <w:r>
        <w:rPr>
          <w:spacing w:val="-6"/>
        </w:rPr>
        <w:t> </w:t>
      </w:r>
      <w:r>
        <w:rPr/>
        <w:t>towards</w:t>
      </w:r>
      <w:r>
        <w:rPr>
          <w:spacing w:val="-6"/>
        </w:rPr>
        <w:t> </w:t>
      </w:r>
      <w:r>
        <w:rPr/>
        <w:t>the</w:t>
      </w:r>
      <w:r>
        <w:rPr>
          <w:spacing w:val="-6"/>
        </w:rPr>
        <w:t> </w:t>
      </w:r>
      <w:r>
        <w:rPr/>
        <w:t>shareholders’</w:t>
      </w:r>
      <w:r>
        <w:rPr>
          <w:spacing w:val="-6"/>
        </w:rPr>
        <w:t> </w:t>
      </w:r>
      <w:r>
        <w:rPr/>
        <w:t>philosophy</w:t>
      </w:r>
      <w:r>
        <w:rPr>
          <w:spacing w:val="-6"/>
        </w:rPr>
        <w:t> </w:t>
      </w:r>
      <w:r>
        <w:rPr/>
        <w:t>unlike</w:t>
      </w:r>
      <w:r>
        <w:rPr>
          <w:spacing w:val="-7"/>
        </w:rPr>
        <w:t> </w:t>
      </w:r>
      <w:r>
        <w:rPr/>
        <w:t>the bank-based</w:t>
      </w:r>
      <w:r>
        <w:rPr>
          <w:spacing w:val="-11"/>
        </w:rPr>
        <w:t> </w:t>
      </w:r>
      <w:r>
        <w:rPr/>
        <w:t>model</w:t>
      </w:r>
      <w:r>
        <w:rPr>
          <w:spacing w:val="-13"/>
        </w:rPr>
        <w:t> </w:t>
      </w:r>
      <w:r>
        <w:rPr/>
        <w:t>that</w:t>
      </w:r>
      <w:r>
        <w:rPr>
          <w:spacing w:val="-13"/>
        </w:rPr>
        <w:t> </w:t>
      </w:r>
      <w:r>
        <w:rPr/>
        <w:t>is</w:t>
      </w:r>
      <w:r>
        <w:rPr>
          <w:spacing w:val="-10"/>
        </w:rPr>
        <w:t> </w:t>
      </w:r>
      <w:r>
        <w:rPr/>
        <w:t>tailored</w:t>
      </w:r>
      <w:r>
        <w:rPr>
          <w:spacing w:val="-13"/>
        </w:rPr>
        <w:t> </w:t>
      </w:r>
      <w:r>
        <w:rPr/>
        <w:t>towards</w:t>
      </w:r>
      <w:r>
        <w:rPr>
          <w:spacing w:val="-14"/>
        </w:rPr>
        <w:t> </w:t>
      </w:r>
      <w:r>
        <w:rPr/>
        <w:t>the</w:t>
      </w:r>
      <w:r>
        <w:rPr>
          <w:spacing w:val="-11"/>
        </w:rPr>
        <w:t> </w:t>
      </w:r>
      <w:r>
        <w:rPr/>
        <w:t>stakeholder’</w:t>
      </w:r>
      <w:r>
        <w:rPr>
          <w:spacing w:val="-14"/>
        </w:rPr>
        <w:t> </w:t>
      </w:r>
      <w:r>
        <w:rPr/>
        <w:t>philosophy.</w:t>
      </w:r>
      <w:r>
        <w:rPr>
          <w:spacing w:val="-13"/>
        </w:rPr>
        <w:t> </w:t>
      </w:r>
      <w:r>
        <w:rPr/>
        <w:t>According</w:t>
      </w:r>
      <w:r>
        <w:rPr>
          <w:spacing w:val="-13"/>
        </w:rPr>
        <w:t> </w:t>
      </w:r>
      <w:r>
        <w:rPr/>
        <w:t>to</w:t>
      </w:r>
      <w:r>
        <w:rPr>
          <w:spacing w:val="-13"/>
        </w:rPr>
        <w:t> </w:t>
      </w:r>
      <w:r>
        <w:rPr/>
        <w:t>Frank</w:t>
      </w:r>
      <w:r>
        <w:rPr>
          <w:spacing w:val="-11"/>
        </w:rPr>
        <w:t> </w:t>
      </w:r>
      <w:r>
        <w:rPr/>
        <w:t>and Mayer</w:t>
      </w:r>
      <w:r>
        <w:rPr>
          <w:spacing w:val="-6"/>
        </w:rPr>
        <w:t> </w:t>
      </w:r>
      <w:r>
        <w:rPr/>
        <w:t>(1995),</w:t>
      </w:r>
      <w:r>
        <w:rPr>
          <w:spacing w:val="-8"/>
        </w:rPr>
        <w:t> </w:t>
      </w:r>
      <w:r>
        <w:rPr/>
        <w:t>the</w:t>
      </w:r>
      <w:r>
        <w:rPr>
          <w:spacing w:val="-8"/>
        </w:rPr>
        <w:t> </w:t>
      </w:r>
      <w:r>
        <w:rPr/>
        <w:t>different</w:t>
      </w:r>
      <w:r>
        <w:rPr>
          <w:spacing w:val="-7"/>
        </w:rPr>
        <w:t> </w:t>
      </w:r>
      <w:r>
        <w:rPr/>
        <w:t>forms</w:t>
      </w:r>
      <w:r>
        <w:rPr>
          <w:spacing w:val="-7"/>
        </w:rPr>
        <w:t> </w:t>
      </w:r>
      <w:r>
        <w:rPr/>
        <w:t>of</w:t>
      </w:r>
      <w:r>
        <w:rPr>
          <w:spacing w:val="-6"/>
        </w:rPr>
        <w:t> </w:t>
      </w:r>
      <w:r>
        <w:rPr/>
        <w:t>corporate</w:t>
      </w:r>
      <w:r>
        <w:rPr>
          <w:spacing w:val="-3"/>
        </w:rPr>
        <w:t> </w:t>
      </w:r>
      <w:r>
        <w:rPr/>
        <w:t>governance</w:t>
      </w:r>
      <w:r>
        <w:rPr>
          <w:spacing w:val="-8"/>
        </w:rPr>
        <w:t> </w:t>
      </w:r>
      <w:r>
        <w:rPr/>
        <w:t>models</w:t>
      </w:r>
      <w:r>
        <w:rPr>
          <w:spacing w:val="-5"/>
        </w:rPr>
        <w:t> </w:t>
      </w:r>
      <w:r>
        <w:rPr/>
        <w:t>are</w:t>
      </w:r>
      <w:r>
        <w:rPr>
          <w:spacing w:val="-8"/>
        </w:rPr>
        <w:t> </w:t>
      </w:r>
      <w:r>
        <w:rPr/>
        <w:t>suited</w:t>
      </w:r>
      <w:r>
        <w:rPr>
          <w:spacing w:val="-7"/>
        </w:rPr>
        <w:t> </w:t>
      </w:r>
      <w:r>
        <w:rPr/>
        <w:t>to</w:t>
      </w:r>
      <w:r>
        <w:rPr>
          <w:spacing w:val="-7"/>
        </w:rPr>
        <w:t> </w:t>
      </w:r>
      <w:r>
        <w:rPr/>
        <w:t>different</w:t>
      </w:r>
      <w:r>
        <w:rPr>
          <w:spacing w:val="-7"/>
        </w:rPr>
        <w:t> </w:t>
      </w:r>
      <w:r>
        <w:rPr/>
        <w:t>types of corporate activity. The diversity of corporate governance models is hinged on societal characteristics which, together, shapes the competitiveness of the different models. The study proceeded to discuss each of these models</w:t>
      </w:r>
    </w:p>
    <w:p>
      <w:pPr>
        <w:pStyle w:val="Heading3"/>
        <w:spacing w:before="1"/>
      </w:pPr>
      <w:r>
        <w:rPr/>
        <w:t>The</w:t>
      </w:r>
      <w:r>
        <w:rPr>
          <w:spacing w:val="-6"/>
        </w:rPr>
        <w:t> </w:t>
      </w:r>
      <w:r>
        <w:rPr/>
        <w:t>Market-Based</w:t>
      </w:r>
      <w:r>
        <w:rPr>
          <w:spacing w:val="-2"/>
        </w:rPr>
        <w:t> </w:t>
      </w:r>
      <w:r>
        <w:rPr>
          <w:spacing w:val="-4"/>
        </w:rPr>
        <w:t>Model</w:t>
      </w:r>
    </w:p>
    <w:p>
      <w:pPr>
        <w:pStyle w:val="BodyText"/>
        <w:rPr>
          <w:b/>
        </w:rPr>
      </w:pPr>
    </w:p>
    <w:p>
      <w:pPr>
        <w:pStyle w:val="BodyText"/>
        <w:spacing w:line="480" w:lineRule="auto" w:before="1"/>
        <w:ind w:left="940" w:right="1437"/>
        <w:jc w:val="both"/>
      </w:pPr>
      <w:r>
        <w:rPr/>
        <w:t>This model of corporate governance, also called the Anglo-Saxon model, is mostly found in the</w:t>
      </w:r>
      <w:r>
        <w:rPr>
          <w:spacing w:val="4"/>
        </w:rPr>
        <w:t> </w:t>
      </w:r>
      <w:r>
        <w:rPr/>
        <w:t>United</w:t>
      </w:r>
      <w:r>
        <w:rPr>
          <w:spacing w:val="7"/>
        </w:rPr>
        <w:t> </w:t>
      </w:r>
      <w:r>
        <w:rPr/>
        <w:t>States</w:t>
      </w:r>
      <w:r>
        <w:rPr>
          <w:spacing w:val="8"/>
        </w:rPr>
        <w:t> </w:t>
      </w:r>
      <w:r>
        <w:rPr/>
        <w:t>of</w:t>
      </w:r>
      <w:r>
        <w:rPr>
          <w:spacing w:val="7"/>
        </w:rPr>
        <w:t> </w:t>
      </w:r>
      <w:r>
        <w:rPr/>
        <w:t>America,</w:t>
      </w:r>
      <w:r>
        <w:rPr>
          <w:spacing w:val="7"/>
        </w:rPr>
        <w:t> </w:t>
      </w:r>
      <w:r>
        <w:rPr/>
        <w:t>United</w:t>
      </w:r>
      <w:r>
        <w:rPr>
          <w:spacing w:val="7"/>
        </w:rPr>
        <w:t> </w:t>
      </w:r>
      <w:r>
        <w:rPr/>
        <w:t>Kingdom,</w:t>
      </w:r>
      <w:r>
        <w:rPr>
          <w:spacing w:val="11"/>
        </w:rPr>
        <w:t> </w:t>
      </w:r>
      <w:r>
        <w:rPr/>
        <w:t>Canada,</w:t>
      </w:r>
      <w:r>
        <w:rPr>
          <w:spacing w:val="8"/>
        </w:rPr>
        <w:t> </w:t>
      </w:r>
      <w:r>
        <w:rPr/>
        <w:t>Australia,</w:t>
      </w:r>
      <w:r>
        <w:rPr>
          <w:spacing w:val="7"/>
        </w:rPr>
        <w:t> </w:t>
      </w:r>
      <w:r>
        <w:rPr/>
        <w:t>New</w:t>
      </w:r>
      <w:r>
        <w:rPr>
          <w:spacing w:val="10"/>
        </w:rPr>
        <w:t> </w:t>
      </w:r>
      <w:r>
        <w:rPr/>
        <w:t>Zealand</w:t>
      </w:r>
      <w:r>
        <w:rPr>
          <w:spacing w:val="7"/>
        </w:rPr>
        <w:t> </w:t>
      </w:r>
      <w:r>
        <w:rPr/>
        <w:t>and</w:t>
      </w:r>
      <w:r>
        <w:rPr>
          <w:spacing w:val="8"/>
        </w:rPr>
        <w:t> </w:t>
      </w:r>
      <w:r>
        <w:rPr>
          <w:spacing w:val="-2"/>
        </w:rPr>
        <w:t>several</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93952">
            <wp:simplePos x="0" y="0"/>
            <wp:positionH relativeFrom="page">
              <wp:posOffset>1095451</wp:posOffset>
            </wp:positionH>
            <wp:positionV relativeFrom="paragraph">
              <wp:posOffset>1850770</wp:posOffset>
            </wp:positionV>
            <wp:extent cx="5106847" cy="5238115"/>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5" cstate="print"/>
                    <a:stretch>
                      <a:fillRect/>
                    </a:stretch>
                  </pic:blipFill>
                  <pic:spPr>
                    <a:xfrm>
                      <a:off x="0" y="0"/>
                      <a:ext cx="5106847" cy="5238115"/>
                    </a:xfrm>
                    <a:prstGeom prst="rect">
                      <a:avLst/>
                    </a:prstGeom>
                  </pic:spPr>
                </pic:pic>
              </a:graphicData>
            </a:graphic>
          </wp:anchor>
        </w:drawing>
      </w:r>
      <w:r>
        <w:rPr/>
        <w:t>other countries. The key players in this model are the shareholders, boards of directors and management,</w:t>
      </w:r>
      <w:r>
        <w:rPr>
          <w:spacing w:val="-11"/>
        </w:rPr>
        <w:t> </w:t>
      </w:r>
      <w:r>
        <w:rPr/>
        <w:t>and</w:t>
      </w:r>
      <w:r>
        <w:rPr>
          <w:spacing w:val="-11"/>
        </w:rPr>
        <w:t> </w:t>
      </w:r>
      <w:r>
        <w:rPr/>
        <w:t>they</w:t>
      </w:r>
      <w:r>
        <w:rPr>
          <w:spacing w:val="-11"/>
        </w:rPr>
        <w:t> </w:t>
      </w:r>
      <w:r>
        <w:rPr/>
        <w:t>form</w:t>
      </w:r>
      <w:r>
        <w:rPr>
          <w:spacing w:val="-11"/>
        </w:rPr>
        <w:t> </w:t>
      </w:r>
      <w:r>
        <w:rPr/>
        <w:t>what</w:t>
      </w:r>
      <w:r>
        <w:rPr>
          <w:spacing w:val="-10"/>
        </w:rPr>
        <w:t> </w:t>
      </w:r>
      <w:r>
        <w:rPr/>
        <w:t>is</w:t>
      </w:r>
      <w:r>
        <w:rPr>
          <w:spacing w:val="-10"/>
        </w:rPr>
        <w:t> </w:t>
      </w:r>
      <w:r>
        <w:rPr/>
        <w:t>commonly</w:t>
      </w:r>
      <w:r>
        <w:rPr>
          <w:spacing w:val="-10"/>
        </w:rPr>
        <w:t> </w:t>
      </w:r>
      <w:r>
        <w:rPr/>
        <w:t>referred</w:t>
      </w:r>
      <w:r>
        <w:rPr>
          <w:spacing w:val="-11"/>
        </w:rPr>
        <w:t> </w:t>
      </w:r>
      <w:r>
        <w:rPr/>
        <w:t>to</w:t>
      </w:r>
      <w:r>
        <w:rPr>
          <w:spacing w:val="-10"/>
        </w:rPr>
        <w:t> </w:t>
      </w:r>
      <w:r>
        <w:rPr/>
        <w:t>as</w:t>
      </w:r>
      <w:r>
        <w:rPr>
          <w:spacing w:val="-10"/>
        </w:rPr>
        <w:t> </w:t>
      </w:r>
      <w:r>
        <w:rPr/>
        <w:t>the</w:t>
      </w:r>
      <w:r>
        <w:rPr>
          <w:spacing w:val="-11"/>
        </w:rPr>
        <w:t> </w:t>
      </w:r>
      <w:r>
        <w:rPr/>
        <w:t>corporate</w:t>
      </w:r>
      <w:r>
        <w:rPr>
          <w:spacing w:val="-9"/>
        </w:rPr>
        <w:t> </w:t>
      </w:r>
      <w:r>
        <w:rPr/>
        <w:t>governance</w:t>
      </w:r>
      <w:r>
        <w:rPr>
          <w:spacing w:val="-12"/>
        </w:rPr>
        <w:t> </w:t>
      </w:r>
      <w:r>
        <w:rPr/>
        <w:t>triangle (East-West</w:t>
      </w:r>
      <w:r>
        <w:rPr>
          <w:spacing w:val="-15"/>
        </w:rPr>
        <w:t> </w:t>
      </w:r>
      <w:r>
        <w:rPr/>
        <w:t>Management</w:t>
      </w:r>
      <w:r>
        <w:rPr>
          <w:spacing w:val="-14"/>
        </w:rPr>
        <w:t> </w:t>
      </w:r>
      <w:r>
        <w:rPr/>
        <w:t>Institute</w:t>
      </w:r>
      <w:r>
        <w:rPr>
          <w:spacing w:val="-15"/>
        </w:rPr>
        <w:t> </w:t>
      </w:r>
      <w:r>
        <w:rPr/>
        <w:t>[EWMI],</w:t>
      </w:r>
      <w:r>
        <w:rPr>
          <w:spacing w:val="-14"/>
        </w:rPr>
        <w:t> </w:t>
      </w:r>
      <w:r>
        <w:rPr/>
        <w:t>2007).</w:t>
      </w:r>
      <w:r>
        <w:rPr>
          <w:spacing w:val="-13"/>
        </w:rPr>
        <w:t> </w:t>
      </w:r>
      <w:r>
        <w:rPr/>
        <w:t>This</w:t>
      </w:r>
      <w:r>
        <w:rPr>
          <w:spacing w:val="-15"/>
        </w:rPr>
        <w:t> </w:t>
      </w:r>
      <w:r>
        <w:rPr/>
        <w:t>model</w:t>
      </w:r>
      <w:r>
        <w:rPr>
          <w:spacing w:val="-12"/>
        </w:rPr>
        <w:t> </w:t>
      </w:r>
      <w:r>
        <w:rPr/>
        <w:t>which</w:t>
      </w:r>
      <w:r>
        <w:rPr>
          <w:spacing w:val="-15"/>
        </w:rPr>
        <w:t> </w:t>
      </w:r>
      <w:r>
        <w:rPr/>
        <w:t>was</w:t>
      </w:r>
      <w:r>
        <w:rPr>
          <w:spacing w:val="-14"/>
        </w:rPr>
        <w:t> </w:t>
      </w:r>
      <w:r>
        <w:rPr/>
        <w:t>developed</w:t>
      </w:r>
      <w:r>
        <w:rPr>
          <w:spacing w:val="-15"/>
        </w:rPr>
        <w:t> </w:t>
      </w:r>
      <w:r>
        <w:rPr/>
        <w:t>within</w:t>
      </w:r>
      <w:r>
        <w:rPr>
          <w:spacing w:val="-15"/>
        </w:rPr>
        <w:t> </w:t>
      </w:r>
      <w:r>
        <w:rPr/>
        <w:t>the context of free market economy assumes the separation of ownership and control in most publicly held corporations. Therefore, there exists a legal distinction between ownership and control. Investors contribute capital and maintain ownership in the enterprise while generally avoiding</w:t>
      </w:r>
      <w:r>
        <w:rPr>
          <w:spacing w:val="-15"/>
        </w:rPr>
        <w:t> </w:t>
      </w:r>
      <w:r>
        <w:rPr/>
        <w:t>legal</w:t>
      </w:r>
      <w:r>
        <w:rPr>
          <w:spacing w:val="-15"/>
        </w:rPr>
        <w:t> </w:t>
      </w:r>
      <w:r>
        <w:rPr/>
        <w:t>liability</w:t>
      </w:r>
      <w:r>
        <w:rPr>
          <w:spacing w:val="-15"/>
        </w:rPr>
        <w:t> </w:t>
      </w:r>
      <w:r>
        <w:rPr/>
        <w:t>for</w:t>
      </w:r>
      <w:r>
        <w:rPr>
          <w:spacing w:val="-15"/>
        </w:rPr>
        <w:t> </w:t>
      </w:r>
      <w:r>
        <w:rPr/>
        <w:t>the</w:t>
      </w:r>
      <w:r>
        <w:rPr>
          <w:spacing w:val="-15"/>
        </w:rPr>
        <w:t> </w:t>
      </w:r>
      <w:r>
        <w:rPr/>
        <w:t>acts</w:t>
      </w:r>
      <w:r>
        <w:rPr>
          <w:spacing w:val="-15"/>
        </w:rPr>
        <w:t> </w:t>
      </w:r>
      <w:r>
        <w:rPr/>
        <w:t>of</w:t>
      </w:r>
      <w:r>
        <w:rPr>
          <w:spacing w:val="-15"/>
        </w:rPr>
        <w:t> </w:t>
      </w:r>
      <w:r>
        <w:rPr/>
        <w:t>the</w:t>
      </w:r>
      <w:r>
        <w:rPr>
          <w:spacing w:val="-15"/>
        </w:rPr>
        <w:t> </w:t>
      </w:r>
      <w:r>
        <w:rPr/>
        <w:t>corporation.</w:t>
      </w:r>
      <w:r>
        <w:rPr>
          <w:spacing w:val="6"/>
        </w:rPr>
        <w:t> </w:t>
      </w:r>
      <w:r>
        <w:rPr/>
        <w:t>According</w:t>
      </w:r>
      <w:r>
        <w:rPr>
          <w:spacing w:val="-15"/>
        </w:rPr>
        <w:t> </w:t>
      </w:r>
      <w:r>
        <w:rPr/>
        <w:t>to</w:t>
      </w:r>
      <w:r>
        <w:rPr>
          <w:spacing w:val="-15"/>
        </w:rPr>
        <w:t> </w:t>
      </w:r>
      <w:r>
        <w:rPr/>
        <w:t>Grosfeld</w:t>
      </w:r>
      <w:r>
        <w:rPr>
          <w:spacing w:val="-15"/>
        </w:rPr>
        <w:t> </w:t>
      </w:r>
      <w:r>
        <w:rPr/>
        <w:t>(1994),</w:t>
      </w:r>
      <w:r>
        <w:rPr>
          <w:spacing w:val="-15"/>
        </w:rPr>
        <w:t> </w:t>
      </w:r>
      <w:r>
        <w:rPr/>
        <w:t>this</w:t>
      </w:r>
      <w:r>
        <w:rPr>
          <w:spacing w:val="-15"/>
        </w:rPr>
        <w:t> </w:t>
      </w:r>
      <w:r>
        <w:rPr/>
        <w:t>model relies heavily of the stock market. This implies that it relies on equity financing called the market-orientation</w:t>
      </w:r>
      <w:r>
        <w:rPr>
          <w:spacing w:val="-8"/>
        </w:rPr>
        <w:t> </w:t>
      </w:r>
      <w:r>
        <w:rPr/>
        <w:t>model.</w:t>
      </w:r>
      <w:r>
        <w:rPr>
          <w:spacing w:val="-8"/>
        </w:rPr>
        <w:t> </w:t>
      </w:r>
      <w:r>
        <w:rPr/>
        <w:t>The</w:t>
      </w:r>
      <w:r>
        <w:rPr>
          <w:spacing w:val="-9"/>
        </w:rPr>
        <w:t> </w:t>
      </w:r>
      <w:r>
        <w:rPr/>
        <w:t>arm's-length</w:t>
      </w:r>
      <w:r>
        <w:rPr>
          <w:spacing w:val="-6"/>
        </w:rPr>
        <w:t> </w:t>
      </w:r>
      <w:r>
        <w:rPr/>
        <w:t>and</w:t>
      </w:r>
      <w:r>
        <w:rPr>
          <w:spacing w:val="-8"/>
        </w:rPr>
        <w:t> </w:t>
      </w:r>
      <w:r>
        <w:rPr/>
        <w:t>short-term</w:t>
      </w:r>
      <w:r>
        <w:rPr>
          <w:spacing w:val="-8"/>
        </w:rPr>
        <w:t> </w:t>
      </w:r>
      <w:r>
        <w:rPr/>
        <w:t>relations</w:t>
      </w:r>
      <w:r>
        <w:rPr>
          <w:spacing w:val="-8"/>
        </w:rPr>
        <w:t> </w:t>
      </w:r>
      <w:r>
        <w:rPr/>
        <w:t>with</w:t>
      </w:r>
      <w:r>
        <w:rPr>
          <w:spacing w:val="-8"/>
        </w:rPr>
        <w:t> </w:t>
      </w:r>
      <w:r>
        <w:rPr/>
        <w:t>various</w:t>
      </w:r>
      <w:r>
        <w:rPr>
          <w:spacing w:val="-8"/>
        </w:rPr>
        <w:t> </w:t>
      </w:r>
      <w:r>
        <w:rPr/>
        <w:t>investors</w:t>
      </w:r>
      <w:r>
        <w:rPr>
          <w:spacing w:val="-9"/>
        </w:rPr>
        <w:t> </w:t>
      </w:r>
      <w:r>
        <w:rPr/>
        <w:t>are stressed</w:t>
      </w:r>
      <w:r>
        <w:rPr>
          <w:spacing w:val="-6"/>
        </w:rPr>
        <w:t> </w:t>
      </w:r>
      <w:r>
        <w:rPr/>
        <w:t>as</w:t>
      </w:r>
      <w:r>
        <w:rPr>
          <w:spacing w:val="-6"/>
        </w:rPr>
        <w:t> </w:t>
      </w:r>
      <w:r>
        <w:rPr/>
        <w:t>the</w:t>
      </w:r>
      <w:r>
        <w:rPr>
          <w:spacing w:val="-6"/>
        </w:rPr>
        <w:t> </w:t>
      </w:r>
      <w:r>
        <w:rPr/>
        <w:t>dominant</w:t>
      </w:r>
      <w:r>
        <w:rPr>
          <w:spacing w:val="-8"/>
        </w:rPr>
        <w:t> </w:t>
      </w:r>
      <w:r>
        <w:rPr/>
        <w:t>feature</w:t>
      </w:r>
      <w:r>
        <w:rPr>
          <w:spacing w:val="-7"/>
        </w:rPr>
        <w:t> </w:t>
      </w:r>
      <w:r>
        <w:rPr/>
        <w:t>of</w:t>
      </w:r>
      <w:r>
        <w:rPr>
          <w:spacing w:val="-7"/>
        </w:rPr>
        <w:t> </w:t>
      </w:r>
      <w:r>
        <w:rPr/>
        <w:t>market-based</w:t>
      </w:r>
      <w:r>
        <w:rPr>
          <w:spacing w:val="-6"/>
        </w:rPr>
        <w:t> </w:t>
      </w:r>
      <w:r>
        <w:rPr/>
        <w:t>systems.</w:t>
      </w:r>
      <w:r>
        <w:rPr>
          <w:spacing w:val="-14"/>
        </w:rPr>
        <w:t> </w:t>
      </w:r>
      <w:r>
        <w:rPr/>
        <w:t>The</w:t>
      </w:r>
      <w:r>
        <w:rPr>
          <w:spacing w:val="-7"/>
        </w:rPr>
        <w:t> </w:t>
      </w:r>
      <w:r>
        <w:rPr/>
        <w:t>market-based</w:t>
      </w:r>
      <w:r>
        <w:rPr>
          <w:spacing w:val="-6"/>
        </w:rPr>
        <w:t> </w:t>
      </w:r>
      <w:r>
        <w:rPr/>
        <w:t>model,</w:t>
      </w:r>
      <w:r>
        <w:rPr>
          <w:spacing w:val="-6"/>
        </w:rPr>
        <w:t> </w:t>
      </w:r>
      <w:r>
        <w:rPr/>
        <w:t>unlike</w:t>
      </w:r>
      <w:r>
        <w:rPr>
          <w:spacing w:val="-9"/>
        </w:rPr>
        <w:t> </w:t>
      </w:r>
      <w:r>
        <w:rPr/>
        <w:t>the bank-based model, is tailored towards the shareholders philosophy. According to Ungureanu (n.d.), the Anglo-Saxon model is characterized by the emergence of financial markets and strong</w:t>
      </w:r>
      <w:r>
        <w:rPr>
          <w:spacing w:val="-12"/>
        </w:rPr>
        <w:t> </w:t>
      </w:r>
      <w:r>
        <w:rPr/>
        <w:t>banking</w:t>
      </w:r>
      <w:r>
        <w:rPr>
          <w:spacing w:val="-11"/>
        </w:rPr>
        <w:t> </w:t>
      </w:r>
      <w:r>
        <w:rPr/>
        <w:t>restrictions,</w:t>
      </w:r>
      <w:r>
        <w:rPr>
          <w:spacing w:val="-12"/>
        </w:rPr>
        <w:t> </w:t>
      </w:r>
      <w:r>
        <w:rPr/>
        <w:t>especially</w:t>
      </w:r>
      <w:r>
        <w:rPr>
          <w:spacing w:val="-11"/>
        </w:rPr>
        <w:t> </w:t>
      </w:r>
      <w:r>
        <w:rPr/>
        <w:t>regarding</w:t>
      </w:r>
      <w:r>
        <w:rPr>
          <w:spacing w:val="-12"/>
        </w:rPr>
        <w:t> </w:t>
      </w:r>
      <w:r>
        <w:rPr/>
        <w:t>the</w:t>
      </w:r>
      <w:r>
        <w:rPr>
          <w:spacing w:val="-12"/>
        </w:rPr>
        <w:t> </w:t>
      </w:r>
      <w:r>
        <w:rPr/>
        <w:t>holding</w:t>
      </w:r>
      <w:r>
        <w:rPr>
          <w:spacing w:val="-12"/>
        </w:rPr>
        <w:t> </w:t>
      </w:r>
      <w:r>
        <w:rPr/>
        <w:t>of</w:t>
      </w:r>
      <w:r>
        <w:rPr>
          <w:spacing w:val="-12"/>
        </w:rPr>
        <w:t> </w:t>
      </w:r>
      <w:r>
        <w:rPr/>
        <w:t>shares</w:t>
      </w:r>
      <w:r>
        <w:rPr>
          <w:spacing w:val="-11"/>
        </w:rPr>
        <w:t> </w:t>
      </w:r>
      <w:r>
        <w:rPr/>
        <w:t>in</w:t>
      </w:r>
      <w:r>
        <w:rPr>
          <w:spacing w:val="-11"/>
        </w:rPr>
        <w:t> </w:t>
      </w:r>
      <w:r>
        <w:rPr/>
        <w:t>companies</w:t>
      </w:r>
      <w:r>
        <w:rPr>
          <w:spacing w:val="-11"/>
        </w:rPr>
        <w:t> </w:t>
      </w:r>
      <w:r>
        <w:rPr/>
        <w:t>outside</w:t>
      </w:r>
      <w:r>
        <w:rPr>
          <w:spacing w:val="-12"/>
        </w:rPr>
        <w:t> </w:t>
      </w:r>
      <w:r>
        <w:rPr/>
        <w:t>the banking sector. The shareholding structure is dispersed. However, EWMI (2007) stated that there had been a shift from individual share ownership structure to institutional shareholding structure. The increase in ownership by institutions has resulted in their increasing influence. In turn, this has triggered regulatory changes designed to facilitate their interests and interactions in the corporate governance process.</w:t>
      </w:r>
      <w:r>
        <w:rPr>
          <w:spacing w:val="40"/>
        </w:rPr>
        <w:t> </w:t>
      </w:r>
      <w:r>
        <w:rPr/>
        <w:t>According to Berglof (1990), the degree of shareholding concentration is low, commercial bank holding is insignificant while inter-firm shareholding is less common.</w:t>
      </w:r>
      <w:r>
        <w:rPr>
          <w:spacing w:val="40"/>
        </w:rPr>
        <w:t> </w:t>
      </w:r>
      <w:r>
        <w:rPr/>
        <w:t>The market-based view of corporate finance and governance stresses how corporate management is constrained to follow closely the interests of shareholders by using the concept of market discipline, therefore placing emphasis on the shareholders’</w:t>
      </w:r>
      <w:r>
        <w:rPr>
          <w:spacing w:val="-10"/>
        </w:rPr>
        <w:t> </w:t>
      </w:r>
      <w:r>
        <w:rPr/>
        <w:t>primacy.</w:t>
      </w:r>
      <w:r>
        <w:rPr>
          <w:spacing w:val="40"/>
        </w:rPr>
        <w:t> </w:t>
      </w:r>
      <w:r>
        <w:rPr/>
        <w:t>The</w:t>
      </w:r>
      <w:r>
        <w:rPr>
          <w:spacing w:val="-11"/>
        </w:rPr>
        <w:t> </w:t>
      </w:r>
      <w:r>
        <w:rPr/>
        <w:t>market-based</w:t>
      </w:r>
      <w:r>
        <w:rPr>
          <w:spacing w:val="-10"/>
        </w:rPr>
        <w:t> </w:t>
      </w:r>
      <w:r>
        <w:rPr/>
        <w:t>model</w:t>
      </w:r>
      <w:r>
        <w:rPr>
          <w:spacing w:val="-10"/>
        </w:rPr>
        <w:t> </w:t>
      </w:r>
      <w:r>
        <w:rPr/>
        <w:t>highlights</w:t>
      </w:r>
      <w:r>
        <w:rPr>
          <w:spacing w:val="-9"/>
        </w:rPr>
        <w:t> </w:t>
      </w:r>
      <w:r>
        <w:rPr/>
        <w:t>the</w:t>
      </w:r>
      <w:r>
        <w:rPr>
          <w:spacing w:val="-10"/>
        </w:rPr>
        <w:t> </w:t>
      </w:r>
      <w:r>
        <w:rPr/>
        <w:t>growth</w:t>
      </w:r>
      <w:r>
        <w:rPr>
          <w:spacing w:val="-9"/>
        </w:rPr>
        <w:t> </w:t>
      </w:r>
      <w:r>
        <w:rPr/>
        <w:t>enhancing</w:t>
      </w:r>
      <w:r>
        <w:rPr>
          <w:spacing w:val="-9"/>
        </w:rPr>
        <w:t> </w:t>
      </w:r>
      <w:r>
        <w:rPr/>
        <w:t>role</w:t>
      </w:r>
      <w:r>
        <w:rPr>
          <w:spacing w:val="-11"/>
        </w:rPr>
        <w:t> </w:t>
      </w:r>
      <w:r>
        <w:rPr/>
        <w:t>of</w:t>
      </w:r>
      <w:r>
        <w:rPr>
          <w:spacing w:val="-10"/>
        </w:rPr>
        <w:t> </w:t>
      </w:r>
      <w:r>
        <w:rPr/>
        <w:t>well- functioning markets in: (i) fostering greater incentives to research firms since it is easier to profit</w:t>
      </w:r>
      <w:r>
        <w:rPr>
          <w:spacing w:val="62"/>
        </w:rPr>
        <w:t> </w:t>
      </w:r>
      <w:r>
        <w:rPr/>
        <w:t>from</w:t>
      </w:r>
      <w:r>
        <w:rPr>
          <w:spacing w:val="64"/>
        </w:rPr>
        <w:t> </w:t>
      </w:r>
      <w:r>
        <w:rPr/>
        <w:t>this</w:t>
      </w:r>
      <w:r>
        <w:rPr>
          <w:spacing w:val="63"/>
        </w:rPr>
        <w:t> </w:t>
      </w:r>
      <w:r>
        <w:rPr/>
        <w:t>information</w:t>
      </w:r>
      <w:r>
        <w:rPr>
          <w:spacing w:val="63"/>
        </w:rPr>
        <w:t> </w:t>
      </w:r>
      <w:r>
        <w:rPr/>
        <w:t>by</w:t>
      </w:r>
      <w:r>
        <w:rPr>
          <w:spacing w:val="66"/>
        </w:rPr>
        <w:t> </w:t>
      </w:r>
      <w:r>
        <w:rPr/>
        <w:t>trading</w:t>
      </w:r>
      <w:r>
        <w:rPr>
          <w:spacing w:val="65"/>
        </w:rPr>
        <w:t> </w:t>
      </w:r>
      <w:r>
        <w:rPr/>
        <w:t>in</w:t>
      </w:r>
      <w:r>
        <w:rPr>
          <w:spacing w:val="64"/>
        </w:rPr>
        <w:t> </w:t>
      </w:r>
      <w:r>
        <w:rPr/>
        <w:t>big,</w:t>
      </w:r>
      <w:r>
        <w:rPr>
          <w:spacing w:val="64"/>
        </w:rPr>
        <w:t> </w:t>
      </w:r>
      <w:r>
        <w:rPr/>
        <w:t>liquid</w:t>
      </w:r>
      <w:r>
        <w:rPr>
          <w:spacing w:val="64"/>
        </w:rPr>
        <w:t> </w:t>
      </w:r>
      <w:r>
        <w:rPr/>
        <w:t>markets;</w:t>
      </w:r>
      <w:r>
        <w:rPr>
          <w:spacing w:val="67"/>
        </w:rPr>
        <w:t> </w:t>
      </w:r>
      <w:r>
        <w:rPr/>
        <w:t>(ii)</w:t>
      </w:r>
      <w:r>
        <w:rPr>
          <w:spacing w:val="63"/>
        </w:rPr>
        <w:t> </w:t>
      </w:r>
      <w:r>
        <w:rPr/>
        <w:t>enhancing</w:t>
      </w:r>
      <w:r>
        <w:rPr>
          <w:spacing w:val="65"/>
        </w:rPr>
        <w:t> </w:t>
      </w:r>
      <w:r>
        <w:rPr>
          <w:spacing w:val="-2"/>
        </w:rPr>
        <w:t>corporate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t>governance by easing takeovers and making it easier to tie managerial compensation to firm performance; and (iii) facilitating risk management.</w:t>
      </w:r>
    </w:p>
    <w:p>
      <w:pPr>
        <w:pStyle w:val="BodyText"/>
        <w:spacing w:line="480" w:lineRule="auto"/>
        <w:ind w:left="940" w:right="1430"/>
        <w:jc w:val="both"/>
      </w:pPr>
      <w:r>
        <w:rPr/>
        <w:drawing>
          <wp:anchor distT="0" distB="0" distL="0" distR="0" allowOverlap="1" layoutInCell="1" locked="0" behindDoc="1" simplePos="0" relativeHeight="477694464">
            <wp:simplePos x="0" y="0"/>
            <wp:positionH relativeFrom="page">
              <wp:posOffset>1095451</wp:posOffset>
            </wp:positionH>
            <wp:positionV relativeFrom="paragraph">
              <wp:posOffset>1111055</wp:posOffset>
            </wp:positionV>
            <wp:extent cx="5106847" cy="523811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5" cstate="print"/>
                    <a:stretch>
                      <a:fillRect/>
                    </a:stretch>
                  </pic:blipFill>
                  <pic:spPr>
                    <a:xfrm>
                      <a:off x="0" y="0"/>
                      <a:ext cx="5106847" cy="5238115"/>
                    </a:xfrm>
                    <a:prstGeom prst="rect">
                      <a:avLst/>
                    </a:prstGeom>
                  </pic:spPr>
                </pic:pic>
              </a:graphicData>
            </a:graphic>
          </wp:anchor>
        </w:drawing>
      </w:r>
      <w:r>
        <w:rPr/>
        <w:t>According to Senaratne and Gunaratne (2017), the model of corporate governance is characterized by relatively short-term economic relationships. This model has been characterized as disclosure based because dispersed investors require reliable and adequate information flows in order to make informed investment decisions. Investors avoid legal liability by ceding to management control of the corporation, and paying management for acting as their agent by undertaking the affairs of the corporation. The cost of this separation of ownership and control is defined as agency cost. The interests of shareholders and management may not always coincide. Clarke (2009) opined that the person at the centre of defining and projecting the responsibilities and objectives of the corporation in the Anglo- American</w:t>
      </w:r>
      <w:r>
        <w:rPr>
          <w:spacing w:val="-9"/>
        </w:rPr>
        <w:t> </w:t>
      </w:r>
      <w:r>
        <w:rPr/>
        <w:t>mode</w:t>
      </w:r>
      <w:r>
        <w:rPr>
          <w:spacing w:val="-10"/>
        </w:rPr>
        <w:t> </w:t>
      </w:r>
      <w:r>
        <w:rPr/>
        <w:t>of</w:t>
      </w:r>
      <w:r>
        <w:rPr>
          <w:spacing w:val="-9"/>
        </w:rPr>
        <w:t> </w:t>
      </w:r>
      <w:r>
        <w:rPr/>
        <w:t>corporate</w:t>
      </w:r>
      <w:r>
        <w:rPr>
          <w:spacing w:val="-9"/>
        </w:rPr>
        <w:t> </w:t>
      </w:r>
      <w:r>
        <w:rPr/>
        <w:t>governance</w:t>
      </w:r>
      <w:r>
        <w:rPr>
          <w:spacing w:val="-10"/>
        </w:rPr>
        <w:t> </w:t>
      </w:r>
      <w:r>
        <w:rPr/>
        <w:t>was</w:t>
      </w:r>
      <w:r>
        <w:rPr>
          <w:spacing w:val="-9"/>
        </w:rPr>
        <w:t> </w:t>
      </w:r>
      <w:r>
        <w:rPr/>
        <w:t>the</w:t>
      </w:r>
      <w:r>
        <w:rPr>
          <w:spacing w:val="-8"/>
        </w:rPr>
        <w:t> </w:t>
      </w:r>
      <w:r>
        <w:rPr/>
        <w:t>Chief</w:t>
      </w:r>
      <w:r>
        <w:rPr>
          <w:spacing w:val="-10"/>
        </w:rPr>
        <w:t> </w:t>
      </w:r>
      <w:r>
        <w:rPr/>
        <w:t>Executive</w:t>
      </w:r>
      <w:r>
        <w:rPr>
          <w:spacing w:val="-10"/>
        </w:rPr>
        <w:t> </w:t>
      </w:r>
      <w:r>
        <w:rPr/>
        <w:t>Officer</w:t>
      </w:r>
      <w:r>
        <w:rPr>
          <w:spacing w:val="-9"/>
        </w:rPr>
        <w:t> </w:t>
      </w:r>
      <w:r>
        <w:rPr/>
        <w:t>(CEO).</w:t>
      </w:r>
      <w:r>
        <w:rPr>
          <w:spacing w:val="-9"/>
        </w:rPr>
        <w:t> </w:t>
      </w:r>
      <w:r>
        <w:rPr/>
        <w:t>The</w:t>
      </w:r>
      <w:r>
        <w:rPr>
          <w:spacing w:val="-10"/>
        </w:rPr>
        <w:t> </w:t>
      </w:r>
      <w:r>
        <w:rPr/>
        <w:t>position of CEO has grown in status and public recognition as corporations became larger and more powerful</w:t>
      </w:r>
      <w:r>
        <w:rPr>
          <w:spacing w:val="-15"/>
        </w:rPr>
        <w:t> </w:t>
      </w:r>
      <w:r>
        <w:rPr/>
        <w:t>and</w:t>
      </w:r>
      <w:r>
        <w:rPr>
          <w:spacing w:val="-15"/>
        </w:rPr>
        <w:t> </w:t>
      </w:r>
      <w:r>
        <w:rPr/>
        <w:t>extended</w:t>
      </w:r>
      <w:r>
        <w:rPr>
          <w:spacing w:val="-15"/>
        </w:rPr>
        <w:t> </w:t>
      </w:r>
      <w:r>
        <w:rPr/>
        <w:t>their</w:t>
      </w:r>
      <w:r>
        <w:rPr>
          <w:spacing w:val="-15"/>
        </w:rPr>
        <w:t> </w:t>
      </w:r>
      <w:r>
        <w:rPr/>
        <w:t>reach</w:t>
      </w:r>
      <w:r>
        <w:rPr>
          <w:spacing w:val="-15"/>
        </w:rPr>
        <w:t> </w:t>
      </w:r>
      <w:r>
        <w:rPr/>
        <w:t>globally.</w:t>
      </w:r>
      <w:r>
        <w:rPr>
          <w:spacing w:val="-15"/>
        </w:rPr>
        <w:t> </w:t>
      </w:r>
      <w:r>
        <w:rPr/>
        <w:t>Among</w:t>
      </w:r>
      <w:r>
        <w:rPr>
          <w:spacing w:val="-15"/>
        </w:rPr>
        <w:t> </w:t>
      </w:r>
      <w:r>
        <w:rPr/>
        <w:t>the</w:t>
      </w:r>
      <w:r>
        <w:rPr>
          <w:spacing w:val="-15"/>
        </w:rPr>
        <w:t> </w:t>
      </w:r>
      <w:r>
        <w:rPr/>
        <w:t>qualities</w:t>
      </w:r>
      <w:r>
        <w:rPr>
          <w:spacing w:val="-15"/>
        </w:rPr>
        <w:t> </w:t>
      </w:r>
      <w:r>
        <w:rPr/>
        <w:t>expected</w:t>
      </w:r>
      <w:r>
        <w:rPr>
          <w:spacing w:val="-15"/>
        </w:rPr>
        <w:t> </w:t>
      </w:r>
      <w:r>
        <w:rPr/>
        <w:t>of</w:t>
      </w:r>
      <w:r>
        <w:rPr>
          <w:spacing w:val="-15"/>
        </w:rPr>
        <w:t> </w:t>
      </w:r>
      <w:r>
        <w:rPr/>
        <w:t>CEOs</w:t>
      </w:r>
      <w:r>
        <w:rPr>
          <w:spacing w:val="-15"/>
        </w:rPr>
        <w:t> </w:t>
      </w:r>
      <w:r>
        <w:rPr/>
        <w:t>is</w:t>
      </w:r>
      <w:r>
        <w:rPr>
          <w:spacing w:val="-15"/>
        </w:rPr>
        <w:t> </w:t>
      </w:r>
      <w:r>
        <w:rPr/>
        <w:t>the</w:t>
      </w:r>
      <w:r>
        <w:rPr>
          <w:spacing w:val="-15"/>
        </w:rPr>
        <w:t> </w:t>
      </w:r>
      <w:r>
        <w:rPr/>
        <w:t>vision to see a new future for the corporation to make things happen.</w:t>
      </w:r>
      <w:r>
        <w:rPr>
          <w:spacing w:val="40"/>
        </w:rPr>
        <w:t> </w:t>
      </w:r>
      <w:r>
        <w:rPr/>
        <w:t>However, the CEO often used their control of boards not only to prevent any challenge to their position but to aggregate to themselves</w:t>
      </w:r>
      <w:r>
        <w:rPr>
          <w:spacing w:val="-15"/>
        </w:rPr>
        <w:t> </w:t>
      </w:r>
      <w:r>
        <w:rPr/>
        <w:t>an</w:t>
      </w:r>
      <w:r>
        <w:rPr>
          <w:spacing w:val="-15"/>
        </w:rPr>
        <w:t> </w:t>
      </w:r>
      <w:r>
        <w:rPr/>
        <w:t>increasing</w:t>
      </w:r>
      <w:r>
        <w:rPr>
          <w:spacing w:val="-15"/>
        </w:rPr>
        <w:t> </w:t>
      </w:r>
      <w:r>
        <w:rPr/>
        <w:t>share</w:t>
      </w:r>
      <w:r>
        <w:rPr>
          <w:spacing w:val="-15"/>
        </w:rPr>
        <w:t> </w:t>
      </w:r>
      <w:r>
        <w:rPr/>
        <w:t>of</w:t>
      </w:r>
      <w:r>
        <w:rPr>
          <w:spacing w:val="-15"/>
        </w:rPr>
        <w:t> </w:t>
      </w:r>
      <w:r>
        <w:rPr/>
        <w:t>the</w:t>
      </w:r>
      <w:r>
        <w:rPr>
          <w:spacing w:val="-15"/>
        </w:rPr>
        <w:t> </w:t>
      </w:r>
      <w:r>
        <w:rPr/>
        <w:t>wealth</w:t>
      </w:r>
      <w:r>
        <w:rPr>
          <w:spacing w:val="-15"/>
        </w:rPr>
        <w:t> </w:t>
      </w:r>
      <w:r>
        <w:rPr/>
        <w:t>generated</w:t>
      </w:r>
      <w:r>
        <w:rPr>
          <w:spacing w:val="-15"/>
        </w:rPr>
        <w:t> </w:t>
      </w:r>
      <w:r>
        <w:rPr/>
        <w:t>by</w:t>
      </w:r>
      <w:r>
        <w:rPr>
          <w:spacing w:val="-15"/>
        </w:rPr>
        <w:t> </w:t>
      </w:r>
      <w:r>
        <w:rPr/>
        <w:t>the</w:t>
      </w:r>
      <w:r>
        <w:rPr>
          <w:spacing w:val="-15"/>
        </w:rPr>
        <w:t> </w:t>
      </w:r>
      <w:r>
        <w:rPr/>
        <w:t>company,</w:t>
      </w:r>
      <w:r>
        <w:rPr>
          <w:spacing w:val="-15"/>
        </w:rPr>
        <w:t> </w:t>
      </w:r>
      <w:r>
        <w:rPr/>
        <w:t>both</w:t>
      </w:r>
      <w:r>
        <w:rPr>
          <w:spacing w:val="-15"/>
        </w:rPr>
        <w:t> </w:t>
      </w:r>
      <w:r>
        <w:rPr/>
        <w:t>in</w:t>
      </w:r>
      <w:r>
        <w:rPr>
          <w:spacing w:val="-15"/>
        </w:rPr>
        <w:t> </w:t>
      </w:r>
      <w:r>
        <w:rPr/>
        <w:t>terms</w:t>
      </w:r>
      <w:r>
        <w:rPr>
          <w:spacing w:val="-15"/>
        </w:rPr>
        <w:t> </w:t>
      </w:r>
      <w:r>
        <w:rPr/>
        <w:t>of</w:t>
      </w:r>
      <w:r>
        <w:rPr>
          <w:spacing w:val="-15"/>
        </w:rPr>
        <w:t> </w:t>
      </w:r>
      <w:r>
        <w:rPr/>
        <w:t>rapidly inflating salaries and massively growing stock options. In order to forestall the shareholders- management’s</w:t>
      </w:r>
      <w:r>
        <w:rPr>
          <w:spacing w:val="-11"/>
        </w:rPr>
        <w:t> </w:t>
      </w:r>
      <w:r>
        <w:rPr/>
        <w:t>conflicts</w:t>
      </w:r>
      <w:r>
        <w:rPr>
          <w:spacing w:val="-11"/>
        </w:rPr>
        <w:t> </w:t>
      </w:r>
      <w:r>
        <w:rPr/>
        <w:t>of</w:t>
      </w:r>
      <w:r>
        <w:rPr>
          <w:spacing w:val="-12"/>
        </w:rPr>
        <w:t> </w:t>
      </w:r>
      <w:r>
        <w:rPr/>
        <w:t>interests,</w:t>
      </w:r>
      <w:r>
        <w:rPr>
          <w:spacing w:val="-12"/>
        </w:rPr>
        <w:t> </w:t>
      </w:r>
      <w:r>
        <w:rPr/>
        <w:t>laws</w:t>
      </w:r>
      <w:r>
        <w:rPr>
          <w:spacing w:val="-11"/>
        </w:rPr>
        <w:t> </w:t>
      </w:r>
      <w:r>
        <w:rPr/>
        <w:t>governing</w:t>
      </w:r>
      <w:r>
        <w:rPr>
          <w:spacing w:val="-12"/>
        </w:rPr>
        <w:t> </w:t>
      </w:r>
      <w:r>
        <w:rPr/>
        <w:t>corporations</w:t>
      </w:r>
      <w:r>
        <w:rPr>
          <w:spacing w:val="-11"/>
        </w:rPr>
        <w:t> </w:t>
      </w:r>
      <w:r>
        <w:rPr/>
        <w:t>in</w:t>
      </w:r>
      <w:r>
        <w:rPr>
          <w:spacing w:val="-11"/>
        </w:rPr>
        <w:t> </w:t>
      </w:r>
      <w:r>
        <w:rPr/>
        <w:t>countries</w:t>
      </w:r>
      <w:r>
        <w:rPr>
          <w:spacing w:val="-11"/>
        </w:rPr>
        <w:t> </w:t>
      </w:r>
      <w:r>
        <w:rPr/>
        <w:t>using</w:t>
      </w:r>
      <w:r>
        <w:rPr>
          <w:spacing w:val="-13"/>
        </w:rPr>
        <w:t> </w:t>
      </w:r>
      <w:r>
        <w:rPr/>
        <w:t>the</w:t>
      </w:r>
      <w:r>
        <w:rPr>
          <w:spacing w:val="-12"/>
        </w:rPr>
        <w:t> </w:t>
      </w:r>
      <w:r>
        <w:rPr/>
        <w:t>Anglo- US</w:t>
      </w:r>
      <w:r>
        <w:rPr>
          <w:spacing w:val="-12"/>
        </w:rPr>
        <w:t> </w:t>
      </w:r>
      <w:r>
        <w:rPr/>
        <w:t>model</w:t>
      </w:r>
      <w:r>
        <w:rPr>
          <w:spacing w:val="-12"/>
        </w:rPr>
        <w:t> </w:t>
      </w:r>
      <w:r>
        <w:rPr/>
        <w:t>attempted</w:t>
      </w:r>
      <w:r>
        <w:rPr>
          <w:spacing w:val="-12"/>
        </w:rPr>
        <w:t> </w:t>
      </w:r>
      <w:r>
        <w:rPr/>
        <w:t>to</w:t>
      </w:r>
      <w:r>
        <w:rPr>
          <w:spacing w:val="-9"/>
        </w:rPr>
        <w:t> </w:t>
      </w:r>
      <w:r>
        <w:rPr/>
        <w:t>reconcile</w:t>
      </w:r>
      <w:r>
        <w:rPr>
          <w:spacing w:val="-13"/>
        </w:rPr>
        <w:t> </w:t>
      </w:r>
      <w:r>
        <w:rPr/>
        <w:t>these</w:t>
      </w:r>
      <w:r>
        <w:rPr>
          <w:spacing w:val="-11"/>
        </w:rPr>
        <w:t> </w:t>
      </w:r>
      <w:r>
        <w:rPr/>
        <w:t>conflicts</w:t>
      </w:r>
      <w:r>
        <w:rPr>
          <w:spacing w:val="-12"/>
        </w:rPr>
        <w:t> </w:t>
      </w:r>
      <w:r>
        <w:rPr/>
        <w:t>in</w:t>
      </w:r>
      <w:r>
        <w:rPr>
          <w:spacing w:val="-9"/>
        </w:rPr>
        <w:t> </w:t>
      </w:r>
      <w:r>
        <w:rPr/>
        <w:t>several</w:t>
      </w:r>
      <w:r>
        <w:rPr>
          <w:spacing w:val="-9"/>
        </w:rPr>
        <w:t> </w:t>
      </w:r>
      <w:r>
        <w:rPr/>
        <w:t>ways.</w:t>
      </w:r>
      <w:r>
        <w:rPr>
          <w:spacing w:val="-9"/>
        </w:rPr>
        <w:t> </w:t>
      </w:r>
      <w:r>
        <w:rPr/>
        <w:t>One</w:t>
      </w:r>
      <w:r>
        <w:rPr>
          <w:spacing w:val="-14"/>
        </w:rPr>
        <w:t> </w:t>
      </w:r>
      <w:r>
        <w:rPr/>
        <w:t>of</w:t>
      </w:r>
      <w:r>
        <w:rPr>
          <w:spacing w:val="-13"/>
        </w:rPr>
        <w:t> </w:t>
      </w:r>
      <w:r>
        <w:rPr/>
        <w:t>such</w:t>
      </w:r>
      <w:r>
        <w:rPr>
          <w:spacing w:val="-12"/>
        </w:rPr>
        <w:t> </w:t>
      </w:r>
      <w:r>
        <w:rPr/>
        <w:t>ways</w:t>
      </w:r>
      <w:r>
        <w:rPr>
          <w:spacing w:val="-12"/>
        </w:rPr>
        <w:t> </w:t>
      </w:r>
      <w:r>
        <w:rPr/>
        <w:t>to</w:t>
      </w:r>
      <w:r>
        <w:rPr>
          <w:spacing w:val="-9"/>
        </w:rPr>
        <w:t> </w:t>
      </w:r>
      <w:r>
        <w:rPr/>
        <w:t>reconcile the shareholders and management conflict is the election of a Board of Directors by shareholders and the requirement that the</w:t>
      </w:r>
      <w:r>
        <w:rPr>
          <w:spacing w:val="-1"/>
        </w:rPr>
        <w:t> </w:t>
      </w:r>
      <w:r>
        <w:rPr/>
        <w:t>board</w:t>
      </w:r>
      <w:r>
        <w:rPr>
          <w:spacing w:val="-1"/>
        </w:rPr>
        <w:t> </w:t>
      </w:r>
      <w:r>
        <w:rPr/>
        <w:t>act as fiduciaries</w:t>
      </w:r>
      <w:r>
        <w:rPr>
          <w:spacing w:val="-1"/>
        </w:rPr>
        <w:t> </w:t>
      </w:r>
      <w:r>
        <w:rPr/>
        <w:t>for</w:t>
      </w:r>
      <w:r>
        <w:rPr>
          <w:spacing w:val="-2"/>
        </w:rPr>
        <w:t> </w:t>
      </w:r>
      <w:r>
        <w:rPr/>
        <w:t>shareholders’</w:t>
      </w:r>
      <w:r>
        <w:rPr>
          <w:spacing w:val="-1"/>
        </w:rPr>
        <w:t> </w:t>
      </w:r>
      <w:r>
        <w:rPr/>
        <w:t>interest by overseeing management on behalf of the shareholders (EWMI, 2007).</w:t>
      </w:r>
    </w:p>
    <w:p>
      <w:pPr>
        <w:pStyle w:val="BodyText"/>
        <w:spacing w:line="480" w:lineRule="auto" w:before="3"/>
        <w:ind w:left="940" w:right="1438"/>
        <w:jc w:val="both"/>
      </w:pPr>
      <w:r>
        <w:rPr/>
        <w:t>The board of directors is a one-tier board. The board consist of executive and non-executive directors</w:t>
      </w:r>
      <w:r>
        <w:rPr>
          <w:spacing w:val="66"/>
        </w:rPr>
        <w:t> </w:t>
      </w:r>
      <w:r>
        <w:rPr/>
        <w:t>with</w:t>
      </w:r>
      <w:r>
        <w:rPr>
          <w:spacing w:val="68"/>
        </w:rPr>
        <w:t> </w:t>
      </w:r>
      <w:r>
        <w:rPr/>
        <w:t>both</w:t>
      </w:r>
      <w:r>
        <w:rPr>
          <w:spacing w:val="69"/>
        </w:rPr>
        <w:t> </w:t>
      </w:r>
      <w:r>
        <w:rPr/>
        <w:t>classes</w:t>
      </w:r>
      <w:r>
        <w:rPr>
          <w:spacing w:val="68"/>
        </w:rPr>
        <w:t> </w:t>
      </w:r>
      <w:r>
        <w:rPr/>
        <w:t>being</w:t>
      </w:r>
      <w:r>
        <w:rPr>
          <w:spacing w:val="69"/>
        </w:rPr>
        <w:t> </w:t>
      </w:r>
      <w:r>
        <w:rPr/>
        <w:t>appointed</w:t>
      </w:r>
      <w:r>
        <w:rPr>
          <w:spacing w:val="70"/>
        </w:rPr>
        <w:t> </w:t>
      </w:r>
      <w:r>
        <w:rPr/>
        <w:t>and</w:t>
      </w:r>
      <w:r>
        <w:rPr>
          <w:spacing w:val="68"/>
        </w:rPr>
        <w:t> </w:t>
      </w:r>
      <w:r>
        <w:rPr/>
        <w:t>dismissed</w:t>
      </w:r>
      <w:r>
        <w:rPr>
          <w:spacing w:val="69"/>
        </w:rPr>
        <w:t> </w:t>
      </w:r>
      <w:r>
        <w:rPr/>
        <w:t>by</w:t>
      </w:r>
      <w:r>
        <w:rPr>
          <w:spacing w:val="68"/>
        </w:rPr>
        <w:t> </w:t>
      </w:r>
      <w:r>
        <w:rPr/>
        <w:t>the</w:t>
      </w:r>
      <w:r>
        <w:rPr>
          <w:spacing w:val="68"/>
        </w:rPr>
        <w:t> </w:t>
      </w:r>
      <w:r>
        <w:rPr/>
        <w:t>general</w:t>
      </w:r>
      <w:r>
        <w:rPr>
          <w:spacing w:val="71"/>
        </w:rPr>
        <w:t> </w:t>
      </w:r>
      <w:r>
        <w:rPr/>
        <w:t>assembly</w:t>
      </w:r>
      <w:r>
        <w:rPr>
          <w:spacing w:val="69"/>
        </w:rPr>
        <w:t> </w:t>
      </w:r>
      <w:r>
        <w:rPr>
          <w:spacing w:val="-5"/>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694976">
            <wp:simplePos x="0" y="0"/>
            <wp:positionH relativeFrom="page">
              <wp:posOffset>1095451</wp:posOffset>
            </wp:positionH>
            <wp:positionV relativeFrom="paragraph">
              <wp:posOffset>1850770</wp:posOffset>
            </wp:positionV>
            <wp:extent cx="5106847" cy="523811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5" cstate="print"/>
                    <a:stretch>
                      <a:fillRect/>
                    </a:stretch>
                  </pic:blipFill>
                  <pic:spPr>
                    <a:xfrm>
                      <a:off x="0" y="0"/>
                      <a:ext cx="5106847" cy="5238115"/>
                    </a:xfrm>
                    <a:prstGeom prst="rect">
                      <a:avLst/>
                    </a:prstGeom>
                  </pic:spPr>
                </pic:pic>
              </a:graphicData>
            </a:graphic>
          </wp:anchor>
        </w:drawing>
      </w:r>
      <w:r>
        <w:rPr/>
        <w:t>shareholders. This one-tier board is commonly described as a unitary board. According to EWMI</w:t>
      </w:r>
      <w:r>
        <w:rPr>
          <w:spacing w:val="-1"/>
        </w:rPr>
        <w:t> </w:t>
      </w:r>
      <w:r>
        <w:rPr/>
        <w:t>(2007), the executive and non-executive directors are also called insider and outsiders directors respectively. An insider is a person who is either employed by the corporation (an executive,</w:t>
      </w:r>
      <w:r>
        <w:rPr>
          <w:spacing w:val="-15"/>
        </w:rPr>
        <w:t> </w:t>
      </w:r>
      <w:r>
        <w:rPr/>
        <w:t>manager</w:t>
      </w:r>
      <w:r>
        <w:rPr>
          <w:spacing w:val="-15"/>
        </w:rPr>
        <w:t> </w:t>
      </w:r>
      <w:r>
        <w:rPr/>
        <w:t>or</w:t>
      </w:r>
      <w:r>
        <w:rPr>
          <w:spacing w:val="-15"/>
        </w:rPr>
        <w:t> </w:t>
      </w:r>
      <w:r>
        <w:rPr/>
        <w:t>employee)</w:t>
      </w:r>
      <w:r>
        <w:rPr>
          <w:spacing w:val="-15"/>
        </w:rPr>
        <w:t> </w:t>
      </w:r>
      <w:r>
        <w:rPr/>
        <w:t>or</w:t>
      </w:r>
      <w:r>
        <w:rPr>
          <w:spacing w:val="-13"/>
        </w:rPr>
        <w:t> </w:t>
      </w:r>
      <w:r>
        <w:rPr/>
        <w:t>who</w:t>
      </w:r>
      <w:r>
        <w:rPr>
          <w:spacing w:val="-15"/>
        </w:rPr>
        <w:t> </w:t>
      </w:r>
      <w:r>
        <w:rPr/>
        <w:t>has</w:t>
      </w:r>
      <w:r>
        <w:rPr>
          <w:spacing w:val="-13"/>
        </w:rPr>
        <w:t> </w:t>
      </w:r>
      <w:r>
        <w:rPr/>
        <w:t>significant</w:t>
      </w:r>
      <w:r>
        <w:rPr>
          <w:spacing w:val="-15"/>
        </w:rPr>
        <w:t> </w:t>
      </w:r>
      <w:r>
        <w:rPr/>
        <w:t>personal</w:t>
      </w:r>
      <w:r>
        <w:rPr>
          <w:spacing w:val="-15"/>
        </w:rPr>
        <w:t> </w:t>
      </w:r>
      <w:r>
        <w:rPr/>
        <w:t>or</w:t>
      </w:r>
      <w:r>
        <w:rPr>
          <w:spacing w:val="-15"/>
        </w:rPr>
        <w:t> </w:t>
      </w:r>
      <w:r>
        <w:rPr/>
        <w:t>business</w:t>
      </w:r>
      <w:r>
        <w:rPr>
          <w:spacing w:val="-13"/>
        </w:rPr>
        <w:t> </w:t>
      </w:r>
      <w:r>
        <w:rPr/>
        <w:t>relationships</w:t>
      </w:r>
      <w:r>
        <w:rPr>
          <w:spacing w:val="-15"/>
        </w:rPr>
        <w:t> </w:t>
      </w:r>
      <w:r>
        <w:rPr/>
        <w:t>with corporate</w:t>
      </w:r>
      <w:r>
        <w:rPr>
          <w:spacing w:val="-15"/>
        </w:rPr>
        <w:t> </w:t>
      </w:r>
      <w:r>
        <w:rPr/>
        <w:t>management.</w:t>
      </w:r>
      <w:r>
        <w:rPr>
          <w:spacing w:val="-15"/>
        </w:rPr>
        <w:t> </w:t>
      </w:r>
      <w:r>
        <w:rPr/>
        <w:t>An</w:t>
      </w:r>
      <w:r>
        <w:rPr>
          <w:spacing w:val="-15"/>
        </w:rPr>
        <w:t> </w:t>
      </w:r>
      <w:r>
        <w:rPr/>
        <w:t>outsider</w:t>
      </w:r>
      <w:r>
        <w:rPr>
          <w:spacing w:val="-15"/>
        </w:rPr>
        <w:t> </w:t>
      </w:r>
      <w:r>
        <w:rPr/>
        <w:t>is</w:t>
      </w:r>
      <w:r>
        <w:rPr>
          <w:spacing w:val="-15"/>
        </w:rPr>
        <w:t> </w:t>
      </w:r>
      <w:r>
        <w:rPr/>
        <w:t>a</w:t>
      </w:r>
      <w:r>
        <w:rPr>
          <w:spacing w:val="-15"/>
        </w:rPr>
        <w:t> </w:t>
      </w:r>
      <w:r>
        <w:rPr/>
        <w:t>person</w:t>
      </w:r>
      <w:r>
        <w:rPr>
          <w:spacing w:val="-15"/>
        </w:rPr>
        <w:t> </w:t>
      </w:r>
      <w:r>
        <w:rPr/>
        <w:t>or</w:t>
      </w:r>
      <w:r>
        <w:rPr>
          <w:spacing w:val="-15"/>
        </w:rPr>
        <w:t> </w:t>
      </w:r>
      <w:r>
        <w:rPr/>
        <w:t>an</w:t>
      </w:r>
      <w:r>
        <w:rPr>
          <w:spacing w:val="-15"/>
        </w:rPr>
        <w:t> </w:t>
      </w:r>
      <w:r>
        <w:rPr/>
        <w:t>institution</w:t>
      </w:r>
      <w:r>
        <w:rPr>
          <w:spacing w:val="-15"/>
        </w:rPr>
        <w:t> </w:t>
      </w:r>
      <w:r>
        <w:rPr/>
        <w:t>which</w:t>
      </w:r>
      <w:r>
        <w:rPr>
          <w:spacing w:val="-15"/>
        </w:rPr>
        <w:t> </w:t>
      </w:r>
      <w:r>
        <w:rPr/>
        <w:t>has</w:t>
      </w:r>
      <w:r>
        <w:rPr>
          <w:spacing w:val="-15"/>
        </w:rPr>
        <w:t> </w:t>
      </w:r>
      <w:r>
        <w:rPr/>
        <w:t>no</w:t>
      </w:r>
      <w:r>
        <w:rPr>
          <w:spacing w:val="-15"/>
        </w:rPr>
        <w:t> </w:t>
      </w:r>
      <w:r>
        <w:rPr/>
        <w:t>direct</w:t>
      </w:r>
      <w:r>
        <w:rPr>
          <w:spacing w:val="-15"/>
        </w:rPr>
        <w:t> </w:t>
      </w:r>
      <w:r>
        <w:rPr/>
        <w:t>relationship with</w:t>
      </w:r>
      <w:r>
        <w:rPr>
          <w:spacing w:val="-2"/>
        </w:rPr>
        <w:t> </w:t>
      </w:r>
      <w:r>
        <w:rPr/>
        <w:t>the</w:t>
      </w:r>
      <w:r>
        <w:rPr>
          <w:spacing w:val="-3"/>
        </w:rPr>
        <w:t> </w:t>
      </w:r>
      <w:r>
        <w:rPr/>
        <w:t>corporation</w:t>
      </w:r>
      <w:r>
        <w:rPr>
          <w:spacing w:val="-2"/>
        </w:rPr>
        <w:t> </w:t>
      </w:r>
      <w:r>
        <w:rPr/>
        <w:t>or</w:t>
      </w:r>
      <w:r>
        <w:rPr>
          <w:spacing w:val="-3"/>
        </w:rPr>
        <w:t> </w:t>
      </w:r>
      <w:r>
        <w:rPr/>
        <w:t>corporate</w:t>
      </w:r>
      <w:r>
        <w:rPr>
          <w:spacing w:val="-2"/>
        </w:rPr>
        <w:t> </w:t>
      </w:r>
      <w:r>
        <w:rPr/>
        <w:t>management.</w:t>
      </w:r>
      <w:r>
        <w:rPr>
          <w:spacing w:val="-2"/>
        </w:rPr>
        <w:t> </w:t>
      </w:r>
      <w:r>
        <w:rPr/>
        <w:t>The</w:t>
      </w:r>
      <w:r>
        <w:rPr>
          <w:spacing w:val="-3"/>
        </w:rPr>
        <w:t> </w:t>
      </w:r>
      <w:r>
        <w:rPr/>
        <w:t>insider</w:t>
      </w:r>
      <w:r>
        <w:rPr>
          <w:spacing w:val="-2"/>
        </w:rPr>
        <w:t> </w:t>
      </w:r>
      <w:r>
        <w:rPr/>
        <w:t>directors</w:t>
      </w:r>
      <w:r>
        <w:rPr>
          <w:spacing w:val="-2"/>
        </w:rPr>
        <w:t> </w:t>
      </w:r>
      <w:r>
        <w:rPr/>
        <w:t>are</w:t>
      </w:r>
      <w:r>
        <w:rPr>
          <w:spacing w:val="-3"/>
        </w:rPr>
        <w:t> </w:t>
      </w:r>
      <w:r>
        <w:rPr/>
        <w:t>part</w:t>
      </w:r>
      <w:r>
        <w:rPr>
          <w:spacing w:val="-2"/>
        </w:rPr>
        <w:t> </w:t>
      </w:r>
      <w:r>
        <w:rPr/>
        <w:t>of</w:t>
      </w:r>
      <w:r>
        <w:rPr>
          <w:spacing w:val="-3"/>
        </w:rPr>
        <w:t> </w:t>
      </w:r>
      <w:r>
        <w:rPr/>
        <w:t>the</w:t>
      </w:r>
      <w:r>
        <w:rPr>
          <w:spacing w:val="-2"/>
        </w:rPr>
        <w:t> </w:t>
      </w:r>
      <w:r>
        <w:rPr/>
        <w:t>day</w:t>
      </w:r>
      <w:r>
        <w:rPr>
          <w:spacing w:val="-2"/>
        </w:rPr>
        <w:t> </w:t>
      </w:r>
      <w:r>
        <w:rPr/>
        <w:t>to</w:t>
      </w:r>
      <w:r>
        <w:rPr>
          <w:spacing w:val="-2"/>
        </w:rPr>
        <w:t> </w:t>
      </w:r>
      <w:r>
        <w:rPr/>
        <w:t>day running</w:t>
      </w:r>
      <w:r>
        <w:rPr>
          <w:spacing w:val="-8"/>
        </w:rPr>
        <w:t> </w:t>
      </w:r>
      <w:r>
        <w:rPr/>
        <w:t>of</w:t>
      </w:r>
      <w:r>
        <w:rPr>
          <w:spacing w:val="-8"/>
        </w:rPr>
        <w:t> </w:t>
      </w:r>
      <w:r>
        <w:rPr/>
        <w:t>the</w:t>
      </w:r>
      <w:r>
        <w:rPr>
          <w:spacing w:val="-8"/>
        </w:rPr>
        <w:t> </w:t>
      </w:r>
      <w:r>
        <w:rPr/>
        <w:t>corporation</w:t>
      </w:r>
      <w:r>
        <w:rPr>
          <w:spacing w:val="-7"/>
        </w:rPr>
        <w:t> </w:t>
      </w:r>
      <w:r>
        <w:rPr/>
        <w:t>unlike</w:t>
      </w:r>
      <w:r>
        <w:rPr>
          <w:spacing w:val="-8"/>
        </w:rPr>
        <w:t> </w:t>
      </w:r>
      <w:r>
        <w:rPr/>
        <w:t>the</w:t>
      </w:r>
      <w:r>
        <w:rPr>
          <w:spacing w:val="-8"/>
        </w:rPr>
        <w:t> </w:t>
      </w:r>
      <w:r>
        <w:rPr/>
        <w:t>outsider</w:t>
      </w:r>
      <w:r>
        <w:rPr>
          <w:spacing w:val="-8"/>
        </w:rPr>
        <w:t> </w:t>
      </w:r>
      <w:r>
        <w:rPr/>
        <w:t>directors</w:t>
      </w:r>
      <w:r>
        <w:rPr>
          <w:spacing w:val="-7"/>
        </w:rPr>
        <w:t> </w:t>
      </w:r>
      <w:r>
        <w:rPr/>
        <w:t>who</w:t>
      </w:r>
      <w:r>
        <w:rPr>
          <w:spacing w:val="-8"/>
        </w:rPr>
        <w:t> </w:t>
      </w:r>
      <w:r>
        <w:rPr/>
        <w:t>do</w:t>
      </w:r>
      <w:r>
        <w:rPr>
          <w:spacing w:val="-7"/>
        </w:rPr>
        <w:t> </w:t>
      </w:r>
      <w:r>
        <w:rPr/>
        <w:t>not</w:t>
      </w:r>
      <w:r>
        <w:rPr>
          <w:spacing w:val="-7"/>
        </w:rPr>
        <w:t> </w:t>
      </w:r>
      <w:r>
        <w:rPr/>
        <w:t>take</w:t>
      </w:r>
      <w:r>
        <w:rPr>
          <w:spacing w:val="-9"/>
        </w:rPr>
        <w:t> </w:t>
      </w:r>
      <w:r>
        <w:rPr/>
        <w:t>part</w:t>
      </w:r>
      <w:r>
        <w:rPr>
          <w:spacing w:val="-8"/>
        </w:rPr>
        <w:t> </w:t>
      </w:r>
      <w:r>
        <w:rPr/>
        <w:t>in</w:t>
      </w:r>
      <w:r>
        <w:rPr>
          <w:spacing w:val="-7"/>
        </w:rPr>
        <w:t> </w:t>
      </w:r>
      <w:r>
        <w:rPr/>
        <w:t>the</w:t>
      </w:r>
      <w:r>
        <w:rPr>
          <w:spacing w:val="-8"/>
        </w:rPr>
        <w:t> </w:t>
      </w:r>
      <w:r>
        <w:rPr/>
        <w:t>daily</w:t>
      </w:r>
      <w:r>
        <w:rPr>
          <w:spacing w:val="-10"/>
        </w:rPr>
        <w:t> </w:t>
      </w:r>
      <w:r>
        <w:rPr/>
        <w:t>affairs of the corporation. In contrast to the US, a majority of boards in the UK have non-executive directors. However, many boards of UK companies have a majority of inside directors. Currently,</w:t>
      </w:r>
      <w:r>
        <w:rPr>
          <w:spacing w:val="-12"/>
        </w:rPr>
        <w:t> </w:t>
      </w:r>
      <w:r>
        <w:rPr/>
        <w:t>there</w:t>
      </w:r>
      <w:r>
        <w:rPr>
          <w:spacing w:val="-11"/>
        </w:rPr>
        <w:t> </w:t>
      </w:r>
      <w:r>
        <w:rPr/>
        <w:t>is,</w:t>
      </w:r>
      <w:r>
        <w:rPr>
          <w:spacing w:val="-11"/>
        </w:rPr>
        <w:t> </w:t>
      </w:r>
      <w:r>
        <w:rPr/>
        <w:t>however,</w:t>
      </w:r>
      <w:r>
        <w:rPr>
          <w:spacing w:val="-13"/>
        </w:rPr>
        <w:t> </w:t>
      </w:r>
      <w:r>
        <w:rPr/>
        <w:t>a</w:t>
      </w:r>
      <w:r>
        <w:rPr>
          <w:spacing w:val="-11"/>
        </w:rPr>
        <w:t> </w:t>
      </w:r>
      <w:r>
        <w:rPr/>
        <w:t>discernible</w:t>
      </w:r>
      <w:r>
        <w:rPr>
          <w:spacing w:val="-11"/>
        </w:rPr>
        <w:t> </w:t>
      </w:r>
      <w:r>
        <w:rPr/>
        <w:t>trend</w:t>
      </w:r>
      <w:r>
        <w:rPr>
          <w:spacing w:val="-12"/>
        </w:rPr>
        <w:t> </w:t>
      </w:r>
      <w:r>
        <w:rPr/>
        <w:t>towards</w:t>
      </w:r>
      <w:r>
        <w:rPr>
          <w:spacing w:val="-9"/>
        </w:rPr>
        <w:t> </w:t>
      </w:r>
      <w:r>
        <w:rPr/>
        <w:t>a</w:t>
      </w:r>
      <w:r>
        <w:rPr>
          <w:spacing w:val="-13"/>
        </w:rPr>
        <w:t> </w:t>
      </w:r>
      <w:r>
        <w:rPr/>
        <w:t>greater</w:t>
      </w:r>
      <w:r>
        <w:rPr>
          <w:spacing w:val="-11"/>
        </w:rPr>
        <w:t> </w:t>
      </w:r>
      <w:r>
        <w:rPr/>
        <w:t>inclusion</w:t>
      </w:r>
      <w:r>
        <w:rPr>
          <w:spacing w:val="-11"/>
        </w:rPr>
        <w:t> </w:t>
      </w:r>
      <w:r>
        <w:rPr/>
        <w:t>of</w:t>
      </w:r>
      <w:r>
        <w:rPr>
          <w:spacing w:val="-11"/>
        </w:rPr>
        <w:t> </w:t>
      </w:r>
      <w:r>
        <w:rPr/>
        <w:t>outsiders</w:t>
      </w:r>
      <w:r>
        <w:rPr>
          <w:spacing w:val="-12"/>
        </w:rPr>
        <w:t> </w:t>
      </w:r>
      <w:r>
        <w:rPr/>
        <w:t>in</w:t>
      </w:r>
      <w:r>
        <w:rPr>
          <w:spacing w:val="-12"/>
        </w:rPr>
        <w:t> </w:t>
      </w:r>
      <w:r>
        <w:rPr/>
        <w:t>both US</w:t>
      </w:r>
      <w:r>
        <w:rPr>
          <w:spacing w:val="-7"/>
        </w:rPr>
        <w:t> </w:t>
      </w:r>
      <w:r>
        <w:rPr/>
        <w:t>and</w:t>
      </w:r>
      <w:r>
        <w:rPr>
          <w:spacing w:val="-7"/>
        </w:rPr>
        <w:t> </w:t>
      </w:r>
      <w:r>
        <w:rPr/>
        <w:t>UK</w:t>
      </w:r>
      <w:r>
        <w:rPr>
          <w:spacing w:val="-8"/>
        </w:rPr>
        <w:t> </w:t>
      </w:r>
      <w:r>
        <w:rPr/>
        <w:t>corporations.</w:t>
      </w:r>
      <w:r>
        <w:rPr>
          <w:spacing w:val="-7"/>
        </w:rPr>
        <w:t> </w:t>
      </w:r>
      <w:r>
        <w:rPr/>
        <w:t>In</w:t>
      </w:r>
      <w:r>
        <w:rPr>
          <w:spacing w:val="-7"/>
        </w:rPr>
        <w:t> </w:t>
      </w:r>
      <w:r>
        <w:rPr/>
        <w:t>time</w:t>
      </w:r>
      <w:r>
        <w:rPr>
          <w:spacing w:val="-8"/>
        </w:rPr>
        <w:t> </w:t>
      </w:r>
      <w:r>
        <w:rPr/>
        <w:t>past,</w:t>
      </w:r>
      <w:r>
        <w:rPr>
          <w:spacing w:val="-7"/>
        </w:rPr>
        <w:t> </w:t>
      </w:r>
      <w:r>
        <w:rPr/>
        <w:t>the</w:t>
      </w:r>
      <w:r>
        <w:rPr>
          <w:spacing w:val="-8"/>
        </w:rPr>
        <w:t> </w:t>
      </w:r>
      <w:r>
        <w:rPr/>
        <w:t>same</w:t>
      </w:r>
      <w:r>
        <w:rPr>
          <w:spacing w:val="-8"/>
        </w:rPr>
        <w:t> </w:t>
      </w:r>
      <w:r>
        <w:rPr/>
        <w:t>person</w:t>
      </w:r>
      <w:r>
        <w:rPr>
          <w:spacing w:val="-8"/>
        </w:rPr>
        <w:t> </w:t>
      </w:r>
      <w:r>
        <w:rPr/>
        <w:t>served</w:t>
      </w:r>
      <w:r>
        <w:rPr>
          <w:spacing w:val="-7"/>
        </w:rPr>
        <w:t> </w:t>
      </w:r>
      <w:r>
        <w:rPr/>
        <w:t>as</w:t>
      </w:r>
      <w:r>
        <w:rPr>
          <w:spacing w:val="-7"/>
        </w:rPr>
        <w:t> </w:t>
      </w:r>
      <w:r>
        <w:rPr/>
        <w:t>the</w:t>
      </w:r>
      <w:r>
        <w:rPr>
          <w:spacing w:val="-8"/>
        </w:rPr>
        <w:t> </w:t>
      </w:r>
      <w:r>
        <w:rPr/>
        <w:t>CEO</w:t>
      </w:r>
      <w:r>
        <w:rPr>
          <w:spacing w:val="-6"/>
        </w:rPr>
        <w:t> </w:t>
      </w:r>
      <w:r>
        <w:rPr/>
        <w:t>and</w:t>
      </w:r>
      <w:r>
        <w:rPr>
          <w:spacing w:val="-7"/>
        </w:rPr>
        <w:t> </w:t>
      </w:r>
      <w:r>
        <w:rPr/>
        <w:t>the</w:t>
      </w:r>
      <w:r>
        <w:rPr>
          <w:spacing w:val="-8"/>
        </w:rPr>
        <w:t> </w:t>
      </w:r>
      <w:r>
        <w:rPr/>
        <w:t>chairman</w:t>
      </w:r>
      <w:r>
        <w:rPr>
          <w:spacing w:val="-7"/>
        </w:rPr>
        <w:t> </w:t>
      </w:r>
      <w:r>
        <w:rPr/>
        <w:t>of the</w:t>
      </w:r>
      <w:r>
        <w:rPr>
          <w:spacing w:val="-1"/>
        </w:rPr>
        <w:t> </w:t>
      </w:r>
      <w:r>
        <w:rPr/>
        <w:t>board</w:t>
      </w:r>
      <w:r>
        <w:rPr>
          <w:spacing w:val="-1"/>
        </w:rPr>
        <w:t> </w:t>
      </w:r>
      <w:r>
        <w:rPr/>
        <w:t>of</w:t>
      </w:r>
      <w:r>
        <w:rPr>
          <w:spacing w:val="-1"/>
        </w:rPr>
        <w:t> </w:t>
      </w:r>
      <w:r>
        <w:rPr/>
        <w:t>directors of</w:t>
      </w:r>
      <w:r>
        <w:rPr>
          <w:spacing w:val="-1"/>
        </w:rPr>
        <w:t> </w:t>
      </w:r>
      <w:r>
        <w:rPr/>
        <w:t>the</w:t>
      </w:r>
      <w:r>
        <w:rPr>
          <w:spacing w:val="-1"/>
        </w:rPr>
        <w:t> </w:t>
      </w:r>
      <w:r>
        <w:rPr/>
        <w:t>corporation. This dual role</w:t>
      </w:r>
      <w:r>
        <w:rPr>
          <w:spacing w:val="-2"/>
        </w:rPr>
        <w:t> </w:t>
      </w:r>
      <w:r>
        <w:rPr/>
        <w:t>of</w:t>
      </w:r>
      <w:r>
        <w:rPr>
          <w:spacing w:val="-1"/>
        </w:rPr>
        <w:t> </w:t>
      </w:r>
      <w:r>
        <w:rPr/>
        <w:t>the</w:t>
      </w:r>
      <w:r>
        <w:rPr>
          <w:spacing w:val="-1"/>
        </w:rPr>
        <w:t> </w:t>
      </w:r>
      <w:r>
        <w:rPr/>
        <w:t>CEO</w:t>
      </w:r>
      <w:r>
        <w:rPr>
          <w:spacing w:val="-1"/>
        </w:rPr>
        <w:t> </w:t>
      </w:r>
      <w:r>
        <w:rPr/>
        <w:t>results</w:t>
      </w:r>
      <w:r>
        <w:rPr>
          <w:spacing w:val="-2"/>
        </w:rPr>
        <w:t> </w:t>
      </w:r>
      <w:r>
        <w:rPr/>
        <w:t>in concentration of power, consequently, in many instances, this practice led to abuses such as flagrant disregard for</w:t>
      </w:r>
      <w:r>
        <w:rPr>
          <w:spacing w:val="-10"/>
        </w:rPr>
        <w:t> </w:t>
      </w:r>
      <w:r>
        <w:rPr/>
        <w:t>the</w:t>
      </w:r>
      <w:r>
        <w:rPr>
          <w:spacing w:val="-7"/>
        </w:rPr>
        <w:t> </w:t>
      </w:r>
      <w:r>
        <w:rPr/>
        <w:t>interests</w:t>
      </w:r>
      <w:r>
        <w:rPr>
          <w:spacing w:val="-8"/>
        </w:rPr>
        <w:t> </w:t>
      </w:r>
      <w:r>
        <w:rPr/>
        <w:t>of</w:t>
      </w:r>
      <w:r>
        <w:rPr>
          <w:spacing w:val="-9"/>
        </w:rPr>
        <w:t> </w:t>
      </w:r>
      <w:r>
        <w:rPr/>
        <w:t>outside</w:t>
      </w:r>
      <w:r>
        <w:rPr>
          <w:spacing w:val="-10"/>
        </w:rPr>
        <w:t> </w:t>
      </w:r>
      <w:r>
        <w:rPr/>
        <w:t>shareholders.</w:t>
      </w:r>
      <w:r>
        <w:rPr>
          <w:spacing w:val="-6"/>
        </w:rPr>
        <w:t> </w:t>
      </w:r>
      <w:r>
        <w:rPr/>
        <w:t>The</w:t>
      </w:r>
      <w:r>
        <w:rPr>
          <w:spacing w:val="-8"/>
        </w:rPr>
        <w:t> </w:t>
      </w:r>
      <w:r>
        <w:rPr/>
        <w:t>market-based</w:t>
      </w:r>
      <w:r>
        <w:rPr>
          <w:spacing w:val="-7"/>
        </w:rPr>
        <w:t> </w:t>
      </w:r>
      <w:r>
        <w:rPr/>
        <w:t>model</w:t>
      </w:r>
      <w:r>
        <w:rPr>
          <w:spacing w:val="-9"/>
        </w:rPr>
        <w:t> </w:t>
      </w:r>
      <w:r>
        <w:rPr/>
        <w:t>has</w:t>
      </w:r>
      <w:r>
        <w:rPr>
          <w:spacing w:val="-6"/>
        </w:rPr>
        <w:t> </w:t>
      </w:r>
      <w:r>
        <w:rPr/>
        <w:t>a</w:t>
      </w:r>
      <w:r>
        <w:rPr>
          <w:spacing w:val="-7"/>
        </w:rPr>
        <w:t> </w:t>
      </w:r>
      <w:r>
        <w:rPr/>
        <w:t>wide</w:t>
      </w:r>
      <w:r>
        <w:rPr>
          <w:spacing w:val="-10"/>
        </w:rPr>
        <w:t> </w:t>
      </w:r>
      <w:r>
        <w:rPr/>
        <w:t>range</w:t>
      </w:r>
      <w:r>
        <w:rPr>
          <w:spacing w:val="-10"/>
        </w:rPr>
        <w:t> </w:t>
      </w:r>
      <w:r>
        <w:rPr/>
        <w:t>of</w:t>
      </w:r>
      <w:r>
        <w:rPr>
          <w:spacing w:val="-9"/>
        </w:rPr>
        <w:t> </w:t>
      </w:r>
      <w:r>
        <w:rPr/>
        <w:t>laws</w:t>
      </w:r>
      <w:r>
        <w:rPr>
          <w:spacing w:val="-9"/>
        </w:rPr>
        <w:t> </w:t>
      </w:r>
      <w:r>
        <w:rPr/>
        <w:t>and regulatory codes which define relationships among management, directors and shareholders. For instance, in the US, a federal agency, the Securities and Exchange Commission (SEC), regulates the securities industry, establishes disclosure requirements for corporations and regulates communication between corporations and shareholders as well as among shareholders. One of the advantages of this model is that competitive capital markets play a positive role in aggregating diffuse information signals and effectively transmitting this information to investors, with beneficial implications for firm financing and economic performance. Again, the financial instrument traded can be valued externally. However, its drawback is that well-developed markets quickly and publicly reveal information which reduces</w:t>
      </w:r>
      <w:r>
        <w:rPr>
          <w:spacing w:val="71"/>
        </w:rPr>
        <w:t> </w:t>
      </w:r>
      <w:r>
        <w:rPr/>
        <w:t>the</w:t>
      </w:r>
      <w:r>
        <w:rPr>
          <w:spacing w:val="72"/>
        </w:rPr>
        <w:t> </w:t>
      </w:r>
      <w:r>
        <w:rPr/>
        <w:t>incentives</w:t>
      </w:r>
      <w:r>
        <w:rPr>
          <w:spacing w:val="75"/>
        </w:rPr>
        <w:t> </w:t>
      </w:r>
      <w:r>
        <w:rPr/>
        <w:t>for</w:t>
      </w:r>
      <w:r>
        <w:rPr>
          <w:spacing w:val="71"/>
        </w:rPr>
        <w:t> </w:t>
      </w:r>
      <w:r>
        <w:rPr/>
        <w:t>individual</w:t>
      </w:r>
      <w:r>
        <w:rPr>
          <w:spacing w:val="73"/>
        </w:rPr>
        <w:t> </w:t>
      </w:r>
      <w:r>
        <w:rPr/>
        <w:t>investors</w:t>
      </w:r>
      <w:r>
        <w:rPr>
          <w:spacing w:val="73"/>
        </w:rPr>
        <w:t> </w:t>
      </w:r>
      <w:r>
        <w:rPr/>
        <w:t>to</w:t>
      </w:r>
      <w:r>
        <w:rPr>
          <w:spacing w:val="73"/>
        </w:rPr>
        <w:t> </w:t>
      </w:r>
      <w:r>
        <w:rPr/>
        <w:t>acquire</w:t>
      </w:r>
      <w:r>
        <w:rPr>
          <w:spacing w:val="76"/>
        </w:rPr>
        <w:t> </w:t>
      </w:r>
      <w:r>
        <w:rPr/>
        <w:t>such</w:t>
      </w:r>
      <w:r>
        <w:rPr>
          <w:spacing w:val="73"/>
        </w:rPr>
        <w:t> </w:t>
      </w:r>
      <w:r>
        <w:rPr/>
        <w:t>(Stiglitz,</w:t>
      </w:r>
      <w:r>
        <w:rPr>
          <w:spacing w:val="72"/>
        </w:rPr>
        <w:t> </w:t>
      </w:r>
      <w:r>
        <w:rPr/>
        <w:t>1985).</w:t>
      </w:r>
      <w:r>
        <w:rPr>
          <w:spacing w:val="74"/>
        </w:rPr>
        <w:t> </w:t>
      </w:r>
      <w:r>
        <w:rPr>
          <w:spacing w:val="-2"/>
        </w:rPr>
        <w:t>Again,</w:t>
      </w:r>
    </w:p>
    <w:p>
      <w:pPr>
        <w:spacing w:after="0" w:line="480" w:lineRule="auto"/>
        <w:jc w:val="both"/>
        <w:sectPr>
          <w:pgSz w:w="11910" w:h="16840"/>
          <w:pgMar w:header="0" w:footer="971" w:top="1360" w:bottom="1160" w:left="500" w:right="0"/>
        </w:sectPr>
      </w:pPr>
    </w:p>
    <w:p>
      <w:pPr>
        <w:pStyle w:val="BodyText"/>
        <w:spacing w:line="480" w:lineRule="auto" w:before="61"/>
        <w:ind w:left="940" w:right="1439"/>
        <w:jc w:val="both"/>
      </w:pPr>
      <w:r>
        <w:rPr/>
        <w:t>information hoarding by the executives may impair the ability of the board, specifically, the outside directors, to discharge</w:t>
      </w:r>
      <w:r>
        <w:rPr>
          <w:spacing w:val="-1"/>
        </w:rPr>
        <w:t> </w:t>
      </w:r>
      <w:r>
        <w:rPr/>
        <w:t>their fiduciary relationship of protecting shareholder’s interest.</w:t>
      </w:r>
    </w:p>
    <w:p>
      <w:pPr>
        <w:pStyle w:val="BodyText"/>
      </w:pPr>
    </w:p>
    <w:p>
      <w:pPr>
        <w:pStyle w:val="BodyText"/>
      </w:pPr>
    </w:p>
    <w:p>
      <w:pPr>
        <w:pStyle w:val="BodyText"/>
      </w:pPr>
    </w:p>
    <w:p>
      <w:pPr>
        <w:pStyle w:val="BodyText"/>
      </w:pPr>
    </w:p>
    <w:p>
      <w:pPr>
        <w:pStyle w:val="Heading3"/>
      </w:pPr>
      <w:r>
        <w:rPr/>
        <w:t>The</w:t>
      </w:r>
      <w:r>
        <w:rPr>
          <w:spacing w:val="-4"/>
        </w:rPr>
        <w:t> </w:t>
      </w:r>
      <w:r>
        <w:rPr/>
        <w:t>Bank-Based </w:t>
      </w:r>
      <w:r>
        <w:rPr>
          <w:spacing w:val="-4"/>
        </w:rPr>
        <w:t>Model</w:t>
      </w:r>
    </w:p>
    <w:p>
      <w:pPr>
        <w:pStyle w:val="BodyText"/>
        <w:rPr>
          <w:b/>
        </w:rPr>
      </w:pPr>
    </w:p>
    <w:p>
      <w:pPr>
        <w:pStyle w:val="BodyText"/>
        <w:spacing w:line="480" w:lineRule="auto"/>
        <w:ind w:left="940" w:right="1435"/>
        <w:jc w:val="both"/>
      </w:pPr>
      <w:r>
        <w:rPr/>
        <w:drawing>
          <wp:anchor distT="0" distB="0" distL="0" distR="0" allowOverlap="1" layoutInCell="1" locked="0" behindDoc="1" simplePos="0" relativeHeight="477695488">
            <wp:simplePos x="0" y="0"/>
            <wp:positionH relativeFrom="page">
              <wp:posOffset>1095451</wp:posOffset>
            </wp:positionH>
            <wp:positionV relativeFrom="paragraph">
              <wp:posOffset>59584</wp:posOffset>
            </wp:positionV>
            <wp:extent cx="5106847" cy="5238115"/>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 cstate="print"/>
                    <a:stretch>
                      <a:fillRect/>
                    </a:stretch>
                  </pic:blipFill>
                  <pic:spPr>
                    <a:xfrm>
                      <a:off x="0" y="0"/>
                      <a:ext cx="5106847" cy="5238115"/>
                    </a:xfrm>
                    <a:prstGeom prst="rect">
                      <a:avLst/>
                    </a:prstGeom>
                  </pic:spPr>
                </pic:pic>
              </a:graphicData>
            </a:graphic>
          </wp:anchor>
        </w:drawing>
      </w:r>
      <w:r>
        <w:rPr/>
        <w:t>This model of corporate governance in an insider system of corporate governance dominated by universal banks engaging in the full range of intermediation services (including brokerage and investment banking) and being allowed to hold equity in borrowing firms may bring a number of advantages (Flavia &amp; Bogdan, n.d.). Consequently, the funding banks maintain a long-term</w:t>
      </w:r>
      <w:r>
        <w:rPr>
          <w:spacing w:val="-5"/>
        </w:rPr>
        <w:t> </w:t>
      </w:r>
      <w:r>
        <w:rPr/>
        <w:t>relationship</w:t>
      </w:r>
      <w:r>
        <w:rPr>
          <w:spacing w:val="-5"/>
        </w:rPr>
        <w:t> </w:t>
      </w:r>
      <w:r>
        <w:rPr/>
        <w:t>with</w:t>
      </w:r>
      <w:r>
        <w:rPr>
          <w:spacing w:val="-5"/>
        </w:rPr>
        <w:t> </w:t>
      </w:r>
      <w:r>
        <w:rPr/>
        <w:t>their</w:t>
      </w:r>
      <w:r>
        <w:rPr>
          <w:spacing w:val="-7"/>
        </w:rPr>
        <w:t> </w:t>
      </w:r>
      <w:r>
        <w:rPr/>
        <w:t>borrowing</w:t>
      </w:r>
      <w:r>
        <w:rPr>
          <w:spacing w:val="-6"/>
        </w:rPr>
        <w:t> </w:t>
      </w:r>
      <w:r>
        <w:rPr/>
        <w:t>firms</w:t>
      </w:r>
      <w:r>
        <w:rPr>
          <w:spacing w:val="-5"/>
        </w:rPr>
        <w:t> </w:t>
      </w:r>
      <w:r>
        <w:rPr/>
        <w:t>and</w:t>
      </w:r>
      <w:r>
        <w:rPr>
          <w:spacing w:val="-6"/>
        </w:rPr>
        <w:t> </w:t>
      </w:r>
      <w:r>
        <w:rPr/>
        <w:t>this</w:t>
      </w:r>
      <w:r>
        <w:rPr>
          <w:spacing w:val="-6"/>
        </w:rPr>
        <w:t> </w:t>
      </w:r>
      <w:r>
        <w:rPr/>
        <w:t>portends</w:t>
      </w:r>
      <w:r>
        <w:rPr>
          <w:spacing w:val="-6"/>
        </w:rPr>
        <w:t> </w:t>
      </w:r>
      <w:r>
        <w:rPr/>
        <w:t>that</w:t>
      </w:r>
      <w:r>
        <w:rPr>
          <w:spacing w:val="-6"/>
        </w:rPr>
        <w:t> </w:t>
      </w:r>
      <w:r>
        <w:rPr/>
        <w:t>there</w:t>
      </w:r>
      <w:r>
        <w:rPr>
          <w:spacing w:val="-7"/>
        </w:rPr>
        <w:t> </w:t>
      </w:r>
      <w:r>
        <w:rPr/>
        <w:t>is</w:t>
      </w:r>
      <w:r>
        <w:rPr>
          <w:spacing w:val="-5"/>
        </w:rPr>
        <w:t> </w:t>
      </w:r>
      <w:r>
        <w:rPr/>
        <w:t>the</w:t>
      </w:r>
      <w:r>
        <w:rPr>
          <w:spacing w:val="-6"/>
        </w:rPr>
        <w:t> </w:t>
      </w:r>
      <w:r>
        <w:rPr/>
        <w:t>absence</w:t>
      </w:r>
      <w:r>
        <w:rPr>
          <w:spacing w:val="-7"/>
        </w:rPr>
        <w:t> </w:t>
      </w:r>
      <w:r>
        <w:rPr/>
        <w:t>of arm’s length dealings between the banks and borrowing firms. The bank-based model, unlike the market-based model, is tailored towards the stakeholders’ philosophy. The system of corporate</w:t>
      </w:r>
      <w:r>
        <w:rPr>
          <w:spacing w:val="-1"/>
        </w:rPr>
        <w:t> </w:t>
      </w:r>
      <w:r>
        <w:rPr/>
        <w:t>governance</w:t>
      </w:r>
      <w:r>
        <w:rPr>
          <w:spacing w:val="-1"/>
        </w:rPr>
        <w:t> </w:t>
      </w:r>
      <w:r>
        <w:rPr/>
        <w:t>is mostly found</w:t>
      </w:r>
      <w:r>
        <w:rPr>
          <w:spacing w:val="-1"/>
        </w:rPr>
        <w:t> </w:t>
      </w:r>
      <w:r>
        <w:rPr/>
        <w:t>in Continental Europe and Asian Pacific</w:t>
      </w:r>
      <w:r>
        <w:rPr>
          <w:spacing w:val="-1"/>
        </w:rPr>
        <w:t> </w:t>
      </w:r>
      <w:r>
        <w:rPr/>
        <w:t>countries. The study proceeded to discuss both the Japanese and German Models as case studies.</w:t>
      </w:r>
    </w:p>
    <w:p>
      <w:pPr>
        <w:pStyle w:val="Heading3"/>
        <w:spacing w:before="1"/>
      </w:pPr>
      <w:r>
        <w:rPr/>
        <w:t>Japanese</w:t>
      </w:r>
      <w:r>
        <w:rPr>
          <w:spacing w:val="-4"/>
        </w:rPr>
        <w:t> Model</w:t>
      </w:r>
    </w:p>
    <w:p>
      <w:pPr>
        <w:pStyle w:val="BodyText"/>
        <w:rPr>
          <w:b/>
        </w:rPr>
      </w:pPr>
    </w:p>
    <w:p>
      <w:pPr>
        <w:pStyle w:val="BodyText"/>
        <w:spacing w:line="480" w:lineRule="auto" w:before="1"/>
        <w:ind w:left="940" w:right="1432"/>
        <w:jc w:val="both"/>
      </w:pPr>
      <w:r>
        <w:rPr/>
        <w:t>The</w:t>
      </w:r>
      <w:r>
        <w:rPr>
          <w:spacing w:val="-13"/>
        </w:rPr>
        <w:t> </w:t>
      </w:r>
      <w:r>
        <w:rPr/>
        <w:t>major</w:t>
      </w:r>
      <w:r>
        <w:rPr>
          <w:spacing w:val="-13"/>
        </w:rPr>
        <w:t> </w:t>
      </w:r>
      <w:r>
        <w:rPr/>
        <w:t>players</w:t>
      </w:r>
      <w:r>
        <w:rPr>
          <w:spacing w:val="-13"/>
        </w:rPr>
        <w:t> </w:t>
      </w:r>
      <w:r>
        <w:rPr/>
        <w:t>in</w:t>
      </w:r>
      <w:r>
        <w:rPr>
          <w:spacing w:val="-12"/>
        </w:rPr>
        <w:t> </w:t>
      </w:r>
      <w:r>
        <w:rPr/>
        <w:t>this</w:t>
      </w:r>
      <w:r>
        <w:rPr>
          <w:spacing w:val="-12"/>
        </w:rPr>
        <w:t> </w:t>
      </w:r>
      <w:r>
        <w:rPr/>
        <w:t>model</w:t>
      </w:r>
      <w:r>
        <w:rPr>
          <w:spacing w:val="-12"/>
        </w:rPr>
        <w:t> </w:t>
      </w:r>
      <w:r>
        <w:rPr/>
        <w:t>are</w:t>
      </w:r>
      <w:r>
        <w:rPr>
          <w:spacing w:val="-14"/>
        </w:rPr>
        <w:t> </w:t>
      </w:r>
      <w:r>
        <w:rPr/>
        <w:t>main</w:t>
      </w:r>
      <w:r>
        <w:rPr>
          <w:spacing w:val="-12"/>
        </w:rPr>
        <w:t> </w:t>
      </w:r>
      <w:r>
        <w:rPr/>
        <w:t>bank</w:t>
      </w:r>
      <w:r>
        <w:rPr>
          <w:spacing w:val="-12"/>
        </w:rPr>
        <w:t> </w:t>
      </w:r>
      <w:r>
        <w:rPr/>
        <w:t>(a</w:t>
      </w:r>
      <w:r>
        <w:rPr>
          <w:spacing w:val="-11"/>
        </w:rPr>
        <w:t> </w:t>
      </w:r>
      <w:r>
        <w:rPr/>
        <w:t>major</w:t>
      </w:r>
      <w:r>
        <w:rPr>
          <w:spacing w:val="-13"/>
        </w:rPr>
        <w:t> </w:t>
      </w:r>
      <w:r>
        <w:rPr/>
        <w:t>inside</w:t>
      </w:r>
      <w:r>
        <w:rPr>
          <w:spacing w:val="-13"/>
        </w:rPr>
        <w:t> </w:t>
      </w:r>
      <w:r>
        <w:rPr/>
        <w:t>shareholder),</w:t>
      </w:r>
      <w:r>
        <w:rPr>
          <w:spacing w:val="-12"/>
        </w:rPr>
        <w:t> </w:t>
      </w:r>
      <w:r>
        <w:rPr/>
        <w:t>affiliated</w:t>
      </w:r>
      <w:r>
        <w:rPr>
          <w:spacing w:val="-12"/>
        </w:rPr>
        <w:t> </w:t>
      </w:r>
      <w:r>
        <w:rPr/>
        <w:t>company or keiretsu (a major inside shareholder), management and the government. The Japanese system of corporate governance is many-sided, and centres around Japan’s Main Bank and a financial/industrial network known as Keiretsu. According to Hirotsugu and Hitoshi (2003), Japan’s Main Bank and the Keiretsu system are more prevalent in the Japanese corporate governance model, specifically the webs of equity cross-holdings among them. The Main Banks are key shareholders and develop strong relationships with corporations due to overlapping roles and multiple services provided. This distinguishes this model from the Anglo-US model, where such relationships are prohibited by antitrust legislations. The interaction</w:t>
      </w:r>
      <w:r>
        <w:rPr>
          <w:spacing w:val="-9"/>
        </w:rPr>
        <w:t> </w:t>
      </w:r>
      <w:r>
        <w:rPr/>
        <w:t>among</w:t>
      </w:r>
      <w:r>
        <w:rPr>
          <w:spacing w:val="-10"/>
        </w:rPr>
        <w:t> </w:t>
      </w:r>
      <w:r>
        <w:rPr/>
        <w:t>these</w:t>
      </w:r>
      <w:r>
        <w:rPr>
          <w:spacing w:val="-9"/>
        </w:rPr>
        <w:t> </w:t>
      </w:r>
      <w:r>
        <w:rPr/>
        <w:t>players</w:t>
      </w:r>
      <w:r>
        <w:rPr>
          <w:spacing w:val="-11"/>
        </w:rPr>
        <w:t> </w:t>
      </w:r>
      <w:r>
        <w:rPr/>
        <w:t>serves</w:t>
      </w:r>
      <w:r>
        <w:rPr>
          <w:spacing w:val="-8"/>
        </w:rPr>
        <w:t> </w:t>
      </w:r>
      <w:r>
        <w:rPr/>
        <w:t>to</w:t>
      </w:r>
      <w:r>
        <w:rPr>
          <w:spacing w:val="-10"/>
        </w:rPr>
        <w:t> </w:t>
      </w:r>
      <w:r>
        <w:rPr/>
        <w:t>link</w:t>
      </w:r>
      <w:r>
        <w:rPr>
          <w:spacing w:val="-10"/>
        </w:rPr>
        <w:t> </w:t>
      </w:r>
      <w:r>
        <w:rPr/>
        <w:t>relationships</w:t>
      </w:r>
      <w:r>
        <w:rPr>
          <w:spacing w:val="-10"/>
        </w:rPr>
        <w:t> </w:t>
      </w:r>
      <w:r>
        <w:rPr/>
        <w:t>rather</w:t>
      </w:r>
      <w:r>
        <w:rPr>
          <w:spacing w:val="-9"/>
        </w:rPr>
        <w:t> </w:t>
      </w:r>
      <w:r>
        <w:rPr/>
        <w:t>than</w:t>
      </w:r>
      <w:r>
        <w:rPr>
          <w:spacing w:val="-11"/>
        </w:rPr>
        <w:t> </w:t>
      </w:r>
      <w:r>
        <w:rPr/>
        <w:t>balance</w:t>
      </w:r>
      <w:r>
        <w:rPr>
          <w:spacing w:val="-11"/>
        </w:rPr>
        <w:t> </w:t>
      </w:r>
      <w:r>
        <w:rPr/>
        <w:t>powers</w:t>
      </w:r>
      <w:r>
        <w:rPr>
          <w:spacing w:val="-8"/>
        </w:rPr>
        <w:t> </w:t>
      </w:r>
      <w:r>
        <w:rPr/>
        <w:t>as</w:t>
      </w:r>
      <w:r>
        <w:rPr>
          <w:spacing w:val="-10"/>
        </w:rPr>
        <w:t> </w:t>
      </w:r>
      <w:r>
        <w:rPr/>
        <w:t>is</w:t>
      </w:r>
      <w:r>
        <w:rPr>
          <w:spacing w:val="-7"/>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696000">
            <wp:simplePos x="0" y="0"/>
            <wp:positionH relativeFrom="page">
              <wp:posOffset>1095451</wp:posOffset>
            </wp:positionH>
            <wp:positionV relativeFrom="paragraph">
              <wp:posOffset>1850770</wp:posOffset>
            </wp:positionV>
            <wp:extent cx="5106847" cy="523811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5" cstate="print"/>
                    <a:stretch>
                      <a:fillRect/>
                    </a:stretch>
                  </pic:blipFill>
                  <pic:spPr>
                    <a:xfrm>
                      <a:off x="0" y="0"/>
                      <a:ext cx="5106847" cy="5238115"/>
                    </a:xfrm>
                    <a:prstGeom prst="rect">
                      <a:avLst/>
                    </a:prstGeom>
                  </pic:spPr>
                </pic:pic>
              </a:graphicData>
            </a:graphic>
          </wp:anchor>
        </w:drawing>
      </w:r>
      <w:r>
        <w:rPr/>
        <w:t>case in the Anglo-US model. According to Ungureanu (n.d.), Keiretsu represents a complex pattern of cooperation and also competition relationships, characterized by the adoption of defensive tactics in hostile takeovers, reducing the degree of opportunism of parties involved and</w:t>
      </w:r>
      <w:r>
        <w:rPr>
          <w:spacing w:val="-9"/>
        </w:rPr>
        <w:t> </w:t>
      </w:r>
      <w:r>
        <w:rPr/>
        <w:t>keeping</w:t>
      </w:r>
      <w:r>
        <w:rPr>
          <w:spacing w:val="-9"/>
        </w:rPr>
        <w:t> </w:t>
      </w:r>
      <w:r>
        <w:rPr/>
        <w:t>long</w:t>
      </w:r>
      <w:r>
        <w:rPr>
          <w:spacing w:val="-9"/>
        </w:rPr>
        <w:t> </w:t>
      </w:r>
      <w:r>
        <w:rPr/>
        <w:t>term</w:t>
      </w:r>
      <w:r>
        <w:rPr>
          <w:spacing w:val="-9"/>
        </w:rPr>
        <w:t> </w:t>
      </w:r>
      <w:r>
        <w:rPr/>
        <w:t>business</w:t>
      </w:r>
      <w:r>
        <w:rPr>
          <w:spacing w:val="-9"/>
        </w:rPr>
        <w:t> </w:t>
      </w:r>
      <w:r>
        <w:rPr/>
        <w:t>relationships.</w:t>
      </w:r>
      <w:r>
        <w:rPr>
          <w:spacing w:val="-7"/>
        </w:rPr>
        <w:t> </w:t>
      </w:r>
      <w:r>
        <w:rPr/>
        <w:t>Most</w:t>
      </w:r>
      <w:r>
        <w:rPr>
          <w:spacing w:val="-9"/>
        </w:rPr>
        <w:t> </w:t>
      </w:r>
      <w:r>
        <w:rPr/>
        <w:t>Japanese</w:t>
      </w:r>
      <w:r>
        <w:rPr>
          <w:spacing w:val="-10"/>
        </w:rPr>
        <w:t> </w:t>
      </w:r>
      <w:r>
        <w:rPr/>
        <w:t>companies</w:t>
      </w:r>
      <w:r>
        <w:rPr>
          <w:spacing w:val="-9"/>
        </w:rPr>
        <w:t> </w:t>
      </w:r>
      <w:r>
        <w:rPr/>
        <w:t>are</w:t>
      </w:r>
      <w:r>
        <w:rPr>
          <w:spacing w:val="-9"/>
        </w:rPr>
        <w:t> </w:t>
      </w:r>
      <w:r>
        <w:rPr/>
        <w:t>affiliated</w:t>
      </w:r>
      <w:r>
        <w:rPr>
          <w:spacing w:val="-9"/>
        </w:rPr>
        <w:t> </w:t>
      </w:r>
      <w:r>
        <w:rPr/>
        <w:t>with</w:t>
      </w:r>
      <w:r>
        <w:rPr>
          <w:spacing w:val="-9"/>
        </w:rPr>
        <w:t> </w:t>
      </w:r>
      <w:r>
        <w:rPr/>
        <w:t>this group</w:t>
      </w:r>
      <w:r>
        <w:rPr>
          <w:spacing w:val="-8"/>
        </w:rPr>
        <w:t> </w:t>
      </w:r>
      <w:r>
        <w:rPr/>
        <w:t>of</w:t>
      </w:r>
      <w:r>
        <w:rPr>
          <w:spacing w:val="-6"/>
        </w:rPr>
        <w:t> </w:t>
      </w:r>
      <w:r>
        <w:rPr/>
        <w:t>trading</w:t>
      </w:r>
      <w:r>
        <w:rPr>
          <w:spacing w:val="-7"/>
        </w:rPr>
        <w:t> </w:t>
      </w:r>
      <w:r>
        <w:rPr/>
        <w:t>partners.</w:t>
      </w:r>
      <w:r>
        <w:rPr>
          <w:spacing w:val="-6"/>
        </w:rPr>
        <w:t> </w:t>
      </w:r>
      <w:r>
        <w:rPr/>
        <w:t>The</w:t>
      </w:r>
      <w:r>
        <w:rPr>
          <w:spacing w:val="-6"/>
        </w:rPr>
        <w:t> </w:t>
      </w:r>
      <w:r>
        <w:rPr/>
        <w:t>Keiretsu</w:t>
      </w:r>
      <w:r>
        <w:rPr>
          <w:spacing w:val="-4"/>
        </w:rPr>
        <w:t> </w:t>
      </w:r>
      <w:r>
        <w:rPr/>
        <w:t>network</w:t>
      </w:r>
      <w:r>
        <w:rPr>
          <w:spacing w:val="-6"/>
        </w:rPr>
        <w:t> </w:t>
      </w:r>
      <w:r>
        <w:rPr/>
        <w:t>is</w:t>
      </w:r>
      <w:r>
        <w:rPr>
          <w:spacing w:val="-4"/>
        </w:rPr>
        <w:t> </w:t>
      </w:r>
      <w:r>
        <w:rPr/>
        <w:t>made</w:t>
      </w:r>
      <w:r>
        <w:rPr>
          <w:spacing w:val="-9"/>
        </w:rPr>
        <w:t> </w:t>
      </w:r>
      <w:r>
        <w:rPr/>
        <w:t>possible</w:t>
      </w:r>
      <w:r>
        <w:rPr>
          <w:spacing w:val="-8"/>
        </w:rPr>
        <w:t> </w:t>
      </w:r>
      <w:r>
        <w:rPr/>
        <w:t>because</w:t>
      </w:r>
      <w:r>
        <w:rPr>
          <w:spacing w:val="-8"/>
        </w:rPr>
        <w:t> </w:t>
      </w:r>
      <w:r>
        <w:rPr/>
        <w:t>Japanese</w:t>
      </w:r>
      <w:r>
        <w:rPr>
          <w:spacing w:val="-6"/>
        </w:rPr>
        <w:t> </w:t>
      </w:r>
      <w:r>
        <w:rPr/>
        <w:t>companies are</w:t>
      </w:r>
      <w:r>
        <w:rPr>
          <w:spacing w:val="-3"/>
        </w:rPr>
        <w:t> </w:t>
      </w:r>
      <w:r>
        <w:rPr/>
        <w:t>mostly formed</w:t>
      </w:r>
      <w:r>
        <w:rPr>
          <w:spacing w:val="-1"/>
        </w:rPr>
        <w:t> </w:t>
      </w:r>
      <w:r>
        <w:rPr/>
        <w:t>and</w:t>
      </w:r>
      <w:r>
        <w:rPr>
          <w:spacing w:val="-1"/>
        </w:rPr>
        <w:t> </w:t>
      </w:r>
      <w:r>
        <w:rPr/>
        <w:t>run</w:t>
      </w:r>
      <w:r>
        <w:rPr>
          <w:spacing w:val="-1"/>
        </w:rPr>
        <w:t> </w:t>
      </w:r>
      <w:r>
        <w:rPr/>
        <w:t>by</w:t>
      </w:r>
      <w:r>
        <w:rPr>
          <w:spacing w:val="-1"/>
        </w:rPr>
        <w:t> </w:t>
      </w:r>
      <w:r>
        <w:rPr/>
        <w:t>families,</w:t>
      </w:r>
      <w:r>
        <w:rPr>
          <w:spacing w:val="-1"/>
        </w:rPr>
        <w:t> </w:t>
      </w:r>
      <w:r>
        <w:rPr/>
        <w:t>and</w:t>
      </w:r>
      <w:r>
        <w:rPr>
          <w:spacing w:val="-1"/>
        </w:rPr>
        <w:t> </w:t>
      </w:r>
      <w:r>
        <w:rPr/>
        <w:t>this</w:t>
      </w:r>
      <w:r>
        <w:rPr>
          <w:spacing w:val="-1"/>
        </w:rPr>
        <w:t> </w:t>
      </w:r>
      <w:r>
        <w:rPr/>
        <w:t>makes</w:t>
      </w:r>
      <w:r>
        <w:rPr>
          <w:spacing w:val="-1"/>
        </w:rPr>
        <w:t> </w:t>
      </w:r>
      <w:r>
        <w:rPr/>
        <w:t>it</w:t>
      </w:r>
      <w:r>
        <w:rPr>
          <w:spacing w:val="-1"/>
        </w:rPr>
        <w:t> </w:t>
      </w:r>
      <w:r>
        <w:rPr/>
        <w:t>possible</w:t>
      </w:r>
      <w:r>
        <w:rPr>
          <w:spacing w:val="-2"/>
        </w:rPr>
        <w:t> </w:t>
      </w:r>
      <w:r>
        <w:rPr/>
        <w:t>for</w:t>
      </w:r>
      <w:r>
        <w:rPr>
          <w:spacing w:val="-3"/>
        </w:rPr>
        <w:t> </w:t>
      </w:r>
      <w:r>
        <w:rPr/>
        <w:t>these</w:t>
      </w:r>
      <w:r>
        <w:rPr>
          <w:spacing w:val="-4"/>
        </w:rPr>
        <w:t> </w:t>
      </w:r>
      <w:r>
        <w:rPr/>
        <w:t>companies</w:t>
      </w:r>
      <w:r>
        <w:rPr>
          <w:spacing w:val="-1"/>
        </w:rPr>
        <w:t> </w:t>
      </w:r>
      <w:r>
        <w:rPr/>
        <w:t>to</w:t>
      </w:r>
      <w:r>
        <w:rPr>
          <w:spacing w:val="-1"/>
        </w:rPr>
        <w:t> </w:t>
      </w:r>
      <w:r>
        <w:rPr/>
        <w:t>have a common interest, thus aiding a web of network. According to Gibson (1998), this model of corporate governance gives primacy to insider stakeholders such as the Main Bank and the Keiretsu, making it more internalized. According to Ungureanu (n.d.), the Japanese model is based on internal control which does not focus on the influence of strong capital markets, but on the existence of those strategic shareholders such as banks. Furthermore, this model is characterized by the strong presence of interested parties (stakeholders), especially banks, which increases the efficiency of corporate governance and provides competitive advantages unlike the Anglo-Saxon Model which inhibits the influence of such stakeholders, leading to inefficiency and increased agency costs. The ownership structure is institutional and concentrated. This enhances a situation where control is easily achieved due to concentrated shareholder’s structure.</w:t>
      </w:r>
    </w:p>
    <w:p>
      <w:pPr>
        <w:pStyle w:val="BodyText"/>
        <w:spacing w:line="480" w:lineRule="auto" w:before="2"/>
        <w:ind w:left="940" w:right="1438"/>
        <w:jc w:val="both"/>
      </w:pPr>
      <w:r>
        <w:rPr/>
        <w:t>The formation of the board of directors is conditioned on the performance of the corporation. When there is an ailing performance, a board is composed completely of insiders (i.e., executive managers) usually the heads of major divisions of the company and its central administrative body. However, the board of the directors can be sacked by the Japanese Main Bank and the Keiretsu should ailing performance continue for extended periods. In this case, the Main Bank and Keiretsu appoint their own candidates to the company’s board. Similarly, retiring government bureaucrats are also appointed to the corporate board. Non-affiliated shareholders</w:t>
      </w:r>
      <w:r>
        <w:rPr>
          <w:spacing w:val="-1"/>
        </w:rPr>
        <w:t> </w:t>
      </w:r>
      <w:r>
        <w:rPr/>
        <w:t>(i.e., shareholders</w:t>
      </w:r>
      <w:r>
        <w:rPr>
          <w:spacing w:val="1"/>
        </w:rPr>
        <w:t> </w:t>
      </w:r>
      <w:r>
        <w:rPr/>
        <w:t>other than the Main</w:t>
      </w:r>
      <w:r>
        <w:rPr>
          <w:spacing w:val="1"/>
        </w:rPr>
        <w:t> </w:t>
      </w:r>
      <w:r>
        <w:rPr/>
        <w:t>Bank</w:t>
      </w:r>
      <w:r>
        <w:rPr>
          <w:spacing w:val="1"/>
        </w:rPr>
        <w:t> </w:t>
      </w:r>
      <w:r>
        <w:rPr/>
        <w:t>and</w:t>
      </w:r>
      <w:r>
        <w:rPr>
          <w:spacing w:val="1"/>
        </w:rPr>
        <w:t> </w:t>
      </w:r>
      <w:r>
        <w:rPr/>
        <w:t>Keiretsu) have</w:t>
      </w:r>
      <w:r>
        <w:rPr>
          <w:spacing w:val="1"/>
        </w:rPr>
        <w:t> </w:t>
      </w:r>
      <w:r>
        <w:rPr/>
        <w:t>little or no</w:t>
      </w:r>
      <w:r>
        <w:rPr>
          <w:spacing w:val="1"/>
        </w:rPr>
        <w:t> </w:t>
      </w:r>
      <w:r>
        <w:rPr>
          <w:spacing w:val="-2"/>
        </w:rPr>
        <w:t>voice</w:t>
      </w:r>
    </w:p>
    <w:p>
      <w:pPr>
        <w:spacing w:after="0" w:line="480" w:lineRule="auto"/>
        <w:jc w:val="both"/>
        <w:sectPr>
          <w:pgSz w:w="11910" w:h="16840"/>
          <w:pgMar w:header="0" w:footer="971" w:top="1360" w:bottom="1160" w:left="500" w:right="0"/>
        </w:sectPr>
      </w:pPr>
    </w:p>
    <w:p>
      <w:pPr>
        <w:pStyle w:val="BodyText"/>
        <w:spacing w:line="480" w:lineRule="auto" w:before="61"/>
        <w:ind w:left="940" w:right="1432"/>
        <w:jc w:val="both"/>
      </w:pPr>
      <w:r>
        <w:rPr/>
        <w:drawing>
          <wp:anchor distT="0" distB="0" distL="0" distR="0" allowOverlap="1" layoutInCell="1" locked="0" behindDoc="1" simplePos="0" relativeHeight="477696512">
            <wp:simplePos x="0" y="0"/>
            <wp:positionH relativeFrom="page">
              <wp:posOffset>1095451</wp:posOffset>
            </wp:positionH>
            <wp:positionV relativeFrom="paragraph">
              <wp:posOffset>1850770</wp:posOffset>
            </wp:positionV>
            <wp:extent cx="5106847" cy="5238115"/>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5" cstate="print"/>
                    <a:stretch>
                      <a:fillRect/>
                    </a:stretch>
                  </pic:blipFill>
                  <pic:spPr>
                    <a:xfrm>
                      <a:off x="0" y="0"/>
                      <a:ext cx="5106847" cy="5238115"/>
                    </a:xfrm>
                    <a:prstGeom prst="rect">
                      <a:avLst/>
                    </a:prstGeom>
                  </pic:spPr>
                </pic:pic>
              </a:graphicData>
            </a:graphic>
          </wp:anchor>
        </w:drawing>
      </w:r>
      <w:r>
        <w:rPr/>
        <w:t>on the board, consequently, there is a low presence of directors representing outside shareholders. The</w:t>
      </w:r>
      <w:r>
        <w:rPr>
          <w:spacing w:val="-1"/>
        </w:rPr>
        <w:t> </w:t>
      </w:r>
      <w:r>
        <w:rPr/>
        <w:t>board size</w:t>
      </w:r>
      <w:r>
        <w:rPr>
          <w:spacing w:val="-2"/>
        </w:rPr>
        <w:t> </w:t>
      </w:r>
      <w:r>
        <w:rPr/>
        <w:t>consists of</w:t>
      </w:r>
      <w:r>
        <w:rPr>
          <w:spacing w:val="-1"/>
        </w:rPr>
        <w:t> </w:t>
      </w:r>
      <w:r>
        <w:rPr/>
        <w:t>fifty (50) members. This is usually larger</w:t>
      </w:r>
      <w:r>
        <w:rPr>
          <w:spacing w:val="-1"/>
        </w:rPr>
        <w:t> </w:t>
      </w:r>
      <w:r>
        <w:rPr/>
        <w:t>than</w:t>
      </w:r>
      <w:r>
        <w:rPr>
          <w:spacing w:val="-1"/>
        </w:rPr>
        <w:t> </w:t>
      </w:r>
      <w:r>
        <w:rPr/>
        <w:t>that of the</w:t>
      </w:r>
      <w:r>
        <w:rPr>
          <w:spacing w:val="-15"/>
        </w:rPr>
        <w:t> </w:t>
      </w:r>
      <w:r>
        <w:rPr/>
        <w:t>board</w:t>
      </w:r>
      <w:r>
        <w:rPr>
          <w:spacing w:val="-15"/>
        </w:rPr>
        <w:t> </w:t>
      </w:r>
      <w:r>
        <w:rPr/>
        <w:t>of</w:t>
      </w:r>
      <w:r>
        <w:rPr>
          <w:spacing w:val="-13"/>
        </w:rPr>
        <w:t> </w:t>
      </w:r>
      <w:r>
        <w:rPr/>
        <w:t>directors</w:t>
      </w:r>
      <w:r>
        <w:rPr>
          <w:spacing w:val="-15"/>
        </w:rPr>
        <w:t> </w:t>
      </w:r>
      <w:r>
        <w:rPr/>
        <w:t>in</w:t>
      </w:r>
      <w:r>
        <w:rPr>
          <w:spacing w:val="-14"/>
        </w:rPr>
        <w:t> </w:t>
      </w:r>
      <w:r>
        <w:rPr/>
        <w:t>the</w:t>
      </w:r>
      <w:r>
        <w:rPr>
          <w:spacing w:val="-15"/>
        </w:rPr>
        <w:t> </w:t>
      </w:r>
      <w:r>
        <w:rPr/>
        <w:t>Anglo-Saxon</w:t>
      </w:r>
      <w:r>
        <w:rPr>
          <w:spacing w:val="-14"/>
        </w:rPr>
        <w:t> </w:t>
      </w:r>
      <w:r>
        <w:rPr/>
        <w:t>model.</w:t>
      </w:r>
      <w:r>
        <w:rPr>
          <w:spacing w:val="-12"/>
        </w:rPr>
        <w:t> </w:t>
      </w:r>
      <w:r>
        <w:rPr/>
        <w:t>In</w:t>
      </w:r>
      <w:r>
        <w:rPr>
          <w:spacing w:val="-15"/>
        </w:rPr>
        <w:t> </w:t>
      </w:r>
      <w:r>
        <w:rPr/>
        <w:t>the</w:t>
      </w:r>
      <w:r>
        <w:rPr>
          <w:spacing w:val="-15"/>
        </w:rPr>
        <w:t> </w:t>
      </w:r>
      <w:r>
        <w:rPr/>
        <w:t>Japanese</w:t>
      </w:r>
      <w:r>
        <w:rPr>
          <w:spacing w:val="-15"/>
        </w:rPr>
        <w:t> </w:t>
      </w:r>
      <w:r>
        <w:rPr/>
        <w:t>model,</w:t>
      </w:r>
      <w:r>
        <w:rPr>
          <w:spacing w:val="-14"/>
        </w:rPr>
        <w:t> </w:t>
      </w:r>
      <w:r>
        <w:rPr/>
        <w:t>government</w:t>
      </w:r>
      <w:r>
        <w:rPr>
          <w:spacing w:val="-14"/>
        </w:rPr>
        <w:t> </w:t>
      </w:r>
      <w:r>
        <w:rPr/>
        <w:t>ministries help in developing industrial policies. In the same vein, government agencies provide little effective and independent regulation of the Japanese Securities Industry (EWMI, 2007). However, in recent times, the function of government ministries to formulate comprehensive industrial policies has been weakened due to several factors. For instance, the growth of Japanese</w:t>
      </w:r>
      <w:r>
        <w:rPr>
          <w:spacing w:val="-14"/>
        </w:rPr>
        <w:t> </w:t>
      </w:r>
      <w:r>
        <w:rPr/>
        <w:t>capital</w:t>
      </w:r>
      <w:r>
        <w:rPr>
          <w:spacing w:val="-15"/>
        </w:rPr>
        <w:t> </w:t>
      </w:r>
      <w:r>
        <w:rPr/>
        <w:t>markets</w:t>
      </w:r>
      <w:r>
        <w:rPr>
          <w:spacing w:val="-15"/>
        </w:rPr>
        <w:t> </w:t>
      </w:r>
      <w:r>
        <w:rPr/>
        <w:t>led</w:t>
      </w:r>
      <w:r>
        <w:rPr>
          <w:spacing w:val="-15"/>
        </w:rPr>
        <w:t> </w:t>
      </w:r>
      <w:r>
        <w:rPr/>
        <w:t>to</w:t>
      </w:r>
      <w:r>
        <w:rPr>
          <w:spacing w:val="-15"/>
        </w:rPr>
        <w:t> </w:t>
      </w:r>
      <w:r>
        <w:rPr/>
        <w:t>their</w:t>
      </w:r>
      <w:r>
        <w:rPr>
          <w:spacing w:val="-15"/>
        </w:rPr>
        <w:t> </w:t>
      </w:r>
      <w:r>
        <w:rPr/>
        <w:t>partial</w:t>
      </w:r>
      <w:r>
        <w:rPr>
          <w:spacing w:val="-14"/>
        </w:rPr>
        <w:t> </w:t>
      </w:r>
      <w:r>
        <w:rPr/>
        <w:t>liberalization</w:t>
      </w:r>
      <w:r>
        <w:rPr>
          <w:spacing w:val="-15"/>
        </w:rPr>
        <w:t> </w:t>
      </w:r>
      <w:r>
        <w:rPr/>
        <w:t>and</w:t>
      </w:r>
      <w:r>
        <w:rPr>
          <w:spacing w:val="-15"/>
        </w:rPr>
        <w:t> </w:t>
      </w:r>
      <w:r>
        <w:rPr/>
        <w:t>an</w:t>
      </w:r>
      <w:r>
        <w:rPr>
          <w:spacing w:val="-15"/>
        </w:rPr>
        <w:t> </w:t>
      </w:r>
      <w:r>
        <w:rPr/>
        <w:t>opening,</w:t>
      </w:r>
      <w:r>
        <w:rPr>
          <w:spacing w:val="-14"/>
        </w:rPr>
        <w:t> </w:t>
      </w:r>
      <w:r>
        <w:rPr/>
        <w:t>albeit</w:t>
      </w:r>
      <w:r>
        <w:rPr>
          <w:spacing w:val="-15"/>
        </w:rPr>
        <w:t> </w:t>
      </w:r>
      <w:r>
        <w:rPr/>
        <w:t>small,</w:t>
      </w:r>
      <w:r>
        <w:rPr>
          <w:spacing w:val="-15"/>
        </w:rPr>
        <w:t> </w:t>
      </w:r>
      <w:r>
        <w:rPr/>
        <w:t>to</w:t>
      </w:r>
      <w:r>
        <w:rPr>
          <w:spacing w:val="-15"/>
        </w:rPr>
        <w:t> </w:t>
      </w:r>
      <w:r>
        <w:rPr/>
        <w:t>global standards. Also, the increasing internationalization of Japanese corporations made them less dependent on their domestic market and therefore, somewhat less dependent on industrial policies. The duty of management is to manage the affairs of the corporate entity on a daily basis. The disclosure requirement is relatively stringent, however, not more stringent than the disclosures in the Anglo-Saxon model. Corporations are required to disclose a wide range of information in the annual reports such as financial data on the corporation, data on the corporation’s capital structure, background information on each nominee to the board of directors,</w:t>
      </w:r>
      <w:r>
        <w:rPr>
          <w:spacing w:val="-13"/>
        </w:rPr>
        <w:t> </w:t>
      </w:r>
      <w:r>
        <w:rPr/>
        <w:t>etc.</w:t>
      </w:r>
      <w:r>
        <w:rPr>
          <w:spacing w:val="-14"/>
        </w:rPr>
        <w:t> </w:t>
      </w:r>
      <w:r>
        <w:rPr/>
        <w:t>Again,</w:t>
      </w:r>
      <w:r>
        <w:rPr>
          <w:spacing w:val="-13"/>
        </w:rPr>
        <w:t> </w:t>
      </w:r>
      <w:r>
        <w:rPr/>
        <w:t>the</w:t>
      </w:r>
      <w:r>
        <w:rPr>
          <w:spacing w:val="-11"/>
        </w:rPr>
        <w:t> </w:t>
      </w:r>
      <w:r>
        <w:rPr/>
        <w:t>disclosure</w:t>
      </w:r>
      <w:r>
        <w:rPr>
          <w:spacing w:val="-14"/>
        </w:rPr>
        <w:t> </w:t>
      </w:r>
      <w:r>
        <w:rPr/>
        <w:t>regime</w:t>
      </w:r>
      <w:r>
        <w:rPr>
          <w:spacing w:val="-14"/>
        </w:rPr>
        <w:t> </w:t>
      </w:r>
      <w:r>
        <w:rPr/>
        <w:t>differs</w:t>
      </w:r>
      <w:r>
        <w:rPr>
          <w:spacing w:val="-13"/>
        </w:rPr>
        <w:t> </w:t>
      </w:r>
      <w:r>
        <w:rPr/>
        <w:t>from</w:t>
      </w:r>
      <w:r>
        <w:rPr>
          <w:spacing w:val="-13"/>
        </w:rPr>
        <w:t> </w:t>
      </w:r>
      <w:r>
        <w:rPr/>
        <w:t>that</w:t>
      </w:r>
      <w:r>
        <w:rPr>
          <w:spacing w:val="-13"/>
        </w:rPr>
        <w:t> </w:t>
      </w:r>
      <w:r>
        <w:rPr/>
        <w:t>of</w:t>
      </w:r>
      <w:r>
        <w:rPr>
          <w:spacing w:val="-14"/>
        </w:rPr>
        <w:t> </w:t>
      </w:r>
      <w:r>
        <w:rPr/>
        <w:t>the</w:t>
      </w:r>
      <w:r>
        <w:rPr>
          <w:spacing w:val="-14"/>
        </w:rPr>
        <w:t> </w:t>
      </w:r>
      <w:r>
        <w:rPr/>
        <w:t>Anglo-Saxon’s.</w:t>
      </w:r>
      <w:r>
        <w:rPr>
          <w:spacing w:val="-13"/>
        </w:rPr>
        <w:t> </w:t>
      </w:r>
      <w:r>
        <w:rPr/>
        <w:t>This</w:t>
      </w:r>
      <w:r>
        <w:rPr>
          <w:spacing w:val="-13"/>
        </w:rPr>
        <w:t> </w:t>
      </w:r>
      <w:r>
        <w:rPr/>
        <w:t>is</w:t>
      </w:r>
      <w:r>
        <w:rPr>
          <w:spacing w:val="-12"/>
        </w:rPr>
        <w:t> </w:t>
      </w:r>
      <w:r>
        <w:rPr/>
        <w:t>done semi-annually unlike the Anglo-Saxon model which is on a quarterly basis. The accounting standards used in this model is GAAP and IFRS unlike the US model that uses GAAP. The bane of this model is that the relationship among the players of this model is interactive in nature and does not provides checks and balance.</w:t>
      </w:r>
      <w:r>
        <w:rPr>
          <w:spacing w:val="40"/>
        </w:rPr>
        <w:t> </w:t>
      </w:r>
      <w:r>
        <w:rPr/>
        <w:t>Again, being internalized, it is not open to external</w:t>
      </w:r>
      <w:r>
        <w:rPr>
          <w:spacing w:val="-15"/>
        </w:rPr>
        <w:t> </w:t>
      </w:r>
      <w:r>
        <w:rPr/>
        <w:t>valuation.</w:t>
      </w:r>
      <w:r>
        <w:rPr>
          <w:spacing w:val="29"/>
        </w:rPr>
        <w:t> </w:t>
      </w:r>
      <w:r>
        <w:rPr>
          <w:sz w:val="23"/>
        </w:rPr>
        <w:t>Morck</w:t>
      </w:r>
      <w:r>
        <w:rPr>
          <w:spacing w:val="-14"/>
          <w:sz w:val="23"/>
        </w:rPr>
        <w:t> </w:t>
      </w:r>
      <w:r>
        <w:rPr>
          <w:sz w:val="23"/>
        </w:rPr>
        <w:t>and</w:t>
      </w:r>
      <w:r>
        <w:rPr>
          <w:spacing w:val="-14"/>
          <w:sz w:val="23"/>
        </w:rPr>
        <w:t> </w:t>
      </w:r>
      <w:r>
        <w:rPr>
          <w:sz w:val="23"/>
        </w:rPr>
        <w:t>Nakamura</w:t>
      </w:r>
      <w:r>
        <w:rPr>
          <w:spacing w:val="-14"/>
          <w:sz w:val="23"/>
        </w:rPr>
        <w:t> </w:t>
      </w:r>
      <w:r>
        <w:rPr>
          <w:sz w:val="23"/>
        </w:rPr>
        <w:t>(1999)</w:t>
      </w:r>
      <w:r>
        <w:rPr>
          <w:spacing w:val="-15"/>
          <w:sz w:val="23"/>
        </w:rPr>
        <w:t> </w:t>
      </w:r>
      <w:r>
        <w:rPr>
          <w:sz w:val="23"/>
        </w:rPr>
        <w:t>also</w:t>
      </w:r>
      <w:r>
        <w:rPr>
          <w:spacing w:val="-13"/>
          <w:sz w:val="23"/>
        </w:rPr>
        <w:t> </w:t>
      </w:r>
      <w:r>
        <w:rPr>
          <w:sz w:val="23"/>
        </w:rPr>
        <w:t>argued</w:t>
      </w:r>
      <w:r>
        <w:rPr>
          <w:spacing w:val="-15"/>
          <w:sz w:val="23"/>
        </w:rPr>
        <w:t> </w:t>
      </w:r>
      <w:r>
        <w:rPr>
          <w:sz w:val="23"/>
        </w:rPr>
        <w:t>that</w:t>
      </w:r>
      <w:r>
        <w:rPr>
          <w:spacing w:val="-13"/>
          <w:sz w:val="23"/>
        </w:rPr>
        <w:t> </w:t>
      </w:r>
      <w:r>
        <w:rPr>
          <w:sz w:val="23"/>
        </w:rPr>
        <w:t>Japan’s</w:t>
      </w:r>
      <w:r>
        <w:rPr>
          <w:spacing w:val="-15"/>
          <w:sz w:val="23"/>
        </w:rPr>
        <w:t> </w:t>
      </w:r>
      <w:r>
        <w:rPr>
          <w:sz w:val="23"/>
        </w:rPr>
        <w:t>Main</w:t>
      </w:r>
      <w:r>
        <w:rPr>
          <w:spacing w:val="-14"/>
          <w:sz w:val="23"/>
        </w:rPr>
        <w:t> </w:t>
      </w:r>
      <w:r>
        <w:rPr>
          <w:sz w:val="23"/>
        </w:rPr>
        <w:t>Bank</w:t>
      </w:r>
      <w:r>
        <w:rPr>
          <w:spacing w:val="-13"/>
          <w:sz w:val="23"/>
        </w:rPr>
        <w:t> </w:t>
      </w:r>
      <w:r>
        <w:rPr>
          <w:sz w:val="23"/>
        </w:rPr>
        <w:t>and</w:t>
      </w:r>
      <w:r>
        <w:rPr>
          <w:spacing w:val="-14"/>
          <w:sz w:val="23"/>
        </w:rPr>
        <w:t> </w:t>
      </w:r>
      <w:r>
        <w:rPr>
          <w:sz w:val="23"/>
        </w:rPr>
        <w:t>financial Keiretsu</w:t>
      </w:r>
      <w:r>
        <w:rPr>
          <w:spacing w:val="-15"/>
          <w:sz w:val="23"/>
        </w:rPr>
        <w:t> </w:t>
      </w:r>
      <w:r>
        <w:rPr>
          <w:sz w:val="23"/>
        </w:rPr>
        <w:t>system</w:t>
      </w:r>
      <w:r>
        <w:rPr>
          <w:spacing w:val="-14"/>
          <w:sz w:val="23"/>
        </w:rPr>
        <w:t> </w:t>
      </w:r>
      <w:r>
        <w:rPr>
          <w:sz w:val="23"/>
        </w:rPr>
        <w:t>left</w:t>
      </w:r>
      <w:r>
        <w:rPr>
          <w:spacing w:val="-15"/>
          <w:sz w:val="23"/>
        </w:rPr>
        <w:t> </w:t>
      </w:r>
      <w:r>
        <w:rPr>
          <w:sz w:val="23"/>
        </w:rPr>
        <w:t>corporate</w:t>
      </w:r>
      <w:r>
        <w:rPr>
          <w:spacing w:val="-14"/>
          <w:sz w:val="23"/>
        </w:rPr>
        <w:t> </w:t>
      </w:r>
      <w:r>
        <w:rPr>
          <w:sz w:val="23"/>
        </w:rPr>
        <w:t>governance</w:t>
      </w:r>
      <w:r>
        <w:rPr>
          <w:spacing w:val="-14"/>
          <w:sz w:val="23"/>
        </w:rPr>
        <w:t> </w:t>
      </w:r>
      <w:r>
        <w:rPr>
          <w:sz w:val="23"/>
        </w:rPr>
        <w:t>largely</w:t>
      </w:r>
      <w:r>
        <w:rPr>
          <w:spacing w:val="-15"/>
          <w:sz w:val="23"/>
        </w:rPr>
        <w:t> </w:t>
      </w:r>
      <w:r>
        <w:rPr>
          <w:sz w:val="23"/>
        </w:rPr>
        <w:t>in</w:t>
      </w:r>
      <w:r>
        <w:rPr>
          <w:spacing w:val="-14"/>
          <w:sz w:val="23"/>
        </w:rPr>
        <w:t> </w:t>
      </w:r>
      <w:r>
        <w:rPr>
          <w:sz w:val="23"/>
        </w:rPr>
        <w:t>the</w:t>
      </w:r>
      <w:r>
        <w:rPr>
          <w:spacing w:val="-14"/>
          <w:sz w:val="23"/>
        </w:rPr>
        <w:t> </w:t>
      </w:r>
      <w:r>
        <w:rPr>
          <w:sz w:val="23"/>
        </w:rPr>
        <w:t>hands</w:t>
      </w:r>
      <w:r>
        <w:rPr>
          <w:spacing w:val="-15"/>
          <w:sz w:val="23"/>
        </w:rPr>
        <w:t> </w:t>
      </w:r>
      <w:r>
        <w:rPr>
          <w:sz w:val="23"/>
        </w:rPr>
        <w:t>of</w:t>
      </w:r>
      <w:r>
        <w:rPr>
          <w:spacing w:val="-14"/>
          <w:sz w:val="23"/>
        </w:rPr>
        <w:t> </w:t>
      </w:r>
      <w:r>
        <w:rPr>
          <w:sz w:val="23"/>
        </w:rPr>
        <w:t>creditors</w:t>
      </w:r>
      <w:r>
        <w:rPr>
          <w:spacing w:val="-15"/>
          <w:sz w:val="23"/>
        </w:rPr>
        <w:t> </w:t>
      </w:r>
      <w:r>
        <w:rPr>
          <w:sz w:val="23"/>
        </w:rPr>
        <w:t>rather</w:t>
      </w:r>
      <w:r>
        <w:rPr>
          <w:spacing w:val="-14"/>
          <w:sz w:val="23"/>
        </w:rPr>
        <w:t> </w:t>
      </w:r>
      <w:r>
        <w:rPr>
          <w:sz w:val="23"/>
        </w:rPr>
        <w:t>than</w:t>
      </w:r>
      <w:r>
        <w:rPr>
          <w:spacing w:val="-13"/>
          <w:sz w:val="23"/>
        </w:rPr>
        <w:t> </w:t>
      </w:r>
      <w:r>
        <w:rPr>
          <w:sz w:val="23"/>
        </w:rPr>
        <w:t>shareholders. Creditor-controlled firms might excessively direct their capital investment towards the expansion of existing facilities, increase market shares in existing products, minor variations in product design,</w:t>
      </w:r>
      <w:r>
        <w:rPr>
          <w:spacing w:val="13"/>
          <w:sz w:val="23"/>
        </w:rPr>
        <w:t> </w:t>
      </w:r>
      <w:r>
        <w:rPr>
          <w:sz w:val="23"/>
        </w:rPr>
        <w:t>and</w:t>
      </w:r>
      <w:r>
        <w:rPr>
          <w:spacing w:val="13"/>
          <w:sz w:val="23"/>
        </w:rPr>
        <w:t> </w:t>
      </w:r>
      <w:r>
        <w:rPr>
          <w:sz w:val="23"/>
        </w:rPr>
        <w:t>other</w:t>
      </w:r>
      <w:r>
        <w:rPr>
          <w:spacing w:val="15"/>
          <w:sz w:val="23"/>
        </w:rPr>
        <w:t> </w:t>
      </w:r>
      <w:r>
        <w:rPr>
          <w:sz w:val="23"/>
        </w:rPr>
        <w:t>low</w:t>
      </w:r>
      <w:r>
        <w:rPr>
          <w:spacing w:val="15"/>
          <w:sz w:val="23"/>
        </w:rPr>
        <w:t> </w:t>
      </w:r>
      <w:r>
        <w:rPr>
          <w:sz w:val="23"/>
        </w:rPr>
        <w:t>risks</w:t>
      </w:r>
      <w:r>
        <w:rPr>
          <w:spacing w:val="14"/>
          <w:sz w:val="23"/>
        </w:rPr>
        <w:t> </w:t>
      </w:r>
      <w:r>
        <w:rPr>
          <w:sz w:val="23"/>
        </w:rPr>
        <w:t>or</w:t>
      </w:r>
      <w:r>
        <w:rPr>
          <w:spacing w:val="16"/>
          <w:sz w:val="23"/>
        </w:rPr>
        <w:t> </w:t>
      </w:r>
      <w:r>
        <w:rPr>
          <w:sz w:val="23"/>
        </w:rPr>
        <w:t>low</w:t>
      </w:r>
      <w:r>
        <w:rPr>
          <w:spacing w:val="16"/>
          <w:sz w:val="23"/>
        </w:rPr>
        <w:t> </w:t>
      </w:r>
      <w:r>
        <w:rPr>
          <w:sz w:val="23"/>
        </w:rPr>
        <w:t>return</w:t>
      </w:r>
      <w:r>
        <w:rPr>
          <w:spacing w:val="13"/>
          <w:sz w:val="23"/>
        </w:rPr>
        <w:t> </w:t>
      </w:r>
      <w:r>
        <w:rPr>
          <w:sz w:val="23"/>
        </w:rPr>
        <w:t>ventures.</w:t>
      </w:r>
      <w:r>
        <w:rPr>
          <w:spacing w:val="15"/>
          <w:sz w:val="23"/>
        </w:rPr>
        <w:t> </w:t>
      </w:r>
      <w:r>
        <w:rPr/>
        <w:t>However,</w:t>
      </w:r>
      <w:r>
        <w:rPr>
          <w:spacing w:val="14"/>
        </w:rPr>
        <w:t> </w:t>
      </w:r>
      <w:r>
        <w:rPr/>
        <w:t>Flavia</w:t>
      </w:r>
      <w:r>
        <w:rPr>
          <w:spacing w:val="15"/>
        </w:rPr>
        <w:t> </w:t>
      </w:r>
      <w:r>
        <w:rPr/>
        <w:t>and</w:t>
      </w:r>
      <w:r>
        <w:rPr>
          <w:spacing w:val="17"/>
        </w:rPr>
        <w:t> </w:t>
      </w:r>
      <w:r>
        <w:rPr/>
        <w:t>Bogdan</w:t>
      </w:r>
      <w:r>
        <w:rPr>
          <w:spacing w:val="15"/>
        </w:rPr>
        <w:t> </w:t>
      </w:r>
      <w:r>
        <w:rPr/>
        <w:t>(n.d.)</w:t>
      </w:r>
      <w:r>
        <w:rPr>
          <w:spacing w:val="17"/>
        </w:rPr>
        <w:t> </w:t>
      </w:r>
      <w:r>
        <w:rPr>
          <w:spacing w:val="-2"/>
        </w:rPr>
        <w:t>argued</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drawing>
          <wp:anchor distT="0" distB="0" distL="0" distR="0" allowOverlap="1" layoutInCell="1" locked="0" behindDoc="1" simplePos="0" relativeHeight="477697024">
            <wp:simplePos x="0" y="0"/>
            <wp:positionH relativeFrom="page">
              <wp:posOffset>1095451</wp:posOffset>
            </wp:positionH>
            <wp:positionV relativeFrom="paragraph">
              <wp:posOffset>1850770</wp:posOffset>
            </wp:positionV>
            <wp:extent cx="5106847" cy="523811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5" cstate="print"/>
                    <a:stretch>
                      <a:fillRect/>
                    </a:stretch>
                  </pic:blipFill>
                  <pic:spPr>
                    <a:xfrm>
                      <a:off x="0" y="0"/>
                      <a:ext cx="5106847" cy="5238115"/>
                    </a:xfrm>
                    <a:prstGeom prst="rect">
                      <a:avLst/>
                    </a:prstGeom>
                  </pic:spPr>
                </pic:pic>
              </a:graphicData>
            </a:graphic>
          </wp:anchor>
        </w:drawing>
      </w:r>
      <w:r>
        <w:rPr/>
        <w:t>that unhampered by regulatory restrictions on their activities, banks could exploit scale economies in information processing, ameliorate moral hazard through effective monitoring, form</w:t>
      </w:r>
      <w:r>
        <w:rPr>
          <w:spacing w:val="-10"/>
        </w:rPr>
        <w:t> </w:t>
      </w:r>
      <w:r>
        <w:rPr/>
        <w:t>long-run</w:t>
      </w:r>
      <w:r>
        <w:rPr>
          <w:spacing w:val="-11"/>
        </w:rPr>
        <w:t> </w:t>
      </w:r>
      <w:r>
        <w:rPr/>
        <w:t>relationships</w:t>
      </w:r>
      <w:r>
        <w:rPr>
          <w:spacing w:val="-10"/>
        </w:rPr>
        <w:t> </w:t>
      </w:r>
      <w:r>
        <w:rPr/>
        <w:t>with</w:t>
      </w:r>
      <w:r>
        <w:rPr>
          <w:spacing w:val="-10"/>
        </w:rPr>
        <w:t> </w:t>
      </w:r>
      <w:r>
        <w:rPr/>
        <w:t>firms</w:t>
      </w:r>
      <w:r>
        <w:rPr>
          <w:spacing w:val="-10"/>
        </w:rPr>
        <w:t> </w:t>
      </w:r>
      <w:r>
        <w:rPr/>
        <w:t>to</w:t>
      </w:r>
      <w:r>
        <w:rPr>
          <w:spacing w:val="-10"/>
        </w:rPr>
        <w:t> </w:t>
      </w:r>
      <w:r>
        <w:rPr/>
        <w:t>ease</w:t>
      </w:r>
      <w:r>
        <w:rPr>
          <w:spacing w:val="-11"/>
        </w:rPr>
        <w:t> </w:t>
      </w:r>
      <w:r>
        <w:rPr/>
        <w:t>asymmetric</w:t>
      </w:r>
      <w:r>
        <w:rPr>
          <w:spacing w:val="-11"/>
        </w:rPr>
        <w:t> </w:t>
      </w:r>
      <w:r>
        <w:rPr/>
        <w:t>information</w:t>
      </w:r>
      <w:r>
        <w:rPr>
          <w:spacing w:val="-10"/>
        </w:rPr>
        <w:t> </w:t>
      </w:r>
      <w:r>
        <w:rPr/>
        <w:t>distortions,</w:t>
      </w:r>
      <w:r>
        <w:rPr>
          <w:spacing w:val="-10"/>
        </w:rPr>
        <w:t> </w:t>
      </w:r>
      <w:r>
        <w:rPr/>
        <w:t>and</w:t>
      </w:r>
      <w:r>
        <w:rPr>
          <w:spacing w:val="-11"/>
        </w:rPr>
        <w:t> </w:t>
      </w:r>
      <w:r>
        <w:rPr/>
        <w:t>thereby boost economic growth. Also, it can be argued that banks are coordinated coalitions of investors which are better than uncoordinated markets at monitoring firms thereby reducing post-lending moral hazard.</w:t>
      </w:r>
    </w:p>
    <w:p>
      <w:pPr>
        <w:pStyle w:val="Heading3"/>
        <w:spacing w:before="1"/>
      </w:pPr>
      <w:r>
        <w:rPr/>
        <w:t>German</w:t>
      </w:r>
      <w:r>
        <w:rPr>
          <w:spacing w:val="-3"/>
        </w:rPr>
        <w:t> </w:t>
      </w:r>
      <w:r>
        <w:rPr>
          <w:spacing w:val="-4"/>
        </w:rPr>
        <w:t>Model</w:t>
      </w:r>
    </w:p>
    <w:p>
      <w:pPr>
        <w:pStyle w:val="BodyText"/>
        <w:rPr>
          <w:b/>
        </w:rPr>
      </w:pPr>
    </w:p>
    <w:p>
      <w:pPr>
        <w:pStyle w:val="BodyText"/>
        <w:spacing w:line="480" w:lineRule="auto"/>
        <w:ind w:left="940" w:right="1435"/>
        <w:jc w:val="both"/>
      </w:pPr>
      <w:r>
        <w:rPr/>
        <w:t>This model of corporate governance shares a lot of similarities with the Japan’s model, however, with little variations. Like the Japan’s model, the German model is internalized and it</w:t>
      </w:r>
      <w:r>
        <w:rPr>
          <w:spacing w:val="-11"/>
        </w:rPr>
        <w:t> </w:t>
      </w:r>
      <w:r>
        <w:rPr/>
        <w:t>emphasizes</w:t>
      </w:r>
      <w:r>
        <w:rPr>
          <w:spacing w:val="-12"/>
        </w:rPr>
        <w:t> </w:t>
      </w:r>
      <w:r>
        <w:rPr/>
        <w:t>the</w:t>
      </w:r>
      <w:r>
        <w:rPr>
          <w:spacing w:val="-13"/>
        </w:rPr>
        <w:t> </w:t>
      </w:r>
      <w:r>
        <w:rPr/>
        <w:t>stakeholder</w:t>
      </w:r>
      <w:r>
        <w:rPr>
          <w:spacing w:val="-13"/>
        </w:rPr>
        <w:t> </w:t>
      </w:r>
      <w:r>
        <w:rPr/>
        <w:t>philosophy.</w:t>
      </w:r>
      <w:r>
        <w:rPr>
          <w:spacing w:val="-12"/>
        </w:rPr>
        <w:t> </w:t>
      </w:r>
      <w:r>
        <w:rPr/>
        <w:t>The</w:t>
      </w:r>
      <w:r>
        <w:rPr>
          <w:spacing w:val="-13"/>
        </w:rPr>
        <w:t> </w:t>
      </w:r>
      <w:r>
        <w:rPr/>
        <w:t>key</w:t>
      </w:r>
      <w:r>
        <w:rPr>
          <w:spacing w:val="-12"/>
        </w:rPr>
        <w:t> </w:t>
      </w:r>
      <w:r>
        <w:rPr/>
        <w:t>players</w:t>
      </w:r>
      <w:r>
        <w:rPr>
          <w:spacing w:val="-13"/>
        </w:rPr>
        <w:t> </w:t>
      </w:r>
      <w:r>
        <w:rPr/>
        <w:t>in</w:t>
      </w:r>
      <w:r>
        <w:rPr>
          <w:spacing w:val="-12"/>
        </w:rPr>
        <w:t> </w:t>
      </w:r>
      <w:r>
        <w:rPr/>
        <w:t>this</w:t>
      </w:r>
      <w:r>
        <w:rPr>
          <w:spacing w:val="-12"/>
        </w:rPr>
        <w:t> </w:t>
      </w:r>
      <w:r>
        <w:rPr/>
        <w:t>model</w:t>
      </w:r>
      <w:r>
        <w:rPr>
          <w:spacing w:val="-12"/>
        </w:rPr>
        <w:t> </w:t>
      </w:r>
      <w:r>
        <w:rPr/>
        <w:t>are</w:t>
      </w:r>
      <w:r>
        <w:rPr>
          <w:spacing w:val="-11"/>
        </w:rPr>
        <w:t> </w:t>
      </w:r>
      <w:r>
        <w:rPr/>
        <w:t>German</w:t>
      </w:r>
      <w:r>
        <w:rPr>
          <w:spacing w:val="-12"/>
        </w:rPr>
        <w:t> </w:t>
      </w:r>
      <w:r>
        <w:rPr/>
        <w:t>Banks</w:t>
      </w:r>
      <w:r>
        <w:rPr>
          <w:spacing w:val="-12"/>
        </w:rPr>
        <w:t> </w:t>
      </w:r>
      <w:r>
        <w:rPr/>
        <w:t>and German corporation which are the dominant shareholders. The German banks play a multiplicity of roles as shareholders, lender, issuer of both equity and debt, depository (custodian</w:t>
      </w:r>
      <w:r>
        <w:rPr>
          <w:spacing w:val="-14"/>
        </w:rPr>
        <w:t> </w:t>
      </w:r>
      <w:r>
        <w:rPr/>
        <w:t>bank)</w:t>
      </w:r>
      <w:r>
        <w:rPr>
          <w:spacing w:val="-11"/>
        </w:rPr>
        <w:t> </w:t>
      </w:r>
      <w:r>
        <w:rPr/>
        <w:t>and</w:t>
      </w:r>
      <w:r>
        <w:rPr>
          <w:spacing w:val="-13"/>
        </w:rPr>
        <w:t> </w:t>
      </w:r>
      <w:r>
        <w:rPr/>
        <w:t>voting</w:t>
      </w:r>
      <w:r>
        <w:rPr>
          <w:spacing w:val="-13"/>
        </w:rPr>
        <w:t> </w:t>
      </w:r>
      <w:r>
        <w:rPr/>
        <w:t>agent</w:t>
      </w:r>
      <w:r>
        <w:rPr>
          <w:spacing w:val="-10"/>
        </w:rPr>
        <w:t> </w:t>
      </w:r>
      <w:r>
        <w:rPr/>
        <w:t>at</w:t>
      </w:r>
      <w:r>
        <w:rPr>
          <w:spacing w:val="-13"/>
        </w:rPr>
        <w:t> </w:t>
      </w:r>
      <w:r>
        <w:rPr/>
        <w:t>AGMs</w:t>
      </w:r>
      <w:r>
        <w:rPr>
          <w:spacing w:val="-10"/>
        </w:rPr>
        <w:t> </w:t>
      </w:r>
      <w:r>
        <w:rPr/>
        <w:t>(EWMI,</w:t>
      </w:r>
      <w:r>
        <w:rPr>
          <w:spacing w:val="-11"/>
        </w:rPr>
        <w:t> </w:t>
      </w:r>
      <w:r>
        <w:rPr/>
        <w:t>2007).</w:t>
      </w:r>
      <w:r>
        <w:rPr>
          <w:spacing w:val="-13"/>
        </w:rPr>
        <w:t> </w:t>
      </w:r>
      <w:r>
        <w:rPr/>
        <w:t>The</w:t>
      </w:r>
      <w:r>
        <w:rPr>
          <w:spacing w:val="-12"/>
        </w:rPr>
        <w:t> </w:t>
      </w:r>
      <w:r>
        <w:rPr/>
        <w:t>German</w:t>
      </w:r>
      <w:r>
        <w:rPr>
          <w:spacing w:val="-7"/>
        </w:rPr>
        <w:t> </w:t>
      </w:r>
      <w:r>
        <w:rPr/>
        <w:t>banks</w:t>
      </w:r>
      <w:r>
        <w:rPr>
          <w:spacing w:val="-13"/>
        </w:rPr>
        <w:t> </w:t>
      </w:r>
      <w:r>
        <w:rPr/>
        <w:t>hold</w:t>
      </w:r>
      <w:r>
        <w:rPr>
          <w:spacing w:val="-13"/>
        </w:rPr>
        <w:t> </w:t>
      </w:r>
      <w:r>
        <w:rPr/>
        <w:t>long-term stakes in German corporations, and, as in Japan, bank representatives are elected to German boards. Similarly, the German corporations are also shareholders, sometimes holding long- term stakes in other corporations, even where there is no industrial or commercial affiliation between the two. Most German corporations have traditionally preferred bank financing over equity financing. Consequently, German stock market capitalization is small in relation to the size of the German economy. Although the nature of financing in the German model is predominantly</w:t>
      </w:r>
      <w:r>
        <w:rPr>
          <w:spacing w:val="-7"/>
        </w:rPr>
        <w:t> </w:t>
      </w:r>
      <w:r>
        <w:rPr/>
        <w:t>bank</w:t>
      </w:r>
      <w:r>
        <w:rPr>
          <w:spacing w:val="-7"/>
        </w:rPr>
        <w:t> </w:t>
      </w:r>
      <w:r>
        <w:rPr/>
        <w:t>financing,</w:t>
      </w:r>
      <w:r>
        <w:rPr>
          <w:spacing w:val="-6"/>
        </w:rPr>
        <w:t> </w:t>
      </w:r>
      <w:r>
        <w:rPr/>
        <w:t>the</w:t>
      </w:r>
      <w:r>
        <w:rPr>
          <w:spacing w:val="-7"/>
        </w:rPr>
        <w:t> </w:t>
      </w:r>
      <w:r>
        <w:rPr/>
        <w:t>nature</w:t>
      </w:r>
      <w:r>
        <w:rPr>
          <w:spacing w:val="-6"/>
        </w:rPr>
        <w:t> </w:t>
      </w:r>
      <w:r>
        <w:rPr/>
        <w:t>of</w:t>
      </w:r>
      <w:r>
        <w:rPr>
          <w:spacing w:val="-8"/>
        </w:rPr>
        <w:t> </w:t>
      </w:r>
      <w:r>
        <w:rPr/>
        <w:t>equity</w:t>
      </w:r>
      <w:r>
        <w:rPr>
          <w:spacing w:val="-7"/>
        </w:rPr>
        <w:t> </w:t>
      </w:r>
      <w:r>
        <w:rPr/>
        <w:t>ownership</w:t>
      </w:r>
      <w:r>
        <w:rPr>
          <w:spacing w:val="-7"/>
        </w:rPr>
        <w:t> </w:t>
      </w:r>
      <w:r>
        <w:rPr/>
        <w:t>is</w:t>
      </w:r>
      <w:r>
        <w:rPr>
          <w:spacing w:val="-6"/>
        </w:rPr>
        <w:t> </w:t>
      </w:r>
      <w:r>
        <w:rPr/>
        <w:t>institutional</w:t>
      </w:r>
      <w:r>
        <w:rPr>
          <w:spacing w:val="-6"/>
        </w:rPr>
        <w:t> </w:t>
      </w:r>
      <w:r>
        <w:rPr/>
        <w:t>and</w:t>
      </w:r>
      <w:r>
        <w:rPr>
          <w:spacing w:val="-7"/>
        </w:rPr>
        <w:t> </w:t>
      </w:r>
      <w:r>
        <w:rPr/>
        <w:t>concentrated </w:t>
      </w:r>
      <w:r>
        <w:rPr>
          <w:sz w:val="26"/>
        </w:rPr>
        <w:t>with </w:t>
      </w:r>
      <w:r>
        <w:rPr/>
        <w:t>over half of all shares being owned by (non-financial) companies, banks and insurance companies (Jurgens &amp; Rupp, 2002). There are voting right restrictions on the shareholders. They can only vote a certain share percentage regardless of their share ownership. However, the</w:t>
      </w:r>
      <w:r>
        <w:rPr>
          <w:spacing w:val="-2"/>
        </w:rPr>
        <w:t> </w:t>
      </w:r>
      <w:r>
        <w:rPr/>
        <w:t>globalization</w:t>
      </w:r>
      <w:r>
        <w:rPr>
          <w:spacing w:val="-1"/>
        </w:rPr>
        <w:t> </w:t>
      </w:r>
      <w:r>
        <w:rPr/>
        <w:t>of</w:t>
      </w:r>
      <w:r>
        <w:rPr>
          <w:spacing w:val="-2"/>
        </w:rPr>
        <w:t> </w:t>
      </w:r>
      <w:r>
        <w:rPr/>
        <w:t>capital</w:t>
      </w:r>
      <w:r>
        <w:rPr>
          <w:spacing w:val="-1"/>
        </w:rPr>
        <w:t> </w:t>
      </w:r>
      <w:r>
        <w:rPr/>
        <w:t>markets</w:t>
      </w:r>
      <w:r>
        <w:rPr>
          <w:spacing w:val="-1"/>
        </w:rPr>
        <w:t> </w:t>
      </w:r>
      <w:r>
        <w:rPr/>
        <w:t>is</w:t>
      </w:r>
      <w:r>
        <w:rPr>
          <w:spacing w:val="-1"/>
        </w:rPr>
        <w:t> </w:t>
      </w:r>
      <w:r>
        <w:rPr/>
        <w:t>also</w:t>
      </w:r>
      <w:r>
        <w:rPr>
          <w:spacing w:val="-1"/>
        </w:rPr>
        <w:t> </w:t>
      </w:r>
      <w:r>
        <w:rPr/>
        <w:t>forcing German</w:t>
      </w:r>
      <w:r>
        <w:rPr>
          <w:spacing w:val="-1"/>
        </w:rPr>
        <w:t> </w:t>
      </w:r>
      <w:r>
        <w:rPr/>
        <w:t>corporations</w:t>
      </w:r>
      <w:r>
        <w:rPr>
          <w:spacing w:val="-1"/>
        </w:rPr>
        <w:t> </w:t>
      </w:r>
      <w:r>
        <w:rPr/>
        <w:t>to</w:t>
      </w:r>
      <w:r>
        <w:rPr>
          <w:spacing w:val="-1"/>
        </w:rPr>
        <w:t> </w:t>
      </w:r>
      <w:r>
        <w:rPr/>
        <w:t>change</w:t>
      </w:r>
      <w:r>
        <w:rPr>
          <w:spacing w:val="-2"/>
        </w:rPr>
        <w:t> </w:t>
      </w:r>
      <w:r>
        <w:rPr/>
        <w:t>their ways. Whether</w:t>
      </w:r>
      <w:r>
        <w:rPr>
          <w:spacing w:val="-3"/>
        </w:rPr>
        <w:t> </w:t>
      </w:r>
      <w:r>
        <w:rPr/>
        <w:t>the</w:t>
      </w:r>
      <w:r>
        <w:rPr>
          <w:spacing w:val="1"/>
        </w:rPr>
        <w:t> </w:t>
      </w:r>
      <w:r>
        <w:rPr/>
        <w:t>companies</w:t>
      </w:r>
      <w:r>
        <w:rPr>
          <w:spacing w:val="1"/>
        </w:rPr>
        <w:t> </w:t>
      </w:r>
      <w:r>
        <w:rPr/>
        <w:t>are financial</w:t>
      </w:r>
      <w:r>
        <w:rPr>
          <w:spacing w:val="1"/>
        </w:rPr>
        <w:t> </w:t>
      </w:r>
      <w:r>
        <w:rPr/>
        <w:t>or</w:t>
      </w:r>
      <w:r>
        <w:rPr>
          <w:spacing w:val="1"/>
        </w:rPr>
        <w:t> </w:t>
      </w:r>
      <w:r>
        <w:rPr/>
        <w:t>non-financial,</w:t>
      </w:r>
      <w:r>
        <w:rPr>
          <w:spacing w:val="1"/>
        </w:rPr>
        <w:t> </w:t>
      </w:r>
      <w:r>
        <w:rPr/>
        <w:t>they</w:t>
      </w:r>
      <w:r>
        <w:rPr>
          <w:spacing w:val="1"/>
        </w:rPr>
        <w:t> </w:t>
      </w:r>
      <w:r>
        <w:rPr/>
        <w:t>are</w:t>
      </w:r>
      <w:r>
        <w:rPr>
          <w:spacing w:val="-1"/>
        </w:rPr>
        <w:t> </w:t>
      </w:r>
      <w:r>
        <w:rPr/>
        <w:t>often</w:t>
      </w:r>
      <w:r>
        <w:rPr>
          <w:spacing w:val="2"/>
        </w:rPr>
        <w:t> </w:t>
      </w:r>
      <w:r>
        <w:rPr/>
        <w:t>part of</w:t>
      </w:r>
      <w:r>
        <w:rPr>
          <w:spacing w:val="3"/>
        </w:rPr>
        <w:t> </w:t>
      </w:r>
      <w:r>
        <w:rPr/>
        <w:t>networks</w:t>
      </w:r>
      <w:r>
        <w:rPr>
          <w:spacing w:val="1"/>
        </w:rPr>
        <w:t> </w:t>
      </w:r>
      <w:r>
        <w:rPr/>
        <w:t>of</w:t>
      </w:r>
      <w:r>
        <w:rPr>
          <w:spacing w:val="5"/>
        </w:rPr>
        <w:t> </w:t>
      </w:r>
      <w:r>
        <w:rPr>
          <w:spacing w:val="-2"/>
        </w:rPr>
        <w:t>cross</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t>holdings where the main motive of shareholding is to strengthen long-term relationships and business interdependencies, and this behaviour involves a long term commitment. The importance</w:t>
      </w:r>
      <w:r>
        <w:rPr>
          <w:spacing w:val="-15"/>
        </w:rPr>
        <w:t> </w:t>
      </w:r>
      <w:r>
        <w:rPr/>
        <w:t>of</w:t>
      </w:r>
      <w:r>
        <w:rPr>
          <w:spacing w:val="-15"/>
        </w:rPr>
        <w:t> </w:t>
      </w:r>
      <w:r>
        <w:rPr/>
        <w:t>cross-holdings</w:t>
      </w:r>
      <w:r>
        <w:rPr>
          <w:spacing w:val="-15"/>
        </w:rPr>
        <w:t> </w:t>
      </w:r>
      <w:r>
        <w:rPr/>
        <w:t>of</w:t>
      </w:r>
      <w:r>
        <w:rPr>
          <w:spacing w:val="-15"/>
        </w:rPr>
        <w:t> </w:t>
      </w:r>
      <w:r>
        <w:rPr/>
        <w:t>shares</w:t>
      </w:r>
      <w:r>
        <w:rPr>
          <w:spacing w:val="-15"/>
        </w:rPr>
        <w:t> </w:t>
      </w:r>
      <w:r>
        <w:rPr/>
        <w:t>among</w:t>
      </w:r>
      <w:r>
        <w:rPr>
          <w:spacing w:val="-15"/>
        </w:rPr>
        <w:t> </w:t>
      </w:r>
      <w:r>
        <w:rPr/>
        <w:t>non-financial</w:t>
      </w:r>
      <w:r>
        <w:rPr>
          <w:spacing w:val="-15"/>
        </w:rPr>
        <w:t> </w:t>
      </w:r>
      <w:r>
        <w:rPr/>
        <w:t>enterprises</w:t>
      </w:r>
      <w:r>
        <w:rPr>
          <w:spacing w:val="-15"/>
        </w:rPr>
        <w:t> </w:t>
      </w:r>
      <w:r>
        <w:rPr/>
        <w:t>and</w:t>
      </w:r>
      <w:r>
        <w:rPr>
          <w:spacing w:val="-15"/>
        </w:rPr>
        <w:t> </w:t>
      </w:r>
      <w:r>
        <w:rPr/>
        <w:t>between</w:t>
      </w:r>
      <w:r>
        <w:rPr>
          <w:spacing w:val="-15"/>
        </w:rPr>
        <w:t> </w:t>
      </w:r>
      <w:r>
        <w:rPr/>
        <w:t>banks</w:t>
      </w:r>
      <w:r>
        <w:rPr>
          <w:spacing w:val="-15"/>
        </w:rPr>
        <w:t> </w:t>
      </w:r>
      <w:r>
        <w:rPr/>
        <w:t>and non-financial enterprises is a principal feature of German corporate governance aimed at cementing long-term relationships between firms (OECD 1995).</w:t>
      </w:r>
    </w:p>
    <w:p>
      <w:pPr>
        <w:pStyle w:val="BodyText"/>
        <w:spacing w:line="480" w:lineRule="auto"/>
        <w:ind w:left="940" w:right="1434"/>
        <w:jc w:val="both"/>
      </w:pPr>
      <w:r>
        <w:rPr/>
        <w:drawing>
          <wp:anchor distT="0" distB="0" distL="0" distR="0" allowOverlap="1" layoutInCell="1" locked="0" behindDoc="1" simplePos="0" relativeHeight="477697536">
            <wp:simplePos x="0" y="0"/>
            <wp:positionH relativeFrom="page">
              <wp:posOffset>1095451</wp:posOffset>
            </wp:positionH>
            <wp:positionV relativeFrom="paragraph">
              <wp:posOffset>59584</wp:posOffset>
            </wp:positionV>
            <wp:extent cx="5106847" cy="523811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5" cstate="print"/>
                    <a:stretch>
                      <a:fillRect/>
                    </a:stretch>
                  </pic:blipFill>
                  <pic:spPr>
                    <a:xfrm>
                      <a:off x="0" y="0"/>
                      <a:ext cx="5106847" cy="5238115"/>
                    </a:xfrm>
                    <a:prstGeom prst="rect">
                      <a:avLst/>
                    </a:prstGeom>
                  </pic:spPr>
                </pic:pic>
              </a:graphicData>
            </a:graphic>
          </wp:anchor>
        </w:drawing>
      </w:r>
      <w:r>
        <w:rPr/>
        <w:t>The German board is a two-tier board: management board; and supervisory board. According to O’Connell (2017), the management board is composed entirely of insiders who are executives of the corporation while the supervisory board is composed of labour/employee representatives</w:t>
      </w:r>
      <w:r>
        <w:rPr>
          <w:spacing w:val="-15"/>
        </w:rPr>
        <w:t> </w:t>
      </w:r>
      <w:r>
        <w:rPr/>
        <w:t>and</w:t>
      </w:r>
      <w:r>
        <w:rPr>
          <w:spacing w:val="-15"/>
        </w:rPr>
        <w:t> </w:t>
      </w:r>
      <w:r>
        <w:rPr/>
        <w:t>shareholder</w:t>
      </w:r>
      <w:r>
        <w:rPr>
          <w:spacing w:val="-15"/>
        </w:rPr>
        <w:t> </w:t>
      </w:r>
      <w:r>
        <w:rPr/>
        <w:t>representatives.</w:t>
      </w:r>
      <w:r>
        <w:rPr>
          <w:spacing w:val="-15"/>
        </w:rPr>
        <w:t> </w:t>
      </w:r>
      <w:r>
        <w:rPr/>
        <w:t>The</w:t>
      </w:r>
      <w:r>
        <w:rPr>
          <w:spacing w:val="-15"/>
        </w:rPr>
        <w:t> </w:t>
      </w:r>
      <w:r>
        <w:rPr/>
        <w:t>two</w:t>
      </w:r>
      <w:r>
        <w:rPr>
          <w:spacing w:val="-15"/>
        </w:rPr>
        <w:t> </w:t>
      </w:r>
      <w:r>
        <w:rPr/>
        <w:t>boards</w:t>
      </w:r>
      <w:r>
        <w:rPr>
          <w:spacing w:val="-14"/>
        </w:rPr>
        <w:t> </w:t>
      </w:r>
      <w:r>
        <w:rPr/>
        <w:t>are</w:t>
      </w:r>
      <w:r>
        <w:rPr>
          <w:spacing w:val="-15"/>
        </w:rPr>
        <w:t> </w:t>
      </w:r>
      <w:r>
        <w:rPr/>
        <w:t>completely</w:t>
      </w:r>
      <w:r>
        <w:rPr>
          <w:spacing w:val="-14"/>
        </w:rPr>
        <w:t> </w:t>
      </w:r>
      <w:r>
        <w:rPr/>
        <w:t>distinct;</w:t>
      </w:r>
      <w:r>
        <w:rPr>
          <w:spacing w:val="-15"/>
        </w:rPr>
        <w:t> </w:t>
      </w:r>
      <w:r>
        <w:rPr/>
        <w:t>no</w:t>
      </w:r>
      <w:r>
        <w:rPr>
          <w:spacing w:val="-14"/>
        </w:rPr>
        <w:t> </w:t>
      </w:r>
      <w:r>
        <w:rPr/>
        <w:t>one may</w:t>
      </w:r>
      <w:r>
        <w:rPr>
          <w:spacing w:val="-5"/>
        </w:rPr>
        <w:t> </w:t>
      </w:r>
      <w:r>
        <w:rPr/>
        <w:t>serve</w:t>
      </w:r>
      <w:r>
        <w:rPr>
          <w:spacing w:val="-7"/>
        </w:rPr>
        <w:t> </w:t>
      </w:r>
      <w:r>
        <w:rPr/>
        <w:t>simultaneously</w:t>
      </w:r>
      <w:r>
        <w:rPr>
          <w:spacing w:val="-5"/>
        </w:rPr>
        <w:t> </w:t>
      </w:r>
      <w:r>
        <w:rPr/>
        <w:t>on</w:t>
      </w:r>
      <w:r>
        <w:rPr>
          <w:spacing w:val="-5"/>
        </w:rPr>
        <w:t> </w:t>
      </w:r>
      <w:r>
        <w:rPr/>
        <w:t>a</w:t>
      </w:r>
      <w:r>
        <w:rPr>
          <w:spacing w:val="-6"/>
        </w:rPr>
        <w:t> </w:t>
      </w:r>
      <w:r>
        <w:rPr/>
        <w:t>corporation’s</w:t>
      </w:r>
      <w:r>
        <w:rPr>
          <w:spacing w:val="-5"/>
        </w:rPr>
        <w:t> </w:t>
      </w:r>
      <w:r>
        <w:rPr/>
        <w:t>management</w:t>
      </w:r>
      <w:r>
        <w:rPr>
          <w:spacing w:val="-5"/>
        </w:rPr>
        <w:t> </w:t>
      </w:r>
      <w:r>
        <w:rPr/>
        <w:t>and</w:t>
      </w:r>
      <w:r>
        <w:rPr>
          <w:spacing w:val="-5"/>
        </w:rPr>
        <w:t> </w:t>
      </w:r>
      <w:r>
        <w:rPr/>
        <w:t>supervisory</w:t>
      </w:r>
      <w:r>
        <w:rPr>
          <w:spacing w:val="-3"/>
        </w:rPr>
        <w:t> </w:t>
      </w:r>
      <w:r>
        <w:rPr/>
        <w:t>boards.</w:t>
      </w:r>
      <w:r>
        <w:rPr>
          <w:spacing w:val="-5"/>
        </w:rPr>
        <w:t> </w:t>
      </w:r>
      <w:r>
        <w:rPr/>
        <w:t>The</w:t>
      </w:r>
      <w:r>
        <w:rPr>
          <w:spacing w:val="-6"/>
        </w:rPr>
        <w:t> </w:t>
      </w:r>
      <w:r>
        <w:rPr/>
        <w:t>size</w:t>
      </w:r>
      <w:r>
        <w:rPr>
          <w:spacing w:val="-6"/>
        </w:rPr>
        <w:t> </w:t>
      </w:r>
      <w:r>
        <w:rPr/>
        <w:t>of the supervisory board is set by law and cannot be changed by the shareholders. The representation</w:t>
      </w:r>
      <w:r>
        <w:rPr>
          <w:spacing w:val="-15"/>
        </w:rPr>
        <w:t> </w:t>
      </w:r>
      <w:r>
        <w:rPr/>
        <w:t>on</w:t>
      </w:r>
      <w:r>
        <w:rPr>
          <w:spacing w:val="-15"/>
        </w:rPr>
        <w:t> </w:t>
      </w:r>
      <w:r>
        <w:rPr/>
        <w:t>the</w:t>
      </w:r>
      <w:r>
        <w:rPr>
          <w:spacing w:val="-15"/>
        </w:rPr>
        <w:t> </w:t>
      </w:r>
      <w:r>
        <w:rPr/>
        <w:t>board</w:t>
      </w:r>
      <w:r>
        <w:rPr>
          <w:spacing w:val="-15"/>
        </w:rPr>
        <w:t> </w:t>
      </w:r>
      <w:r>
        <w:rPr/>
        <w:t>is</w:t>
      </w:r>
      <w:r>
        <w:rPr>
          <w:spacing w:val="-15"/>
        </w:rPr>
        <w:t> </w:t>
      </w:r>
      <w:r>
        <w:rPr/>
        <w:t>constant,</w:t>
      </w:r>
      <w:r>
        <w:rPr>
          <w:spacing w:val="-12"/>
        </w:rPr>
        <w:t> </w:t>
      </w:r>
      <w:r>
        <w:rPr/>
        <w:t>unlike</w:t>
      </w:r>
      <w:r>
        <w:rPr>
          <w:spacing w:val="-15"/>
        </w:rPr>
        <w:t> </w:t>
      </w:r>
      <w:r>
        <w:rPr/>
        <w:t>the</w:t>
      </w:r>
      <w:r>
        <w:rPr>
          <w:spacing w:val="-15"/>
        </w:rPr>
        <w:t> </w:t>
      </w:r>
      <w:r>
        <w:rPr/>
        <w:t>situation</w:t>
      </w:r>
      <w:r>
        <w:rPr>
          <w:spacing w:val="-15"/>
        </w:rPr>
        <w:t> </w:t>
      </w:r>
      <w:r>
        <w:rPr/>
        <w:t>in</w:t>
      </w:r>
      <w:r>
        <w:rPr>
          <w:spacing w:val="-14"/>
        </w:rPr>
        <w:t> </w:t>
      </w:r>
      <w:r>
        <w:rPr/>
        <w:t>Japan</w:t>
      </w:r>
      <w:r>
        <w:rPr>
          <w:spacing w:val="-15"/>
        </w:rPr>
        <w:t> </w:t>
      </w:r>
      <w:r>
        <w:rPr/>
        <w:t>where</w:t>
      </w:r>
      <w:r>
        <w:rPr>
          <w:spacing w:val="-15"/>
        </w:rPr>
        <w:t> </w:t>
      </w:r>
      <w:r>
        <w:rPr/>
        <w:t>bank</w:t>
      </w:r>
      <w:r>
        <w:rPr>
          <w:spacing w:val="-14"/>
        </w:rPr>
        <w:t> </w:t>
      </w:r>
      <w:r>
        <w:rPr/>
        <w:t>representatives are elected to a corporate board only in times of financial distress. The management board is responsible for the daily running of the corporation and gives feedback to the supervisory board. The supervisory board appoints and dismisses the management board, approves major management decisions and advises the management board. The supervisory board usually meets once a month. A corporation’s articles of association sets the financial threshold of corporate acts requiring supervisory board approval. According to Nunnenkamp (1995), the supervisory board operates through a system known as co-determination. In the co- determination</w:t>
      </w:r>
      <w:r>
        <w:rPr>
          <w:spacing w:val="-3"/>
        </w:rPr>
        <w:t> </w:t>
      </w:r>
      <w:r>
        <w:rPr/>
        <w:t>system,</w:t>
      </w:r>
      <w:r>
        <w:rPr>
          <w:spacing w:val="-3"/>
        </w:rPr>
        <w:t> </w:t>
      </w:r>
      <w:r>
        <w:rPr/>
        <w:t>one</w:t>
      </w:r>
      <w:r>
        <w:rPr>
          <w:spacing w:val="-3"/>
        </w:rPr>
        <w:t> </w:t>
      </w:r>
      <w:r>
        <w:rPr/>
        <w:t>third</w:t>
      </w:r>
      <w:r>
        <w:rPr>
          <w:spacing w:val="-3"/>
        </w:rPr>
        <w:t> </w:t>
      </w:r>
      <w:r>
        <w:rPr/>
        <w:t>of</w:t>
      </w:r>
      <w:r>
        <w:rPr>
          <w:spacing w:val="-4"/>
        </w:rPr>
        <w:t> </w:t>
      </w:r>
      <w:r>
        <w:rPr/>
        <w:t>the</w:t>
      </w:r>
      <w:r>
        <w:rPr>
          <w:spacing w:val="-3"/>
        </w:rPr>
        <w:t> </w:t>
      </w:r>
      <w:r>
        <w:rPr/>
        <w:t>supervisory</w:t>
      </w:r>
      <w:r>
        <w:rPr>
          <w:spacing w:val="-3"/>
        </w:rPr>
        <w:t> </w:t>
      </w:r>
      <w:r>
        <w:rPr/>
        <w:t>board</w:t>
      </w:r>
      <w:r>
        <w:rPr>
          <w:spacing w:val="-3"/>
        </w:rPr>
        <w:t> </w:t>
      </w:r>
      <w:r>
        <w:rPr/>
        <w:t>members</w:t>
      </w:r>
      <w:r>
        <w:rPr>
          <w:spacing w:val="-3"/>
        </w:rPr>
        <w:t> </w:t>
      </w:r>
      <w:r>
        <w:rPr/>
        <w:t>are</w:t>
      </w:r>
      <w:r>
        <w:rPr>
          <w:spacing w:val="-5"/>
        </w:rPr>
        <w:t> </w:t>
      </w:r>
      <w:r>
        <w:rPr/>
        <w:t>elected</w:t>
      </w:r>
      <w:r>
        <w:rPr>
          <w:spacing w:val="-3"/>
        </w:rPr>
        <w:t> </w:t>
      </w:r>
      <w:r>
        <w:rPr/>
        <w:t>or</w:t>
      </w:r>
      <w:r>
        <w:rPr>
          <w:spacing w:val="-3"/>
        </w:rPr>
        <w:t> </w:t>
      </w:r>
      <w:r>
        <w:rPr/>
        <w:t>appointed</w:t>
      </w:r>
      <w:r>
        <w:rPr>
          <w:spacing w:val="-3"/>
        </w:rPr>
        <w:t> </w:t>
      </w:r>
      <w:r>
        <w:rPr/>
        <w:t>by employees or</w:t>
      </w:r>
      <w:r>
        <w:rPr>
          <w:spacing w:val="-1"/>
        </w:rPr>
        <w:t> </w:t>
      </w:r>
      <w:r>
        <w:rPr/>
        <w:t>trade</w:t>
      </w:r>
      <w:r>
        <w:rPr>
          <w:spacing w:val="-1"/>
        </w:rPr>
        <w:t> </w:t>
      </w:r>
      <w:r>
        <w:rPr/>
        <w:t>unions of</w:t>
      </w:r>
      <w:r>
        <w:rPr>
          <w:spacing w:val="-1"/>
        </w:rPr>
        <w:t> </w:t>
      </w:r>
      <w:r>
        <w:rPr/>
        <w:t>companies with more</w:t>
      </w:r>
      <w:r>
        <w:rPr>
          <w:spacing w:val="-2"/>
        </w:rPr>
        <w:t> </w:t>
      </w:r>
      <w:r>
        <w:rPr/>
        <w:t>than</w:t>
      </w:r>
      <w:r>
        <w:rPr>
          <w:spacing w:val="-1"/>
        </w:rPr>
        <w:t> </w:t>
      </w:r>
      <w:r>
        <w:rPr/>
        <w:t>five</w:t>
      </w:r>
      <w:r>
        <w:rPr>
          <w:spacing w:val="-2"/>
        </w:rPr>
        <w:t> </w:t>
      </w:r>
      <w:r>
        <w:rPr/>
        <w:t>hundred (500) employees or</w:t>
      </w:r>
      <w:r>
        <w:rPr>
          <w:spacing w:val="-1"/>
        </w:rPr>
        <w:t> </w:t>
      </w:r>
      <w:r>
        <w:rPr/>
        <w:t>one half in companies with more than two thousand (2000) employees. The disclosure regime in Germany differs from the US regime generally considered the world’s strictest. For instance, like</w:t>
      </w:r>
      <w:r>
        <w:rPr>
          <w:spacing w:val="13"/>
        </w:rPr>
        <w:t> </w:t>
      </w:r>
      <w:r>
        <w:rPr/>
        <w:t>the</w:t>
      </w:r>
      <w:r>
        <w:rPr>
          <w:spacing w:val="16"/>
        </w:rPr>
        <w:t> </w:t>
      </w:r>
      <w:r>
        <w:rPr/>
        <w:t>Japan’s</w:t>
      </w:r>
      <w:r>
        <w:rPr>
          <w:spacing w:val="16"/>
        </w:rPr>
        <w:t> </w:t>
      </w:r>
      <w:r>
        <w:rPr/>
        <w:t>Model,</w:t>
      </w:r>
      <w:r>
        <w:rPr>
          <w:spacing w:val="17"/>
        </w:rPr>
        <w:t> </w:t>
      </w:r>
      <w:r>
        <w:rPr/>
        <w:t>the</w:t>
      </w:r>
      <w:r>
        <w:rPr>
          <w:spacing w:val="15"/>
        </w:rPr>
        <w:t> </w:t>
      </w:r>
      <w:r>
        <w:rPr/>
        <w:t>disclosure</w:t>
      </w:r>
      <w:r>
        <w:rPr>
          <w:spacing w:val="17"/>
        </w:rPr>
        <w:t> </w:t>
      </w:r>
      <w:r>
        <w:rPr/>
        <w:t>regime</w:t>
      </w:r>
      <w:r>
        <w:rPr>
          <w:spacing w:val="16"/>
        </w:rPr>
        <w:t> </w:t>
      </w:r>
      <w:r>
        <w:rPr/>
        <w:t>is</w:t>
      </w:r>
      <w:r>
        <w:rPr>
          <w:spacing w:val="17"/>
        </w:rPr>
        <w:t> </w:t>
      </w:r>
      <w:r>
        <w:rPr/>
        <w:t>semi-annual</w:t>
      </w:r>
      <w:r>
        <w:rPr>
          <w:spacing w:val="17"/>
        </w:rPr>
        <w:t> </w:t>
      </w:r>
      <w:r>
        <w:rPr/>
        <w:t>unlike</w:t>
      </w:r>
      <w:r>
        <w:rPr>
          <w:spacing w:val="15"/>
        </w:rPr>
        <w:t> </w:t>
      </w:r>
      <w:r>
        <w:rPr/>
        <w:t>the</w:t>
      </w:r>
      <w:r>
        <w:rPr>
          <w:spacing w:val="15"/>
        </w:rPr>
        <w:t> </w:t>
      </w:r>
      <w:r>
        <w:rPr/>
        <w:t>Anglo-Saxon</w:t>
      </w:r>
      <w:r>
        <w:rPr>
          <w:spacing w:val="16"/>
        </w:rPr>
        <w:t> </w:t>
      </w:r>
      <w:r>
        <w:rPr/>
        <w:t>that</w:t>
      </w:r>
      <w:r>
        <w:rPr>
          <w:spacing w:val="17"/>
        </w:rPr>
        <w:t> </w:t>
      </w:r>
      <w:r>
        <w:rPr>
          <w:spacing w:val="-5"/>
        </w:rPr>
        <w:t>is</w:t>
      </w:r>
    </w:p>
    <w:p>
      <w:pPr>
        <w:spacing w:after="0" w:line="480" w:lineRule="auto"/>
        <w:jc w:val="both"/>
        <w:sectPr>
          <w:pgSz w:w="11910" w:h="16840"/>
          <w:pgMar w:header="0" w:footer="971" w:top="1360" w:bottom="1160" w:left="500" w:right="0"/>
        </w:sectPr>
      </w:pPr>
    </w:p>
    <w:p>
      <w:pPr>
        <w:pStyle w:val="BodyText"/>
        <w:spacing w:line="480" w:lineRule="auto" w:before="61"/>
        <w:ind w:left="940" w:right="1444"/>
        <w:jc w:val="both"/>
      </w:pPr>
      <w:r>
        <w:rPr/>
        <w:t>quarterly.</w:t>
      </w:r>
      <w:r>
        <w:rPr>
          <w:spacing w:val="-6"/>
        </w:rPr>
        <w:t> </w:t>
      </w:r>
      <w:r>
        <w:rPr/>
        <w:t>The</w:t>
      </w:r>
      <w:r>
        <w:rPr>
          <w:spacing w:val="-2"/>
        </w:rPr>
        <w:t> </w:t>
      </w:r>
      <w:r>
        <w:rPr/>
        <w:t>regulatory framework in</w:t>
      </w:r>
      <w:r>
        <w:rPr>
          <w:spacing w:val="-1"/>
        </w:rPr>
        <w:t> </w:t>
      </w:r>
      <w:r>
        <w:rPr/>
        <w:t>the German</w:t>
      </w:r>
      <w:r>
        <w:rPr>
          <w:spacing w:val="-1"/>
        </w:rPr>
        <w:t> </w:t>
      </w:r>
      <w:r>
        <w:rPr/>
        <w:t>corporate</w:t>
      </w:r>
      <w:r>
        <w:rPr>
          <w:spacing w:val="-2"/>
        </w:rPr>
        <w:t> </w:t>
      </w:r>
      <w:r>
        <w:rPr/>
        <w:t>governance model</w:t>
      </w:r>
      <w:r>
        <w:rPr>
          <w:spacing w:val="-1"/>
        </w:rPr>
        <w:t> </w:t>
      </w:r>
      <w:r>
        <w:rPr/>
        <w:t>is</w:t>
      </w:r>
      <w:r>
        <w:rPr>
          <w:spacing w:val="-1"/>
        </w:rPr>
        <w:t> </w:t>
      </w:r>
      <w:r>
        <w:rPr/>
        <w:t>by</w:t>
      </w:r>
      <w:r>
        <w:rPr>
          <w:spacing w:val="-1"/>
        </w:rPr>
        <w:t> </w:t>
      </w:r>
      <w:r>
        <w:rPr/>
        <w:t>federal laws which include the Stock Corporation Law, Stock Exchange Law and Commercial Law.</w:t>
      </w:r>
    </w:p>
    <w:p>
      <w:pPr>
        <w:pStyle w:val="BodyText"/>
      </w:pPr>
    </w:p>
    <w:p>
      <w:pPr>
        <w:pStyle w:val="BodyText"/>
      </w:pPr>
    </w:p>
    <w:p>
      <w:pPr>
        <w:pStyle w:val="Heading3"/>
        <w:numPr>
          <w:ilvl w:val="2"/>
          <w:numId w:val="23"/>
        </w:numPr>
        <w:tabs>
          <w:tab w:pos="1480" w:val="left" w:leader="none"/>
        </w:tabs>
        <w:spacing w:line="240" w:lineRule="auto" w:before="0" w:after="0"/>
        <w:ind w:left="1480" w:right="0" w:hanging="540"/>
        <w:jc w:val="left"/>
      </w:pPr>
      <w:bookmarkStart w:name="_TOC_250051" w:id="19"/>
      <w:r>
        <w:rPr/>
        <w:t>Legal</w:t>
      </w:r>
      <w:r>
        <w:rPr>
          <w:spacing w:val="-2"/>
        </w:rPr>
        <w:t> </w:t>
      </w:r>
      <w:r>
        <w:rPr/>
        <w:t>Framework</w:t>
      </w:r>
      <w:r>
        <w:rPr>
          <w:spacing w:val="-2"/>
        </w:rPr>
        <w:t> </w:t>
      </w:r>
      <w:r>
        <w:rPr/>
        <w:t>of</w:t>
      </w:r>
      <w:r>
        <w:rPr>
          <w:spacing w:val="-2"/>
        </w:rPr>
        <w:t> </w:t>
      </w:r>
      <w:r>
        <w:rPr/>
        <w:t>Corporate</w:t>
      </w:r>
      <w:r>
        <w:rPr>
          <w:spacing w:val="-2"/>
        </w:rPr>
        <w:t> </w:t>
      </w:r>
      <w:r>
        <w:rPr/>
        <w:t>Governance</w:t>
      </w:r>
      <w:r>
        <w:rPr>
          <w:spacing w:val="-3"/>
        </w:rPr>
        <w:t> </w:t>
      </w:r>
      <w:r>
        <w:rPr/>
        <w:t>in </w:t>
      </w:r>
      <w:bookmarkEnd w:id="19"/>
      <w:r>
        <w:rPr>
          <w:spacing w:val="-2"/>
        </w:rPr>
        <w:t>Nigeria</w:t>
      </w:r>
    </w:p>
    <w:p>
      <w:pPr>
        <w:pStyle w:val="BodyText"/>
        <w:rPr>
          <w:b/>
        </w:rPr>
      </w:pPr>
    </w:p>
    <w:p>
      <w:pPr>
        <w:pStyle w:val="BodyText"/>
        <w:spacing w:line="480" w:lineRule="auto"/>
        <w:ind w:left="940" w:right="1436"/>
        <w:jc w:val="both"/>
      </w:pPr>
      <w:r>
        <w:rPr/>
        <w:drawing>
          <wp:anchor distT="0" distB="0" distL="0" distR="0" allowOverlap="1" layoutInCell="1" locked="0" behindDoc="1" simplePos="0" relativeHeight="477698048">
            <wp:simplePos x="0" y="0"/>
            <wp:positionH relativeFrom="page">
              <wp:posOffset>1095451</wp:posOffset>
            </wp:positionH>
            <wp:positionV relativeFrom="paragraph">
              <wp:posOffset>410075</wp:posOffset>
            </wp:positionV>
            <wp:extent cx="5106847" cy="5238115"/>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5106847" cy="5238115"/>
                    </a:xfrm>
                    <a:prstGeom prst="rect">
                      <a:avLst/>
                    </a:prstGeom>
                  </pic:spPr>
                </pic:pic>
              </a:graphicData>
            </a:graphic>
          </wp:anchor>
        </w:drawing>
      </w:r>
      <w:r>
        <w:rPr/>
        <w:t>The regulatory framework of corporate governance practices in Nigeria is the Company and Allied Matters Act (CAMA) 1990 which wasrepealed by CAMA, 2020. However, other regulatory</w:t>
      </w:r>
      <w:r>
        <w:rPr>
          <w:spacing w:val="-15"/>
        </w:rPr>
        <w:t> </w:t>
      </w:r>
      <w:r>
        <w:rPr/>
        <w:t>bodies</w:t>
      </w:r>
      <w:r>
        <w:rPr>
          <w:spacing w:val="-15"/>
        </w:rPr>
        <w:t> </w:t>
      </w:r>
      <w:r>
        <w:rPr/>
        <w:t>such</w:t>
      </w:r>
      <w:r>
        <w:rPr>
          <w:spacing w:val="-15"/>
        </w:rPr>
        <w:t> </w:t>
      </w:r>
      <w:r>
        <w:rPr/>
        <w:t>as</w:t>
      </w:r>
      <w:r>
        <w:rPr>
          <w:spacing w:val="-15"/>
        </w:rPr>
        <w:t> </w:t>
      </w:r>
      <w:r>
        <w:rPr/>
        <w:t>the</w:t>
      </w:r>
      <w:r>
        <w:rPr>
          <w:spacing w:val="-15"/>
        </w:rPr>
        <w:t> </w:t>
      </w:r>
      <w:r>
        <w:rPr/>
        <w:t>Securities</w:t>
      </w:r>
      <w:r>
        <w:rPr>
          <w:spacing w:val="-15"/>
        </w:rPr>
        <w:t> </w:t>
      </w:r>
      <w:r>
        <w:rPr/>
        <w:t>and</w:t>
      </w:r>
      <w:r>
        <w:rPr>
          <w:spacing w:val="-15"/>
        </w:rPr>
        <w:t> </w:t>
      </w:r>
      <w:r>
        <w:rPr/>
        <w:t>Exchange</w:t>
      </w:r>
      <w:r>
        <w:rPr>
          <w:spacing w:val="-15"/>
        </w:rPr>
        <w:t> </w:t>
      </w:r>
      <w:r>
        <w:rPr/>
        <w:t>Commission</w:t>
      </w:r>
      <w:r>
        <w:rPr>
          <w:spacing w:val="-15"/>
        </w:rPr>
        <w:t> </w:t>
      </w:r>
      <w:r>
        <w:rPr/>
        <w:t>(SEC),</w:t>
      </w:r>
      <w:r>
        <w:rPr>
          <w:spacing w:val="-15"/>
        </w:rPr>
        <w:t> </w:t>
      </w:r>
      <w:r>
        <w:rPr/>
        <w:t>Financial</w:t>
      </w:r>
      <w:r>
        <w:rPr>
          <w:spacing w:val="-15"/>
        </w:rPr>
        <w:t> </w:t>
      </w:r>
      <w:r>
        <w:rPr/>
        <w:t>Reporting Council of Nigeria (FRCN) and other specific sector regulatory bodies have occasionally issued codes on corporate governance which added much strength to corporate governance practices in Nigeria. However, prior to the CAMA 1990, the principal regulatory framework was the English Company Act of 1948. The English Company Act detailed how companies were directed and controlled. Soon after Nigeria gained independence in 1960, the Company Act of Nigeria was established in 1968 and it repealed the English Company Act. However, one</w:t>
      </w:r>
      <w:r>
        <w:rPr>
          <w:spacing w:val="-15"/>
        </w:rPr>
        <w:t> </w:t>
      </w:r>
      <w:r>
        <w:rPr/>
        <w:t>of</w:t>
      </w:r>
      <w:r>
        <w:rPr>
          <w:spacing w:val="-15"/>
        </w:rPr>
        <w:t> </w:t>
      </w:r>
      <w:r>
        <w:rPr/>
        <w:t>the</w:t>
      </w:r>
      <w:r>
        <w:rPr>
          <w:spacing w:val="-15"/>
        </w:rPr>
        <w:t> </w:t>
      </w:r>
      <w:r>
        <w:rPr/>
        <w:t>challenges</w:t>
      </w:r>
      <w:r>
        <w:rPr>
          <w:spacing w:val="-14"/>
        </w:rPr>
        <w:t> </w:t>
      </w:r>
      <w:r>
        <w:rPr/>
        <w:t>of</w:t>
      </w:r>
      <w:r>
        <w:rPr>
          <w:spacing w:val="-15"/>
        </w:rPr>
        <w:t> </w:t>
      </w:r>
      <w:r>
        <w:rPr/>
        <w:t>the</w:t>
      </w:r>
      <w:r>
        <w:rPr>
          <w:spacing w:val="-15"/>
        </w:rPr>
        <w:t> </w:t>
      </w:r>
      <w:r>
        <w:rPr/>
        <w:t>Company</w:t>
      </w:r>
      <w:r>
        <w:rPr>
          <w:spacing w:val="-14"/>
        </w:rPr>
        <w:t> </w:t>
      </w:r>
      <w:r>
        <w:rPr/>
        <w:t>Act</w:t>
      </w:r>
      <w:r>
        <w:rPr>
          <w:spacing w:val="-14"/>
        </w:rPr>
        <w:t> </w:t>
      </w:r>
      <w:r>
        <w:rPr/>
        <w:t>of</w:t>
      </w:r>
      <w:r>
        <w:rPr>
          <w:spacing w:val="-15"/>
        </w:rPr>
        <w:t> </w:t>
      </w:r>
      <w:r>
        <w:rPr/>
        <w:t>Nigeria</w:t>
      </w:r>
      <w:r>
        <w:rPr>
          <w:spacing w:val="-15"/>
        </w:rPr>
        <w:t> </w:t>
      </w:r>
      <w:r>
        <w:rPr/>
        <w:t>was</w:t>
      </w:r>
      <w:r>
        <w:rPr>
          <w:spacing w:val="-14"/>
        </w:rPr>
        <w:t> </w:t>
      </w:r>
      <w:r>
        <w:rPr/>
        <w:t>that</w:t>
      </w:r>
      <w:r>
        <w:rPr>
          <w:spacing w:val="-14"/>
        </w:rPr>
        <w:t> </w:t>
      </w:r>
      <w:r>
        <w:rPr/>
        <w:t>it</w:t>
      </w:r>
      <w:r>
        <w:rPr>
          <w:spacing w:val="-14"/>
        </w:rPr>
        <w:t> </w:t>
      </w:r>
      <w:r>
        <w:rPr/>
        <w:t>failed</w:t>
      </w:r>
      <w:r>
        <w:rPr>
          <w:spacing w:val="-13"/>
        </w:rPr>
        <w:t> </w:t>
      </w:r>
      <w:r>
        <w:rPr/>
        <w:t>to</w:t>
      </w:r>
      <w:r>
        <w:rPr>
          <w:spacing w:val="-14"/>
        </w:rPr>
        <w:t> </w:t>
      </w:r>
      <w:r>
        <w:rPr/>
        <w:t>take</w:t>
      </w:r>
      <w:r>
        <w:rPr>
          <w:spacing w:val="-15"/>
        </w:rPr>
        <w:t> </w:t>
      </w:r>
      <w:r>
        <w:rPr/>
        <w:t>into</w:t>
      </w:r>
      <w:r>
        <w:rPr>
          <w:spacing w:val="-14"/>
        </w:rPr>
        <w:t> </w:t>
      </w:r>
      <w:r>
        <w:rPr/>
        <w:t>consideration foreign ownership in corporate entities in Nigeria. The inherent flaws in the Company Act of Nigeria</w:t>
      </w:r>
      <w:r>
        <w:rPr>
          <w:spacing w:val="-9"/>
        </w:rPr>
        <w:t> </w:t>
      </w:r>
      <w:r>
        <w:rPr/>
        <w:t>were</w:t>
      </w:r>
      <w:r>
        <w:rPr>
          <w:spacing w:val="-10"/>
        </w:rPr>
        <w:t> </w:t>
      </w:r>
      <w:r>
        <w:rPr/>
        <w:t>addressed</w:t>
      </w:r>
      <w:r>
        <w:rPr>
          <w:spacing w:val="-9"/>
        </w:rPr>
        <w:t> </w:t>
      </w:r>
      <w:r>
        <w:rPr/>
        <w:t>by</w:t>
      </w:r>
      <w:r>
        <w:rPr>
          <w:spacing w:val="-8"/>
        </w:rPr>
        <w:t> </w:t>
      </w:r>
      <w:r>
        <w:rPr/>
        <w:t>the</w:t>
      </w:r>
      <w:r>
        <w:rPr>
          <w:spacing w:val="-9"/>
        </w:rPr>
        <w:t> </w:t>
      </w:r>
      <w:r>
        <w:rPr/>
        <w:t>Nigerian</w:t>
      </w:r>
      <w:r>
        <w:rPr>
          <w:spacing w:val="-8"/>
        </w:rPr>
        <w:t> </w:t>
      </w:r>
      <w:r>
        <w:rPr/>
        <w:t>Privatization</w:t>
      </w:r>
      <w:r>
        <w:rPr>
          <w:spacing w:val="-8"/>
        </w:rPr>
        <w:t> </w:t>
      </w:r>
      <w:r>
        <w:rPr/>
        <w:t>and</w:t>
      </w:r>
      <w:r>
        <w:rPr>
          <w:spacing w:val="-8"/>
        </w:rPr>
        <w:t> </w:t>
      </w:r>
      <w:r>
        <w:rPr/>
        <w:t>Commercialization</w:t>
      </w:r>
      <w:r>
        <w:rPr>
          <w:spacing w:val="-8"/>
        </w:rPr>
        <w:t> </w:t>
      </w:r>
      <w:r>
        <w:rPr/>
        <w:t>Decree</w:t>
      </w:r>
      <w:r>
        <w:rPr>
          <w:spacing w:val="-9"/>
        </w:rPr>
        <w:t> </w:t>
      </w:r>
      <w:r>
        <w:rPr/>
        <w:t>(PCD)</w:t>
      </w:r>
      <w:r>
        <w:rPr>
          <w:spacing w:val="-9"/>
        </w:rPr>
        <w:t> </w:t>
      </w:r>
      <w:r>
        <w:rPr/>
        <w:t>of 1988.</w:t>
      </w:r>
      <w:r>
        <w:rPr>
          <w:spacing w:val="-8"/>
        </w:rPr>
        <w:t> </w:t>
      </w:r>
      <w:r>
        <w:rPr/>
        <w:t>The</w:t>
      </w:r>
      <w:r>
        <w:rPr>
          <w:spacing w:val="-9"/>
        </w:rPr>
        <w:t> </w:t>
      </w:r>
      <w:r>
        <w:rPr/>
        <w:t>Nigerian</w:t>
      </w:r>
      <w:r>
        <w:rPr>
          <w:spacing w:val="-8"/>
        </w:rPr>
        <w:t> </w:t>
      </w:r>
      <w:r>
        <w:rPr/>
        <w:t>Privatization</w:t>
      </w:r>
      <w:r>
        <w:rPr>
          <w:spacing w:val="-8"/>
        </w:rPr>
        <w:t> </w:t>
      </w:r>
      <w:r>
        <w:rPr/>
        <w:t>and</w:t>
      </w:r>
      <w:r>
        <w:rPr>
          <w:spacing w:val="-8"/>
        </w:rPr>
        <w:t> </w:t>
      </w:r>
      <w:r>
        <w:rPr/>
        <w:t>Commercialization</w:t>
      </w:r>
      <w:r>
        <w:rPr>
          <w:spacing w:val="-8"/>
        </w:rPr>
        <w:t> </w:t>
      </w:r>
      <w:r>
        <w:rPr/>
        <w:t>Decree</w:t>
      </w:r>
      <w:r>
        <w:rPr>
          <w:spacing w:val="-9"/>
        </w:rPr>
        <w:t> </w:t>
      </w:r>
      <w:r>
        <w:rPr/>
        <w:t>gave</w:t>
      </w:r>
      <w:r>
        <w:rPr>
          <w:spacing w:val="-9"/>
        </w:rPr>
        <w:t> </w:t>
      </w:r>
      <w:r>
        <w:rPr/>
        <w:t>consideration</w:t>
      </w:r>
      <w:r>
        <w:rPr>
          <w:spacing w:val="-3"/>
        </w:rPr>
        <w:t> </w:t>
      </w:r>
      <w:r>
        <w:rPr/>
        <w:t>to</w:t>
      </w:r>
      <w:r>
        <w:rPr>
          <w:spacing w:val="-8"/>
        </w:rPr>
        <w:t> </w:t>
      </w:r>
      <w:r>
        <w:rPr/>
        <w:t>foreign ownership of corporate entities in Nigeria up to 40% of privatized companies.</w:t>
      </w:r>
    </w:p>
    <w:p>
      <w:pPr>
        <w:pStyle w:val="BodyText"/>
        <w:spacing w:line="480" w:lineRule="auto" w:before="2"/>
        <w:ind w:left="940" w:right="1438"/>
        <w:jc w:val="both"/>
      </w:pPr>
      <w:r>
        <w:rPr/>
        <w:t>The provisions of CAMA, specifically the duties of the board of directors, are contained in sections</w:t>
      </w:r>
      <w:r>
        <w:rPr>
          <w:spacing w:val="-10"/>
        </w:rPr>
        <w:t> </w:t>
      </w:r>
      <w:r>
        <w:rPr/>
        <w:t>279,</w:t>
      </w:r>
      <w:r>
        <w:rPr>
          <w:spacing w:val="-11"/>
        </w:rPr>
        <w:t> </w:t>
      </w:r>
      <w:r>
        <w:rPr/>
        <w:t>280,</w:t>
      </w:r>
      <w:r>
        <w:rPr>
          <w:spacing w:val="-11"/>
        </w:rPr>
        <w:t> </w:t>
      </w:r>
      <w:r>
        <w:rPr/>
        <w:t>282,</w:t>
      </w:r>
      <w:r>
        <w:rPr>
          <w:spacing w:val="-11"/>
        </w:rPr>
        <w:t> </w:t>
      </w:r>
      <w:r>
        <w:rPr/>
        <w:t>283.</w:t>
      </w:r>
      <w:r>
        <w:rPr>
          <w:spacing w:val="-11"/>
        </w:rPr>
        <w:t> </w:t>
      </w:r>
      <w:r>
        <w:rPr/>
        <w:t>Due</w:t>
      </w:r>
      <w:r>
        <w:rPr>
          <w:spacing w:val="-12"/>
        </w:rPr>
        <w:t> </w:t>
      </w:r>
      <w:r>
        <w:rPr/>
        <w:t>to</w:t>
      </w:r>
      <w:r>
        <w:rPr>
          <w:spacing w:val="-10"/>
        </w:rPr>
        <w:t> </w:t>
      </w:r>
      <w:r>
        <w:rPr/>
        <w:t>several</w:t>
      </w:r>
      <w:r>
        <w:rPr>
          <w:spacing w:val="-8"/>
        </w:rPr>
        <w:t> </w:t>
      </w:r>
      <w:r>
        <w:rPr/>
        <w:t>corporate</w:t>
      </w:r>
      <w:r>
        <w:rPr>
          <w:spacing w:val="-11"/>
        </w:rPr>
        <w:t> </w:t>
      </w:r>
      <w:r>
        <w:rPr/>
        <w:t>scandals</w:t>
      </w:r>
      <w:r>
        <w:rPr>
          <w:spacing w:val="-10"/>
        </w:rPr>
        <w:t> </w:t>
      </w:r>
      <w:r>
        <w:rPr/>
        <w:t>that</w:t>
      </w:r>
      <w:r>
        <w:rPr>
          <w:spacing w:val="-11"/>
        </w:rPr>
        <w:t> </w:t>
      </w:r>
      <w:r>
        <w:rPr/>
        <w:t>occurred</w:t>
      </w:r>
      <w:r>
        <w:rPr>
          <w:spacing w:val="-9"/>
        </w:rPr>
        <w:t> </w:t>
      </w:r>
      <w:r>
        <w:rPr/>
        <w:t>in</w:t>
      </w:r>
      <w:r>
        <w:rPr>
          <w:spacing w:val="-10"/>
        </w:rPr>
        <w:t> </w:t>
      </w:r>
      <w:r>
        <w:rPr/>
        <w:t>major</w:t>
      </w:r>
      <w:r>
        <w:rPr>
          <w:spacing w:val="-11"/>
        </w:rPr>
        <w:t> </w:t>
      </w:r>
      <w:r>
        <w:rPr/>
        <w:t>corporate bodies around the world, countries regulatory bodies started reviewing their </w:t>
      </w:r>
      <w:r>
        <w:rPr/>
        <w:t>corporate governance laws. The wave of the corporate governance reform was also visible in Nigeria with</w:t>
      </w:r>
      <w:r>
        <w:rPr>
          <w:spacing w:val="-7"/>
        </w:rPr>
        <w:t> </w:t>
      </w:r>
      <w:r>
        <w:rPr/>
        <w:t>SEC</w:t>
      </w:r>
      <w:r>
        <w:rPr>
          <w:spacing w:val="-7"/>
        </w:rPr>
        <w:t> </w:t>
      </w:r>
      <w:r>
        <w:rPr/>
        <w:t>and</w:t>
      </w:r>
      <w:r>
        <w:rPr>
          <w:spacing w:val="-7"/>
        </w:rPr>
        <w:t> </w:t>
      </w:r>
      <w:r>
        <w:rPr/>
        <w:t>other</w:t>
      </w:r>
      <w:r>
        <w:rPr>
          <w:spacing w:val="-6"/>
        </w:rPr>
        <w:t> </w:t>
      </w:r>
      <w:r>
        <w:rPr/>
        <w:t>specific</w:t>
      </w:r>
      <w:r>
        <w:rPr>
          <w:spacing w:val="-8"/>
        </w:rPr>
        <w:t> </w:t>
      </w:r>
      <w:r>
        <w:rPr/>
        <w:t>sectors’</w:t>
      </w:r>
      <w:r>
        <w:rPr>
          <w:spacing w:val="-6"/>
        </w:rPr>
        <w:t> </w:t>
      </w:r>
      <w:r>
        <w:rPr/>
        <w:t>regulatory</w:t>
      </w:r>
      <w:r>
        <w:rPr>
          <w:spacing w:val="-5"/>
        </w:rPr>
        <w:t> </w:t>
      </w:r>
      <w:r>
        <w:rPr/>
        <w:t>bodies</w:t>
      </w:r>
      <w:r>
        <w:rPr>
          <w:spacing w:val="-8"/>
        </w:rPr>
        <w:t> </w:t>
      </w:r>
      <w:r>
        <w:rPr/>
        <w:t>issuing</w:t>
      </w:r>
      <w:r>
        <w:rPr>
          <w:spacing w:val="-7"/>
        </w:rPr>
        <w:t> </w:t>
      </w:r>
      <w:r>
        <w:rPr/>
        <w:t>codes</w:t>
      </w:r>
      <w:r>
        <w:rPr>
          <w:spacing w:val="-5"/>
        </w:rPr>
        <w:t> </w:t>
      </w:r>
      <w:r>
        <w:rPr/>
        <w:t>on</w:t>
      </w:r>
      <w:r>
        <w:rPr>
          <w:spacing w:val="-7"/>
        </w:rPr>
        <w:t> </w:t>
      </w:r>
      <w:r>
        <w:rPr/>
        <w:t>corporate</w:t>
      </w:r>
      <w:r>
        <w:rPr>
          <w:spacing w:val="-8"/>
        </w:rPr>
        <w:t> </w:t>
      </w:r>
      <w:r>
        <w:rPr/>
        <w:t>governance. Marshall (2015) classified the issuance of these codes into phases: 2003 to 2011 phase; 2011 to</w:t>
      </w:r>
      <w:r>
        <w:rPr>
          <w:spacing w:val="4"/>
        </w:rPr>
        <w:t> </w:t>
      </w:r>
      <w:r>
        <w:rPr/>
        <w:t>2013</w:t>
      </w:r>
      <w:r>
        <w:rPr>
          <w:spacing w:val="6"/>
        </w:rPr>
        <w:t> </w:t>
      </w:r>
      <w:r>
        <w:rPr/>
        <w:t>phase;</w:t>
      </w:r>
      <w:r>
        <w:rPr>
          <w:spacing w:val="8"/>
        </w:rPr>
        <w:t> </w:t>
      </w:r>
      <w:r>
        <w:rPr/>
        <w:t>and</w:t>
      </w:r>
      <w:r>
        <w:rPr>
          <w:spacing w:val="6"/>
        </w:rPr>
        <w:t> </w:t>
      </w:r>
      <w:r>
        <w:rPr/>
        <w:t>2014</w:t>
      </w:r>
      <w:r>
        <w:rPr>
          <w:spacing w:val="8"/>
        </w:rPr>
        <w:t> </w:t>
      </w:r>
      <w:r>
        <w:rPr/>
        <w:t>to</w:t>
      </w:r>
      <w:r>
        <w:rPr>
          <w:spacing w:val="7"/>
        </w:rPr>
        <w:t> </w:t>
      </w:r>
      <w:r>
        <w:rPr/>
        <w:t>date.</w:t>
      </w:r>
      <w:r>
        <w:rPr>
          <w:spacing w:val="7"/>
        </w:rPr>
        <w:t> </w:t>
      </w:r>
      <w:r>
        <w:rPr/>
        <w:t>The</w:t>
      </w:r>
      <w:r>
        <w:rPr>
          <w:spacing w:val="7"/>
        </w:rPr>
        <w:t> </w:t>
      </w:r>
      <w:r>
        <w:rPr/>
        <w:t>codes</w:t>
      </w:r>
      <w:r>
        <w:rPr>
          <w:spacing w:val="8"/>
        </w:rPr>
        <w:t> </w:t>
      </w:r>
      <w:r>
        <w:rPr/>
        <w:t>that</w:t>
      </w:r>
      <w:r>
        <w:rPr>
          <w:spacing w:val="6"/>
        </w:rPr>
        <w:t> </w:t>
      </w:r>
      <w:r>
        <w:rPr/>
        <w:t>were</w:t>
      </w:r>
      <w:r>
        <w:rPr>
          <w:spacing w:val="5"/>
        </w:rPr>
        <w:t> </w:t>
      </w:r>
      <w:r>
        <w:rPr/>
        <w:t>issued</w:t>
      </w:r>
      <w:r>
        <w:rPr>
          <w:spacing w:val="8"/>
        </w:rPr>
        <w:t> </w:t>
      </w:r>
      <w:r>
        <w:rPr/>
        <w:t>in</w:t>
      </w:r>
      <w:r>
        <w:rPr>
          <w:spacing w:val="7"/>
        </w:rPr>
        <w:t> </w:t>
      </w:r>
      <w:r>
        <w:rPr/>
        <w:t>the</w:t>
      </w:r>
      <w:r>
        <w:rPr>
          <w:spacing w:val="5"/>
        </w:rPr>
        <w:t> </w:t>
      </w:r>
      <w:r>
        <w:rPr/>
        <w:t>2003</w:t>
      </w:r>
      <w:r>
        <w:rPr>
          <w:spacing w:val="6"/>
        </w:rPr>
        <w:t> </w:t>
      </w:r>
      <w:r>
        <w:rPr/>
        <w:t>to</w:t>
      </w:r>
      <w:r>
        <w:rPr>
          <w:spacing w:val="11"/>
        </w:rPr>
        <w:t> </w:t>
      </w:r>
      <w:r>
        <w:rPr/>
        <w:t>2011</w:t>
      </w:r>
      <w:r>
        <w:rPr>
          <w:spacing w:val="6"/>
        </w:rPr>
        <w:t> </w:t>
      </w:r>
      <w:r>
        <w:rPr/>
        <w:t>phase</w:t>
      </w:r>
      <w:r>
        <w:rPr>
          <w:spacing w:val="6"/>
        </w:rPr>
        <w:t> </w:t>
      </w:r>
      <w:r>
        <w:rPr>
          <w:spacing w:val="-2"/>
        </w:rPr>
        <w:t>were: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698560">
            <wp:simplePos x="0" y="0"/>
            <wp:positionH relativeFrom="page">
              <wp:posOffset>1095451</wp:posOffset>
            </wp:positionH>
            <wp:positionV relativeFrom="paragraph">
              <wp:posOffset>1850770</wp:posOffset>
            </wp:positionV>
            <wp:extent cx="5106847" cy="5238115"/>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5" cstate="print"/>
                    <a:stretch>
                      <a:fillRect/>
                    </a:stretch>
                  </pic:blipFill>
                  <pic:spPr>
                    <a:xfrm>
                      <a:off x="0" y="0"/>
                      <a:ext cx="5106847" cy="5238115"/>
                    </a:xfrm>
                    <a:prstGeom prst="rect">
                      <a:avLst/>
                    </a:prstGeom>
                  </pic:spPr>
                </pic:pic>
              </a:graphicData>
            </a:graphic>
          </wp:anchor>
        </w:drawing>
      </w:r>
      <w:r>
        <w:rPr/>
        <w:t>(i) SEC Code of Corporate Governance for Public Companies (2003); (ii) CBN Code of Corporate Governance for Bank Post Consolidation (2006); (iii) Code of Corporate Governance</w:t>
      </w:r>
      <w:r>
        <w:rPr>
          <w:spacing w:val="-13"/>
        </w:rPr>
        <w:t> </w:t>
      </w:r>
      <w:r>
        <w:rPr/>
        <w:t>for</w:t>
      </w:r>
      <w:r>
        <w:rPr>
          <w:spacing w:val="-13"/>
        </w:rPr>
        <w:t> </w:t>
      </w:r>
      <w:r>
        <w:rPr/>
        <w:t>Licensed</w:t>
      </w:r>
      <w:r>
        <w:rPr>
          <w:spacing w:val="-12"/>
        </w:rPr>
        <w:t> </w:t>
      </w:r>
      <w:r>
        <w:rPr/>
        <w:t>Pension</w:t>
      </w:r>
      <w:r>
        <w:rPr>
          <w:spacing w:val="-12"/>
        </w:rPr>
        <w:t> </w:t>
      </w:r>
      <w:r>
        <w:rPr/>
        <w:t>Operator</w:t>
      </w:r>
      <w:r>
        <w:rPr>
          <w:spacing w:val="-12"/>
        </w:rPr>
        <w:t> </w:t>
      </w:r>
      <w:r>
        <w:rPr/>
        <w:t>(2008);</w:t>
      </w:r>
      <w:r>
        <w:rPr>
          <w:spacing w:val="-12"/>
        </w:rPr>
        <w:t> </w:t>
      </w:r>
      <w:r>
        <w:rPr/>
        <w:t>and</w:t>
      </w:r>
      <w:r>
        <w:rPr>
          <w:spacing w:val="-12"/>
        </w:rPr>
        <w:t> </w:t>
      </w:r>
      <w:r>
        <w:rPr/>
        <w:t>(iv)</w:t>
      </w:r>
      <w:r>
        <w:rPr>
          <w:spacing w:val="-13"/>
        </w:rPr>
        <w:t> </w:t>
      </w:r>
      <w:r>
        <w:rPr/>
        <w:t>Code</w:t>
      </w:r>
      <w:r>
        <w:rPr>
          <w:spacing w:val="-13"/>
        </w:rPr>
        <w:t> </w:t>
      </w:r>
      <w:r>
        <w:rPr/>
        <w:t>of</w:t>
      </w:r>
      <w:r>
        <w:rPr>
          <w:spacing w:val="-13"/>
        </w:rPr>
        <w:t> </w:t>
      </w:r>
      <w:r>
        <w:rPr/>
        <w:t>Corporate</w:t>
      </w:r>
      <w:r>
        <w:rPr>
          <w:spacing w:val="-13"/>
        </w:rPr>
        <w:t> </w:t>
      </w:r>
      <w:r>
        <w:rPr/>
        <w:t>Governance</w:t>
      </w:r>
      <w:r>
        <w:rPr>
          <w:spacing w:val="-13"/>
        </w:rPr>
        <w:t> </w:t>
      </w:r>
      <w:r>
        <w:rPr/>
        <w:t>for the Insurance Industry (2009). The code that was issued in the</w:t>
      </w:r>
      <w:r>
        <w:rPr>
          <w:spacing w:val="-1"/>
        </w:rPr>
        <w:t> </w:t>
      </w:r>
      <w:r>
        <w:rPr/>
        <w:t>2011 to 2013 phase</w:t>
      </w:r>
      <w:r>
        <w:rPr>
          <w:spacing w:val="-1"/>
        </w:rPr>
        <w:t> </w:t>
      </w:r>
      <w:r>
        <w:rPr/>
        <w:t>is: (i)</w:t>
      </w:r>
      <w:r>
        <w:rPr>
          <w:spacing w:val="-1"/>
        </w:rPr>
        <w:t> </w:t>
      </w:r>
      <w:r>
        <w:rPr/>
        <w:t>SEC Code</w:t>
      </w:r>
      <w:r>
        <w:rPr>
          <w:spacing w:val="-8"/>
        </w:rPr>
        <w:t> </w:t>
      </w:r>
      <w:r>
        <w:rPr/>
        <w:t>of</w:t>
      </w:r>
      <w:r>
        <w:rPr>
          <w:spacing w:val="-8"/>
        </w:rPr>
        <w:t> </w:t>
      </w:r>
      <w:r>
        <w:rPr/>
        <w:t>Corporate</w:t>
      </w:r>
      <w:r>
        <w:rPr>
          <w:spacing w:val="-8"/>
        </w:rPr>
        <w:t> </w:t>
      </w:r>
      <w:r>
        <w:rPr/>
        <w:t>Governance</w:t>
      </w:r>
      <w:r>
        <w:rPr>
          <w:spacing w:val="-8"/>
        </w:rPr>
        <w:t> </w:t>
      </w:r>
      <w:r>
        <w:rPr/>
        <w:t>for</w:t>
      </w:r>
      <w:r>
        <w:rPr>
          <w:spacing w:val="-8"/>
        </w:rPr>
        <w:t> </w:t>
      </w:r>
      <w:r>
        <w:rPr/>
        <w:t>Public</w:t>
      </w:r>
      <w:r>
        <w:rPr>
          <w:spacing w:val="-8"/>
        </w:rPr>
        <w:t> </w:t>
      </w:r>
      <w:r>
        <w:rPr/>
        <w:t>Companies</w:t>
      </w:r>
      <w:r>
        <w:rPr>
          <w:spacing w:val="-7"/>
        </w:rPr>
        <w:t> </w:t>
      </w:r>
      <w:r>
        <w:rPr/>
        <w:t>(2011).</w:t>
      </w:r>
      <w:r>
        <w:rPr>
          <w:spacing w:val="-5"/>
        </w:rPr>
        <w:t> </w:t>
      </w:r>
      <w:r>
        <w:rPr/>
        <w:t>The</w:t>
      </w:r>
      <w:r>
        <w:rPr>
          <w:spacing w:val="-8"/>
        </w:rPr>
        <w:t> </w:t>
      </w:r>
      <w:r>
        <w:rPr/>
        <w:t>codes</w:t>
      </w:r>
      <w:r>
        <w:rPr>
          <w:spacing w:val="-7"/>
        </w:rPr>
        <w:t> </w:t>
      </w:r>
      <w:r>
        <w:rPr/>
        <w:t>that</w:t>
      </w:r>
      <w:r>
        <w:rPr>
          <w:spacing w:val="-7"/>
        </w:rPr>
        <w:t> </w:t>
      </w:r>
      <w:r>
        <w:rPr/>
        <w:t>were</w:t>
      </w:r>
      <w:r>
        <w:rPr>
          <w:spacing w:val="-9"/>
        </w:rPr>
        <w:t> </w:t>
      </w:r>
      <w:r>
        <w:rPr/>
        <w:t>issued</w:t>
      </w:r>
      <w:r>
        <w:rPr>
          <w:spacing w:val="-7"/>
        </w:rPr>
        <w:t> </w:t>
      </w:r>
      <w:r>
        <w:rPr/>
        <w:t>from 2014 to date were: (i) SEC Code of Corporate Governance for Public Companies (2014); (ii) Code of Corporate Governance for Discount Houses in Nigeria and Guidelines for Whistle Blowing in the Banking Industry (2014); (iii) Code of Corporate Governance for Telecommunication Industry (2014); and (iv) Draft National Code of Corporate Governance (2015). The Draft National Code of Corporate Governance has since materialized into the Nigerian Code of Corporate Governance 2018.</w:t>
      </w:r>
      <w:r>
        <w:rPr>
          <w:spacing w:val="40"/>
        </w:rPr>
        <w:t> </w:t>
      </w:r>
      <w:r>
        <w:rPr/>
        <w:t>According to Marshall (2015, p.51), these codes are a:</w:t>
      </w:r>
    </w:p>
    <w:p>
      <w:pPr>
        <w:pStyle w:val="BodyText"/>
        <w:spacing w:line="480" w:lineRule="auto" w:before="1"/>
        <w:ind w:left="2111" w:right="2274"/>
        <w:jc w:val="both"/>
      </w:pPr>
      <w:r>
        <w:rPr/>
        <w:t>Set of best practice recommending the behaviour and structure of the board of directors of a firm...designed to address deficiencies in the corporate governance system by recommending a comprehensive set of norms on the role and composition of the board of directors, relationship with shareholders and top management, auditing and information disclosure,</w:t>
      </w:r>
      <w:r>
        <w:rPr>
          <w:spacing w:val="-14"/>
        </w:rPr>
        <w:t> </w:t>
      </w:r>
      <w:r>
        <w:rPr/>
        <w:t>and</w:t>
      </w:r>
      <w:r>
        <w:rPr>
          <w:spacing w:val="-14"/>
        </w:rPr>
        <w:t> </w:t>
      </w:r>
      <w:r>
        <w:rPr/>
        <w:t>selection,</w:t>
      </w:r>
      <w:r>
        <w:rPr>
          <w:spacing w:val="-12"/>
        </w:rPr>
        <w:t> </w:t>
      </w:r>
      <w:r>
        <w:rPr/>
        <w:t>remuneration,</w:t>
      </w:r>
      <w:r>
        <w:rPr>
          <w:spacing w:val="-14"/>
        </w:rPr>
        <w:t> </w:t>
      </w:r>
      <w:r>
        <w:rPr/>
        <w:t>and</w:t>
      </w:r>
      <w:r>
        <w:rPr>
          <w:spacing w:val="-14"/>
        </w:rPr>
        <w:t> </w:t>
      </w:r>
      <w:r>
        <w:rPr/>
        <w:t>dismissal</w:t>
      </w:r>
      <w:r>
        <w:rPr>
          <w:spacing w:val="-14"/>
        </w:rPr>
        <w:t> </w:t>
      </w:r>
      <w:r>
        <w:rPr/>
        <w:t>of</w:t>
      </w:r>
      <w:r>
        <w:rPr>
          <w:spacing w:val="-15"/>
        </w:rPr>
        <w:t> </w:t>
      </w:r>
      <w:r>
        <w:rPr/>
        <w:t>directors</w:t>
      </w:r>
      <w:r>
        <w:rPr>
          <w:spacing w:val="-15"/>
        </w:rPr>
        <w:t> </w:t>
      </w:r>
      <w:r>
        <w:rPr/>
        <w:t>and</w:t>
      </w:r>
      <w:r>
        <w:rPr>
          <w:spacing w:val="-14"/>
        </w:rPr>
        <w:t> </w:t>
      </w:r>
      <w:r>
        <w:rPr/>
        <w:t>top </w:t>
      </w:r>
      <w:r>
        <w:rPr>
          <w:spacing w:val="-2"/>
        </w:rPr>
        <w:t>management.</w:t>
      </w:r>
    </w:p>
    <w:p>
      <w:pPr>
        <w:pStyle w:val="BodyText"/>
        <w:spacing w:line="480" w:lineRule="auto" w:before="1"/>
        <w:ind w:left="940" w:right="1438"/>
        <w:jc w:val="both"/>
      </w:pPr>
      <w:r>
        <w:rPr/>
        <w:t>The</w:t>
      </w:r>
      <w:r>
        <w:rPr>
          <w:spacing w:val="-4"/>
        </w:rPr>
        <w:t> </w:t>
      </w:r>
      <w:r>
        <w:rPr/>
        <w:t>SEC</w:t>
      </w:r>
      <w:r>
        <w:rPr>
          <w:spacing w:val="-2"/>
        </w:rPr>
        <w:t> </w:t>
      </w:r>
      <w:r>
        <w:rPr/>
        <w:t>codes of</w:t>
      </w:r>
      <w:r>
        <w:rPr>
          <w:spacing w:val="-1"/>
        </w:rPr>
        <w:t> </w:t>
      </w:r>
      <w:r>
        <w:rPr/>
        <w:t>2014</w:t>
      </w:r>
      <w:r>
        <w:rPr>
          <w:spacing w:val="-2"/>
        </w:rPr>
        <w:t> </w:t>
      </w:r>
      <w:r>
        <w:rPr/>
        <w:t>and</w:t>
      </w:r>
      <w:r>
        <w:rPr>
          <w:spacing w:val="-2"/>
        </w:rPr>
        <w:t> </w:t>
      </w:r>
      <w:r>
        <w:rPr/>
        <w:t>2018</w:t>
      </w:r>
      <w:r>
        <w:rPr>
          <w:spacing w:val="-2"/>
        </w:rPr>
        <w:t> </w:t>
      </w:r>
      <w:r>
        <w:rPr/>
        <w:t>for</w:t>
      </w:r>
      <w:r>
        <w:rPr>
          <w:spacing w:val="-1"/>
        </w:rPr>
        <w:t> </w:t>
      </w:r>
      <w:r>
        <w:rPr/>
        <w:t>public</w:t>
      </w:r>
      <w:r>
        <w:rPr>
          <w:spacing w:val="-1"/>
        </w:rPr>
        <w:t> </w:t>
      </w:r>
      <w:r>
        <w:rPr/>
        <w:t>corporation</w:t>
      </w:r>
      <w:r>
        <w:rPr>
          <w:spacing w:val="-2"/>
        </w:rPr>
        <w:t> </w:t>
      </w:r>
      <w:r>
        <w:rPr/>
        <w:t>have</w:t>
      </w:r>
      <w:r>
        <w:rPr>
          <w:spacing w:val="-1"/>
        </w:rPr>
        <w:t> </w:t>
      </w:r>
      <w:r>
        <w:rPr/>
        <w:t>the</w:t>
      </w:r>
      <w:r>
        <w:rPr>
          <w:spacing w:val="-1"/>
        </w:rPr>
        <w:t> </w:t>
      </w:r>
      <w:r>
        <w:rPr/>
        <w:t>feature</w:t>
      </w:r>
      <w:r>
        <w:rPr>
          <w:spacing w:val="-4"/>
        </w:rPr>
        <w:t> </w:t>
      </w:r>
      <w:r>
        <w:rPr/>
        <w:t>of</w:t>
      </w:r>
      <w:r>
        <w:rPr>
          <w:spacing w:val="-1"/>
        </w:rPr>
        <w:t> </w:t>
      </w:r>
      <w:r>
        <w:rPr/>
        <w:t>apply</w:t>
      </w:r>
      <w:r>
        <w:rPr>
          <w:spacing w:val="-2"/>
        </w:rPr>
        <w:t> </w:t>
      </w:r>
      <w:r>
        <w:rPr/>
        <w:t>and</w:t>
      </w:r>
      <w:r>
        <w:rPr>
          <w:spacing w:val="-1"/>
        </w:rPr>
        <w:t> </w:t>
      </w:r>
      <w:r>
        <w:rPr/>
        <w:t>explain which implies mandatory feature and also a whistle blowing policy. Therefore, corporate governance</w:t>
      </w:r>
      <w:r>
        <w:rPr>
          <w:spacing w:val="-13"/>
        </w:rPr>
        <w:t> </w:t>
      </w:r>
      <w:r>
        <w:rPr/>
        <w:t>practice</w:t>
      </w:r>
      <w:r>
        <w:rPr>
          <w:spacing w:val="-13"/>
        </w:rPr>
        <w:t> </w:t>
      </w:r>
      <w:r>
        <w:rPr/>
        <w:t>is</w:t>
      </w:r>
      <w:r>
        <w:rPr>
          <w:spacing w:val="-9"/>
        </w:rPr>
        <w:t> </w:t>
      </w:r>
      <w:r>
        <w:rPr/>
        <w:t>regulated</w:t>
      </w:r>
      <w:r>
        <w:rPr>
          <w:spacing w:val="-12"/>
        </w:rPr>
        <w:t> </w:t>
      </w:r>
      <w:r>
        <w:rPr/>
        <w:t>by</w:t>
      </w:r>
      <w:r>
        <w:rPr>
          <w:spacing w:val="-12"/>
        </w:rPr>
        <w:t> </w:t>
      </w:r>
      <w:r>
        <w:rPr/>
        <w:t>the</w:t>
      </w:r>
      <w:r>
        <w:rPr>
          <w:spacing w:val="-13"/>
        </w:rPr>
        <w:t> </w:t>
      </w:r>
      <w:r>
        <w:rPr/>
        <w:t>provisions</w:t>
      </w:r>
      <w:r>
        <w:rPr>
          <w:spacing w:val="-9"/>
        </w:rPr>
        <w:t> </w:t>
      </w:r>
      <w:r>
        <w:rPr/>
        <w:t>of</w:t>
      </w:r>
      <w:r>
        <w:rPr>
          <w:spacing w:val="-13"/>
        </w:rPr>
        <w:t> </w:t>
      </w:r>
      <w:r>
        <w:rPr/>
        <w:t>CAMA</w:t>
      </w:r>
      <w:r>
        <w:rPr>
          <w:spacing w:val="-13"/>
        </w:rPr>
        <w:t> </w:t>
      </w:r>
      <w:r>
        <w:rPr/>
        <w:t>1990</w:t>
      </w:r>
      <w:r>
        <w:rPr>
          <w:spacing w:val="-10"/>
        </w:rPr>
        <w:t> </w:t>
      </w:r>
      <w:r>
        <w:rPr/>
        <w:t>as</w:t>
      </w:r>
      <w:r>
        <w:rPr>
          <w:spacing w:val="-10"/>
        </w:rPr>
        <w:t> </w:t>
      </w:r>
      <w:r>
        <w:rPr/>
        <w:t>repealed</w:t>
      </w:r>
      <w:r>
        <w:rPr>
          <w:spacing w:val="-12"/>
        </w:rPr>
        <w:t> </w:t>
      </w:r>
      <w:r>
        <w:rPr/>
        <w:t>by</w:t>
      </w:r>
      <w:r>
        <w:rPr>
          <w:spacing w:val="-12"/>
        </w:rPr>
        <w:t> </w:t>
      </w:r>
      <w:r>
        <w:rPr/>
        <w:t>CAMA</w:t>
      </w:r>
      <w:r>
        <w:rPr>
          <w:spacing w:val="-11"/>
        </w:rPr>
        <w:t> </w:t>
      </w:r>
      <w:r>
        <w:rPr/>
        <w:t>2020 and</w:t>
      </w:r>
      <w:r>
        <w:rPr>
          <w:spacing w:val="-4"/>
        </w:rPr>
        <w:t> </w:t>
      </w:r>
      <w:r>
        <w:rPr/>
        <w:t>the</w:t>
      </w:r>
      <w:r>
        <w:rPr>
          <w:spacing w:val="-4"/>
        </w:rPr>
        <w:t> </w:t>
      </w:r>
      <w:r>
        <w:rPr/>
        <w:t>Nigerian</w:t>
      </w:r>
      <w:r>
        <w:rPr>
          <w:spacing w:val="-4"/>
        </w:rPr>
        <w:t> </w:t>
      </w:r>
      <w:r>
        <w:rPr/>
        <w:t>Code</w:t>
      </w:r>
      <w:r>
        <w:rPr>
          <w:spacing w:val="-4"/>
        </w:rPr>
        <w:t> </w:t>
      </w:r>
      <w:r>
        <w:rPr/>
        <w:t>of</w:t>
      </w:r>
      <w:r>
        <w:rPr>
          <w:spacing w:val="-3"/>
        </w:rPr>
        <w:t> </w:t>
      </w:r>
      <w:r>
        <w:rPr/>
        <w:t>Corporate</w:t>
      </w:r>
      <w:r>
        <w:rPr>
          <w:spacing w:val="-4"/>
        </w:rPr>
        <w:t> </w:t>
      </w:r>
      <w:r>
        <w:rPr/>
        <w:t>Governance</w:t>
      </w:r>
      <w:r>
        <w:rPr>
          <w:spacing w:val="-4"/>
        </w:rPr>
        <w:t> </w:t>
      </w:r>
      <w:r>
        <w:rPr/>
        <w:t>issued</w:t>
      </w:r>
      <w:r>
        <w:rPr>
          <w:spacing w:val="-4"/>
        </w:rPr>
        <w:t> </w:t>
      </w:r>
      <w:r>
        <w:rPr/>
        <w:t>by</w:t>
      </w:r>
      <w:r>
        <w:rPr>
          <w:spacing w:val="-4"/>
        </w:rPr>
        <w:t> </w:t>
      </w:r>
      <w:r>
        <w:rPr/>
        <w:t>the</w:t>
      </w:r>
      <w:r>
        <w:rPr>
          <w:spacing w:val="-4"/>
        </w:rPr>
        <w:t> </w:t>
      </w:r>
      <w:r>
        <w:rPr/>
        <w:t>Financial</w:t>
      </w:r>
      <w:r>
        <w:rPr>
          <w:spacing w:val="-4"/>
        </w:rPr>
        <w:t> </w:t>
      </w:r>
      <w:r>
        <w:rPr/>
        <w:t>Reporting</w:t>
      </w:r>
      <w:r>
        <w:rPr>
          <w:spacing w:val="-4"/>
        </w:rPr>
        <w:t> </w:t>
      </w:r>
      <w:r>
        <w:rPr/>
        <w:t>Council</w:t>
      </w:r>
      <w:r>
        <w:rPr>
          <w:spacing w:val="-4"/>
        </w:rPr>
        <w:t> </w:t>
      </w:r>
      <w:r>
        <w:rPr/>
        <w:t>of Nigeria (FRCN). Nigeria shares economic ties with the United Kingdom, therefore, also practises</w:t>
      </w:r>
      <w:r>
        <w:rPr>
          <w:spacing w:val="30"/>
        </w:rPr>
        <w:t> </w:t>
      </w:r>
      <w:r>
        <w:rPr/>
        <w:t>the</w:t>
      </w:r>
      <w:r>
        <w:rPr>
          <w:spacing w:val="31"/>
        </w:rPr>
        <w:t> </w:t>
      </w:r>
      <w:r>
        <w:rPr/>
        <w:t>Market-Based</w:t>
      </w:r>
      <w:r>
        <w:rPr>
          <w:spacing w:val="32"/>
        </w:rPr>
        <w:t> </w:t>
      </w:r>
      <w:r>
        <w:rPr/>
        <w:t>Corporate</w:t>
      </w:r>
      <w:r>
        <w:rPr>
          <w:spacing w:val="31"/>
        </w:rPr>
        <w:t> </w:t>
      </w:r>
      <w:r>
        <w:rPr/>
        <w:t>Governance</w:t>
      </w:r>
      <w:r>
        <w:rPr>
          <w:spacing w:val="31"/>
        </w:rPr>
        <w:t> </w:t>
      </w:r>
      <w:r>
        <w:rPr/>
        <w:t>Model</w:t>
      </w:r>
      <w:r>
        <w:rPr>
          <w:spacing w:val="32"/>
        </w:rPr>
        <w:t> </w:t>
      </w:r>
      <w:r>
        <w:rPr/>
        <w:t>which</w:t>
      </w:r>
      <w:r>
        <w:rPr>
          <w:spacing w:val="32"/>
        </w:rPr>
        <w:t> </w:t>
      </w:r>
      <w:r>
        <w:rPr/>
        <w:t>has</w:t>
      </w:r>
      <w:r>
        <w:rPr>
          <w:spacing w:val="32"/>
        </w:rPr>
        <w:t> </w:t>
      </w:r>
      <w:r>
        <w:rPr/>
        <w:t>as</w:t>
      </w:r>
      <w:r>
        <w:rPr>
          <w:spacing w:val="32"/>
        </w:rPr>
        <w:t> </w:t>
      </w:r>
      <w:r>
        <w:rPr/>
        <w:t>its</w:t>
      </w:r>
      <w:r>
        <w:rPr>
          <w:spacing w:val="32"/>
        </w:rPr>
        <w:t> </w:t>
      </w:r>
      <w:r>
        <w:rPr/>
        <w:t>key</w:t>
      </w:r>
      <w:r>
        <w:rPr>
          <w:spacing w:val="32"/>
        </w:rPr>
        <w:t> </w:t>
      </w:r>
      <w:r>
        <w:rPr/>
        <w:t>players</w:t>
      </w:r>
      <w:r>
        <w:rPr>
          <w:spacing w:val="32"/>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9"/>
        <w:jc w:val="both"/>
      </w:pPr>
      <w:r>
        <w:rPr/>
        <w:t>board of directors and shareholders. The Nigerian Code of Corporate Governance (2018, p.1) opined that:</w:t>
      </w:r>
    </w:p>
    <w:p>
      <w:pPr>
        <w:pStyle w:val="BodyText"/>
        <w:spacing w:line="480" w:lineRule="auto"/>
        <w:ind w:left="2111" w:right="2455"/>
        <w:jc w:val="both"/>
      </w:pPr>
      <w:r>
        <w:rPr/>
        <w:drawing>
          <wp:anchor distT="0" distB="0" distL="0" distR="0" allowOverlap="1" layoutInCell="1" locked="0" behindDoc="1" simplePos="0" relativeHeight="477699072">
            <wp:simplePos x="0" y="0"/>
            <wp:positionH relativeFrom="page">
              <wp:posOffset>1095451</wp:posOffset>
            </wp:positionH>
            <wp:positionV relativeFrom="paragraph">
              <wp:posOffset>1111055</wp:posOffset>
            </wp:positionV>
            <wp:extent cx="5106847" cy="5238115"/>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5" cstate="print"/>
                    <a:stretch>
                      <a:fillRect/>
                    </a:stretch>
                  </pic:blipFill>
                  <pic:spPr>
                    <a:xfrm>
                      <a:off x="0" y="0"/>
                      <a:ext cx="5106847" cy="5238115"/>
                    </a:xfrm>
                    <a:prstGeom prst="rect">
                      <a:avLst/>
                    </a:prstGeom>
                  </pic:spPr>
                </pic:pic>
              </a:graphicData>
            </a:graphic>
          </wp:anchor>
        </w:drawing>
      </w:r>
      <w:r>
        <w:rPr/>
        <w:t>A successful company is headed by an effective Board which is responsible for providing entrepreneurial and strategic leadership as well as promoting ethical culture and responsible citizens. As a link between stakeholders and the company, the Board is to exercise oversight</w:t>
      </w:r>
      <w:r>
        <w:rPr>
          <w:spacing w:val="-11"/>
        </w:rPr>
        <w:t> </w:t>
      </w:r>
      <w:r>
        <w:rPr/>
        <w:t>and</w:t>
      </w:r>
      <w:r>
        <w:rPr>
          <w:spacing w:val="-12"/>
        </w:rPr>
        <w:t> </w:t>
      </w:r>
      <w:r>
        <w:rPr/>
        <w:t>control</w:t>
      </w:r>
      <w:r>
        <w:rPr>
          <w:spacing w:val="-11"/>
        </w:rPr>
        <w:t> </w:t>
      </w:r>
      <w:r>
        <w:rPr/>
        <w:t>to</w:t>
      </w:r>
      <w:r>
        <w:rPr>
          <w:spacing w:val="-11"/>
        </w:rPr>
        <w:t> </w:t>
      </w:r>
      <w:r>
        <w:rPr/>
        <w:t>ensure</w:t>
      </w:r>
      <w:r>
        <w:rPr>
          <w:spacing w:val="-13"/>
        </w:rPr>
        <w:t> </w:t>
      </w:r>
      <w:r>
        <w:rPr/>
        <w:t>that</w:t>
      </w:r>
      <w:r>
        <w:rPr>
          <w:spacing w:val="-12"/>
        </w:rPr>
        <w:t> </w:t>
      </w:r>
      <w:r>
        <w:rPr/>
        <w:t>management</w:t>
      </w:r>
      <w:r>
        <w:rPr>
          <w:spacing w:val="-12"/>
        </w:rPr>
        <w:t> </w:t>
      </w:r>
      <w:r>
        <w:rPr/>
        <w:t>acts</w:t>
      </w:r>
      <w:r>
        <w:rPr>
          <w:spacing w:val="-11"/>
        </w:rPr>
        <w:t> </w:t>
      </w:r>
      <w:r>
        <w:rPr/>
        <w:t>in</w:t>
      </w:r>
      <w:r>
        <w:rPr>
          <w:spacing w:val="-11"/>
        </w:rPr>
        <w:t> </w:t>
      </w:r>
      <w:r>
        <w:rPr/>
        <w:t>the</w:t>
      </w:r>
      <w:r>
        <w:rPr>
          <w:spacing w:val="-12"/>
        </w:rPr>
        <w:t> </w:t>
      </w:r>
      <w:r>
        <w:rPr/>
        <w:t>best</w:t>
      </w:r>
      <w:r>
        <w:rPr>
          <w:spacing w:val="-11"/>
        </w:rPr>
        <w:t> </w:t>
      </w:r>
      <w:r>
        <w:rPr/>
        <w:t>interest of shareholders and other stakeholders while sustaining the prosperity of the company.</w:t>
      </w:r>
    </w:p>
    <w:p>
      <w:pPr>
        <w:pStyle w:val="BodyText"/>
        <w:spacing w:line="480" w:lineRule="auto" w:before="1"/>
        <w:ind w:left="940" w:right="1438"/>
        <w:jc w:val="both"/>
      </w:pPr>
      <w:r>
        <w:rPr/>
        <w:t>Similarly,</w:t>
      </w:r>
      <w:r>
        <w:rPr>
          <w:spacing w:val="-10"/>
        </w:rPr>
        <w:t> </w:t>
      </w:r>
      <w:r>
        <w:rPr/>
        <w:t>shareholder’s</w:t>
      </w:r>
      <w:r>
        <w:rPr>
          <w:spacing w:val="-7"/>
        </w:rPr>
        <w:t> </w:t>
      </w:r>
      <w:r>
        <w:rPr/>
        <w:t>engagement</w:t>
      </w:r>
      <w:r>
        <w:rPr>
          <w:spacing w:val="-9"/>
        </w:rPr>
        <w:t> </w:t>
      </w:r>
      <w:r>
        <w:rPr/>
        <w:t>in</w:t>
      </w:r>
      <w:r>
        <w:rPr>
          <w:spacing w:val="-9"/>
        </w:rPr>
        <w:t> </w:t>
      </w:r>
      <w:r>
        <w:rPr/>
        <w:t>enforcing</w:t>
      </w:r>
      <w:r>
        <w:rPr>
          <w:spacing w:val="-6"/>
        </w:rPr>
        <w:t> </w:t>
      </w:r>
      <w:r>
        <w:rPr/>
        <w:t>corporate</w:t>
      </w:r>
      <w:r>
        <w:rPr>
          <w:spacing w:val="-10"/>
        </w:rPr>
        <w:t> </w:t>
      </w:r>
      <w:r>
        <w:rPr/>
        <w:t>governance</w:t>
      </w:r>
      <w:r>
        <w:rPr>
          <w:spacing w:val="-10"/>
        </w:rPr>
        <w:t> </w:t>
      </w:r>
      <w:r>
        <w:rPr/>
        <w:t>practice</w:t>
      </w:r>
      <w:r>
        <w:rPr>
          <w:spacing w:val="-10"/>
        </w:rPr>
        <w:t> </w:t>
      </w:r>
      <w:r>
        <w:rPr/>
        <w:t>is</w:t>
      </w:r>
      <w:r>
        <w:rPr>
          <w:spacing w:val="-9"/>
        </w:rPr>
        <w:t> </w:t>
      </w:r>
      <w:r>
        <w:rPr/>
        <w:t>paramount. Specifically, the Nigerian Code of Corporate Governance (2018, p.29) stated that a board of directors should encourage institutional investors to ‘’positively influence the standard of corporate governance and promote value creation in the companies in which they invest, monitor conformance with the provision of the code and raise concerns as appropriate’’. Therefore, given the importance of the board of directors and shareholders’ engagement in fostering corporate governance, the attributes of the board and nature of shareholding could have</w:t>
      </w:r>
      <w:r>
        <w:rPr>
          <w:spacing w:val="-15"/>
        </w:rPr>
        <w:t> </w:t>
      </w:r>
      <w:r>
        <w:rPr/>
        <w:t>specific</w:t>
      </w:r>
      <w:r>
        <w:rPr>
          <w:spacing w:val="-15"/>
        </w:rPr>
        <w:t> </w:t>
      </w:r>
      <w:r>
        <w:rPr/>
        <w:t>implications</w:t>
      </w:r>
      <w:r>
        <w:rPr>
          <w:spacing w:val="-15"/>
        </w:rPr>
        <w:t> </w:t>
      </w:r>
      <w:r>
        <w:rPr/>
        <w:t>for</w:t>
      </w:r>
      <w:r>
        <w:rPr>
          <w:spacing w:val="-15"/>
        </w:rPr>
        <w:t> </w:t>
      </w:r>
      <w:r>
        <w:rPr/>
        <w:t>the</w:t>
      </w:r>
      <w:r>
        <w:rPr>
          <w:spacing w:val="-15"/>
        </w:rPr>
        <w:t> </w:t>
      </w:r>
      <w:r>
        <w:rPr/>
        <w:t>board</w:t>
      </w:r>
      <w:r>
        <w:rPr>
          <w:spacing w:val="-15"/>
        </w:rPr>
        <w:t> </w:t>
      </w:r>
      <w:r>
        <w:rPr/>
        <w:t>decision.</w:t>
      </w:r>
      <w:r>
        <w:rPr>
          <w:spacing w:val="-15"/>
        </w:rPr>
        <w:t> </w:t>
      </w:r>
      <w:r>
        <w:rPr/>
        <w:t>This</w:t>
      </w:r>
      <w:r>
        <w:rPr>
          <w:spacing w:val="-15"/>
        </w:rPr>
        <w:t> </w:t>
      </w:r>
      <w:r>
        <w:rPr/>
        <w:t>study</w:t>
      </w:r>
      <w:r>
        <w:rPr>
          <w:spacing w:val="-15"/>
        </w:rPr>
        <w:t> </w:t>
      </w:r>
      <w:r>
        <w:rPr/>
        <w:t>proceeded</w:t>
      </w:r>
      <w:r>
        <w:rPr>
          <w:spacing w:val="-15"/>
        </w:rPr>
        <w:t> </w:t>
      </w:r>
      <w:r>
        <w:rPr/>
        <w:t>to</w:t>
      </w:r>
      <w:r>
        <w:rPr>
          <w:spacing w:val="-15"/>
        </w:rPr>
        <w:t> </w:t>
      </w:r>
      <w:r>
        <w:rPr/>
        <w:t>discuss</w:t>
      </w:r>
      <w:r>
        <w:rPr>
          <w:spacing w:val="-15"/>
        </w:rPr>
        <w:t> </w:t>
      </w:r>
      <w:r>
        <w:rPr/>
        <w:t>some</w:t>
      </w:r>
      <w:r>
        <w:rPr>
          <w:spacing w:val="-15"/>
        </w:rPr>
        <w:t> </w:t>
      </w:r>
      <w:r>
        <w:rPr/>
        <w:t>of</w:t>
      </w:r>
      <w:r>
        <w:rPr>
          <w:spacing w:val="-15"/>
        </w:rPr>
        <w:t> </w:t>
      </w:r>
      <w:r>
        <w:rPr/>
        <w:t>these board attribute and diverse ownership structure.</w:t>
      </w:r>
    </w:p>
    <w:p>
      <w:pPr>
        <w:pStyle w:val="Heading3"/>
        <w:spacing w:before="1"/>
      </w:pPr>
      <w:r>
        <w:rPr/>
        <w:t>Board</w:t>
      </w:r>
      <w:r>
        <w:rPr>
          <w:spacing w:val="-2"/>
        </w:rPr>
        <w:t> </w:t>
      </w:r>
      <w:r>
        <w:rPr/>
        <w:t>of</w:t>
      </w:r>
      <w:r>
        <w:rPr>
          <w:spacing w:val="-1"/>
        </w:rPr>
        <w:t> </w:t>
      </w:r>
      <w:r>
        <w:rPr/>
        <w:t>Director</w:t>
      </w:r>
      <w:r>
        <w:rPr>
          <w:spacing w:val="-3"/>
        </w:rPr>
        <w:t> </w:t>
      </w:r>
      <w:r>
        <w:rPr>
          <w:spacing w:val="-4"/>
        </w:rPr>
        <w:t>Size</w:t>
      </w:r>
    </w:p>
    <w:p>
      <w:pPr>
        <w:pStyle w:val="BodyText"/>
        <w:rPr>
          <w:b/>
        </w:rPr>
      </w:pPr>
    </w:p>
    <w:p>
      <w:pPr>
        <w:pStyle w:val="BodyText"/>
        <w:spacing w:line="480" w:lineRule="auto"/>
        <w:ind w:left="940" w:right="1436"/>
        <w:jc w:val="both"/>
      </w:pPr>
      <w:r>
        <w:rPr/>
        <w:t>This</w:t>
      </w:r>
      <w:r>
        <w:rPr>
          <w:spacing w:val="-12"/>
        </w:rPr>
        <w:t> </w:t>
      </w:r>
      <w:r>
        <w:rPr/>
        <w:t>refers</w:t>
      </w:r>
      <w:r>
        <w:rPr>
          <w:spacing w:val="-13"/>
        </w:rPr>
        <w:t> </w:t>
      </w:r>
      <w:r>
        <w:rPr/>
        <w:t>to</w:t>
      </w:r>
      <w:r>
        <w:rPr>
          <w:spacing w:val="-12"/>
        </w:rPr>
        <w:t> </w:t>
      </w:r>
      <w:r>
        <w:rPr/>
        <w:t>the</w:t>
      </w:r>
      <w:r>
        <w:rPr>
          <w:spacing w:val="-13"/>
        </w:rPr>
        <w:t> </w:t>
      </w:r>
      <w:r>
        <w:rPr/>
        <w:t>number</w:t>
      </w:r>
      <w:r>
        <w:rPr>
          <w:spacing w:val="-11"/>
        </w:rPr>
        <w:t> </w:t>
      </w:r>
      <w:r>
        <w:rPr/>
        <w:t>of</w:t>
      </w:r>
      <w:r>
        <w:rPr>
          <w:spacing w:val="-13"/>
        </w:rPr>
        <w:t> </w:t>
      </w:r>
      <w:r>
        <w:rPr/>
        <w:t>directors</w:t>
      </w:r>
      <w:r>
        <w:rPr>
          <w:spacing w:val="-12"/>
        </w:rPr>
        <w:t> </w:t>
      </w:r>
      <w:r>
        <w:rPr/>
        <w:t>on</w:t>
      </w:r>
      <w:r>
        <w:rPr>
          <w:spacing w:val="-12"/>
        </w:rPr>
        <w:t> </w:t>
      </w:r>
      <w:r>
        <w:rPr/>
        <w:t>the</w:t>
      </w:r>
      <w:r>
        <w:rPr>
          <w:spacing w:val="-13"/>
        </w:rPr>
        <w:t> </w:t>
      </w:r>
      <w:r>
        <w:rPr/>
        <w:t>board.</w:t>
      </w:r>
      <w:r>
        <w:rPr>
          <w:spacing w:val="-10"/>
        </w:rPr>
        <w:t> </w:t>
      </w:r>
      <w:r>
        <w:rPr/>
        <w:t>Board</w:t>
      </w:r>
      <w:r>
        <w:rPr>
          <w:spacing w:val="-13"/>
        </w:rPr>
        <w:t> </w:t>
      </w:r>
      <w:r>
        <w:rPr/>
        <w:t>size</w:t>
      </w:r>
      <w:r>
        <w:rPr>
          <w:spacing w:val="-13"/>
        </w:rPr>
        <w:t> </w:t>
      </w:r>
      <w:r>
        <w:rPr/>
        <w:t>seems</w:t>
      </w:r>
      <w:r>
        <w:rPr>
          <w:spacing w:val="-11"/>
        </w:rPr>
        <w:t> </w:t>
      </w:r>
      <w:r>
        <w:rPr/>
        <w:t>to</w:t>
      </w:r>
      <w:r>
        <w:rPr>
          <w:spacing w:val="-12"/>
        </w:rPr>
        <w:t> </w:t>
      </w:r>
      <w:r>
        <w:rPr/>
        <w:t>differ</w:t>
      </w:r>
      <w:r>
        <w:rPr>
          <w:spacing w:val="-13"/>
        </w:rPr>
        <w:t> </w:t>
      </w:r>
      <w:r>
        <w:rPr/>
        <w:t>from</w:t>
      </w:r>
      <w:r>
        <w:rPr>
          <w:spacing w:val="-12"/>
        </w:rPr>
        <w:t> </w:t>
      </w:r>
      <w:r>
        <w:rPr/>
        <w:t>one</w:t>
      </w:r>
      <w:r>
        <w:rPr>
          <w:spacing w:val="-13"/>
        </w:rPr>
        <w:t> </w:t>
      </w:r>
      <w:r>
        <w:rPr/>
        <w:t>country to</w:t>
      </w:r>
      <w:r>
        <w:rPr>
          <w:spacing w:val="-9"/>
        </w:rPr>
        <w:t> </w:t>
      </w:r>
      <w:r>
        <w:rPr/>
        <w:t>another.</w:t>
      </w:r>
      <w:r>
        <w:rPr>
          <w:spacing w:val="-10"/>
        </w:rPr>
        <w:t> </w:t>
      </w:r>
      <w:r>
        <w:rPr/>
        <w:t>This</w:t>
      </w:r>
      <w:r>
        <w:rPr>
          <w:spacing w:val="-9"/>
        </w:rPr>
        <w:t> </w:t>
      </w:r>
      <w:r>
        <w:rPr/>
        <w:t>has</w:t>
      </w:r>
      <w:r>
        <w:rPr>
          <w:spacing w:val="-9"/>
        </w:rPr>
        <w:t> </w:t>
      </w:r>
      <w:r>
        <w:rPr/>
        <w:t>led</w:t>
      </w:r>
      <w:r>
        <w:rPr>
          <w:spacing w:val="-10"/>
        </w:rPr>
        <w:t> </w:t>
      </w:r>
      <w:r>
        <w:rPr/>
        <w:t>to</w:t>
      </w:r>
      <w:r>
        <w:rPr>
          <w:spacing w:val="-10"/>
        </w:rPr>
        <w:t> </w:t>
      </w:r>
      <w:r>
        <w:rPr/>
        <w:t>two</w:t>
      </w:r>
      <w:r>
        <w:rPr>
          <w:spacing w:val="-10"/>
        </w:rPr>
        <w:t> </w:t>
      </w:r>
      <w:r>
        <w:rPr/>
        <w:t>schools</w:t>
      </w:r>
      <w:r>
        <w:rPr>
          <w:spacing w:val="-9"/>
        </w:rPr>
        <w:t> </w:t>
      </w:r>
      <w:r>
        <w:rPr/>
        <w:t>of</w:t>
      </w:r>
      <w:r>
        <w:rPr>
          <w:spacing w:val="-10"/>
        </w:rPr>
        <w:t> </w:t>
      </w:r>
      <w:r>
        <w:rPr/>
        <w:t>thought:</w:t>
      </w:r>
      <w:r>
        <w:rPr>
          <w:spacing w:val="-9"/>
        </w:rPr>
        <w:t> </w:t>
      </w:r>
      <w:r>
        <w:rPr/>
        <w:t>small</w:t>
      </w:r>
      <w:r>
        <w:rPr>
          <w:spacing w:val="-9"/>
        </w:rPr>
        <w:t> </w:t>
      </w:r>
      <w:r>
        <w:rPr/>
        <w:t>and</w:t>
      </w:r>
      <w:r>
        <w:rPr>
          <w:spacing w:val="-7"/>
        </w:rPr>
        <w:t> </w:t>
      </w:r>
      <w:r>
        <w:rPr/>
        <w:t>large</w:t>
      </w:r>
      <w:r>
        <w:rPr>
          <w:spacing w:val="-11"/>
        </w:rPr>
        <w:t> </w:t>
      </w:r>
      <w:r>
        <w:rPr/>
        <w:t>board</w:t>
      </w:r>
      <w:r>
        <w:rPr>
          <w:spacing w:val="-10"/>
        </w:rPr>
        <w:t> </w:t>
      </w:r>
      <w:r>
        <w:rPr/>
        <w:t>sizes.</w:t>
      </w:r>
      <w:r>
        <w:rPr>
          <w:spacing w:val="-7"/>
        </w:rPr>
        <w:t> </w:t>
      </w:r>
      <w:r>
        <w:rPr/>
        <w:t>In</w:t>
      </w:r>
      <w:r>
        <w:rPr>
          <w:spacing w:val="-10"/>
        </w:rPr>
        <w:t> </w:t>
      </w:r>
      <w:r>
        <w:rPr/>
        <w:t>Malaysia,</w:t>
      </w:r>
      <w:r>
        <w:rPr>
          <w:spacing w:val="-10"/>
        </w:rPr>
        <w:t> </w:t>
      </w:r>
      <w:r>
        <w:rPr/>
        <w:t>the corporate</w:t>
      </w:r>
      <w:r>
        <w:rPr>
          <w:spacing w:val="-1"/>
        </w:rPr>
        <w:t> </w:t>
      </w:r>
      <w:r>
        <w:rPr/>
        <w:t>governance code</w:t>
      </w:r>
      <w:r>
        <w:rPr>
          <w:spacing w:val="-1"/>
        </w:rPr>
        <w:t> </w:t>
      </w:r>
      <w:r>
        <w:rPr/>
        <w:t>does not specify</w:t>
      </w:r>
      <w:r>
        <w:rPr>
          <w:spacing w:val="-1"/>
        </w:rPr>
        <w:t> </w:t>
      </w:r>
      <w:r>
        <w:rPr/>
        <w:t>the</w:t>
      </w:r>
      <w:r>
        <w:rPr>
          <w:spacing w:val="-1"/>
        </w:rPr>
        <w:t> </w:t>
      </w:r>
      <w:r>
        <w:rPr/>
        <w:t>size</w:t>
      </w:r>
      <w:r>
        <w:rPr>
          <w:spacing w:val="-1"/>
        </w:rPr>
        <w:t> </w:t>
      </w:r>
      <w:r>
        <w:rPr/>
        <w:t>of</w:t>
      </w:r>
      <w:r>
        <w:rPr>
          <w:spacing w:val="-1"/>
        </w:rPr>
        <w:t> </w:t>
      </w:r>
      <w:r>
        <w:rPr/>
        <w:t>the</w:t>
      </w:r>
      <w:r>
        <w:rPr>
          <w:spacing w:val="-1"/>
        </w:rPr>
        <w:t> </w:t>
      </w:r>
      <w:r>
        <w:rPr/>
        <w:t>board.</w:t>
      </w:r>
      <w:r>
        <w:rPr>
          <w:spacing w:val="40"/>
        </w:rPr>
        <w:t> </w:t>
      </w:r>
      <w:r>
        <w:rPr/>
        <w:t>Rather, every</w:t>
      </w:r>
      <w:r>
        <w:rPr>
          <w:spacing w:val="-1"/>
        </w:rPr>
        <w:t> </w:t>
      </w:r>
      <w:r>
        <w:rPr/>
        <w:t>board</w:t>
      </w:r>
      <w:r>
        <w:rPr>
          <w:spacing w:val="-1"/>
        </w:rPr>
        <w:t> </w:t>
      </w:r>
      <w:r>
        <w:rPr/>
        <w:t>should examine its size with a view to determining the impact of its numbers. Dedman (2000), in a study conducted in the United Kingdom (UK), opined eight (8) members on the board of directors</w:t>
      </w:r>
      <w:r>
        <w:rPr>
          <w:spacing w:val="17"/>
        </w:rPr>
        <w:t> </w:t>
      </w:r>
      <w:r>
        <w:rPr/>
        <w:t>while</w:t>
      </w:r>
      <w:r>
        <w:rPr>
          <w:spacing w:val="18"/>
        </w:rPr>
        <w:t> </w:t>
      </w:r>
      <w:r>
        <w:rPr/>
        <w:t>Yermack</w:t>
      </w:r>
      <w:r>
        <w:rPr>
          <w:spacing w:val="21"/>
        </w:rPr>
        <w:t> </w:t>
      </w:r>
      <w:r>
        <w:rPr/>
        <w:t>(1996)</w:t>
      </w:r>
      <w:r>
        <w:rPr>
          <w:spacing w:val="18"/>
        </w:rPr>
        <w:t> </w:t>
      </w:r>
      <w:r>
        <w:rPr/>
        <w:t>opined</w:t>
      </w:r>
      <w:r>
        <w:rPr>
          <w:spacing w:val="18"/>
        </w:rPr>
        <w:t> </w:t>
      </w:r>
      <w:r>
        <w:rPr/>
        <w:t>a</w:t>
      </w:r>
      <w:r>
        <w:rPr>
          <w:spacing w:val="18"/>
        </w:rPr>
        <w:t> </w:t>
      </w:r>
      <w:r>
        <w:rPr/>
        <w:t>twelve</w:t>
      </w:r>
      <w:r>
        <w:rPr>
          <w:spacing w:val="20"/>
        </w:rPr>
        <w:t> </w:t>
      </w:r>
      <w:r>
        <w:rPr/>
        <w:t>(12)</w:t>
      </w:r>
      <w:r>
        <w:rPr>
          <w:spacing w:val="17"/>
        </w:rPr>
        <w:t> </w:t>
      </w:r>
      <w:r>
        <w:rPr/>
        <w:t>member</w:t>
      </w:r>
      <w:r>
        <w:rPr>
          <w:spacing w:val="20"/>
        </w:rPr>
        <w:t> </w:t>
      </w:r>
      <w:r>
        <w:rPr/>
        <w:t>board</w:t>
      </w:r>
      <w:r>
        <w:rPr>
          <w:spacing w:val="18"/>
        </w:rPr>
        <w:t> </w:t>
      </w:r>
      <w:r>
        <w:rPr/>
        <w:t>of</w:t>
      </w:r>
      <w:r>
        <w:rPr>
          <w:spacing w:val="18"/>
        </w:rPr>
        <w:t> </w:t>
      </w:r>
      <w:r>
        <w:rPr/>
        <w:t>directors</w:t>
      </w:r>
      <w:r>
        <w:rPr>
          <w:spacing w:val="19"/>
        </w:rPr>
        <w:t> </w:t>
      </w:r>
      <w:r>
        <w:rPr/>
        <w:t>size</w:t>
      </w:r>
      <w:r>
        <w:rPr>
          <w:spacing w:val="18"/>
        </w:rPr>
        <w:t> </w:t>
      </w:r>
      <w:r>
        <w:rPr/>
        <w:t>in</w:t>
      </w:r>
      <w:r>
        <w:rPr>
          <w:spacing w:val="19"/>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699584">
            <wp:simplePos x="0" y="0"/>
            <wp:positionH relativeFrom="page">
              <wp:posOffset>1095451</wp:posOffset>
            </wp:positionH>
            <wp:positionV relativeFrom="paragraph">
              <wp:posOffset>1850770</wp:posOffset>
            </wp:positionV>
            <wp:extent cx="5106847" cy="523811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5" cstate="print"/>
                    <a:stretch>
                      <a:fillRect/>
                    </a:stretch>
                  </pic:blipFill>
                  <pic:spPr>
                    <a:xfrm>
                      <a:off x="0" y="0"/>
                      <a:ext cx="5106847" cy="5238115"/>
                    </a:xfrm>
                    <a:prstGeom prst="rect">
                      <a:avLst/>
                    </a:prstGeom>
                  </pic:spPr>
                </pic:pic>
              </a:graphicData>
            </a:graphic>
          </wp:anchor>
        </w:drawing>
      </w:r>
      <w:r>
        <w:rPr/>
        <w:t>United States. The Nigerian Code of Corporate Governance (NCCG, 2018) issued by FRCN did</w:t>
      </w:r>
      <w:r>
        <w:rPr>
          <w:spacing w:val="-3"/>
        </w:rPr>
        <w:t> </w:t>
      </w:r>
      <w:r>
        <w:rPr/>
        <w:t>not</w:t>
      </w:r>
      <w:r>
        <w:rPr>
          <w:spacing w:val="-3"/>
        </w:rPr>
        <w:t> </w:t>
      </w:r>
      <w:r>
        <w:rPr/>
        <w:t>give</w:t>
      </w:r>
      <w:r>
        <w:rPr>
          <w:spacing w:val="-3"/>
        </w:rPr>
        <w:t> </w:t>
      </w:r>
      <w:r>
        <w:rPr/>
        <w:t>a</w:t>
      </w:r>
      <w:r>
        <w:rPr>
          <w:spacing w:val="-5"/>
        </w:rPr>
        <w:t> </w:t>
      </w:r>
      <w:r>
        <w:rPr/>
        <w:t>specific</w:t>
      </w:r>
      <w:r>
        <w:rPr>
          <w:spacing w:val="-4"/>
        </w:rPr>
        <w:t> </w:t>
      </w:r>
      <w:r>
        <w:rPr/>
        <w:t>number</w:t>
      </w:r>
      <w:r>
        <w:rPr>
          <w:spacing w:val="-4"/>
        </w:rPr>
        <w:t> </w:t>
      </w:r>
      <w:r>
        <w:rPr/>
        <w:t>of</w:t>
      </w:r>
      <w:r>
        <w:rPr>
          <w:spacing w:val="-3"/>
        </w:rPr>
        <w:t> </w:t>
      </w:r>
      <w:r>
        <w:rPr/>
        <w:t>directors</w:t>
      </w:r>
      <w:r>
        <w:rPr>
          <w:spacing w:val="-3"/>
        </w:rPr>
        <w:t> </w:t>
      </w:r>
      <w:r>
        <w:rPr/>
        <w:t>on</w:t>
      </w:r>
      <w:r>
        <w:rPr>
          <w:spacing w:val="-3"/>
        </w:rPr>
        <w:t> </w:t>
      </w:r>
      <w:r>
        <w:rPr/>
        <w:t>the</w:t>
      </w:r>
      <w:r>
        <w:rPr>
          <w:spacing w:val="-3"/>
        </w:rPr>
        <w:t> </w:t>
      </w:r>
      <w:r>
        <w:rPr/>
        <w:t>board.</w:t>
      </w:r>
      <w:r>
        <w:rPr>
          <w:spacing w:val="-3"/>
        </w:rPr>
        <w:t> </w:t>
      </w:r>
      <w:r>
        <w:rPr/>
        <w:t>Rather,</w:t>
      </w:r>
      <w:r>
        <w:rPr>
          <w:spacing w:val="-3"/>
        </w:rPr>
        <w:t> </w:t>
      </w:r>
      <w:r>
        <w:rPr/>
        <w:t>it</w:t>
      </w:r>
      <w:r>
        <w:rPr>
          <w:spacing w:val="-3"/>
        </w:rPr>
        <w:t> </w:t>
      </w:r>
      <w:r>
        <w:rPr/>
        <w:t>stated</w:t>
      </w:r>
      <w:r>
        <w:rPr>
          <w:spacing w:val="-3"/>
        </w:rPr>
        <w:t> </w:t>
      </w:r>
      <w:r>
        <w:rPr/>
        <w:t>that</w:t>
      </w:r>
      <w:r>
        <w:rPr>
          <w:spacing w:val="-3"/>
        </w:rPr>
        <w:t> </w:t>
      </w:r>
      <w:r>
        <w:rPr/>
        <w:t>the</w:t>
      </w:r>
      <w:r>
        <w:rPr>
          <w:spacing w:val="-4"/>
        </w:rPr>
        <w:t> </w:t>
      </w:r>
      <w:r>
        <w:rPr/>
        <w:t>board</w:t>
      </w:r>
      <w:r>
        <w:rPr>
          <w:spacing w:val="-3"/>
        </w:rPr>
        <w:t> </w:t>
      </w:r>
      <w:r>
        <w:rPr/>
        <w:t>should be of sufficient size to effectively undertake and fulfil its business to oversee, monitor, direct and control the company’s activities, and be relative to the scale and complexity of its operation.</w:t>
      </w:r>
      <w:r>
        <w:rPr>
          <w:spacing w:val="-4"/>
        </w:rPr>
        <w:t> </w:t>
      </w:r>
      <w:r>
        <w:rPr/>
        <w:t>It</w:t>
      </w:r>
      <w:r>
        <w:rPr>
          <w:spacing w:val="-5"/>
        </w:rPr>
        <w:t> </w:t>
      </w:r>
      <w:r>
        <w:rPr/>
        <w:t>also</w:t>
      </w:r>
      <w:r>
        <w:rPr>
          <w:spacing w:val="-5"/>
        </w:rPr>
        <w:t> </w:t>
      </w:r>
      <w:r>
        <w:rPr/>
        <w:t>stated</w:t>
      </w:r>
      <w:r>
        <w:rPr>
          <w:spacing w:val="-5"/>
        </w:rPr>
        <w:t> </w:t>
      </w:r>
      <w:r>
        <w:rPr/>
        <w:t>that</w:t>
      </w:r>
      <w:r>
        <w:rPr>
          <w:spacing w:val="-6"/>
        </w:rPr>
        <w:t> </w:t>
      </w:r>
      <w:r>
        <w:rPr/>
        <w:t>the</w:t>
      </w:r>
      <w:r>
        <w:rPr>
          <w:spacing w:val="-6"/>
        </w:rPr>
        <w:t> </w:t>
      </w:r>
      <w:r>
        <w:rPr/>
        <w:t>board</w:t>
      </w:r>
      <w:r>
        <w:rPr>
          <w:spacing w:val="-7"/>
        </w:rPr>
        <w:t> </w:t>
      </w:r>
      <w:r>
        <w:rPr/>
        <w:t>should</w:t>
      </w:r>
      <w:r>
        <w:rPr>
          <w:spacing w:val="-6"/>
        </w:rPr>
        <w:t> </w:t>
      </w:r>
      <w:r>
        <w:rPr/>
        <w:t>consider</w:t>
      </w:r>
      <w:r>
        <w:rPr>
          <w:spacing w:val="-7"/>
        </w:rPr>
        <w:t> </w:t>
      </w:r>
      <w:r>
        <w:rPr/>
        <w:t>the</w:t>
      </w:r>
      <w:r>
        <w:rPr>
          <w:spacing w:val="-6"/>
        </w:rPr>
        <w:t> </w:t>
      </w:r>
      <w:r>
        <w:rPr/>
        <w:t>following</w:t>
      </w:r>
      <w:r>
        <w:rPr>
          <w:spacing w:val="-6"/>
        </w:rPr>
        <w:t> </w:t>
      </w:r>
      <w:r>
        <w:rPr/>
        <w:t>factors</w:t>
      </w:r>
      <w:r>
        <w:rPr>
          <w:spacing w:val="-5"/>
        </w:rPr>
        <w:t> </w:t>
      </w:r>
      <w:r>
        <w:rPr/>
        <w:t>in</w:t>
      </w:r>
      <w:r>
        <w:rPr>
          <w:spacing w:val="-5"/>
        </w:rPr>
        <w:t> </w:t>
      </w:r>
      <w:r>
        <w:rPr/>
        <w:t>determining</w:t>
      </w:r>
      <w:r>
        <w:rPr>
          <w:spacing w:val="-5"/>
        </w:rPr>
        <w:t> </w:t>
      </w:r>
      <w:r>
        <w:rPr/>
        <w:t>the requisite number of its members: (i) appropriate mix of knowledge, skills and experience including</w:t>
      </w:r>
      <w:r>
        <w:rPr>
          <w:spacing w:val="16"/>
        </w:rPr>
        <w:t> </w:t>
      </w:r>
      <w:r>
        <w:rPr/>
        <w:t>the</w:t>
      </w:r>
      <w:r>
        <w:rPr>
          <w:spacing w:val="17"/>
        </w:rPr>
        <w:t> </w:t>
      </w:r>
      <w:r>
        <w:rPr/>
        <w:t>business,</w:t>
      </w:r>
      <w:r>
        <w:rPr>
          <w:spacing w:val="18"/>
        </w:rPr>
        <w:t> </w:t>
      </w:r>
      <w:r>
        <w:rPr/>
        <w:t>commercial</w:t>
      </w:r>
      <w:r>
        <w:rPr>
          <w:spacing w:val="17"/>
        </w:rPr>
        <w:t> </w:t>
      </w:r>
      <w:r>
        <w:rPr/>
        <w:t>and</w:t>
      </w:r>
      <w:r>
        <w:rPr>
          <w:spacing w:val="17"/>
        </w:rPr>
        <w:t> </w:t>
      </w:r>
      <w:r>
        <w:rPr/>
        <w:t>industry</w:t>
      </w:r>
      <w:r>
        <w:rPr>
          <w:spacing w:val="21"/>
        </w:rPr>
        <w:t> </w:t>
      </w:r>
      <w:r>
        <w:rPr/>
        <w:t>experience</w:t>
      </w:r>
      <w:r>
        <w:rPr>
          <w:spacing w:val="17"/>
        </w:rPr>
        <w:t> </w:t>
      </w:r>
      <w:r>
        <w:rPr/>
        <w:t>needed</w:t>
      </w:r>
      <w:r>
        <w:rPr>
          <w:spacing w:val="20"/>
        </w:rPr>
        <w:t> </w:t>
      </w:r>
      <w:r>
        <w:rPr/>
        <w:t>to</w:t>
      </w:r>
      <w:r>
        <w:rPr>
          <w:spacing w:val="24"/>
        </w:rPr>
        <w:t> </w:t>
      </w:r>
      <w:r>
        <w:rPr/>
        <w:t>govern</w:t>
      </w:r>
      <w:r>
        <w:rPr>
          <w:spacing w:val="17"/>
        </w:rPr>
        <w:t> </w:t>
      </w:r>
      <w:r>
        <w:rPr/>
        <w:t>the</w:t>
      </w:r>
      <w:r>
        <w:rPr>
          <w:spacing w:val="20"/>
        </w:rPr>
        <w:t> </w:t>
      </w:r>
      <w:r>
        <w:rPr>
          <w:spacing w:val="-2"/>
        </w:rPr>
        <w:t>company;</w:t>
      </w:r>
    </w:p>
    <w:p>
      <w:pPr>
        <w:pStyle w:val="BodyText"/>
        <w:spacing w:line="480" w:lineRule="auto" w:before="1"/>
        <w:ind w:left="940" w:right="1432"/>
        <w:jc w:val="both"/>
      </w:pPr>
      <w:r>
        <w:rPr/>
        <w:t>(ii)</w:t>
      </w:r>
      <w:r>
        <w:rPr>
          <w:spacing w:val="-10"/>
        </w:rPr>
        <w:t> </w:t>
      </w:r>
      <w:r>
        <w:rPr/>
        <w:t>appropriate</w:t>
      </w:r>
      <w:r>
        <w:rPr>
          <w:spacing w:val="-11"/>
        </w:rPr>
        <w:t> </w:t>
      </w:r>
      <w:r>
        <w:rPr/>
        <w:t>mix</w:t>
      </w:r>
      <w:r>
        <w:rPr>
          <w:spacing w:val="-10"/>
        </w:rPr>
        <w:t> </w:t>
      </w:r>
      <w:r>
        <w:rPr/>
        <w:t>of</w:t>
      </w:r>
      <w:r>
        <w:rPr>
          <w:spacing w:val="-10"/>
        </w:rPr>
        <w:t> </w:t>
      </w:r>
      <w:r>
        <w:rPr/>
        <w:t>executive,</w:t>
      </w:r>
      <w:r>
        <w:rPr>
          <w:spacing w:val="-10"/>
        </w:rPr>
        <w:t> </w:t>
      </w:r>
      <w:r>
        <w:rPr/>
        <w:t>non-executive</w:t>
      </w:r>
      <w:r>
        <w:rPr>
          <w:spacing w:val="-9"/>
        </w:rPr>
        <w:t> </w:t>
      </w:r>
      <w:r>
        <w:rPr/>
        <w:t>and</w:t>
      </w:r>
      <w:r>
        <w:rPr>
          <w:spacing w:val="-10"/>
        </w:rPr>
        <w:t> </w:t>
      </w:r>
      <w:r>
        <w:rPr/>
        <w:t>independent</w:t>
      </w:r>
      <w:r>
        <w:rPr>
          <w:spacing w:val="-10"/>
        </w:rPr>
        <w:t> </w:t>
      </w:r>
      <w:r>
        <w:rPr/>
        <w:t>non-executive</w:t>
      </w:r>
      <w:r>
        <w:rPr>
          <w:spacing w:val="-11"/>
        </w:rPr>
        <w:t> </w:t>
      </w:r>
      <w:r>
        <w:rPr/>
        <w:t>members</w:t>
      </w:r>
      <w:r>
        <w:rPr>
          <w:spacing w:val="-10"/>
        </w:rPr>
        <w:t> </w:t>
      </w:r>
      <w:r>
        <w:rPr/>
        <w:t>such that majority of the board are non-executive directors. It is desirable that most of the non- executive directors be independent; (iii) need for a sufficient number of members that qualify to serve on the committees of the board; (iv) need to secure a quorum at meetings; and (v) diversity targets relating to the composition of the board.</w:t>
      </w:r>
    </w:p>
    <w:p>
      <w:pPr>
        <w:pStyle w:val="BodyText"/>
        <w:spacing w:line="480" w:lineRule="auto"/>
        <w:ind w:left="940" w:right="1437"/>
        <w:jc w:val="both"/>
      </w:pPr>
      <w:r>
        <w:rPr/>
        <w:t>Conger</w:t>
      </w:r>
      <w:r>
        <w:rPr>
          <w:spacing w:val="-2"/>
        </w:rPr>
        <w:t> </w:t>
      </w:r>
      <w:r>
        <w:rPr/>
        <w:t>and Lawler</w:t>
      </w:r>
      <w:r>
        <w:rPr>
          <w:spacing w:val="-2"/>
        </w:rPr>
        <w:t> </w:t>
      </w:r>
      <w:r>
        <w:rPr/>
        <w:t>(1998)</w:t>
      </w:r>
      <w:r>
        <w:rPr>
          <w:spacing w:val="-2"/>
        </w:rPr>
        <w:t> </w:t>
      </w:r>
      <w:r>
        <w:rPr/>
        <w:t>opined</w:t>
      </w:r>
      <w:r>
        <w:rPr>
          <w:spacing w:val="-2"/>
        </w:rPr>
        <w:t> </w:t>
      </w:r>
      <w:r>
        <w:rPr/>
        <w:t>that there</w:t>
      </w:r>
      <w:r>
        <w:rPr>
          <w:spacing w:val="-1"/>
        </w:rPr>
        <w:t> </w:t>
      </w:r>
      <w:r>
        <w:rPr/>
        <w:t>was no</w:t>
      </w:r>
      <w:r>
        <w:rPr>
          <w:spacing w:val="-2"/>
        </w:rPr>
        <w:t> </w:t>
      </w:r>
      <w:r>
        <w:rPr/>
        <w:t>ideal</w:t>
      </w:r>
      <w:r>
        <w:rPr>
          <w:spacing w:val="-2"/>
        </w:rPr>
        <w:t> </w:t>
      </w:r>
      <w:r>
        <w:rPr/>
        <w:t>size</w:t>
      </w:r>
      <w:r>
        <w:rPr>
          <w:spacing w:val="-2"/>
        </w:rPr>
        <w:t> </w:t>
      </w:r>
      <w:r>
        <w:rPr/>
        <w:t>for</w:t>
      </w:r>
      <w:r>
        <w:rPr>
          <w:spacing w:val="-2"/>
        </w:rPr>
        <w:t> </w:t>
      </w:r>
      <w:r>
        <w:rPr/>
        <w:t>a</w:t>
      </w:r>
      <w:r>
        <w:rPr>
          <w:spacing w:val="-2"/>
        </w:rPr>
        <w:t> </w:t>
      </w:r>
      <w:r>
        <w:rPr/>
        <w:t>board rather, the</w:t>
      </w:r>
      <w:r>
        <w:rPr>
          <w:spacing w:val="-2"/>
        </w:rPr>
        <w:t> </w:t>
      </w:r>
      <w:r>
        <w:rPr/>
        <w:t>right</w:t>
      </w:r>
      <w:r>
        <w:rPr>
          <w:spacing w:val="-2"/>
        </w:rPr>
        <w:t> </w:t>
      </w:r>
      <w:r>
        <w:rPr/>
        <w:t>size should be driven by how effective the board was able to operate as a team. In the same vein, Park</w:t>
      </w:r>
      <w:r>
        <w:rPr>
          <w:spacing w:val="-15"/>
        </w:rPr>
        <w:t> </w:t>
      </w:r>
      <w:r>
        <w:rPr/>
        <w:t>and</w:t>
      </w:r>
      <w:r>
        <w:rPr>
          <w:spacing w:val="-15"/>
        </w:rPr>
        <w:t> </w:t>
      </w:r>
      <w:r>
        <w:rPr/>
        <w:t>Shin</w:t>
      </w:r>
      <w:r>
        <w:rPr>
          <w:spacing w:val="-15"/>
        </w:rPr>
        <w:t> </w:t>
      </w:r>
      <w:r>
        <w:rPr/>
        <w:t>(2004)</w:t>
      </w:r>
      <w:r>
        <w:rPr>
          <w:spacing w:val="-15"/>
        </w:rPr>
        <w:t> </w:t>
      </w:r>
      <w:r>
        <w:rPr/>
        <w:t>opined</w:t>
      </w:r>
      <w:r>
        <w:rPr>
          <w:spacing w:val="-15"/>
        </w:rPr>
        <w:t> </w:t>
      </w:r>
      <w:r>
        <w:rPr/>
        <w:t>that</w:t>
      </w:r>
      <w:r>
        <w:rPr>
          <w:spacing w:val="-15"/>
        </w:rPr>
        <w:t> </w:t>
      </w:r>
      <w:r>
        <w:rPr/>
        <w:t>the</w:t>
      </w:r>
      <w:r>
        <w:rPr>
          <w:spacing w:val="-15"/>
        </w:rPr>
        <w:t> </w:t>
      </w:r>
      <w:r>
        <w:rPr/>
        <w:t>right</w:t>
      </w:r>
      <w:r>
        <w:rPr>
          <w:spacing w:val="-15"/>
        </w:rPr>
        <w:t> </w:t>
      </w:r>
      <w:r>
        <w:rPr/>
        <w:t>size</w:t>
      </w:r>
      <w:r>
        <w:rPr>
          <w:spacing w:val="-15"/>
        </w:rPr>
        <w:t> </w:t>
      </w:r>
      <w:r>
        <w:rPr/>
        <w:t>should</w:t>
      </w:r>
      <w:r>
        <w:rPr>
          <w:spacing w:val="-15"/>
        </w:rPr>
        <w:t> </w:t>
      </w:r>
      <w:r>
        <w:rPr/>
        <w:t>be</w:t>
      </w:r>
      <w:r>
        <w:rPr>
          <w:spacing w:val="-15"/>
        </w:rPr>
        <w:t> </w:t>
      </w:r>
      <w:r>
        <w:rPr/>
        <w:t>a</w:t>
      </w:r>
      <w:r>
        <w:rPr>
          <w:spacing w:val="-15"/>
        </w:rPr>
        <w:t> </w:t>
      </w:r>
      <w:r>
        <w:rPr/>
        <w:t>function</w:t>
      </w:r>
      <w:r>
        <w:rPr>
          <w:spacing w:val="-15"/>
        </w:rPr>
        <w:t> </w:t>
      </w:r>
      <w:r>
        <w:rPr/>
        <w:t>of</w:t>
      </w:r>
      <w:r>
        <w:rPr>
          <w:spacing w:val="-15"/>
        </w:rPr>
        <w:t> </w:t>
      </w:r>
      <w:r>
        <w:rPr/>
        <w:t>how</w:t>
      </w:r>
      <w:r>
        <w:rPr>
          <w:spacing w:val="-15"/>
        </w:rPr>
        <w:t> </w:t>
      </w:r>
      <w:r>
        <w:rPr/>
        <w:t>well</w:t>
      </w:r>
      <w:r>
        <w:rPr>
          <w:spacing w:val="-15"/>
        </w:rPr>
        <w:t> </w:t>
      </w:r>
      <w:r>
        <w:rPr/>
        <w:t>it</w:t>
      </w:r>
      <w:r>
        <w:rPr>
          <w:spacing w:val="-15"/>
        </w:rPr>
        <w:t> </w:t>
      </w:r>
      <w:r>
        <w:rPr/>
        <w:t>would</w:t>
      </w:r>
      <w:r>
        <w:rPr>
          <w:spacing w:val="-15"/>
        </w:rPr>
        <w:t> </w:t>
      </w:r>
      <w:r>
        <w:rPr/>
        <w:t>impact on the board performance. Prior researchers argued that a large board of director was more diversified</w:t>
      </w:r>
      <w:r>
        <w:rPr>
          <w:spacing w:val="-3"/>
        </w:rPr>
        <w:t> </w:t>
      </w:r>
      <w:r>
        <w:rPr/>
        <w:t>in</w:t>
      </w:r>
      <w:r>
        <w:rPr>
          <w:spacing w:val="-2"/>
        </w:rPr>
        <w:t> </w:t>
      </w:r>
      <w:r>
        <w:rPr/>
        <w:t>terms</w:t>
      </w:r>
      <w:r>
        <w:rPr>
          <w:spacing w:val="-2"/>
        </w:rPr>
        <w:t> </w:t>
      </w:r>
      <w:r>
        <w:rPr/>
        <w:t>of</w:t>
      </w:r>
      <w:r>
        <w:rPr>
          <w:spacing w:val="-3"/>
        </w:rPr>
        <w:t> </w:t>
      </w:r>
      <w:r>
        <w:rPr/>
        <w:t>directors’</w:t>
      </w:r>
      <w:r>
        <w:rPr>
          <w:spacing w:val="-3"/>
        </w:rPr>
        <w:t> </w:t>
      </w:r>
      <w:r>
        <w:rPr/>
        <w:t>background,</w:t>
      </w:r>
      <w:r>
        <w:rPr>
          <w:spacing w:val="-2"/>
        </w:rPr>
        <w:t> </w:t>
      </w:r>
      <w:r>
        <w:rPr/>
        <w:t>expertise</w:t>
      </w:r>
      <w:r>
        <w:rPr>
          <w:spacing w:val="-3"/>
        </w:rPr>
        <w:t> </w:t>
      </w:r>
      <w:r>
        <w:rPr/>
        <w:t>and</w:t>
      </w:r>
      <w:r>
        <w:rPr>
          <w:spacing w:val="-2"/>
        </w:rPr>
        <w:t> </w:t>
      </w:r>
      <w:r>
        <w:rPr/>
        <w:t>resources</w:t>
      </w:r>
      <w:r>
        <w:rPr>
          <w:spacing w:val="-2"/>
        </w:rPr>
        <w:t> </w:t>
      </w:r>
      <w:r>
        <w:rPr/>
        <w:t>(Dalton,</w:t>
      </w:r>
      <w:r>
        <w:rPr>
          <w:spacing w:val="-2"/>
        </w:rPr>
        <w:t> </w:t>
      </w:r>
      <w:r>
        <w:rPr/>
        <w:t>Daily,</w:t>
      </w:r>
      <w:r>
        <w:rPr>
          <w:spacing w:val="-2"/>
        </w:rPr>
        <w:t> </w:t>
      </w:r>
      <w:r>
        <w:rPr/>
        <w:t>Johnson &amp; Ellstrand, 1999; Haniffa &amp; Hudaib, 2006). In the same vein, a large board of directors is more effective in monitoring, protecting shareholder’s interest and developing external linkages</w:t>
      </w:r>
      <w:r>
        <w:rPr>
          <w:spacing w:val="-10"/>
        </w:rPr>
        <w:t> </w:t>
      </w:r>
      <w:r>
        <w:rPr/>
        <w:t>(Adams</w:t>
      </w:r>
      <w:r>
        <w:rPr>
          <w:spacing w:val="-11"/>
        </w:rPr>
        <w:t> </w:t>
      </w:r>
      <w:r>
        <w:rPr/>
        <w:t>&amp;</w:t>
      </w:r>
      <w:r>
        <w:rPr>
          <w:spacing w:val="-10"/>
        </w:rPr>
        <w:t> </w:t>
      </w:r>
      <w:r>
        <w:rPr/>
        <w:t>Mehran,</w:t>
      </w:r>
      <w:r>
        <w:rPr>
          <w:spacing w:val="-11"/>
        </w:rPr>
        <w:t> </w:t>
      </w:r>
      <w:r>
        <w:rPr/>
        <w:t>2003;</w:t>
      </w:r>
      <w:r>
        <w:rPr>
          <w:spacing w:val="-10"/>
        </w:rPr>
        <w:t> </w:t>
      </w:r>
      <w:r>
        <w:rPr/>
        <w:t>Harris</w:t>
      </w:r>
      <w:r>
        <w:rPr>
          <w:spacing w:val="-11"/>
        </w:rPr>
        <w:t> </w:t>
      </w:r>
      <w:r>
        <w:rPr/>
        <w:t>&amp;</w:t>
      </w:r>
      <w:r>
        <w:rPr>
          <w:spacing w:val="-10"/>
        </w:rPr>
        <w:t> </w:t>
      </w:r>
      <w:r>
        <w:rPr/>
        <w:t>Raviv,</w:t>
      </w:r>
      <w:r>
        <w:rPr>
          <w:spacing w:val="-11"/>
        </w:rPr>
        <w:t> </w:t>
      </w:r>
      <w:r>
        <w:rPr/>
        <w:t>2008;</w:t>
      </w:r>
      <w:r>
        <w:rPr>
          <w:spacing w:val="-10"/>
        </w:rPr>
        <w:t> </w:t>
      </w:r>
      <w:r>
        <w:rPr/>
        <w:t>Dalton</w:t>
      </w:r>
      <w:r>
        <w:rPr>
          <w:spacing w:val="-11"/>
        </w:rPr>
        <w:t> </w:t>
      </w:r>
      <w:r>
        <w:rPr/>
        <w:t>et</w:t>
      </w:r>
      <w:r>
        <w:rPr>
          <w:spacing w:val="-13"/>
        </w:rPr>
        <w:t> </w:t>
      </w:r>
      <w:r>
        <w:rPr/>
        <w:t>al.,</w:t>
      </w:r>
      <w:r>
        <w:rPr>
          <w:spacing w:val="-10"/>
        </w:rPr>
        <w:t> </w:t>
      </w:r>
      <w:r>
        <w:rPr/>
        <w:t>1999).</w:t>
      </w:r>
      <w:r>
        <w:rPr>
          <w:spacing w:val="-11"/>
        </w:rPr>
        <w:t> </w:t>
      </w:r>
      <w:r>
        <w:rPr/>
        <w:t>On</w:t>
      </w:r>
      <w:r>
        <w:rPr>
          <w:spacing w:val="-11"/>
        </w:rPr>
        <w:t> </w:t>
      </w:r>
      <w:r>
        <w:rPr/>
        <w:t>the</w:t>
      </w:r>
      <w:r>
        <w:rPr>
          <w:spacing w:val="-11"/>
        </w:rPr>
        <w:t> </w:t>
      </w:r>
      <w:r>
        <w:rPr/>
        <w:t>contrary, a large board is seen to be ineffective in decision making, has higher managerial costs, and poor corporate governance, and is easier for CEOs to control (Al-Manaser, Al-Hindawi, Al- Dahiyat</w:t>
      </w:r>
      <w:r>
        <w:rPr>
          <w:spacing w:val="-6"/>
        </w:rPr>
        <w:t> </w:t>
      </w:r>
      <w:r>
        <w:rPr/>
        <w:t>&amp;</w:t>
      </w:r>
      <w:r>
        <w:rPr>
          <w:spacing w:val="-5"/>
        </w:rPr>
        <w:t> </w:t>
      </w:r>
      <w:r>
        <w:rPr/>
        <w:t>Sartawi,</w:t>
      </w:r>
      <w:r>
        <w:rPr>
          <w:spacing w:val="-6"/>
        </w:rPr>
        <w:t> </w:t>
      </w:r>
      <w:r>
        <w:rPr/>
        <w:t>2012;</w:t>
      </w:r>
      <w:r>
        <w:rPr>
          <w:spacing w:val="-5"/>
        </w:rPr>
        <w:t> </w:t>
      </w:r>
      <w:r>
        <w:rPr/>
        <w:t>Wasserman,</w:t>
      </w:r>
      <w:r>
        <w:rPr>
          <w:spacing w:val="-4"/>
        </w:rPr>
        <w:t> </w:t>
      </w:r>
      <w:r>
        <w:rPr/>
        <w:t>2003;</w:t>
      </w:r>
      <w:r>
        <w:rPr>
          <w:spacing w:val="-5"/>
        </w:rPr>
        <w:t> </w:t>
      </w:r>
      <w:r>
        <w:rPr/>
        <w:t>Jensen</w:t>
      </w:r>
      <w:r>
        <w:rPr>
          <w:spacing w:val="-6"/>
        </w:rPr>
        <w:t> </w:t>
      </w:r>
      <w:r>
        <w:rPr/>
        <w:t>1993).</w:t>
      </w:r>
      <w:r>
        <w:rPr>
          <w:spacing w:val="-4"/>
        </w:rPr>
        <w:t> </w:t>
      </w:r>
      <w:r>
        <w:rPr/>
        <w:t>According</w:t>
      </w:r>
      <w:r>
        <w:rPr>
          <w:spacing w:val="-6"/>
        </w:rPr>
        <w:t> </w:t>
      </w:r>
      <w:r>
        <w:rPr/>
        <w:t>to</w:t>
      </w:r>
      <w:r>
        <w:rPr>
          <w:spacing w:val="-5"/>
        </w:rPr>
        <w:t> </w:t>
      </w:r>
      <w:r>
        <w:rPr/>
        <w:t>Jensen</w:t>
      </w:r>
      <w:r>
        <w:rPr>
          <w:spacing w:val="-6"/>
        </w:rPr>
        <w:t> </w:t>
      </w:r>
      <w:r>
        <w:rPr/>
        <w:t>(1993),</w:t>
      </w:r>
      <w:r>
        <w:rPr>
          <w:spacing w:val="-4"/>
        </w:rPr>
        <w:t> </w:t>
      </w:r>
      <w:r>
        <w:rPr/>
        <w:t>when compared to smaller sized boards, large boards are relatively less effective in pursuing their agendas.</w:t>
      </w:r>
      <w:r>
        <w:rPr>
          <w:spacing w:val="49"/>
        </w:rPr>
        <w:t> </w:t>
      </w:r>
      <w:r>
        <w:rPr/>
        <w:t>Those</w:t>
      </w:r>
      <w:r>
        <w:rPr>
          <w:spacing w:val="48"/>
        </w:rPr>
        <w:t> </w:t>
      </w:r>
      <w:r>
        <w:rPr/>
        <w:t>sentiments</w:t>
      </w:r>
      <w:r>
        <w:rPr>
          <w:spacing w:val="49"/>
        </w:rPr>
        <w:t> </w:t>
      </w:r>
      <w:r>
        <w:rPr/>
        <w:t>were</w:t>
      </w:r>
      <w:r>
        <w:rPr>
          <w:spacing w:val="47"/>
        </w:rPr>
        <w:t> </w:t>
      </w:r>
      <w:r>
        <w:rPr/>
        <w:t>supported</w:t>
      </w:r>
      <w:r>
        <w:rPr>
          <w:spacing w:val="49"/>
        </w:rPr>
        <w:t> </w:t>
      </w:r>
      <w:r>
        <w:rPr/>
        <w:t>by</w:t>
      </w:r>
      <w:r>
        <w:rPr>
          <w:spacing w:val="50"/>
        </w:rPr>
        <w:t> </w:t>
      </w:r>
      <w:r>
        <w:rPr/>
        <w:t>Lorsch</w:t>
      </w:r>
      <w:r>
        <w:rPr>
          <w:spacing w:val="49"/>
        </w:rPr>
        <w:t> </w:t>
      </w:r>
      <w:r>
        <w:rPr/>
        <w:t>(1992)</w:t>
      </w:r>
      <w:r>
        <w:rPr>
          <w:spacing w:val="48"/>
        </w:rPr>
        <w:t> </w:t>
      </w:r>
      <w:r>
        <w:rPr/>
        <w:t>who</w:t>
      </w:r>
      <w:r>
        <w:rPr>
          <w:spacing w:val="48"/>
        </w:rPr>
        <w:t> </w:t>
      </w:r>
      <w:r>
        <w:rPr/>
        <w:t>posited</w:t>
      </w:r>
      <w:r>
        <w:rPr>
          <w:spacing w:val="48"/>
        </w:rPr>
        <w:t> </w:t>
      </w:r>
      <w:r>
        <w:rPr/>
        <w:t>that</w:t>
      </w:r>
      <w:r>
        <w:rPr>
          <w:spacing w:val="49"/>
        </w:rPr>
        <w:t> </w:t>
      </w:r>
      <w:r>
        <w:rPr/>
        <w:t>as</w:t>
      </w:r>
      <w:r>
        <w:rPr>
          <w:spacing w:val="50"/>
        </w:rPr>
        <w:t> </w:t>
      </w:r>
      <w:r>
        <w:rPr>
          <w:spacing w:val="-2"/>
        </w:rPr>
        <w:t>boards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00096">
            <wp:simplePos x="0" y="0"/>
            <wp:positionH relativeFrom="page">
              <wp:posOffset>1095451</wp:posOffset>
            </wp:positionH>
            <wp:positionV relativeFrom="paragraph">
              <wp:posOffset>1850770</wp:posOffset>
            </wp:positionV>
            <wp:extent cx="5106847" cy="523811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 cstate="print"/>
                    <a:stretch>
                      <a:fillRect/>
                    </a:stretch>
                  </pic:blipFill>
                  <pic:spPr>
                    <a:xfrm>
                      <a:off x="0" y="0"/>
                      <a:ext cx="5106847" cy="5238115"/>
                    </a:xfrm>
                    <a:prstGeom prst="rect">
                      <a:avLst/>
                    </a:prstGeom>
                  </pic:spPr>
                </pic:pic>
              </a:graphicData>
            </a:graphic>
          </wp:anchor>
        </w:drawing>
      </w:r>
      <w:r>
        <w:rPr/>
        <w:t>became larger, they were faced with agency problems which resulted in only board members being</w:t>
      </w:r>
      <w:r>
        <w:rPr>
          <w:spacing w:val="-15"/>
        </w:rPr>
        <w:t> </w:t>
      </w:r>
      <w:r>
        <w:rPr/>
        <w:t>attracted</w:t>
      </w:r>
      <w:r>
        <w:rPr>
          <w:spacing w:val="-15"/>
        </w:rPr>
        <w:t> </w:t>
      </w:r>
      <w:r>
        <w:rPr/>
        <w:t>to</w:t>
      </w:r>
      <w:r>
        <w:rPr>
          <w:spacing w:val="-15"/>
        </w:rPr>
        <w:t> </w:t>
      </w:r>
      <w:r>
        <w:rPr/>
        <w:t>the</w:t>
      </w:r>
      <w:r>
        <w:rPr>
          <w:spacing w:val="-15"/>
        </w:rPr>
        <w:t> </w:t>
      </w:r>
      <w:r>
        <w:rPr/>
        <w:t>position,</w:t>
      </w:r>
      <w:r>
        <w:rPr>
          <w:spacing w:val="-15"/>
        </w:rPr>
        <w:t> </w:t>
      </w:r>
      <w:r>
        <w:rPr/>
        <w:t>consequently,</w:t>
      </w:r>
      <w:r>
        <w:rPr>
          <w:spacing w:val="-15"/>
        </w:rPr>
        <w:t> </w:t>
      </w:r>
      <w:r>
        <w:rPr/>
        <w:t>they</w:t>
      </w:r>
      <w:r>
        <w:rPr>
          <w:spacing w:val="-15"/>
        </w:rPr>
        <w:t> </w:t>
      </w:r>
      <w:r>
        <w:rPr/>
        <w:t>were</w:t>
      </w:r>
      <w:r>
        <w:rPr>
          <w:spacing w:val="-15"/>
        </w:rPr>
        <w:t> </w:t>
      </w:r>
      <w:r>
        <w:rPr/>
        <w:t>unable</w:t>
      </w:r>
      <w:r>
        <w:rPr>
          <w:spacing w:val="-15"/>
        </w:rPr>
        <w:t> </w:t>
      </w:r>
      <w:r>
        <w:rPr/>
        <w:t>to</w:t>
      </w:r>
      <w:r>
        <w:rPr>
          <w:spacing w:val="-15"/>
        </w:rPr>
        <w:t> </w:t>
      </w:r>
      <w:r>
        <w:rPr/>
        <w:t>deliver</w:t>
      </w:r>
      <w:r>
        <w:rPr>
          <w:spacing w:val="-15"/>
        </w:rPr>
        <w:t> </w:t>
      </w:r>
      <w:r>
        <w:rPr/>
        <w:t>their</w:t>
      </w:r>
      <w:r>
        <w:rPr>
          <w:spacing w:val="-15"/>
        </w:rPr>
        <w:t> </w:t>
      </w:r>
      <w:r>
        <w:rPr/>
        <w:t>mandate</w:t>
      </w:r>
      <w:r>
        <w:rPr>
          <w:spacing w:val="-15"/>
        </w:rPr>
        <w:t> </w:t>
      </w:r>
      <w:r>
        <w:rPr/>
        <w:t>as</w:t>
      </w:r>
      <w:r>
        <w:rPr>
          <w:spacing w:val="-15"/>
        </w:rPr>
        <w:t> </w:t>
      </w:r>
      <w:r>
        <w:rPr/>
        <w:t>board members. Furthermore, Yermack (1996) argued that a large board size was slow in decision making and time wasting. On a small board size, Hermalin and Weisbach (2001) stated that a smaller board size offered a better monitoring on management. Prior studies suggested that a company’s performance was better when the board size was smaller (Hermalin &amp; Weisbach, 2003;</w:t>
      </w:r>
      <w:r>
        <w:rPr>
          <w:spacing w:val="-9"/>
        </w:rPr>
        <w:t> </w:t>
      </w:r>
      <w:r>
        <w:rPr/>
        <w:t>Andres,</w:t>
      </w:r>
      <w:r>
        <w:rPr>
          <w:spacing w:val="-7"/>
        </w:rPr>
        <w:t> </w:t>
      </w:r>
      <w:r>
        <w:rPr/>
        <w:t>Azorfra</w:t>
      </w:r>
      <w:r>
        <w:rPr>
          <w:spacing w:val="-8"/>
        </w:rPr>
        <w:t> </w:t>
      </w:r>
      <w:r>
        <w:rPr/>
        <w:t>&amp;</w:t>
      </w:r>
      <w:r>
        <w:rPr>
          <w:spacing w:val="-7"/>
        </w:rPr>
        <w:t> </w:t>
      </w:r>
      <w:r>
        <w:rPr/>
        <w:t>Lopez,</w:t>
      </w:r>
      <w:r>
        <w:rPr>
          <w:spacing w:val="-10"/>
        </w:rPr>
        <w:t> </w:t>
      </w:r>
      <w:r>
        <w:rPr/>
        <w:t>2005).</w:t>
      </w:r>
      <w:r>
        <w:rPr>
          <w:spacing w:val="-10"/>
        </w:rPr>
        <w:t> </w:t>
      </w:r>
      <w:r>
        <w:rPr/>
        <w:t>The</w:t>
      </w:r>
      <w:r>
        <w:rPr>
          <w:spacing w:val="-11"/>
        </w:rPr>
        <w:t> </w:t>
      </w:r>
      <w:r>
        <w:rPr/>
        <w:t>reason</w:t>
      </w:r>
      <w:r>
        <w:rPr>
          <w:spacing w:val="-7"/>
        </w:rPr>
        <w:t> </w:t>
      </w:r>
      <w:r>
        <w:rPr/>
        <w:t>is</w:t>
      </w:r>
      <w:r>
        <w:rPr>
          <w:spacing w:val="-9"/>
        </w:rPr>
        <w:t> </w:t>
      </w:r>
      <w:r>
        <w:rPr/>
        <w:t>that</w:t>
      </w:r>
      <w:r>
        <w:rPr>
          <w:spacing w:val="-7"/>
        </w:rPr>
        <w:t> </w:t>
      </w:r>
      <w:r>
        <w:rPr/>
        <w:t>the</w:t>
      </w:r>
      <w:r>
        <w:rPr>
          <w:spacing w:val="-8"/>
        </w:rPr>
        <w:t> </w:t>
      </w:r>
      <w:r>
        <w:rPr/>
        <w:t>decision</w:t>
      </w:r>
      <w:r>
        <w:rPr>
          <w:spacing w:val="-10"/>
        </w:rPr>
        <w:t> </w:t>
      </w:r>
      <w:r>
        <w:rPr/>
        <w:t>making</w:t>
      </w:r>
      <w:r>
        <w:rPr>
          <w:spacing w:val="-9"/>
        </w:rPr>
        <w:t> </w:t>
      </w:r>
      <w:r>
        <w:rPr/>
        <w:t>process</w:t>
      </w:r>
      <w:r>
        <w:rPr>
          <w:spacing w:val="-9"/>
        </w:rPr>
        <w:t> </w:t>
      </w:r>
      <w:r>
        <w:rPr/>
        <w:t>is</w:t>
      </w:r>
      <w:r>
        <w:rPr>
          <w:spacing w:val="-9"/>
        </w:rPr>
        <w:t> </w:t>
      </w:r>
      <w:r>
        <w:rPr/>
        <w:t>more effective,</w:t>
      </w:r>
      <w:r>
        <w:rPr>
          <w:spacing w:val="-3"/>
        </w:rPr>
        <w:t> </w:t>
      </w:r>
      <w:r>
        <w:rPr/>
        <w:t>i.e.,</w:t>
      </w:r>
      <w:r>
        <w:rPr>
          <w:spacing w:val="-3"/>
        </w:rPr>
        <w:t> </w:t>
      </w:r>
      <w:r>
        <w:rPr/>
        <w:t>there</w:t>
      </w:r>
      <w:r>
        <w:rPr>
          <w:spacing w:val="-4"/>
        </w:rPr>
        <w:t> </w:t>
      </w:r>
      <w:r>
        <w:rPr/>
        <w:t>is</w:t>
      </w:r>
      <w:r>
        <w:rPr>
          <w:spacing w:val="-3"/>
        </w:rPr>
        <w:t> </w:t>
      </w:r>
      <w:r>
        <w:rPr/>
        <w:t>prompt</w:t>
      </w:r>
      <w:r>
        <w:rPr>
          <w:spacing w:val="-3"/>
        </w:rPr>
        <w:t> </w:t>
      </w:r>
      <w:r>
        <w:rPr/>
        <w:t>and</w:t>
      </w:r>
      <w:r>
        <w:rPr>
          <w:spacing w:val="-3"/>
        </w:rPr>
        <w:t> </w:t>
      </w:r>
      <w:r>
        <w:rPr/>
        <w:t>precise</w:t>
      </w:r>
      <w:r>
        <w:rPr>
          <w:spacing w:val="-3"/>
        </w:rPr>
        <w:t> </w:t>
      </w:r>
      <w:r>
        <w:rPr/>
        <w:t>decision</w:t>
      </w:r>
      <w:r>
        <w:rPr>
          <w:spacing w:val="-3"/>
        </w:rPr>
        <w:t> </w:t>
      </w:r>
      <w:r>
        <w:rPr/>
        <w:t>making</w:t>
      </w:r>
      <w:r>
        <w:rPr>
          <w:spacing w:val="-3"/>
        </w:rPr>
        <w:t> </w:t>
      </w:r>
      <w:r>
        <w:rPr/>
        <w:t>(Lipton</w:t>
      </w:r>
      <w:r>
        <w:rPr>
          <w:spacing w:val="-3"/>
        </w:rPr>
        <w:t> </w:t>
      </w:r>
      <w:r>
        <w:rPr/>
        <w:t>&amp;</w:t>
      </w:r>
      <w:r>
        <w:rPr>
          <w:spacing w:val="-3"/>
        </w:rPr>
        <w:t> </w:t>
      </w:r>
      <w:r>
        <w:rPr/>
        <w:t>Lorsch,</w:t>
      </w:r>
      <w:r>
        <w:rPr>
          <w:spacing w:val="-3"/>
        </w:rPr>
        <w:t> </w:t>
      </w:r>
      <w:r>
        <w:rPr/>
        <w:t>1992;</w:t>
      </w:r>
      <w:r>
        <w:rPr>
          <w:spacing w:val="-3"/>
        </w:rPr>
        <w:t> </w:t>
      </w:r>
      <w:r>
        <w:rPr/>
        <w:t>Yermack, 1996).</w:t>
      </w:r>
      <w:r>
        <w:rPr>
          <w:spacing w:val="-10"/>
        </w:rPr>
        <w:t> </w:t>
      </w:r>
      <w:r>
        <w:rPr/>
        <w:t>However,</w:t>
      </w:r>
      <w:r>
        <w:rPr>
          <w:spacing w:val="-10"/>
        </w:rPr>
        <w:t> </w:t>
      </w:r>
      <w:r>
        <w:rPr/>
        <w:t>the</w:t>
      </w:r>
      <w:r>
        <w:rPr>
          <w:spacing w:val="-10"/>
        </w:rPr>
        <w:t> </w:t>
      </w:r>
      <w:r>
        <w:rPr/>
        <w:t>problem</w:t>
      </w:r>
      <w:r>
        <w:rPr>
          <w:spacing w:val="-9"/>
        </w:rPr>
        <w:t> </w:t>
      </w:r>
      <w:r>
        <w:rPr/>
        <w:t>of</w:t>
      </w:r>
      <w:r>
        <w:rPr>
          <w:spacing w:val="-10"/>
        </w:rPr>
        <w:t> </w:t>
      </w:r>
      <w:r>
        <w:rPr/>
        <w:t>a</w:t>
      </w:r>
      <w:r>
        <w:rPr>
          <w:spacing w:val="-8"/>
        </w:rPr>
        <w:t> </w:t>
      </w:r>
      <w:r>
        <w:rPr/>
        <w:t>small</w:t>
      </w:r>
      <w:r>
        <w:rPr>
          <w:spacing w:val="-9"/>
        </w:rPr>
        <w:t> </w:t>
      </w:r>
      <w:r>
        <w:rPr/>
        <w:t>board</w:t>
      </w:r>
      <w:r>
        <w:rPr>
          <w:spacing w:val="-10"/>
        </w:rPr>
        <w:t> </w:t>
      </w:r>
      <w:r>
        <w:rPr/>
        <w:t>size</w:t>
      </w:r>
      <w:r>
        <w:rPr>
          <w:spacing w:val="-7"/>
        </w:rPr>
        <w:t> </w:t>
      </w:r>
      <w:r>
        <w:rPr/>
        <w:t>was</w:t>
      </w:r>
      <w:r>
        <w:rPr>
          <w:spacing w:val="-9"/>
        </w:rPr>
        <w:t> </w:t>
      </w:r>
      <w:r>
        <w:rPr/>
        <w:t>that</w:t>
      </w:r>
      <w:r>
        <w:rPr>
          <w:spacing w:val="-10"/>
        </w:rPr>
        <w:t> </w:t>
      </w:r>
      <w:r>
        <w:rPr/>
        <w:t>there</w:t>
      </w:r>
      <w:r>
        <w:rPr>
          <w:spacing w:val="-9"/>
        </w:rPr>
        <w:t> </w:t>
      </w:r>
      <w:r>
        <w:rPr/>
        <w:t>could</w:t>
      </w:r>
      <w:r>
        <w:rPr>
          <w:spacing w:val="-9"/>
        </w:rPr>
        <w:t> </w:t>
      </w:r>
      <w:r>
        <w:rPr/>
        <w:t>be</w:t>
      </w:r>
      <w:r>
        <w:rPr>
          <w:spacing w:val="-8"/>
        </w:rPr>
        <w:t> </w:t>
      </w:r>
      <w:r>
        <w:rPr/>
        <w:t>absence</w:t>
      </w:r>
      <w:r>
        <w:rPr>
          <w:spacing w:val="-11"/>
        </w:rPr>
        <w:t> </w:t>
      </w:r>
      <w:r>
        <w:rPr/>
        <w:t>of</w:t>
      </w:r>
      <w:r>
        <w:rPr>
          <w:spacing w:val="-10"/>
        </w:rPr>
        <w:t> </w:t>
      </w:r>
      <w:r>
        <w:rPr/>
        <w:t>diversity such as expertise, nationality, external linkages, etc., which could undermine firm output.</w:t>
      </w:r>
    </w:p>
    <w:p>
      <w:pPr>
        <w:pStyle w:val="Heading3"/>
        <w:spacing w:before="1"/>
      </w:pPr>
      <w:r>
        <w:rPr/>
        <w:t>Board</w:t>
      </w:r>
      <w:r>
        <w:rPr>
          <w:spacing w:val="-2"/>
        </w:rPr>
        <w:t> </w:t>
      </w:r>
      <w:r>
        <w:rPr/>
        <w:t>of</w:t>
      </w:r>
      <w:r>
        <w:rPr>
          <w:spacing w:val="-1"/>
        </w:rPr>
        <w:t> </w:t>
      </w:r>
      <w:r>
        <w:rPr/>
        <w:t>Director</w:t>
      </w:r>
      <w:r>
        <w:rPr>
          <w:spacing w:val="-3"/>
        </w:rPr>
        <w:t> </w:t>
      </w:r>
      <w:r>
        <w:rPr>
          <w:spacing w:val="-2"/>
        </w:rPr>
        <w:t>Independence</w:t>
      </w:r>
    </w:p>
    <w:p>
      <w:pPr>
        <w:pStyle w:val="BodyText"/>
        <w:rPr>
          <w:b/>
        </w:rPr>
      </w:pPr>
    </w:p>
    <w:p>
      <w:pPr>
        <w:pStyle w:val="BodyText"/>
        <w:spacing w:line="480" w:lineRule="auto"/>
        <w:ind w:left="940" w:right="1436"/>
        <w:jc w:val="both"/>
      </w:pPr>
      <w:r>
        <w:rPr/>
        <w:t>This refers to the ratio of independent outside directors to the total number of directors on the board.</w:t>
      </w:r>
      <w:r>
        <w:rPr>
          <w:spacing w:val="-9"/>
        </w:rPr>
        <w:t> </w:t>
      </w:r>
      <w:r>
        <w:rPr/>
        <w:t>Outside</w:t>
      </w:r>
      <w:r>
        <w:rPr>
          <w:spacing w:val="-9"/>
        </w:rPr>
        <w:t> </w:t>
      </w:r>
      <w:r>
        <w:rPr/>
        <w:t>directors</w:t>
      </w:r>
      <w:r>
        <w:rPr>
          <w:spacing w:val="-8"/>
        </w:rPr>
        <w:t> </w:t>
      </w:r>
      <w:r>
        <w:rPr/>
        <w:t>are</w:t>
      </w:r>
      <w:r>
        <w:rPr>
          <w:spacing w:val="-10"/>
        </w:rPr>
        <w:t> </w:t>
      </w:r>
      <w:r>
        <w:rPr/>
        <w:t>non-executive</w:t>
      </w:r>
      <w:r>
        <w:rPr>
          <w:spacing w:val="-9"/>
        </w:rPr>
        <w:t> </w:t>
      </w:r>
      <w:r>
        <w:rPr/>
        <w:t>directors</w:t>
      </w:r>
      <w:r>
        <w:rPr>
          <w:spacing w:val="-8"/>
        </w:rPr>
        <w:t> </w:t>
      </w:r>
      <w:r>
        <w:rPr/>
        <w:t>of</w:t>
      </w:r>
      <w:r>
        <w:rPr>
          <w:spacing w:val="-9"/>
        </w:rPr>
        <w:t> </w:t>
      </w:r>
      <w:r>
        <w:rPr/>
        <w:t>either</w:t>
      </w:r>
      <w:r>
        <w:rPr>
          <w:spacing w:val="-8"/>
        </w:rPr>
        <w:t> </w:t>
      </w:r>
      <w:r>
        <w:rPr/>
        <w:t>an</w:t>
      </w:r>
      <w:r>
        <w:rPr>
          <w:spacing w:val="-8"/>
        </w:rPr>
        <w:t> </w:t>
      </w:r>
      <w:r>
        <w:rPr/>
        <w:t>affiliate</w:t>
      </w:r>
      <w:r>
        <w:rPr>
          <w:spacing w:val="-9"/>
        </w:rPr>
        <w:t> </w:t>
      </w:r>
      <w:r>
        <w:rPr/>
        <w:t>or</w:t>
      </w:r>
      <w:r>
        <w:rPr>
          <w:spacing w:val="-9"/>
        </w:rPr>
        <w:t> </w:t>
      </w:r>
      <w:r>
        <w:rPr/>
        <w:t>independent</w:t>
      </w:r>
      <w:r>
        <w:rPr>
          <w:spacing w:val="-8"/>
        </w:rPr>
        <w:t> </w:t>
      </w:r>
      <w:r>
        <w:rPr/>
        <w:t>nature (Daily et al., 1999). The affiliate directors are those who have business ties with the firm and this tends to undermine objective participation in board decision making. The independent directors are those directors who do not have a direct or an indirect relationship with the firm or</w:t>
      </w:r>
      <w:r>
        <w:rPr>
          <w:spacing w:val="-1"/>
        </w:rPr>
        <w:t> </w:t>
      </w:r>
      <w:r>
        <w:rPr/>
        <w:t>its affiliate, and therefore, can objectively participate</w:t>
      </w:r>
      <w:r>
        <w:rPr>
          <w:spacing w:val="-1"/>
        </w:rPr>
        <w:t> </w:t>
      </w:r>
      <w:r>
        <w:rPr/>
        <w:t>in the board. For</w:t>
      </w:r>
      <w:r>
        <w:rPr>
          <w:spacing w:val="-1"/>
        </w:rPr>
        <w:t> </w:t>
      </w:r>
      <w:r>
        <w:rPr/>
        <w:t>board</w:t>
      </w:r>
      <w:r>
        <w:rPr>
          <w:spacing w:val="-1"/>
        </w:rPr>
        <w:t> </w:t>
      </w:r>
      <w:r>
        <w:rPr/>
        <w:t>independence to</w:t>
      </w:r>
      <w:r>
        <w:rPr>
          <w:spacing w:val="-5"/>
        </w:rPr>
        <w:t> </w:t>
      </w:r>
      <w:r>
        <w:rPr/>
        <w:t>be</w:t>
      </w:r>
      <w:r>
        <w:rPr>
          <w:spacing w:val="-7"/>
        </w:rPr>
        <w:t> </w:t>
      </w:r>
      <w:r>
        <w:rPr/>
        <w:t>entrenched,</w:t>
      </w:r>
      <w:r>
        <w:rPr>
          <w:spacing w:val="-6"/>
        </w:rPr>
        <w:t> </w:t>
      </w:r>
      <w:r>
        <w:rPr/>
        <w:t>the</w:t>
      </w:r>
      <w:r>
        <w:rPr>
          <w:spacing w:val="-6"/>
        </w:rPr>
        <w:t> </w:t>
      </w:r>
      <w:r>
        <w:rPr/>
        <w:t>NCCG</w:t>
      </w:r>
      <w:r>
        <w:rPr>
          <w:spacing w:val="-6"/>
        </w:rPr>
        <w:t> </w:t>
      </w:r>
      <w:r>
        <w:rPr/>
        <w:t>(2018)</w:t>
      </w:r>
      <w:r>
        <w:rPr>
          <w:spacing w:val="-7"/>
        </w:rPr>
        <w:t> </w:t>
      </w:r>
      <w:r>
        <w:rPr/>
        <w:t>stated</w:t>
      </w:r>
      <w:r>
        <w:rPr>
          <w:spacing w:val="-5"/>
        </w:rPr>
        <w:t> </w:t>
      </w:r>
      <w:r>
        <w:rPr/>
        <w:t>that</w:t>
      </w:r>
      <w:r>
        <w:rPr>
          <w:spacing w:val="-6"/>
        </w:rPr>
        <w:t> </w:t>
      </w:r>
      <w:r>
        <w:rPr/>
        <w:t>there</w:t>
      </w:r>
      <w:r>
        <w:rPr>
          <w:spacing w:val="-8"/>
        </w:rPr>
        <w:t> </w:t>
      </w:r>
      <w:r>
        <w:rPr/>
        <w:t>should</w:t>
      </w:r>
      <w:r>
        <w:rPr>
          <w:spacing w:val="-6"/>
        </w:rPr>
        <w:t> </w:t>
      </w:r>
      <w:r>
        <w:rPr/>
        <w:t>be</w:t>
      </w:r>
      <w:r>
        <w:rPr>
          <w:spacing w:val="-7"/>
        </w:rPr>
        <w:t> </w:t>
      </w:r>
      <w:r>
        <w:rPr/>
        <w:t>an</w:t>
      </w:r>
      <w:r>
        <w:rPr>
          <w:spacing w:val="-6"/>
        </w:rPr>
        <w:t> </w:t>
      </w:r>
      <w:r>
        <w:rPr/>
        <w:t>appropriate</w:t>
      </w:r>
      <w:r>
        <w:rPr>
          <w:spacing w:val="-6"/>
        </w:rPr>
        <w:t> </w:t>
      </w:r>
      <w:r>
        <w:rPr/>
        <w:t>mix</w:t>
      </w:r>
      <w:r>
        <w:rPr>
          <w:spacing w:val="-6"/>
        </w:rPr>
        <w:t> </w:t>
      </w:r>
      <w:r>
        <w:rPr/>
        <w:t>between</w:t>
      </w:r>
      <w:r>
        <w:rPr>
          <w:spacing w:val="-6"/>
        </w:rPr>
        <w:t> </w:t>
      </w:r>
      <w:r>
        <w:rPr/>
        <w:t>the executive, non-executive and independent non-executive directors on the board. Preferably, that</w:t>
      </w:r>
      <w:r>
        <w:rPr>
          <w:spacing w:val="-15"/>
        </w:rPr>
        <w:t> </w:t>
      </w:r>
      <w:r>
        <w:rPr/>
        <w:t>most</w:t>
      </w:r>
      <w:r>
        <w:rPr>
          <w:spacing w:val="-15"/>
        </w:rPr>
        <w:t> </w:t>
      </w:r>
      <w:r>
        <w:rPr/>
        <w:t>of</w:t>
      </w:r>
      <w:r>
        <w:rPr>
          <w:spacing w:val="-15"/>
        </w:rPr>
        <w:t> </w:t>
      </w:r>
      <w:r>
        <w:rPr/>
        <w:t>the</w:t>
      </w:r>
      <w:r>
        <w:rPr>
          <w:spacing w:val="-15"/>
        </w:rPr>
        <w:t> </w:t>
      </w:r>
      <w:r>
        <w:rPr/>
        <w:t>non-executive</w:t>
      </w:r>
      <w:r>
        <w:rPr>
          <w:spacing w:val="-15"/>
        </w:rPr>
        <w:t> </w:t>
      </w:r>
      <w:r>
        <w:rPr/>
        <w:t>directors</w:t>
      </w:r>
      <w:r>
        <w:rPr>
          <w:spacing w:val="-15"/>
        </w:rPr>
        <w:t> </w:t>
      </w:r>
      <w:r>
        <w:rPr/>
        <w:t>should</w:t>
      </w:r>
      <w:r>
        <w:rPr>
          <w:spacing w:val="-15"/>
        </w:rPr>
        <w:t> </w:t>
      </w:r>
      <w:r>
        <w:rPr/>
        <w:t>be</w:t>
      </w:r>
      <w:r>
        <w:rPr>
          <w:spacing w:val="-15"/>
        </w:rPr>
        <w:t> </w:t>
      </w:r>
      <w:r>
        <w:rPr/>
        <w:t>independent.</w:t>
      </w:r>
      <w:r>
        <w:rPr>
          <w:spacing w:val="-15"/>
        </w:rPr>
        <w:t> </w:t>
      </w:r>
      <w:r>
        <w:rPr/>
        <w:t>The</w:t>
      </w:r>
      <w:r>
        <w:rPr>
          <w:spacing w:val="-15"/>
        </w:rPr>
        <w:t> </w:t>
      </w:r>
      <w:r>
        <w:rPr/>
        <w:t>executive</w:t>
      </w:r>
      <w:r>
        <w:rPr>
          <w:spacing w:val="-15"/>
        </w:rPr>
        <w:t> </w:t>
      </w:r>
      <w:r>
        <w:rPr/>
        <w:t>directors</w:t>
      </w:r>
      <w:r>
        <w:rPr>
          <w:spacing w:val="-15"/>
        </w:rPr>
        <w:t> </w:t>
      </w:r>
      <w:r>
        <w:rPr/>
        <w:t>support the Managing Director/Chief Executive Officer in the operations and management of the company. Non-executive directors bring to bear their knowledge, expertise and independent judgment on issues of strategy and performance on the board. Independent non-executive directors bring a high degree of objectivity to the board for sustaining stakeholder trust and confidence. The NCCG (2018, p.7) code on corporate governance also stated that:</w:t>
      </w:r>
    </w:p>
    <w:p>
      <w:pPr>
        <w:spacing w:after="0" w:line="480" w:lineRule="auto"/>
        <w:jc w:val="both"/>
        <w:sectPr>
          <w:pgSz w:w="11910" w:h="16840"/>
          <w:pgMar w:header="0" w:footer="971" w:top="1360" w:bottom="1160" w:left="500" w:right="0"/>
        </w:sectPr>
      </w:pPr>
    </w:p>
    <w:p>
      <w:pPr>
        <w:pStyle w:val="BodyText"/>
        <w:spacing w:line="480" w:lineRule="auto" w:before="61"/>
        <w:ind w:left="2020" w:right="2633"/>
        <w:jc w:val="both"/>
      </w:pPr>
      <w:r>
        <w:rPr/>
        <w:drawing>
          <wp:anchor distT="0" distB="0" distL="0" distR="0" allowOverlap="1" layoutInCell="1" locked="0" behindDoc="1" simplePos="0" relativeHeight="477700608">
            <wp:simplePos x="0" y="0"/>
            <wp:positionH relativeFrom="page">
              <wp:posOffset>1095451</wp:posOffset>
            </wp:positionH>
            <wp:positionV relativeFrom="paragraph">
              <wp:posOffset>1850770</wp:posOffset>
            </wp:positionV>
            <wp:extent cx="5106847" cy="523811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5" cstate="print"/>
                    <a:stretch>
                      <a:fillRect/>
                    </a:stretch>
                  </pic:blipFill>
                  <pic:spPr>
                    <a:xfrm>
                      <a:off x="0" y="0"/>
                      <a:ext cx="5106847" cy="5238115"/>
                    </a:xfrm>
                    <a:prstGeom prst="rect">
                      <a:avLst/>
                    </a:prstGeom>
                  </pic:spPr>
                </pic:pic>
              </a:graphicData>
            </a:graphic>
          </wp:anchor>
        </w:drawing>
      </w:r>
      <w:r>
        <w:rPr/>
        <w:t>An independent non-executive director should represent a strong independent voice on the board, be independent in character and judgment and accordingly be free from such relationships or circumstances with the company, its management, or substantial shareholders as may, or appear to, impair his ability to make an independent judgment.</w:t>
      </w:r>
    </w:p>
    <w:p>
      <w:pPr>
        <w:pStyle w:val="BodyText"/>
        <w:spacing w:line="480" w:lineRule="auto" w:before="1"/>
        <w:ind w:left="940" w:right="1436"/>
        <w:jc w:val="both"/>
      </w:pPr>
      <w:r>
        <w:rPr/>
        <w:t>The independent non-executive director is a non-executive director who does not possess a shareholding in the company the value of which is material to the holder such as will impair his independence or in excess of 0.01% of the paid up capital of the company. Furthermore, the positions of the chairman of the board and the Managing Director (MD)/Chief Executive Officer (CEO) of the company should be separate such that no person can combine the two positions. The chairman of the board should be a non-executive director and not be involved in</w:t>
      </w:r>
      <w:r>
        <w:rPr>
          <w:spacing w:val="-3"/>
        </w:rPr>
        <w:t> </w:t>
      </w:r>
      <w:r>
        <w:rPr/>
        <w:t>the</w:t>
      </w:r>
      <w:r>
        <w:rPr>
          <w:spacing w:val="-4"/>
        </w:rPr>
        <w:t> </w:t>
      </w:r>
      <w:r>
        <w:rPr/>
        <w:t>day-to-day</w:t>
      </w:r>
      <w:r>
        <w:rPr>
          <w:spacing w:val="-3"/>
        </w:rPr>
        <w:t> </w:t>
      </w:r>
      <w:r>
        <w:rPr/>
        <w:t>operations</w:t>
      </w:r>
      <w:r>
        <w:rPr>
          <w:spacing w:val="-3"/>
        </w:rPr>
        <w:t> </w:t>
      </w:r>
      <w:r>
        <w:rPr/>
        <w:t>of</w:t>
      </w:r>
      <w:r>
        <w:rPr>
          <w:spacing w:val="-3"/>
        </w:rPr>
        <w:t> </w:t>
      </w:r>
      <w:r>
        <w:rPr/>
        <w:t>the</w:t>
      </w:r>
      <w:r>
        <w:rPr>
          <w:spacing w:val="-4"/>
        </w:rPr>
        <w:t> </w:t>
      </w:r>
      <w:r>
        <w:rPr/>
        <w:t>company</w:t>
      </w:r>
      <w:r>
        <w:rPr>
          <w:spacing w:val="-3"/>
        </w:rPr>
        <w:t> </w:t>
      </w:r>
      <w:r>
        <w:rPr/>
        <w:t>which</w:t>
      </w:r>
      <w:r>
        <w:rPr>
          <w:spacing w:val="-3"/>
        </w:rPr>
        <w:t> </w:t>
      </w:r>
      <w:r>
        <w:rPr/>
        <w:t>should</w:t>
      </w:r>
      <w:r>
        <w:rPr>
          <w:spacing w:val="-3"/>
        </w:rPr>
        <w:t> </w:t>
      </w:r>
      <w:r>
        <w:rPr/>
        <w:t>be</w:t>
      </w:r>
      <w:r>
        <w:rPr>
          <w:spacing w:val="-4"/>
        </w:rPr>
        <w:t> </w:t>
      </w:r>
      <w:r>
        <w:rPr/>
        <w:t>the</w:t>
      </w:r>
      <w:r>
        <w:rPr>
          <w:spacing w:val="-3"/>
        </w:rPr>
        <w:t> </w:t>
      </w:r>
      <w:r>
        <w:rPr/>
        <w:t>primary</w:t>
      </w:r>
      <w:r>
        <w:rPr>
          <w:spacing w:val="-3"/>
        </w:rPr>
        <w:t> </w:t>
      </w:r>
      <w:r>
        <w:rPr/>
        <w:t>responsibility</w:t>
      </w:r>
      <w:r>
        <w:rPr>
          <w:spacing w:val="-3"/>
        </w:rPr>
        <w:t> </w:t>
      </w:r>
      <w:r>
        <w:rPr/>
        <w:t>of</w:t>
      </w:r>
      <w:r>
        <w:rPr>
          <w:spacing w:val="-3"/>
        </w:rPr>
        <w:t> </w:t>
      </w:r>
      <w:r>
        <w:rPr/>
        <w:t>the Managing Director (MD)/Chief Executive Officer (CEO) and the management team. The chairman is responsible for providing overall leadership of the company and the board, and eliciting</w:t>
      </w:r>
      <w:r>
        <w:rPr>
          <w:spacing w:val="-3"/>
        </w:rPr>
        <w:t> </w:t>
      </w:r>
      <w:r>
        <w:rPr/>
        <w:t>the</w:t>
      </w:r>
      <w:r>
        <w:rPr>
          <w:spacing w:val="-4"/>
        </w:rPr>
        <w:t> </w:t>
      </w:r>
      <w:r>
        <w:rPr/>
        <w:t>constructive</w:t>
      </w:r>
      <w:r>
        <w:rPr>
          <w:spacing w:val="-4"/>
        </w:rPr>
        <w:t> </w:t>
      </w:r>
      <w:r>
        <w:rPr/>
        <w:t>participation</w:t>
      </w:r>
      <w:r>
        <w:rPr>
          <w:spacing w:val="-3"/>
        </w:rPr>
        <w:t> </w:t>
      </w:r>
      <w:r>
        <w:rPr/>
        <w:t>of</w:t>
      </w:r>
      <w:r>
        <w:rPr>
          <w:spacing w:val="-3"/>
        </w:rPr>
        <w:t> </w:t>
      </w:r>
      <w:r>
        <w:rPr/>
        <w:t>all</w:t>
      </w:r>
      <w:r>
        <w:rPr>
          <w:spacing w:val="-3"/>
        </w:rPr>
        <w:t> </w:t>
      </w:r>
      <w:r>
        <w:rPr/>
        <w:t>directors</w:t>
      </w:r>
      <w:r>
        <w:rPr>
          <w:spacing w:val="-3"/>
        </w:rPr>
        <w:t> </w:t>
      </w:r>
      <w:r>
        <w:rPr/>
        <w:t>to</w:t>
      </w:r>
      <w:r>
        <w:rPr>
          <w:spacing w:val="-3"/>
        </w:rPr>
        <w:t> </w:t>
      </w:r>
      <w:r>
        <w:rPr/>
        <w:t>facilitate the</w:t>
      </w:r>
      <w:r>
        <w:rPr>
          <w:spacing w:val="-4"/>
        </w:rPr>
        <w:t> </w:t>
      </w:r>
      <w:r>
        <w:rPr/>
        <w:t>effective</w:t>
      </w:r>
      <w:r>
        <w:rPr>
          <w:spacing w:val="-3"/>
        </w:rPr>
        <w:t> </w:t>
      </w:r>
      <w:r>
        <w:rPr/>
        <w:t>direction</w:t>
      </w:r>
      <w:r>
        <w:rPr>
          <w:spacing w:val="-3"/>
        </w:rPr>
        <w:t> </w:t>
      </w:r>
      <w:r>
        <w:rPr/>
        <w:t>of</w:t>
      </w:r>
      <w:r>
        <w:rPr>
          <w:spacing w:val="-4"/>
        </w:rPr>
        <w:t> </w:t>
      </w:r>
      <w:r>
        <w:rPr/>
        <w:t>the </w:t>
      </w:r>
      <w:r>
        <w:rPr>
          <w:spacing w:val="-2"/>
        </w:rPr>
        <w:t>board.</w:t>
      </w:r>
    </w:p>
    <w:p>
      <w:pPr>
        <w:pStyle w:val="BodyText"/>
        <w:spacing w:line="480" w:lineRule="auto" w:before="1"/>
        <w:ind w:left="940" w:right="1436"/>
        <w:jc w:val="both"/>
      </w:pPr>
      <w:r>
        <w:rPr/>
        <w:t>On the other</w:t>
      </w:r>
      <w:r>
        <w:rPr>
          <w:spacing w:val="-1"/>
        </w:rPr>
        <w:t> </w:t>
      </w:r>
      <w:r>
        <w:rPr/>
        <w:t>hand, the MD/CEO is the head of management delegated by the board to run the affairs of the company to achieve its strategic objective for a sustainable corporate performance. Also, the chairman of the board should not serve as a chairman or a member of any board committee. The MD/CEO or an executive director should not serve as a chairman of any board committee. The perspective of the provisions of the NCCG (2018) was share by prior researchers. For instance, Akpan and Amran (2014), and John and Senbet (1998) stated that</w:t>
      </w:r>
      <w:r>
        <w:rPr>
          <w:spacing w:val="-3"/>
        </w:rPr>
        <w:t> </w:t>
      </w:r>
      <w:r>
        <w:rPr/>
        <w:t>a</w:t>
      </w:r>
      <w:r>
        <w:rPr>
          <w:spacing w:val="-4"/>
        </w:rPr>
        <w:t> </w:t>
      </w:r>
      <w:r>
        <w:rPr/>
        <w:t>board</w:t>
      </w:r>
      <w:r>
        <w:rPr>
          <w:spacing w:val="-4"/>
        </w:rPr>
        <w:t> </w:t>
      </w:r>
      <w:r>
        <w:rPr/>
        <w:t>was</w:t>
      </w:r>
      <w:r>
        <w:rPr>
          <w:spacing w:val="-3"/>
        </w:rPr>
        <w:t> </w:t>
      </w:r>
      <w:r>
        <w:rPr/>
        <w:t>said</w:t>
      </w:r>
      <w:r>
        <w:rPr>
          <w:spacing w:val="-3"/>
        </w:rPr>
        <w:t> </w:t>
      </w:r>
      <w:r>
        <w:rPr/>
        <w:t>to</w:t>
      </w:r>
      <w:r>
        <w:rPr>
          <w:spacing w:val="-3"/>
        </w:rPr>
        <w:t> </w:t>
      </w:r>
      <w:r>
        <w:rPr/>
        <w:t>be</w:t>
      </w:r>
      <w:r>
        <w:rPr>
          <w:spacing w:val="-3"/>
        </w:rPr>
        <w:t> </w:t>
      </w:r>
      <w:r>
        <w:rPr/>
        <w:t>independent</w:t>
      </w:r>
      <w:r>
        <w:rPr>
          <w:spacing w:val="-3"/>
        </w:rPr>
        <w:t> </w:t>
      </w:r>
      <w:r>
        <w:rPr/>
        <w:t>when</w:t>
      </w:r>
      <w:r>
        <w:rPr>
          <w:spacing w:val="-3"/>
        </w:rPr>
        <w:t> </w:t>
      </w:r>
      <w:r>
        <w:rPr/>
        <w:t>it</w:t>
      </w:r>
      <w:r>
        <w:rPr>
          <w:spacing w:val="-3"/>
        </w:rPr>
        <w:t> </w:t>
      </w:r>
      <w:r>
        <w:rPr/>
        <w:t>had</w:t>
      </w:r>
      <w:r>
        <w:rPr>
          <w:spacing w:val="-3"/>
        </w:rPr>
        <w:t> </w:t>
      </w:r>
      <w:r>
        <w:rPr/>
        <w:t>majority</w:t>
      </w:r>
      <w:r>
        <w:rPr>
          <w:spacing w:val="-3"/>
        </w:rPr>
        <w:t> </w:t>
      </w:r>
      <w:r>
        <w:rPr/>
        <w:t>of</w:t>
      </w:r>
      <w:r>
        <w:rPr>
          <w:spacing w:val="-3"/>
        </w:rPr>
        <w:t> </w:t>
      </w:r>
      <w:r>
        <w:rPr/>
        <w:t>outside</w:t>
      </w:r>
      <w:r>
        <w:rPr>
          <w:spacing w:val="-4"/>
        </w:rPr>
        <w:t> </w:t>
      </w:r>
      <w:r>
        <w:rPr/>
        <w:t>independent</w:t>
      </w:r>
      <w:r>
        <w:rPr>
          <w:spacing w:val="-3"/>
        </w:rPr>
        <w:t> </w:t>
      </w:r>
      <w:r>
        <w:rPr/>
        <w:t>directors. Agency</w:t>
      </w:r>
      <w:r>
        <w:rPr>
          <w:spacing w:val="-1"/>
        </w:rPr>
        <w:t> </w:t>
      </w:r>
      <w:r>
        <w:rPr/>
        <w:t>theory assumes</w:t>
      </w:r>
      <w:r>
        <w:rPr>
          <w:spacing w:val="3"/>
        </w:rPr>
        <w:t> </w:t>
      </w:r>
      <w:r>
        <w:rPr/>
        <w:t>that</w:t>
      </w:r>
      <w:r>
        <w:rPr>
          <w:spacing w:val="1"/>
        </w:rPr>
        <w:t> </w:t>
      </w:r>
      <w:r>
        <w:rPr/>
        <w:t>managers</w:t>
      </w:r>
      <w:r>
        <w:rPr>
          <w:spacing w:val="3"/>
        </w:rPr>
        <w:t> </w:t>
      </w:r>
      <w:r>
        <w:rPr/>
        <w:t>work</w:t>
      </w:r>
      <w:r>
        <w:rPr>
          <w:spacing w:val="3"/>
        </w:rPr>
        <w:t> </w:t>
      </w:r>
      <w:r>
        <w:rPr/>
        <w:t>for their personal</w:t>
      </w:r>
      <w:r>
        <w:rPr>
          <w:spacing w:val="1"/>
        </w:rPr>
        <w:t> </w:t>
      </w:r>
      <w:r>
        <w:rPr/>
        <w:t>gains,</w:t>
      </w:r>
      <w:r>
        <w:rPr>
          <w:spacing w:val="1"/>
        </w:rPr>
        <w:t> </w:t>
      </w:r>
      <w:r>
        <w:rPr/>
        <w:t>hence,</w:t>
      </w:r>
      <w:r>
        <w:rPr>
          <w:spacing w:val="3"/>
        </w:rPr>
        <w:t> </w:t>
      </w:r>
      <w:r>
        <w:rPr/>
        <w:t>are</w:t>
      </w:r>
      <w:r>
        <w:rPr>
          <w:spacing w:val="2"/>
        </w:rPr>
        <w:t> </w:t>
      </w:r>
      <w:r>
        <w:rPr>
          <w:spacing w:val="-2"/>
        </w:rPr>
        <w:t>opportunistic.</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01120">
            <wp:simplePos x="0" y="0"/>
            <wp:positionH relativeFrom="page">
              <wp:posOffset>1095451</wp:posOffset>
            </wp:positionH>
            <wp:positionV relativeFrom="paragraph">
              <wp:posOffset>1850770</wp:posOffset>
            </wp:positionV>
            <wp:extent cx="5106847" cy="5238115"/>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5106847" cy="5238115"/>
                    </a:xfrm>
                    <a:prstGeom prst="rect">
                      <a:avLst/>
                    </a:prstGeom>
                  </pic:spPr>
                </pic:pic>
              </a:graphicData>
            </a:graphic>
          </wp:anchor>
        </w:drawing>
      </w:r>
      <w:r>
        <w:rPr/>
        <w:t>Consequently,</w:t>
      </w:r>
      <w:r>
        <w:rPr>
          <w:spacing w:val="-12"/>
        </w:rPr>
        <w:t> </w:t>
      </w:r>
      <w:r>
        <w:rPr/>
        <w:t>there</w:t>
      </w:r>
      <w:r>
        <w:rPr>
          <w:spacing w:val="-13"/>
        </w:rPr>
        <w:t> </w:t>
      </w:r>
      <w:r>
        <w:rPr/>
        <w:t>is</w:t>
      </w:r>
      <w:r>
        <w:rPr>
          <w:spacing w:val="-11"/>
        </w:rPr>
        <w:t> </w:t>
      </w:r>
      <w:r>
        <w:rPr/>
        <w:t>the</w:t>
      </w:r>
      <w:r>
        <w:rPr>
          <w:spacing w:val="-13"/>
        </w:rPr>
        <w:t> </w:t>
      </w:r>
      <w:r>
        <w:rPr/>
        <w:t>need</w:t>
      </w:r>
      <w:r>
        <w:rPr>
          <w:spacing w:val="-10"/>
        </w:rPr>
        <w:t> </w:t>
      </w:r>
      <w:r>
        <w:rPr/>
        <w:t>for</w:t>
      </w:r>
      <w:r>
        <w:rPr>
          <w:spacing w:val="-14"/>
        </w:rPr>
        <w:t> </w:t>
      </w:r>
      <w:r>
        <w:rPr/>
        <w:t>their</w:t>
      </w:r>
      <w:r>
        <w:rPr>
          <w:spacing w:val="-13"/>
        </w:rPr>
        <w:t> </w:t>
      </w:r>
      <w:r>
        <w:rPr/>
        <w:t>performance</w:t>
      </w:r>
      <w:r>
        <w:rPr>
          <w:spacing w:val="-13"/>
        </w:rPr>
        <w:t> </w:t>
      </w:r>
      <w:r>
        <w:rPr/>
        <w:t>to</w:t>
      </w:r>
      <w:r>
        <w:rPr>
          <w:spacing w:val="-12"/>
        </w:rPr>
        <w:t> </w:t>
      </w:r>
      <w:r>
        <w:rPr/>
        <w:t>be</w:t>
      </w:r>
      <w:r>
        <w:rPr>
          <w:spacing w:val="-13"/>
        </w:rPr>
        <w:t> </w:t>
      </w:r>
      <w:r>
        <w:rPr/>
        <w:t>monitored</w:t>
      </w:r>
      <w:r>
        <w:rPr>
          <w:spacing w:val="-12"/>
        </w:rPr>
        <w:t> </w:t>
      </w:r>
      <w:r>
        <w:rPr/>
        <w:t>by</w:t>
      </w:r>
      <w:r>
        <w:rPr>
          <w:spacing w:val="-12"/>
        </w:rPr>
        <w:t> </w:t>
      </w:r>
      <w:r>
        <w:rPr/>
        <w:t>a</w:t>
      </w:r>
      <w:r>
        <w:rPr>
          <w:spacing w:val="-11"/>
        </w:rPr>
        <w:t> </w:t>
      </w:r>
      <w:r>
        <w:rPr/>
        <w:t>board.</w:t>
      </w:r>
      <w:r>
        <w:rPr>
          <w:spacing w:val="-13"/>
        </w:rPr>
        <w:t> </w:t>
      </w:r>
      <w:r>
        <w:rPr/>
        <w:t>Ramdani</w:t>
      </w:r>
      <w:r>
        <w:rPr>
          <w:spacing w:val="-10"/>
        </w:rPr>
        <w:t> </w:t>
      </w:r>
      <w:r>
        <w:rPr/>
        <w:t>and Witteloostuijn</w:t>
      </w:r>
      <w:r>
        <w:rPr>
          <w:spacing w:val="-6"/>
        </w:rPr>
        <w:t> </w:t>
      </w:r>
      <w:r>
        <w:rPr/>
        <w:t>(2010)</w:t>
      </w:r>
      <w:r>
        <w:rPr>
          <w:spacing w:val="-7"/>
        </w:rPr>
        <w:t> </w:t>
      </w:r>
      <w:r>
        <w:rPr/>
        <w:t>stated</w:t>
      </w:r>
      <w:r>
        <w:rPr>
          <w:spacing w:val="-6"/>
        </w:rPr>
        <w:t> </w:t>
      </w:r>
      <w:r>
        <w:rPr/>
        <w:t>that</w:t>
      </w:r>
      <w:r>
        <w:rPr>
          <w:spacing w:val="-6"/>
        </w:rPr>
        <w:t> </w:t>
      </w:r>
      <w:r>
        <w:rPr/>
        <w:t>when</w:t>
      </w:r>
      <w:r>
        <w:rPr>
          <w:spacing w:val="-3"/>
        </w:rPr>
        <w:t> </w:t>
      </w:r>
      <w:r>
        <w:rPr/>
        <w:t>a</w:t>
      </w:r>
      <w:r>
        <w:rPr>
          <w:spacing w:val="-7"/>
        </w:rPr>
        <w:t> </w:t>
      </w:r>
      <w:r>
        <w:rPr/>
        <w:t>board</w:t>
      </w:r>
      <w:r>
        <w:rPr>
          <w:spacing w:val="-4"/>
        </w:rPr>
        <w:t> </w:t>
      </w:r>
      <w:r>
        <w:rPr/>
        <w:t>was</w:t>
      </w:r>
      <w:r>
        <w:rPr>
          <w:spacing w:val="-6"/>
        </w:rPr>
        <w:t> </w:t>
      </w:r>
      <w:r>
        <w:rPr/>
        <w:t>independent,</w:t>
      </w:r>
      <w:r>
        <w:rPr>
          <w:spacing w:val="-5"/>
        </w:rPr>
        <w:t> </w:t>
      </w:r>
      <w:r>
        <w:rPr/>
        <w:t>it</w:t>
      </w:r>
      <w:r>
        <w:rPr>
          <w:spacing w:val="-5"/>
        </w:rPr>
        <w:t> </w:t>
      </w:r>
      <w:r>
        <w:rPr/>
        <w:t>could</w:t>
      </w:r>
      <w:r>
        <w:rPr>
          <w:spacing w:val="-1"/>
        </w:rPr>
        <w:t> </w:t>
      </w:r>
      <w:r>
        <w:rPr/>
        <w:t>effectively</w:t>
      </w:r>
      <w:r>
        <w:rPr>
          <w:spacing w:val="-5"/>
        </w:rPr>
        <w:t> </w:t>
      </w:r>
      <w:r>
        <w:rPr/>
        <w:t>monitor</w:t>
      </w:r>
      <w:r>
        <w:rPr>
          <w:spacing w:val="-6"/>
        </w:rPr>
        <w:t> </w:t>
      </w:r>
      <w:r>
        <w:rPr/>
        <w:t>a company’s senior executives to prevent them from pursuing self-interest activities. Directors who sit on independent boards often do not face any obstacles such as pursuance of personal interests in the company (Eisenhardt, 1989; Fama 1980; Fama &amp; Jensen, 1983; Jensen &amp; Meckling,</w:t>
      </w:r>
      <w:r>
        <w:rPr>
          <w:spacing w:val="-3"/>
        </w:rPr>
        <w:t> </w:t>
      </w:r>
      <w:r>
        <w:rPr/>
        <w:t>1976).</w:t>
      </w:r>
      <w:r>
        <w:rPr>
          <w:spacing w:val="-3"/>
        </w:rPr>
        <w:t> </w:t>
      </w:r>
      <w:r>
        <w:rPr/>
        <w:t>Similarly,</w:t>
      </w:r>
      <w:r>
        <w:rPr>
          <w:spacing w:val="-2"/>
        </w:rPr>
        <w:t> </w:t>
      </w:r>
      <w:r>
        <w:rPr/>
        <w:t>Abdullah</w:t>
      </w:r>
      <w:r>
        <w:rPr>
          <w:spacing w:val="-3"/>
        </w:rPr>
        <w:t> </w:t>
      </w:r>
      <w:r>
        <w:rPr/>
        <w:t>(2004)</w:t>
      </w:r>
      <w:r>
        <w:rPr>
          <w:spacing w:val="-4"/>
        </w:rPr>
        <w:t> </w:t>
      </w:r>
      <w:r>
        <w:rPr/>
        <w:t>stated</w:t>
      </w:r>
      <w:r>
        <w:rPr>
          <w:spacing w:val="-3"/>
        </w:rPr>
        <w:t> </w:t>
      </w:r>
      <w:r>
        <w:rPr/>
        <w:t>that</w:t>
      </w:r>
      <w:r>
        <w:rPr>
          <w:spacing w:val="-3"/>
        </w:rPr>
        <w:t> </w:t>
      </w:r>
      <w:r>
        <w:rPr/>
        <w:t>the</w:t>
      </w:r>
      <w:r>
        <w:rPr>
          <w:spacing w:val="-3"/>
        </w:rPr>
        <w:t> </w:t>
      </w:r>
      <w:r>
        <w:rPr/>
        <w:t>non-executive</w:t>
      </w:r>
      <w:r>
        <w:rPr>
          <w:spacing w:val="-2"/>
        </w:rPr>
        <w:t> </w:t>
      </w:r>
      <w:r>
        <w:rPr/>
        <w:t>directors</w:t>
      </w:r>
      <w:r>
        <w:rPr>
          <w:spacing w:val="-3"/>
        </w:rPr>
        <w:t> </w:t>
      </w:r>
      <w:r>
        <w:rPr/>
        <w:t>needed</w:t>
      </w:r>
      <w:r>
        <w:rPr>
          <w:spacing w:val="-3"/>
        </w:rPr>
        <w:t> </w:t>
      </w:r>
      <w:r>
        <w:rPr/>
        <w:t>to play a role in monitoring the actions of the CEO and executive directors to ensure that the shareholders’</w:t>
      </w:r>
      <w:r>
        <w:rPr>
          <w:spacing w:val="-8"/>
        </w:rPr>
        <w:t> </w:t>
      </w:r>
      <w:r>
        <w:rPr/>
        <w:t>interests</w:t>
      </w:r>
      <w:r>
        <w:rPr>
          <w:spacing w:val="-6"/>
        </w:rPr>
        <w:t> </w:t>
      </w:r>
      <w:r>
        <w:rPr/>
        <w:t>were</w:t>
      </w:r>
      <w:r>
        <w:rPr>
          <w:spacing w:val="-9"/>
        </w:rPr>
        <w:t> </w:t>
      </w:r>
      <w:r>
        <w:rPr/>
        <w:t>well</w:t>
      </w:r>
      <w:r>
        <w:rPr>
          <w:spacing w:val="-8"/>
        </w:rPr>
        <w:t> </w:t>
      </w:r>
      <w:r>
        <w:rPr/>
        <w:t>cared</w:t>
      </w:r>
      <w:r>
        <w:rPr>
          <w:spacing w:val="-8"/>
        </w:rPr>
        <w:t> </w:t>
      </w:r>
      <w:r>
        <w:rPr/>
        <w:t>for,</w:t>
      </w:r>
      <w:r>
        <w:rPr>
          <w:spacing w:val="-8"/>
        </w:rPr>
        <w:t> </w:t>
      </w:r>
      <w:r>
        <w:rPr/>
        <w:t>and</w:t>
      </w:r>
      <w:r>
        <w:rPr>
          <w:spacing w:val="-8"/>
        </w:rPr>
        <w:t> </w:t>
      </w:r>
      <w:r>
        <w:rPr/>
        <w:t>to</w:t>
      </w:r>
      <w:r>
        <w:rPr>
          <w:spacing w:val="-8"/>
        </w:rPr>
        <w:t> </w:t>
      </w:r>
      <w:r>
        <w:rPr/>
        <w:t>add</w:t>
      </w:r>
      <w:r>
        <w:rPr>
          <w:spacing w:val="-8"/>
        </w:rPr>
        <w:t> </w:t>
      </w:r>
      <w:r>
        <w:rPr/>
        <w:t>to</w:t>
      </w:r>
      <w:r>
        <w:rPr>
          <w:spacing w:val="-8"/>
        </w:rPr>
        <w:t> </w:t>
      </w:r>
      <w:r>
        <w:rPr/>
        <w:t>the</w:t>
      </w:r>
      <w:r>
        <w:rPr>
          <w:spacing w:val="-8"/>
        </w:rPr>
        <w:t> </w:t>
      </w:r>
      <w:r>
        <w:rPr/>
        <w:t>diversity</w:t>
      </w:r>
      <w:r>
        <w:rPr>
          <w:spacing w:val="-8"/>
        </w:rPr>
        <w:t> </w:t>
      </w:r>
      <w:r>
        <w:rPr/>
        <w:t>of</w:t>
      </w:r>
      <w:r>
        <w:rPr>
          <w:spacing w:val="-8"/>
        </w:rPr>
        <w:t> </w:t>
      </w:r>
      <w:r>
        <w:rPr/>
        <w:t>skills</w:t>
      </w:r>
      <w:r>
        <w:rPr>
          <w:spacing w:val="-8"/>
        </w:rPr>
        <w:t> </w:t>
      </w:r>
      <w:r>
        <w:rPr/>
        <w:t>and</w:t>
      </w:r>
      <w:r>
        <w:rPr>
          <w:spacing w:val="-8"/>
        </w:rPr>
        <w:t> </w:t>
      </w:r>
      <w:r>
        <w:rPr/>
        <w:t>expertise</w:t>
      </w:r>
      <w:r>
        <w:rPr>
          <w:spacing w:val="-8"/>
        </w:rPr>
        <w:t> </w:t>
      </w:r>
      <w:r>
        <w:rPr/>
        <w:t>of the board.</w:t>
      </w:r>
    </w:p>
    <w:p>
      <w:pPr>
        <w:pStyle w:val="BodyText"/>
        <w:spacing w:line="480" w:lineRule="auto" w:before="1"/>
        <w:ind w:left="940" w:right="1437"/>
        <w:jc w:val="both"/>
      </w:pPr>
      <w:r>
        <w:rPr/>
        <w:t>Board independence has not been devoid of arguments in prior researches. The board of directors can reduce agency conflicts by exercising its power to monitor and control management</w:t>
      </w:r>
      <w:r>
        <w:rPr>
          <w:spacing w:val="-1"/>
        </w:rPr>
        <w:t> </w:t>
      </w:r>
      <w:r>
        <w:rPr/>
        <w:t>(Fama</w:t>
      </w:r>
      <w:r>
        <w:rPr>
          <w:spacing w:val="-2"/>
        </w:rPr>
        <w:t> </w:t>
      </w:r>
      <w:r>
        <w:rPr/>
        <w:t>&amp;</w:t>
      </w:r>
      <w:r>
        <w:rPr>
          <w:spacing w:val="-1"/>
        </w:rPr>
        <w:t> </w:t>
      </w:r>
      <w:r>
        <w:rPr/>
        <w:t>Jensen,</w:t>
      </w:r>
      <w:r>
        <w:rPr>
          <w:spacing w:val="-1"/>
        </w:rPr>
        <w:t> </w:t>
      </w:r>
      <w:r>
        <w:rPr/>
        <w:t>1983). Independent outside</w:t>
      </w:r>
      <w:r>
        <w:rPr>
          <w:spacing w:val="-2"/>
        </w:rPr>
        <w:t> </w:t>
      </w:r>
      <w:r>
        <w:rPr/>
        <w:t>directors</w:t>
      </w:r>
      <w:r>
        <w:rPr>
          <w:spacing w:val="-1"/>
        </w:rPr>
        <w:t> </w:t>
      </w:r>
      <w:r>
        <w:rPr/>
        <w:t>are</w:t>
      </w:r>
      <w:r>
        <w:rPr>
          <w:spacing w:val="-2"/>
        </w:rPr>
        <w:t> </w:t>
      </w:r>
      <w:r>
        <w:rPr/>
        <w:t>presumed</w:t>
      </w:r>
      <w:r>
        <w:rPr>
          <w:spacing w:val="-2"/>
        </w:rPr>
        <w:t> </w:t>
      </w:r>
      <w:r>
        <w:rPr/>
        <w:t>to</w:t>
      </w:r>
      <w:r>
        <w:rPr>
          <w:spacing w:val="-1"/>
        </w:rPr>
        <w:t> </w:t>
      </w:r>
      <w:r>
        <w:rPr/>
        <w:t>carry</w:t>
      </w:r>
      <w:r>
        <w:rPr>
          <w:spacing w:val="-1"/>
        </w:rPr>
        <w:t> </w:t>
      </w:r>
      <w:r>
        <w:rPr/>
        <w:t>out the monitoring function on behalf of shareholders to ensure that management is in place, and to</w:t>
      </w:r>
      <w:r>
        <w:rPr>
          <w:spacing w:val="-1"/>
        </w:rPr>
        <w:t> </w:t>
      </w:r>
      <w:r>
        <w:rPr/>
        <w:t>maximize</w:t>
      </w:r>
      <w:r>
        <w:rPr>
          <w:spacing w:val="-2"/>
        </w:rPr>
        <w:t> </w:t>
      </w:r>
      <w:r>
        <w:rPr/>
        <w:t>shareholders’</w:t>
      </w:r>
      <w:r>
        <w:rPr>
          <w:spacing w:val="-2"/>
        </w:rPr>
        <w:t> </w:t>
      </w:r>
      <w:r>
        <w:rPr/>
        <w:t>interests</w:t>
      </w:r>
      <w:r>
        <w:rPr>
          <w:spacing w:val="-1"/>
        </w:rPr>
        <w:t> </w:t>
      </w:r>
      <w:r>
        <w:rPr/>
        <w:t>because</w:t>
      </w:r>
      <w:r>
        <w:rPr>
          <w:spacing w:val="-2"/>
        </w:rPr>
        <w:t> </w:t>
      </w:r>
      <w:r>
        <w:rPr/>
        <w:t>shareholders</w:t>
      </w:r>
      <w:r>
        <w:rPr>
          <w:spacing w:val="-1"/>
        </w:rPr>
        <w:t> </w:t>
      </w:r>
      <w:r>
        <w:rPr/>
        <w:t>themselves</w:t>
      </w:r>
      <w:r>
        <w:rPr>
          <w:spacing w:val="-2"/>
        </w:rPr>
        <w:t> </w:t>
      </w:r>
      <w:r>
        <w:rPr/>
        <w:t>would</w:t>
      </w:r>
      <w:r>
        <w:rPr>
          <w:spacing w:val="-1"/>
        </w:rPr>
        <w:t> </w:t>
      </w:r>
      <w:r>
        <w:rPr/>
        <w:t>find</w:t>
      </w:r>
      <w:r>
        <w:rPr>
          <w:spacing w:val="-2"/>
        </w:rPr>
        <w:t> </w:t>
      </w:r>
      <w:r>
        <w:rPr/>
        <w:t>it</w:t>
      </w:r>
      <w:r>
        <w:rPr>
          <w:spacing w:val="-1"/>
        </w:rPr>
        <w:t> </w:t>
      </w:r>
      <w:r>
        <w:rPr/>
        <w:t>difficult</w:t>
      </w:r>
      <w:r>
        <w:rPr>
          <w:spacing w:val="-1"/>
        </w:rPr>
        <w:t> </w:t>
      </w:r>
      <w:r>
        <w:rPr/>
        <w:t>to exercise control due to the wide dispersion of ownership of common stock (John &amp; Senbet, 1998). The presence of non-executive directors on the board improves monitoring which reduces conflicts of interests between managers and shareholders, controls the opportunistic behaviour</w:t>
      </w:r>
      <w:r>
        <w:rPr>
          <w:spacing w:val="-15"/>
        </w:rPr>
        <w:t> </w:t>
      </w:r>
      <w:r>
        <w:rPr/>
        <w:t>of</w:t>
      </w:r>
      <w:r>
        <w:rPr>
          <w:spacing w:val="-15"/>
        </w:rPr>
        <w:t> </w:t>
      </w:r>
      <w:r>
        <w:rPr/>
        <w:t>management,</w:t>
      </w:r>
      <w:r>
        <w:rPr>
          <w:spacing w:val="-15"/>
        </w:rPr>
        <w:t> </w:t>
      </w:r>
      <w:r>
        <w:rPr/>
        <w:t>maximizes</w:t>
      </w:r>
      <w:r>
        <w:rPr>
          <w:spacing w:val="-15"/>
        </w:rPr>
        <w:t> </w:t>
      </w:r>
      <w:r>
        <w:rPr/>
        <w:t>shareholders’</w:t>
      </w:r>
      <w:r>
        <w:rPr>
          <w:spacing w:val="-15"/>
        </w:rPr>
        <w:t> </w:t>
      </w:r>
      <w:r>
        <w:rPr/>
        <w:t>interest,</w:t>
      </w:r>
      <w:r>
        <w:rPr>
          <w:spacing w:val="-15"/>
        </w:rPr>
        <w:t> </w:t>
      </w:r>
      <w:r>
        <w:rPr/>
        <w:t>reduces</w:t>
      </w:r>
      <w:r>
        <w:rPr>
          <w:spacing w:val="-15"/>
        </w:rPr>
        <w:t> </w:t>
      </w:r>
      <w:r>
        <w:rPr/>
        <w:t>agency</w:t>
      </w:r>
      <w:r>
        <w:rPr>
          <w:spacing w:val="-15"/>
        </w:rPr>
        <w:t> </w:t>
      </w:r>
      <w:r>
        <w:rPr/>
        <w:t>cost</w:t>
      </w:r>
      <w:r>
        <w:rPr>
          <w:spacing w:val="-15"/>
        </w:rPr>
        <w:t> </w:t>
      </w:r>
      <w:r>
        <w:rPr/>
        <w:t>and</w:t>
      </w:r>
      <w:r>
        <w:rPr>
          <w:spacing w:val="-15"/>
        </w:rPr>
        <w:t> </w:t>
      </w:r>
      <w:r>
        <w:rPr/>
        <w:t>mitigates managerial</w:t>
      </w:r>
      <w:r>
        <w:rPr>
          <w:spacing w:val="-3"/>
        </w:rPr>
        <w:t> </w:t>
      </w:r>
      <w:r>
        <w:rPr/>
        <w:t>entrenchment</w:t>
      </w:r>
      <w:r>
        <w:rPr>
          <w:spacing w:val="-4"/>
        </w:rPr>
        <w:t> </w:t>
      </w:r>
      <w:r>
        <w:rPr/>
        <w:t>and</w:t>
      </w:r>
      <w:r>
        <w:rPr>
          <w:spacing w:val="-6"/>
        </w:rPr>
        <w:t> </w:t>
      </w:r>
      <w:r>
        <w:rPr/>
        <w:t>expropriation</w:t>
      </w:r>
      <w:r>
        <w:rPr>
          <w:spacing w:val="-6"/>
        </w:rPr>
        <w:t> </w:t>
      </w:r>
      <w:r>
        <w:rPr/>
        <w:t>of</w:t>
      </w:r>
      <w:r>
        <w:rPr>
          <w:spacing w:val="-7"/>
        </w:rPr>
        <w:t> </w:t>
      </w:r>
      <w:r>
        <w:rPr/>
        <w:t>firms’</w:t>
      </w:r>
      <w:r>
        <w:rPr>
          <w:spacing w:val="-6"/>
        </w:rPr>
        <w:t> </w:t>
      </w:r>
      <w:r>
        <w:rPr/>
        <w:t>resources</w:t>
      </w:r>
      <w:r>
        <w:rPr>
          <w:spacing w:val="-6"/>
        </w:rPr>
        <w:t> </w:t>
      </w:r>
      <w:r>
        <w:rPr/>
        <w:t>(Fama</w:t>
      </w:r>
      <w:r>
        <w:rPr>
          <w:spacing w:val="-6"/>
        </w:rPr>
        <w:t> </w:t>
      </w:r>
      <w:r>
        <w:rPr/>
        <w:t>&amp;</w:t>
      </w:r>
      <w:r>
        <w:rPr>
          <w:spacing w:val="-5"/>
        </w:rPr>
        <w:t> </w:t>
      </w:r>
      <w:r>
        <w:rPr/>
        <w:t>Jensen,</w:t>
      </w:r>
      <w:r>
        <w:rPr>
          <w:spacing w:val="-6"/>
        </w:rPr>
        <w:t> </w:t>
      </w:r>
      <w:r>
        <w:rPr/>
        <w:t>1983;</w:t>
      </w:r>
      <w:r>
        <w:rPr>
          <w:spacing w:val="-5"/>
        </w:rPr>
        <w:t> </w:t>
      </w:r>
      <w:r>
        <w:rPr/>
        <w:t>Jensen &amp; Meckling, 1976; Lee &amp; Lee, 2009).</w:t>
      </w:r>
    </w:p>
    <w:p>
      <w:pPr>
        <w:pStyle w:val="BodyText"/>
        <w:spacing w:line="480" w:lineRule="auto" w:before="1"/>
        <w:ind w:left="940" w:right="1435"/>
        <w:jc w:val="both"/>
      </w:pPr>
      <w:r>
        <w:rPr/>
        <w:t>Similarly,</w:t>
      </w:r>
      <w:r>
        <w:rPr>
          <w:spacing w:val="-15"/>
        </w:rPr>
        <w:t> </w:t>
      </w:r>
      <w:r>
        <w:rPr/>
        <w:t>Kesner</w:t>
      </w:r>
      <w:r>
        <w:rPr>
          <w:spacing w:val="-14"/>
        </w:rPr>
        <w:t> </w:t>
      </w:r>
      <w:r>
        <w:rPr/>
        <w:t>and</w:t>
      </w:r>
      <w:r>
        <w:rPr>
          <w:spacing w:val="-15"/>
        </w:rPr>
        <w:t> </w:t>
      </w:r>
      <w:r>
        <w:rPr/>
        <w:t>Dalton</w:t>
      </w:r>
      <w:r>
        <w:rPr>
          <w:spacing w:val="-15"/>
        </w:rPr>
        <w:t> </w:t>
      </w:r>
      <w:r>
        <w:rPr/>
        <w:t>(1986)</w:t>
      </w:r>
      <w:r>
        <w:rPr>
          <w:spacing w:val="-15"/>
        </w:rPr>
        <w:t> </w:t>
      </w:r>
      <w:r>
        <w:rPr/>
        <w:t>found</w:t>
      </w:r>
      <w:r>
        <w:rPr>
          <w:spacing w:val="-14"/>
        </w:rPr>
        <w:t> </w:t>
      </w:r>
      <w:r>
        <w:rPr/>
        <w:t>that</w:t>
      </w:r>
      <w:r>
        <w:rPr>
          <w:spacing w:val="-13"/>
        </w:rPr>
        <w:t> </w:t>
      </w:r>
      <w:r>
        <w:rPr/>
        <w:t>an</w:t>
      </w:r>
      <w:r>
        <w:rPr>
          <w:spacing w:val="-11"/>
        </w:rPr>
        <w:t> </w:t>
      </w:r>
      <w:r>
        <w:rPr/>
        <w:t>outside</w:t>
      </w:r>
      <w:r>
        <w:rPr>
          <w:spacing w:val="-15"/>
        </w:rPr>
        <w:t> </w:t>
      </w:r>
      <w:r>
        <w:rPr/>
        <w:t>director</w:t>
      </w:r>
      <w:r>
        <w:rPr>
          <w:spacing w:val="-13"/>
        </w:rPr>
        <w:t> </w:t>
      </w:r>
      <w:r>
        <w:rPr/>
        <w:t>was</w:t>
      </w:r>
      <w:r>
        <w:rPr>
          <w:spacing w:val="-15"/>
        </w:rPr>
        <w:t> </w:t>
      </w:r>
      <w:r>
        <w:rPr/>
        <w:t>more</w:t>
      </w:r>
      <w:r>
        <w:rPr>
          <w:spacing w:val="-15"/>
        </w:rPr>
        <w:t> </w:t>
      </w:r>
      <w:r>
        <w:rPr/>
        <w:t>independent</w:t>
      </w:r>
      <w:r>
        <w:rPr>
          <w:spacing w:val="-15"/>
        </w:rPr>
        <w:t> </w:t>
      </w:r>
      <w:r>
        <w:rPr/>
        <w:t>since close relationship often did not exist with management. As a result, outside directors perform better control and monitoring functions. With a board dominated with independent non- executive directors, bad performance managers are likely to resign (Weisbach, 1988; Huson, Parrino</w:t>
      </w:r>
      <w:r>
        <w:rPr>
          <w:spacing w:val="46"/>
        </w:rPr>
        <w:t> </w:t>
      </w:r>
      <w:r>
        <w:rPr/>
        <w:t>&amp;</w:t>
      </w:r>
      <w:r>
        <w:rPr>
          <w:spacing w:val="48"/>
        </w:rPr>
        <w:t> </w:t>
      </w:r>
      <w:r>
        <w:rPr/>
        <w:t>Starks,</w:t>
      </w:r>
      <w:r>
        <w:rPr>
          <w:spacing w:val="47"/>
        </w:rPr>
        <w:t> </w:t>
      </w:r>
      <w:r>
        <w:rPr/>
        <w:t>2001).</w:t>
      </w:r>
      <w:r>
        <w:rPr>
          <w:spacing w:val="51"/>
        </w:rPr>
        <w:t> </w:t>
      </w:r>
      <w:r>
        <w:rPr/>
        <w:t>It</w:t>
      </w:r>
      <w:r>
        <w:rPr>
          <w:spacing w:val="48"/>
        </w:rPr>
        <w:t> </w:t>
      </w:r>
      <w:r>
        <w:rPr/>
        <w:t>is</w:t>
      </w:r>
      <w:r>
        <w:rPr>
          <w:spacing w:val="48"/>
        </w:rPr>
        <w:t> </w:t>
      </w:r>
      <w:r>
        <w:rPr/>
        <w:t>believed</w:t>
      </w:r>
      <w:r>
        <w:rPr>
          <w:spacing w:val="47"/>
        </w:rPr>
        <w:t> </w:t>
      </w:r>
      <w:r>
        <w:rPr/>
        <w:t>that</w:t>
      </w:r>
      <w:r>
        <w:rPr>
          <w:spacing w:val="47"/>
        </w:rPr>
        <w:t> </w:t>
      </w:r>
      <w:r>
        <w:rPr/>
        <w:t>boards</w:t>
      </w:r>
      <w:r>
        <w:rPr>
          <w:spacing w:val="48"/>
        </w:rPr>
        <w:t> </w:t>
      </w:r>
      <w:r>
        <w:rPr/>
        <w:t>dominated</w:t>
      </w:r>
      <w:r>
        <w:rPr>
          <w:spacing w:val="47"/>
        </w:rPr>
        <w:t> </w:t>
      </w:r>
      <w:r>
        <w:rPr/>
        <w:t>by</w:t>
      </w:r>
      <w:r>
        <w:rPr>
          <w:spacing w:val="47"/>
        </w:rPr>
        <w:t> </w:t>
      </w:r>
      <w:r>
        <w:rPr/>
        <w:t>outside</w:t>
      </w:r>
      <w:r>
        <w:rPr>
          <w:spacing w:val="46"/>
        </w:rPr>
        <w:t> </w:t>
      </w:r>
      <w:r>
        <w:rPr/>
        <w:t>or</w:t>
      </w:r>
      <w:r>
        <w:rPr>
          <w:spacing w:val="48"/>
        </w:rPr>
        <w:t> </w:t>
      </w:r>
      <w:r>
        <w:rPr>
          <w:spacing w:val="-2"/>
        </w:rPr>
        <w:t>independent</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01632">
            <wp:simplePos x="0" y="0"/>
            <wp:positionH relativeFrom="page">
              <wp:posOffset>1095451</wp:posOffset>
            </wp:positionH>
            <wp:positionV relativeFrom="paragraph">
              <wp:posOffset>1850770</wp:posOffset>
            </wp:positionV>
            <wp:extent cx="5106847" cy="523811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5" cstate="print"/>
                    <a:stretch>
                      <a:fillRect/>
                    </a:stretch>
                  </pic:blipFill>
                  <pic:spPr>
                    <a:xfrm>
                      <a:off x="0" y="0"/>
                      <a:ext cx="5106847" cy="5238115"/>
                    </a:xfrm>
                    <a:prstGeom prst="rect">
                      <a:avLst/>
                    </a:prstGeom>
                  </pic:spPr>
                </pic:pic>
              </a:graphicData>
            </a:graphic>
          </wp:anchor>
        </w:drawing>
      </w:r>
      <w:r>
        <w:rPr/>
        <w:t>directors are more vigilant in monitoring behaviours and decision making of the company (Fama &amp; Jensen, 1993). The reason is that shareholders` interest can be more protected by outside directors than the inside directors. They bring in more skills and knowledge to the company which increased expertise necessary for strategy implementation (Kamardin, 2011). For Independent directors to perform their duties effectively, they must be free from management`s influence. The effective monitoring by independent directors reduces agency costs and increases a company’s performance (Fama, 1980). The presence of independent directors on a board gives greater weight to the board`s deliberations and judgment (Heravia, Saat,</w:t>
      </w:r>
      <w:r>
        <w:rPr>
          <w:spacing w:val="-10"/>
        </w:rPr>
        <w:t> </w:t>
      </w:r>
      <w:r>
        <w:rPr/>
        <w:t>Karbhari</w:t>
      </w:r>
      <w:r>
        <w:rPr>
          <w:spacing w:val="-10"/>
        </w:rPr>
        <w:t> </w:t>
      </w:r>
      <w:r>
        <w:rPr/>
        <w:t>&amp;</w:t>
      </w:r>
      <w:r>
        <w:rPr>
          <w:spacing w:val="-10"/>
        </w:rPr>
        <w:t> </w:t>
      </w:r>
      <w:r>
        <w:rPr/>
        <w:t>Nassir,</w:t>
      </w:r>
      <w:r>
        <w:rPr>
          <w:spacing w:val="-9"/>
        </w:rPr>
        <w:t> </w:t>
      </w:r>
      <w:r>
        <w:rPr/>
        <w:t>2011).</w:t>
      </w:r>
      <w:r>
        <w:rPr>
          <w:spacing w:val="-10"/>
        </w:rPr>
        <w:t> </w:t>
      </w:r>
      <w:r>
        <w:rPr/>
        <w:t>According</w:t>
      </w:r>
      <w:r>
        <w:rPr>
          <w:spacing w:val="-10"/>
        </w:rPr>
        <w:t> </w:t>
      </w:r>
      <w:r>
        <w:rPr/>
        <w:t>to</w:t>
      </w:r>
      <w:r>
        <w:rPr>
          <w:spacing w:val="-10"/>
        </w:rPr>
        <w:t> </w:t>
      </w:r>
      <w:r>
        <w:rPr/>
        <w:t>Pfeffer</w:t>
      </w:r>
      <w:r>
        <w:rPr>
          <w:spacing w:val="-10"/>
        </w:rPr>
        <w:t> </w:t>
      </w:r>
      <w:r>
        <w:rPr/>
        <w:t>and</w:t>
      </w:r>
      <w:r>
        <w:rPr>
          <w:spacing w:val="-10"/>
        </w:rPr>
        <w:t> </w:t>
      </w:r>
      <w:r>
        <w:rPr/>
        <w:t>Salancik</w:t>
      </w:r>
      <w:r>
        <w:rPr>
          <w:spacing w:val="-10"/>
        </w:rPr>
        <w:t> </w:t>
      </w:r>
      <w:r>
        <w:rPr/>
        <w:t>(1978),</w:t>
      </w:r>
      <w:r>
        <w:rPr>
          <w:spacing w:val="-10"/>
        </w:rPr>
        <w:t> </w:t>
      </w:r>
      <w:r>
        <w:rPr/>
        <w:t>there</w:t>
      </w:r>
      <w:r>
        <w:rPr>
          <w:spacing w:val="-11"/>
        </w:rPr>
        <w:t> </w:t>
      </w:r>
      <w:r>
        <w:rPr/>
        <w:t>are</w:t>
      </w:r>
      <w:r>
        <w:rPr>
          <w:spacing w:val="-11"/>
        </w:rPr>
        <w:t> </w:t>
      </w:r>
      <w:r>
        <w:rPr/>
        <w:t>three</w:t>
      </w:r>
      <w:r>
        <w:rPr>
          <w:spacing w:val="-11"/>
        </w:rPr>
        <w:t> </w:t>
      </w:r>
      <w:r>
        <w:rPr/>
        <w:t>areas in which a board’s composition is posited to affect firm performance: service, resource acquisition,</w:t>
      </w:r>
      <w:r>
        <w:rPr>
          <w:spacing w:val="-6"/>
        </w:rPr>
        <w:t> </w:t>
      </w:r>
      <w:r>
        <w:rPr/>
        <w:t>and</w:t>
      </w:r>
      <w:r>
        <w:rPr>
          <w:spacing w:val="-6"/>
        </w:rPr>
        <w:t> </w:t>
      </w:r>
      <w:r>
        <w:rPr/>
        <w:t>control.</w:t>
      </w:r>
      <w:r>
        <w:rPr>
          <w:spacing w:val="40"/>
        </w:rPr>
        <w:t> </w:t>
      </w:r>
      <w:r>
        <w:rPr/>
        <w:t>The</w:t>
      </w:r>
      <w:r>
        <w:rPr>
          <w:spacing w:val="-7"/>
        </w:rPr>
        <w:t> </w:t>
      </w:r>
      <w:r>
        <w:rPr/>
        <w:t>service</w:t>
      </w:r>
      <w:r>
        <w:rPr>
          <w:spacing w:val="-7"/>
        </w:rPr>
        <w:t> </w:t>
      </w:r>
      <w:r>
        <w:rPr/>
        <w:t>component</w:t>
      </w:r>
      <w:r>
        <w:rPr>
          <w:spacing w:val="-5"/>
        </w:rPr>
        <w:t> </w:t>
      </w:r>
      <w:r>
        <w:rPr/>
        <w:t>suggests</w:t>
      </w:r>
      <w:r>
        <w:rPr>
          <w:spacing w:val="-5"/>
        </w:rPr>
        <w:t> </w:t>
      </w:r>
      <w:r>
        <w:rPr/>
        <w:t>that</w:t>
      </w:r>
      <w:r>
        <w:rPr>
          <w:spacing w:val="-6"/>
        </w:rPr>
        <w:t> </w:t>
      </w:r>
      <w:r>
        <w:rPr/>
        <w:t>outside</w:t>
      </w:r>
      <w:r>
        <w:rPr>
          <w:spacing w:val="-7"/>
        </w:rPr>
        <w:t> </w:t>
      </w:r>
      <w:r>
        <w:rPr/>
        <w:t>board</w:t>
      </w:r>
      <w:r>
        <w:rPr>
          <w:spacing w:val="-7"/>
        </w:rPr>
        <w:t> </w:t>
      </w:r>
      <w:r>
        <w:rPr/>
        <w:t>members</w:t>
      </w:r>
      <w:r>
        <w:rPr>
          <w:spacing w:val="-6"/>
        </w:rPr>
        <w:t> </w:t>
      </w:r>
      <w:r>
        <w:rPr/>
        <w:t>provide counsel and advice to the CEO not necessarily available from inside directors. Also, outside board</w:t>
      </w:r>
      <w:r>
        <w:rPr>
          <w:spacing w:val="-15"/>
        </w:rPr>
        <w:t> </w:t>
      </w:r>
      <w:r>
        <w:rPr/>
        <w:t>members</w:t>
      </w:r>
      <w:r>
        <w:rPr>
          <w:spacing w:val="-15"/>
        </w:rPr>
        <w:t> </w:t>
      </w:r>
      <w:r>
        <w:rPr/>
        <w:t>may,</w:t>
      </w:r>
      <w:r>
        <w:rPr>
          <w:spacing w:val="-15"/>
        </w:rPr>
        <w:t> </w:t>
      </w:r>
      <w:r>
        <w:rPr/>
        <w:t>by</w:t>
      </w:r>
      <w:r>
        <w:rPr>
          <w:spacing w:val="-15"/>
        </w:rPr>
        <w:t> </w:t>
      </w:r>
      <w:r>
        <w:rPr/>
        <w:t>virtue</w:t>
      </w:r>
      <w:r>
        <w:rPr>
          <w:spacing w:val="-15"/>
        </w:rPr>
        <w:t> </w:t>
      </w:r>
      <w:r>
        <w:rPr/>
        <w:t>of</w:t>
      </w:r>
      <w:r>
        <w:rPr>
          <w:spacing w:val="-15"/>
        </w:rPr>
        <w:t> </w:t>
      </w:r>
      <w:r>
        <w:rPr/>
        <w:t>their</w:t>
      </w:r>
      <w:r>
        <w:rPr>
          <w:spacing w:val="-15"/>
        </w:rPr>
        <w:t> </w:t>
      </w:r>
      <w:r>
        <w:rPr/>
        <w:t>own</w:t>
      </w:r>
      <w:r>
        <w:rPr>
          <w:spacing w:val="-15"/>
        </w:rPr>
        <w:t> </w:t>
      </w:r>
      <w:r>
        <w:rPr/>
        <w:t>experience,</w:t>
      </w:r>
      <w:r>
        <w:rPr>
          <w:spacing w:val="-15"/>
        </w:rPr>
        <w:t> </w:t>
      </w:r>
      <w:r>
        <w:rPr/>
        <w:t>accomplishment</w:t>
      </w:r>
      <w:r>
        <w:rPr>
          <w:spacing w:val="-15"/>
        </w:rPr>
        <w:t> </w:t>
      </w:r>
      <w:r>
        <w:rPr/>
        <w:t>and</w:t>
      </w:r>
      <w:r>
        <w:rPr>
          <w:spacing w:val="-15"/>
        </w:rPr>
        <w:t> </w:t>
      </w:r>
      <w:r>
        <w:rPr/>
        <w:t>exposure,</w:t>
      </w:r>
      <w:r>
        <w:rPr>
          <w:spacing w:val="-15"/>
        </w:rPr>
        <w:t> </w:t>
      </w:r>
      <w:r>
        <w:rPr/>
        <w:t>enhance the reputation of the firm (Daily &amp; Dalton 1993). Another advantage of the outside director concerns the notion of resource dependence. Resource dependence theory suggests that the effectiveness</w:t>
      </w:r>
      <w:r>
        <w:rPr>
          <w:spacing w:val="-1"/>
        </w:rPr>
        <w:t> </w:t>
      </w:r>
      <w:r>
        <w:rPr/>
        <w:t>of</w:t>
      </w:r>
      <w:r>
        <w:rPr>
          <w:spacing w:val="-2"/>
        </w:rPr>
        <w:t> </w:t>
      </w:r>
      <w:r>
        <w:rPr/>
        <w:t>the</w:t>
      </w:r>
      <w:r>
        <w:rPr>
          <w:spacing w:val="-2"/>
        </w:rPr>
        <w:t> </w:t>
      </w:r>
      <w:r>
        <w:rPr/>
        <w:t>firm</w:t>
      </w:r>
      <w:r>
        <w:rPr>
          <w:spacing w:val="-1"/>
        </w:rPr>
        <w:t> </w:t>
      </w:r>
      <w:r>
        <w:rPr/>
        <w:t>rests</w:t>
      </w:r>
      <w:r>
        <w:rPr>
          <w:spacing w:val="-1"/>
        </w:rPr>
        <w:t> </w:t>
      </w:r>
      <w:r>
        <w:rPr/>
        <w:t>on</w:t>
      </w:r>
      <w:r>
        <w:rPr>
          <w:spacing w:val="-1"/>
        </w:rPr>
        <w:t> </w:t>
      </w:r>
      <w:r>
        <w:rPr/>
        <w:t>the</w:t>
      </w:r>
      <w:r>
        <w:rPr>
          <w:spacing w:val="-2"/>
        </w:rPr>
        <w:t> </w:t>
      </w:r>
      <w:r>
        <w:rPr/>
        <w:t>ability</w:t>
      </w:r>
      <w:r>
        <w:rPr>
          <w:spacing w:val="-1"/>
        </w:rPr>
        <w:t> </w:t>
      </w:r>
      <w:r>
        <w:rPr/>
        <w:t>of</w:t>
      </w:r>
      <w:r>
        <w:rPr>
          <w:spacing w:val="-4"/>
        </w:rPr>
        <w:t> </w:t>
      </w:r>
      <w:r>
        <w:rPr/>
        <w:t>key</w:t>
      </w:r>
      <w:r>
        <w:rPr>
          <w:spacing w:val="-1"/>
        </w:rPr>
        <w:t> </w:t>
      </w:r>
      <w:r>
        <w:rPr/>
        <w:t>organisational</w:t>
      </w:r>
      <w:r>
        <w:rPr>
          <w:spacing w:val="-1"/>
        </w:rPr>
        <w:t> </w:t>
      </w:r>
      <w:r>
        <w:rPr/>
        <w:t>members</w:t>
      </w:r>
      <w:r>
        <w:rPr>
          <w:spacing w:val="-2"/>
        </w:rPr>
        <w:t> </w:t>
      </w:r>
      <w:r>
        <w:rPr/>
        <w:t>to</w:t>
      </w:r>
      <w:r>
        <w:rPr>
          <w:spacing w:val="-1"/>
        </w:rPr>
        <w:t> </w:t>
      </w:r>
      <w:r>
        <w:rPr/>
        <w:t>act</w:t>
      </w:r>
      <w:r>
        <w:rPr>
          <w:spacing w:val="-1"/>
        </w:rPr>
        <w:t> </w:t>
      </w:r>
      <w:r>
        <w:rPr/>
        <w:t>as</w:t>
      </w:r>
      <w:r>
        <w:rPr>
          <w:spacing w:val="-1"/>
        </w:rPr>
        <w:t> </w:t>
      </w:r>
      <w:r>
        <w:rPr/>
        <w:t>boundary spanners. In their role as boundary spanners, they interact with the environment in a manner that co-opts important external organisations from which they are interdependent (Pfeffer &amp; Salancik, 1978). A third factor is control which refers primarily to the board's monitoring function (Anderson &amp; Anthony 1986).</w:t>
      </w:r>
    </w:p>
    <w:p>
      <w:pPr>
        <w:pStyle w:val="BodyText"/>
        <w:spacing w:line="480" w:lineRule="auto" w:before="2"/>
        <w:ind w:left="940" w:right="1435"/>
        <w:jc w:val="both"/>
      </w:pPr>
      <w:r>
        <w:rPr/>
        <w:t>On the contrary, the fact that independent directors are on a board does not guarantee good governance control. It may be possible that some independent directors are appointed to just fulfil</w:t>
      </w:r>
      <w:r>
        <w:rPr>
          <w:spacing w:val="-10"/>
        </w:rPr>
        <w:t> </w:t>
      </w:r>
      <w:r>
        <w:rPr/>
        <w:t>the</w:t>
      </w:r>
      <w:r>
        <w:rPr>
          <w:spacing w:val="-11"/>
        </w:rPr>
        <w:t> </w:t>
      </w:r>
      <w:r>
        <w:rPr/>
        <w:t>minimum</w:t>
      </w:r>
      <w:r>
        <w:rPr>
          <w:spacing w:val="-10"/>
        </w:rPr>
        <w:t> </w:t>
      </w:r>
      <w:r>
        <w:rPr/>
        <w:t>regulatory</w:t>
      </w:r>
      <w:r>
        <w:rPr>
          <w:spacing w:val="-11"/>
        </w:rPr>
        <w:t> </w:t>
      </w:r>
      <w:r>
        <w:rPr/>
        <w:t>requirements.</w:t>
      </w:r>
      <w:r>
        <w:rPr>
          <w:spacing w:val="-10"/>
        </w:rPr>
        <w:t> </w:t>
      </w:r>
      <w:r>
        <w:rPr/>
        <w:t>Some</w:t>
      </w:r>
      <w:r>
        <w:rPr>
          <w:spacing w:val="-12"/>
        </w:rPr>
        <w:t> </w:t>
      </w:r>
      <w:r>
        <w:rPr/>
        <w:t>of</w:t>
      </w:r>
      <w:r>
        <w:rPr>
          <w:spacing w:val="-11"/>
        </w:rPr>
        <w:t> </w:t>
      </w:r>
      <w:r>
        <w:rPr/>
        <w:t>them</w:t>
      </w:r>
      <w:r>
        <w:rPr>
          <w:spacing w:val="-11"/>
        </w:rPr>
        <w:t> </w:t>
      </w:r>
      <w:r>
        <w:rPr/>
        <w:t>may</w:t>
      </w:r>
      <w:r>
        <w:rPr>
          <w:spacing w:val="-11"/>
        </w:rPr>
        <w:t> </w:t>
      </w:r>
      <w:r>
        <w:rPr/>
        <w:t>not</w:t>
      </w:r>
      <w:r>
        <w:rPr>
          <w:spacing w:val="-10"/>
        </w:rPr>
        <w:t> </w:t>
      </w:r>
      <w:r>
        <w:rPr/>
        <w:t>be</w:t>
      </w:r>
      <w:r>
        <w:rPr>
          <w:spacing w:val="-12"/>
        </w:rPr>
        <w:t> </w:t>
      </w:r>
      <w:r>
        <w:rPr/>
        <w:t>truly</w:t>
      </w:r>
      <w:r>
        <w:rPr>
          <w:spacing w:val="-11"/>
        </w:rPr>
        <w:t> </w:t>
      </w:r>
      <w:r>
        <w:rPr/>
        <w:t>independent</w:t>
      </w:r>
      <w:r>
        <w:rPr>
          <w:spacing w:val="-7"/>
        </w:rPr>
        <w:t> </w:t>
      </w:r>
      <w:r>
        <w:rPr/>
        <w:t>of</w:t>
      </w:r>
      <w:r>
        <w:rPr>
          <w:spacing w:val="-11"/>
        </w:rPr>
        <w:t> </w:t>
      </w:r>
      <w:r>
        <w:rPr/>
        <w:t>the firm’s executives who hire them or they might have developed strong friendship with the top management team over the period they served on the board.</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02144">
            <wp:simplePos x="0" y="0"/>
            <wp:positionH relativeFrom="page">
              <wp:posOffset>1095451</wp:posOffset>
            </wp:positionH>
            <wp:positionV relativeFrom="paragraph">
              <wp:posOffset>1850770</wp:posOffset>
            </wp:positionV>
            <wp:extent cx="5106847" cy="5238115"/>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5" cstate="print"/>
                    <a:stretch>
                      <a:fillRect/>
                    </a:stretch>
                  </pic:blipFill>
                  <pic:spPr>
                    <a:xfrm>
                      <a:off x="0" y="0"/>
                      <a:ext cx="5106847" cy="5238115"/>
                    </a:xfrm>
                    <a:prstGeom prst="rect">
                      <a:avLst/>
                    </a:prstGeom>
                  </pic:spPr>
                </pic:pic>
              </a:graphicData>
            </a:graphic>
          </wp:anchor>
        </w:drawing>
      </w:r>
      <w:r>
        <w:rPr/>
        <w:t>Given that CEOs often dominate the directors’ nomination process, outside directors are capable</w:t>
      </w:r>
      <w:r>
        <w:rPr>
          <w:spacing w:val="-7"/>
        </w:rPr>
        <w:t> </w:t>
      </w:r>
      <w:r>
        <w:rPr/>
        <w:t>of</w:t>
      </w:r>
      <w:r>
        <w:rPr>
          <w:spacing w:val="-8"/>
        </w:rPr>
        <w:t> </w:t>
      </w:r>
      <w:r>
        <w:rPr/>
        <w:t>becoming</w:t>
      </w:r>
      <w:r>
        <w:rPr>
          <w:spacing w:val="-7"/>
        </w:rPr>
        <w:t> </w:t>
      </w:r>
      <w:r>
        <w:rPr/>
        <w:t>entrenched,</w:t>
      </w:r>
      <w:r>
        <w:rPr>
          <w:spacing w:val="-7"/>
        </w:rPr>
        <w:t> </w:t>
      </w:r>
      <w:r>
        <w:rPr/>
        <w:t>consequently,</w:t>
      </w:r>
      <w:r>
        <w:rPr>
          <w:spacing w:val="-7"/>
        </w:rPr>
        <w:t> </w:t>
      </w:r>
      <w:r>
        <w:rPr/>
        <w:t>ineffectiveness</w:t>
      </w:r>
      <w:r>
        <w:rPr>
          <w:spacing w:val="-6"/>
        </w:rPr>
        <w:t> </w:t>
      </w:r>
      <w:r>
        <w:rPr/>
        <w:t>results.</w:t>
      </w:r>
      <w:r>
        <w:rPr>
          <w:spacing w:val="-15"/>
        </w:rPr>
        <w:t> </w:t>
      </w:r>
      <w:r>
        <w:rPr/>
        <w:t>Weir</w:t>
      </w:r>
      <w:r>
        <w:rPr>
          <w:spacing w:val="-8"/>
        </w:rPr>
        <w:t> </w:t>
      </w:r>
      <w:r>
        <w:rPr/>
        <w:t>and</w:t>
      </w:r>
      <w:r>
        <w:rPr>
          <w:spacing w:val="-7"/>
        </w:rPr>
        <w:t> </w:t>
      </w:r>
      <w:r>
        <w:rPr/>
        <w:t>Liang</w:t>
      </w:r>
      <w:r>
        <w:rPr>
          <w:spacing w:val="-7"/>
        </w:rPr>
        <w:t> </w:t>
      </w:r>
      <w:r>
        <w:rPr/>
        <w:t>(2001) stated</w:t>
      </w:r>
      <w:r>
        <w:rPr>
          <w:spacing w:val="-15"/>
        </w:rPr>
        <w:t> </w:t>
      </w:r>
      <w:r>
        <w:rPr/>
        <w:t>that</w:t>
      </w:r>
      <w:r>
        <w:rPr>
          <w:spacing w:val="-15"/>
        </w:rPr>
        <w:t> </w:t>
      </w:r>
      <w:r>
        <w:rPr/>
        <w:t>non-executive</w:t>
      </w:r>
      <w:r>
        <w:rPr>
          <w:spacing w:val="-15"/>
        </w:rPr>
        <w:t> </w:t>
      </w:r>
      <w:r>
        <w:rPr/>
        <w:t>directors</w:t>
      </w:r>
      <w:r>
        <w:rPr>
          <w:spacing w:val="-13"/>
        </w:rPr>
        <w:t> </w:t>
      </w:r>
      <w:r>
        <w:rPr/>
        <w:t>were</w:t>
      </w:r>
      <w:r>
        <w:rPr>
          <w:spacing w:val="-15"/>
        </w:rPr>
        <w:t> </w:t>
      </w:r>
      <w:r>
        <w:rPr/>
        <w:t>only</w:t>
      </w:r>
      <w:r>
        <w:rPr>
          <w:spacing w:val="-15"/>
        </w:rPr>
        <w:t> </w:t>
      </w:r>
      <w:r>
        <w:rPr/>
        <w:t>employed</w:t>
      </w:r>
      <w:r>
        <w:rPr>
          <w:spacing w:val="-15"/>
        </w:rPr>
        <w:t> </w:t>
      </w:r>
      <w:r>
        <w:rPr/>
        <w:t>on</w:t>
      </w:r>
      <w:r>
        <w:rPr>
          <w:spacing w:val="-15"/>
        </w:rPr>
        <w:t> </w:t>
      </w:r>
      <w:r>
        <w:rPr/>
        <w:t>a</w:t>
      </w:r>
      <w:r>
        <w:rPr>
          <w:spacing w:val="-15"/>
        </w:rPr>
        <w:t> </w:t>
      </w:r>
      <w:r>
        <w:rPr/>
        <w:t>part-time</w:t>
      </w:r>
      <w:r>
        <w:rPr>
          <w:spacing w:val="-15"/>
        </w:rPr>
        <w:t> </w:t>
      </w:r>
      <w:r>
        <w:rPr/>
        <w:t>basis</w:t>
      </w:r>
      <w:r>
        <w:rPr>
          <w:spacing w:val="-14"/>
        </w:rPr>
        <w:t> </w:t>
      </w:r>
      <w:r>
        <w:rPr/>
        <w:t>and</w:t>
      </w:r>
      <w:r>
        <w:rPr>
          <w:spacing w:val="-14"/>
        </w:rPr>
        <w:t> </w:t>
      </w:r>
      <w:r>
        <w:rPr/>
        <w:t>were</w:t>
      </w:r>
      <w:r>
        <w:rPr>
          <w:spacing w:val="-15"/>
        </w:rPr>
        <w:t> </w:t>
      </w:r>
      <w:r>
        <w:rPr/>
        <w:t>therefore, likely to have other work commitments. They may lack the expertise necessary for understanding highly technical business issues and may have insufficient information when required</w:t>
      </w:r>
      <w:r>
        <w:rPr>
          <w:spacing w:val="-1"/>
        </w:rPr>
        <w:t> </w:t>
      </w:r>
      <w:r>
        <w:rPr/>
        <w:t>to</w:t>
      </w:r>
      <w:r>
        <w:rPr>
          <w:spacing w:val="-1"/>
        </w:rPr>
        <w:t> </w:t>
      </w:r>
      <w:r>
        <w:rPr/>
        <w:t>make</w:t>
      </w:r>
      <w:r>
        <w:rPr>
          <w:spacing w:val="-3"/>
        </w:rPr>
        <w:t> </w:t>
      </w:r>
      <w:r>
        <w:rPr/>
        <w:t>key</w:t>
      </w:r>
      <w:r>
        <w:rPr>
          <w:spacing w:val="-1"/>
        </w:rPr>
        <w:t> </w:t>
      </w:r>
      <w:r>
        <w:rPr/>
        <w:t>decisions.</w:t>
      </w:r>
      <w:r>
        <w:rPr>
          <w:spacing w:val="-1"/>
        </w:rPr>
        <w:t> </w:t>
      </w:r>
      <w:r>
        <w:rPr/>
        <w:t>Also,</w:t>
      </w:r>
      <w:r>
        <w:rPr>
          <w:spacing w:val="-3"/>
        </w:rPr>
        <w:t> </w:t>
      </w:r>
      <w:r>
        <w:rPr/>
        <w:t>a</w:t>
      </w:r>
      <w:r>
        <w:rPr>
          <w:spacing w:val="-2"/>
        </w:rPr>
        <w:t> </w:t>
      </w:r>
      <w:r>
        <w:rPr/>
        <w:t>large</w:t>
      </w:r>
      <w:r>
        <w:rPr>
          <w:spacing w:val="-2"/>
        </w:rPr>
        <w:t> </w:t>
      </w:r>
      <w:r>
        <w:rPr/>
        <w:t>representation</w:t>
      </w:r>
      <w:r>
        <w:rPr>
          <w:spacing w:val="-1"/>
        </w:rPr>
        <w:t> </w:t>
      </w:r>
      <w:r>
        <w:rPr/>
        <w:t>of</w:t>
      </w:r>
      <w:r>
        <w:rPr>
          <w:spacing w:val="-2"/>
        </w:rPr>
        <w:t> </w:t>
      </w:r>
      <w:r>
        <w:rPr/>
        <w:t>non-executive</w:t>
      </w:r>
      <w:r>
        <w:rPr>
          <w:spacing w:val="-2"/>
        </w:rPr>
        <w:t> </w:t>
      </w:r>
      <w:r>
        <w:rPr/>
        <w:t>directors</w:t>
      </w:r>
      <w:r>
        <w:rPr>
          <w:spacing w:val="-1"/>
        </w:rPr>
        <w:t> </w:t>
      </w:r>
      <w:r>
        <w:rPr/>
        <w:t>results in</w:t>
      </w:r>
      <w:r>
        <w:rPr>
          <w:spacing w:val="-15"/>
        </w:rPr>
        <w:t> </w:t>
      </w:r>
      <w:r>
        <w:rPr/>
        <w:t>high</w:t>
      </w:r>
      <w:r>
        <w:rPr>
          <w:spacing w:val="-15"/>
        </w:rPr>
        <w:t> </w:t>
      </w:r>
      <w:r>
        <w:rPr/>
        <w:t>remuneration</w:t>
      </w:r>
      <w:r>
        <w:rPr>
          <w:spacing w:val="-15"/>
        </w:rPr>
        <w:t> </w:t>
      </w:r>
      <w:r>
        <w:rPr/>
        <w:t>and</w:t>
      </w:r>
      <w:r>
        <w:rPr>
          <w:spacing w:val="-15"/>
        </w:rPr>
        <w:t> </w:t>
      </w:r>
      <w:r>
        <w:rPr/>
        <w:t>coordination</w:t>
      </w:r>
      <w:r>
        <w:rPr>
          <w:spacing w:val="-15"/>
        </w:rPr>
        <w:t> </w:t>
      </w:r>
      <w:r>
        <w:rPr/>
        <w:t>costs</w:t>
      </w:r>
      <w:r>
        <w:rPr>
          <w:spacing w:val="-15"/>
        </w:rPr>
        <w:t> </w:t>
      </w:r>
      <w:r>
        <w:rPr/>
        <w:t>and</w:t>
      </w:r>
      <w:r>
        <w:rPr>
          <w:spacing w:val="-15"/>
        </w:rPr>
        <w:t> </w:t>
      </w:r>
      <w:r>
        <w:rPr/>
        <w:t>delay</w:t>
      </w:r>
      <w:r>
        <w:rPr>
          <w:spacing w:val="-15"/>
        </w:rPr>
        <w:t> </w:t>
      </w:r>
      <w:r>
        <w:rPr/>
        <w:t>in</w:t>
      </w:r>
      <w:r>
        <w:rPr>
          <w:spacing w:val="-15"/>
        </w:rPr>
        <w:t> </w:t>
      </w:r>
      <w:r>
        <w:rPr/>
        <w:t>decision</w:t>
      </w:r>
      <w:r>
        <w:rPr>
          <w:spacing w:val="-15"/>
        </w:rPr>
        <w:t> </w:t>
      </w:r>
      <w:r>
        <w:rPr/>
        <w:t>making</w:t>
      </w:r>
      <w:r>
        <w:rPr>
          <w:spacing w:val="-15"/>
        </w:rPr>
        <w:t> </w:t>
      </w:r>
      <w:r>
        <w:rPr/>
        <w:t>in</w:t>
      </w:r>
      <w:r>
        <w:rPr>
          <w:spacing w:val="-15"/>
        </w:rPr>
        <w:t> </w:t>
      </w:r>
      <w:r>
        <w:rPr/>
        <w:t>high</w:t>
      </w:r>
      <w:r>
        <w:rPr>
          <w:spacing w:val="-15"/>
        </w:rPr>
        <w:t> </w:t>
      </w:r>
      <w:r>
        <w:rPr/>
        <w:t>growth</w:t>
      </w:r>
      <w:r>
        <w:rPr>
          <w:spacing w:val="-15"/>
        </w:rPr>
        <w:t> </w:t>
      </w:r>
      <w:r>
        <w:rPr/>
        <w:t>firms, and ineffectiveness in board monitoring which could create a conflict of interest between the board and the top management (Lasfer, 2002; Sethi, Cunningham &amp; Swanson, 1979). Similarly, non-executive directors could find it difficult to effectively monitor management due</w:t>
      </w:r>
      <w:r>
        <w:rPr>
          <w:spacing w:val="-1"/>
        </w:rPr>
        <w:t> </w:t>
      </w:r>
      <w:r>
        <w:rPr/>
        <w:t>to the complex nature</w:t>
      </w:r>
      <w:r>
        <w:rPr>
          <w:spacing w:val="-1"/>
        </w:rPr>
        <w:t> </w:t>
      </w:r>
      <w:r>
        <w:rPr/>
        <w:t>of firms (Estes,</w:t>
      </w:r>
      <w:r>
        <w:rPr>
          <w:spacing w:val="-1"/>
        </w:rPr>
        <w:t> </w:t>
      </w:r>
      <w:r>
        <w:rPr/>
        <w:t>1980). Again, a board dominated by non-executive directors could suffer from information asymmetry. For instance, the CEOs and the executive directors who are seen as stewards of the firms are important sources of firms’ related information.</w:t>
      </w:r>
      <w:r>
        <w:rPr>
          <w:spacing w:val="-10"/>
        </w:rPr>
        <w:t> </w:t>
      </w:r>
      <w:r>
        <w:rPr/>
        <w:t>Given</w:t>
      </w:r>
      <w:r>
        <w:rPr>
          <w:spacing w:val="-11"/>
        </w:rPr>
        <w:t> </w:t>
      </w:r>
      <w:r>
        <w:rPr/>
        <w:t>that</w:t>
      </w:r>
      <w:r>
        <w:rPr>
          <w:spacing w:val="-11"/>
        </w:rPr>
        <w:t> </w:t>
      </w:r>
      <w:r>
        <w:rPr/>
        <w:t>these</w:t>
      </w:r>
      <w:r>
        <w:rPr>
          <w:spacing w:val="-11"/>
        </w:rPr>
        <w:t> </w:t>
      </w:r>
      <w:r>
        <w:rPr/>
        <w:t>executive</w:t>
      </w:r>
      <w:r>
        <w:rPr>
          <w:spacing w:val="-12"/>
        </w:rPr>
        <w:t> </w:t>
      </w:r>
      <w:r>
        <w:rPr/>
        <w:t>directors</w:t>
      </w:r>
      <w:r>
        <w:rPr>
          <w:spacing w:val="-8"/>
        </w:rPr>
        <w:t> </w:t>
      </w:r>
      <w:r>
        <w:rPr/>
        <w:t>depend</w:t>
      </w:r>
      <w:r>
        <w:rPr>
          <w:spacing w:val="-11"/>
        </w:rPr>
        <w:t> </w:t>
      </w:r>
      <w:r>
        <w:rPr/>
        <w:t>on</w:t>
      </w:r>
      <w:r>
        <w:rPr>
          <w:spacing w:val="-11"/>
        </w:rPr>
        <w:t> </w:t>
      </w:r>
      <w:r>
        <w:rPr/>
        <w:t>the</w:t>
      </w:r>
      <w:r>
        <w:rPr>
          <w:spacing w:val="-11"/>
        </w:rPr>
        <w:t> </w:t>
      </w:r>
      <w:r>
        <w:rPr/>
        <w:t>CEOs</w:t>
      </w:r>
      <w:r>
        <w:rPr>
          <w:spacing w:val="-10"/>
        </w:rPr>
        <w:t> </w:t>
      </w:r>
      <w:r>
        <w:rPr/>
        <w:t>for</w:t>
      </w:r>
      <w:r>
        <w:rPr>
          <w:spacing w:val="-12"/>
        </w:rPr>
        <w:t> </w:t>
      </w:r>
      <w:r>
        <w:rPr/>
        <w:t>their</w:t>
      </w:r>
      <w:r>
        <w:rPr>
          <w:spacing w:val="-11"/>
        </w:rPr>
        <w:t> </w:t>
      </w:r>
      <w:r>
        <w:rPr/>
        <w:t>selection</w:t>
      </w:r>
      <w:r>
        <w:rPr>
          <w:spacing w:val="-11"/>
        </w:rPr>
        <w:t> </w:t>
      </w:r>
      <w:r>
        <w:rPr/>
        <w:t>on</w:t>
      </w:r>
      <w:r>
        <w:rPr>
          <w:spacing w:val="-11"/>
        </w:rPr>
        <w:t> </w:t>
      </w:r>
      <w:r>
        <w:rPr/>
        <w:t>the board, there could be entrenchment effect. Consequently, the entrenchment of the executive directors to the CEOs could foster collusion to undermine information gathering by the non- executive</w:t>
      </w:r>
      <w:r>
        <w:rPr>
          <w:spacing w:val="-4"/>
        </w:rPr>
        <w:t> </w:t>
      </w:r>
      <w:r>
        <w:rPr/>
        <w:t>directors.</w:t>
      </w:r>
      <w:r>
        <w:rPr>
          <w:spacing w:val="-1"/>
        </w:rPr>
        <w:t> </w:t>
      </w:r>
      <w:r>
        <w:rPr/>
        <w:t>However,</w:t>
      </w:r>
      <w:r>
        <w:rPr>
          <w:spacing w:val="-3"/>
        </w:rPr>
        <w:t> </w:t>
      </w:r>
      <w:r>
        <w:rPr/>
        <w:t>having</w:t>
      </w:r>
      <w:r>
        <w:rPr>
          <w:spacing w:val="-3"/>
        </w:rPr>
        <w:t> </w:t>
      </w:r>
      <w:r>
        <w:rPr/>
        <w:t>an</w:t>
      </w:r>
      <w:r>
        <w:rPr>
          <w:spacing w:val="-2"/>
        </w:rPr>
        <w:t> </w:t>
      </w:r>
      <w:r>
        <w:rPr/>
        <w:t>appropriate</w:t>
      </w:r>
      <w:r>
        <w:rPr>
          <w:spacing w:val="-3"/>
        </w:rPr>
        <w:t> </w:t>
      </w:r>
      <w:r>
        <w:rPr/>
        <w:t>mix</w:t>
      </w:r>
      <w:r>
        <w:rPr>
          <w:spacing w:val="-3"/>
        </w:rPr>
        <w:t> </w:t>
      </w:r>
      <w:r>
        <w:rPr/>
        <w:t>between</w:t>
      </w:r>
      <w:r>
        <w:rPr>
          <w:spacing w:val="-3"/>
        </w:rPr>
        <w:t> </w:t>
      </w:r>
      <w:r>
        <w:rPr/>
        <w:t>inside</w:t>
      </w:r>
      <w:r>
        <w:rPr>
          <w:spacing w:val="-2"/>
        </w:rPr>
        <w:t> </w:t>
      </w:r>
      <w:r>
        <w:rPr/>
        <w:t>and</w:t>
      </w:r>
      <w:r>
        <w:rPr>
          <w:spacing w:val="-3"/>
        </w:rPr>
        <w:t> </w:t>
      </w:r>
      <w:r>
        <w:rPr/>
        <w:t>outside</w:t>
      </w:r>
      <w:r>
        <w:rPr>
          <w:spacing w:val="-3"/>
        </w:rPr>
        <w:t> </w:t>
      </w:r>
      <w:r>
        <w:rPr/>
        <w:t>directors is germane. From the stewardship theory perspective, managers are better able to manage the organisation, since they are the stewards of its shareholders, when the board consists of insiders.</w:t>
      </w:r>
      <w:r>
        <w:rPr>
          <w:spacing w:val="-1"/>
        </w:rPr>
        <w:t> </w:t>
      </w:r>
      <w:r>
        <w:rPr/>
        <w:t>This</w:t>
      </w:r>
      <w:r>
        <w:rPr>
          <w:spacing w:val="-1"/>
        </w:rPr>
        <w:t> </w:t>
      </w:r>
      <w:r>
        <w:rPr/>
        <w:t>bring</w:t>
      </w:r>
      <w:r>
        <w:rPr>
          <w:spacing w:val="-3"/>
        </w:rPr>
        <w:t> </w:t>
      </w:r>
      <w:r>
        <w:rPr/>
        <w:t>the</w:t>
      </w:r>
      <w:r>
        <w:rPr>
          <w:spacing w:val="-1"/>
        </w:rPr>
        <w:t> </w:t>
      </w:r>
      <w:r>
        <w:rPr/>
        <w:t>best</w:t>
      </w:r>
      <w:r>
        <w:rPr>
          <w:spacing w:val="-1"/>
        </w:rPr>
        <w:t> </w:t>
      </w:r>
      <w:r>
        <w:rPr/>
        <w:t>result from</w:t>
      </w:r>
      <w:r>
        <w:rPr>
          <w:spacing w:val="-1"/>
        </w:rPr>
        <w:t> </w:t>
      </w:r>
      <w:r>
        <w:rPr/>
        <w:t>the</w:t>
      </w:r>
      <w:r>
        <w:rPr>
          <w:spacing w:val="-2"/>
        </w:rPr>
        <w:t> </w:t>
      </w:r>
      <w:r>
        <w:rPr/>
        <w:t>board</w:t>
      </w:r>
      <w:r>
        <w:rPr>
          <w:spacing w:val="-3"/>
        </w:rPr>
        <w:t> </w:t>
      </w:r>
      <w:r>
        <w:rPr/>
        <w:t>as</w:t>
      </w:r>
      <w:r>
        <w:rPr>
          <w:spacing w:val="-1"/>
        </w:rPr>
        <w:t> </w:t>
      </w:r>
      <w:r>
        <w:rPr/>
        <w:t>opposed</w:t>
      </w:r>
      <w:r>
        <w:rPr>
          <w:spacing w:val="-1"/>
        </w:rPr>
        <w:t> </w:t>
      </w:r>
      <w:r>
        <w:rPr/>
        <w:t>to</w:t>
      </w:r>
      <w:r>
        <w:rPr>
          <w:spacing w:val="-1"/>
        </w:rPr>
        <w:t> </w:t>
      </w:r>
      <w:r>
        <w:rPr/>
        <w:t>those</w:t>
      </w:r>
      <w:r>
        <w:rPr>
          <w:spacing w:val="-2"/>
        </w:rPr>
        <w:t> </w:t>
      </w:r>
      <w:r>
        <w:rPr/>
        <w:t>boards</w:t>
      </w:r>
      <w:r>
        <w:rPr>
          <w:spacing w:val="-1"/>
        </w:rPr>
        <w:t> </w:t>
      </w:r>
      <w:r>
        <w:rPr/>
        <w:t>which</w:t>
      </w:r>
      <w:r>
        <w:rPr>
          <w:spacing w:val="-1"/>
        </w:rPr>
        <w:t> </w:t>
      </w:r>
      <w:r>
        <w:rPr/>
        <w:t>consist</w:t>
      </w:r>
      <w:r>
        <w:rPr>
          <w:spacing w:val="-1"/>
        </w:rPr>
        <w:t> </w:t>
      </w:r>
      <w:r>
        <w:rPr/>
        <w:t>of outsiders.</w:t>
      </w:r>
      <w:r>
        <w:rPr>
          <w:spacing w:val="-8"/>
        </w:rPr>
        <w:t> </w:t>
      </w:r>
      <w:r>
        <w:rPr/>
        <w:t>This</w:t>
      </w:r>
      <w:r>
        <w:rPr>
          <w:spacing w:val="-7"/>
        </w:rPr>
        <w:t> </w:t>
      </w:r>
      <w:r>
        <w:rPr/>
        <w:t>assumption</w:t>
      </w:r>
      <w:r>
        <w:rPr>
          <w:spacing w:val="-7"/>
        </w:rPr>
        <w:t> </w:t>
      </w:r>
      <w:r>
        <w:rPr/>
        <w:t>is</w:t>
      </w:r>
      <w:r>
        <w:rPr>
          <w:spacing w:val="-7"/>
        </w:rPr>
        <w:t> </w:t>
      </w:r>
      <w:r>
        <w:rPr/>
        <w:t>based</w:t>
      </w:r>
      <w:r>
        <w:rPr>
          <w:spacing w:val="-7"/>
        </w:rPr>
        <w:t> </w:t>
      </w:r>
      <w:r>
        <w:rPr/>
        <w:t>on</w:t>
      </w:r>
      <w:r>
        <w:rPr>
          <w:spacing w:val="-7"/>
        </w:rPr>
        <w:t> </w:t>
      </w:r>
      <w:r>
        <w:rPr/>
        <w:t>the</w:t>
      </w:r>
      <w:r>
        <w:rPr>
          <w:spacing w:val="-8"/>
        </w:rPr>
        <w:t> </w:t>
      </w:r>
      <w:r>
        <w:rPr/>
        <w:t>notion</w:t>
      </w:r>
      <w:r>
        <w:rPr>
          <w:spacing w:val="-7"/>
        </w:rPr>
        <w:t> </w:t>
      </w:r>
      <w:r>
        <w:rPr/>
        <w:t>that</w:t>
      </w:r>
      <w:r>
        <w:rPr>
          <w:spacing w:val="-7"/>
        </w:rPr>
        <w:t> </w:t>
      </w:r>
      <w:r>
        <w:rPr/>
        <w:t>when</w:t>
      </w:r>
      <w:r>
        <w:rPr>
          <w:spacing w:val="-7"/>
        </w:rPr>
        <w:t> </w:t>
      </w:r>
      <w:r>
        <w:rPr/>
        <w:t>the</w:t>
      </w:r>
      <w:r>
        <w:rPr>
          <w:spacing w:val="-8"/>
        </w:rPr>
        <w:t> </w:t>
      </w:r>
      <w:r>
        <w:rPr/>
        <w:t>board</w:t>
      </w:r>
      <w:r>
        <w:rPr>
          <w:spacing w:val="-8"/>
        </w:rPr>
        <w:t> </w:t>
      </w:r>
      <w:r>
        <w:rPr/>
        <w:t>consists</w:t>
      </w:r>
      <w:r>
        <w:rPr>
          <w:spacing w:val="-7"/>
        </w:rPr>
        <w:t> </w:t>
      </w:r>
      <w:r>
        <w:rPr/>
        <w:t>of</w:t>
      </w:r>
      <w:r>
        <w:rPr>
          <w:spacing w:val="-8"/>
        </w:rPr>
        <w:t> </w:t>
      </w:r>
      <w:r>
        <w:rPr/>
        <w:t>insiders,</w:t>
      </w:r>
      <w:r>
        <w:rPr>
          <w:spacing w:val="-8"/>
        </w:rPr>
        <w:t> </w:t>
      </w:r>
      <w:r>
        <w:rPr/>
        <w:t>they form a collective union of people who are organized since they are already knowledgeable about the organisation (Ramdani &amp; Witteloostuijn, 2010). Furthermore, Donaldson (2001) supported</w:t>
      </w:r>
      <w:r>
        <w:rPr>
          <w:spacing w:val="-7"/>
        </w:rPr>
        <w:t> </w:t>
      </w:r>
      <w:r>
        <w:rPr/>
        <w:t>this</w:t>
      </w:r>
      <w:r>
        <w:rPr>
          <w:spacing w:val="-7"/>
        </w:rPr>
        <w:t> </w:t>
      </w:r>
      <w:r>
        <w:rPr/>
        <w:t>view</w:t>
      </w:r>
      <w:r>
        <w:rPr>
          <w:spacing w:val="-6"/>
        </w:rPr>
        <w:t> </w:t>
      </w:r>
      <w:r>
        <w:rPr/>
        <w:t>by</w:t>
      </w:r>
      <w:r>
        <w:rPr>
          <w:spacing w:val="-7"/>
        </w:rPr>
        <w:t> </w:t>
      </w:r>
      <w:r>
        <w:rPr/>
        <w:t>stating</w:t>
      </w:r>
      <w:r>
        <w:rPr>
          <w:spacing w:val="-7"/>
        </w:rPr>
        <w:t> </w:t>
      </w:r>
      <w:r>
        <w:rPr/>
        <w:t>that</w:t>
      </w:r>
      <w:r>
        <w:rPr>
          <w:spacing w:val="-7"/>
        </w:rPr>
        <w:t> </w:t>
      </w:r>
      <w:r>
        <w:rPr/>
        <w:t>insider</w:t>
      </w:r>
      <w:r>
        <w:rPr>
          <w:spacing w:val="-6"/>
        </w:rPr>
        <w:t> </w:t>
      </w:r>
      <w:r>
        <w:rPr/>
        <w:t>directors</w:t>
      </w:r>
      <w:r>
        <w:rPr>
          <w:spacing w:val="-7"/>
        </w:rPr>
        <w:t> </w:t>
      </w:r>
      <w:r>
        <w:rPr/>
        <w:t>were</w:t>
      </w:r>
      <w:r>
        <w:rPr>
          <w:spacing w:val="-8"/>
        </w:rPr>
        <w:t> </w:t>
      </w:r>
      <w:r>
        <w:rPr/>
        <w:t>more</w:t>
      </w:r>
      <w:r>
        <w:rPr>
          <w:spacing w:val="-8"/>
        </w:rPr>
        <w:t> </w:t>
      </w:r>
      <w:r>
        <w:rPr/>
        <w:t>informed</w:t>
      </w:r>
      <w:r>
        <w:rPr>
          <w:spacing w:val="-5"/>
        </w:rPr>
        <w:t> </w:t>
      </w:r>
      <w:r>
        <w:rPr/>
        <w:t>and,</w:t>
      </w:r>
      <w:r>
        <w:rPr>
          <w:spacing w:val="-7"/>
        </w:rPr>
        <w:t> </w:t>
      </w:r>
      <w:r>
        <w:rPr/>
        <w:t>hence,</w:t>
      </w:r>
      <w:r>
        <w:rPr>
          <w:spacing w:val="-7"/>
        </w:rPr>
        <w:t> </w:t>
      </w:r>
      <w:r>
        <w:rPr/>
        <w:t>they</w:t>
      </w:r>
      <w:r>
        <w:rPr>
          <w:spacing w:val="-6"/>
        </w:rPr>
        <w:t> </w:t>
      </w:r>
      <w:r>
        <w:rPr/>
        <w:t>were better able to make decisions based on relevant and up to date information.</w:t>
      </w:r>
    </w:p>
    <w:p>
      <w:pPr>
        <w:spacing w:after="0" w:line="480" w:lineRule="auto"/>
        <w:jc w:val="both"/>
        <w:sectPr>
          <w:pgSz w:w="11910" w:h="16840"/>
          <w:pgMar w:header="0" w:footer="971" w:top="1360" w:bottom="1160" w:left="500" w:right="0"/>
        </w:sectPr>
      </w:pPr>
    </w:p>
    <w:p>
      <w:pPr>
        <w:pStyle w:val="Heading3"/>
        <w:spacing w:before="61"/>
      </w:pPr>
      <w:r>
        <w:rPr/>
        <w:t>Board</w:t>
      </w:r>
      <w:r>
        <w:rPr>
          <w:spacing w:val="-3"/>
        </w:rPr>
        <w:t> </w:t>
      </w:r>
      <w:r>
        <w:rPr/>
        <w:t>financial</w:t>
      </w:r>
      <w:r>
        <w:rPr>
          <w:spacing w:val="-1"/>
        </w:rPr>
        <w:t> </w:t>
      </w:r>
      <w:r>
        <w:rPr>
          <w:spacing w:val="-2"/>
        </w:rPr>
        <w:t>expertise</w:t>
      </w:r>
    </w:p>
    <w:p>
      <w:pPr>
        <w:pStyle w:val="BodyText"/>
        <w:rPr>
          <w:b/>
        </w:rPr>
      </w:pPr>
    </w:p>
    <w:p>
      <w:pPr>
        <w:pStyle w:val="BodyText"/>
        <w:spacing w:line="480" w:lineRule="auto"/>
        <w:ind w:left="940" w:right="1435"/>
        <w:jc w:val="both"/>
      </w:pPr>
      <w:r>
        <w:rPr/>
        <w:drawing>
          <wp:anchor distT="0" distB="0" distL="0" distR="0" allowOverlap="1" layoutInCell="1" locked="0" behindDoc="1" simplePos="0" relativeHeight="477702656">
            <wp:simplePos x="0" y="0"/>
            <wp:positionH relativeFrom="page">
              <wp:posOffset>1095451</wp:posOffset>
            </wp:positionH>
            <wp:positionV relativeFrom="paragraph">
              <wp:posOffset>1461545</wp:posOffset>
            </wp:positionV>
            <wp:extent cx="5106847" cy="5238115"/>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 cstate="print"/>
                    <a:stretch>
                      <a:fillRect/>
                    </a:stretch>
                  </pic:blipFill>
                  <pic:spPr>
                    <a:xfrm>
                      <a:off x="0" y="0"/>
                      <a:ext cx="5106847" cy="5238115"/>
                    </a:xfrm>
                    <a:prstGeom prst="rect">
                      <a:avLst/>
                    </a:prstGeom>
                  </pic:spPr>
                </pic:pic>
              </a:graphicData>
            </a:graphic>
          </wp:anchor>
        </w:drawing>
      </w:r>
      <w:r>
        <w:rPr/>
        <w:t>Blue Ribbon Committee ([BRC], 1999), defined financial expert as past employment experience in finance or accounting, requisite professional certification in accounting, or any other comparable experience or background which resulted in the individual’s sophistication, including being or having being a CEO or other senior officer with financial oversight responsibility in a particular organisation. The NCCG (2018) stipulated that the board of directors should promote diversity in its membership across a variety of attributes relevant to promoting better decision-making and effective governance. One of such attributes as stipulated in the code is the field of knowledge. According to Guner, Malmendier and Tate (2008), it is important for board members to have an understanding of accounting principles and financial statements which will lead to a better board oversight. Hambrick and Manson (1984) stated that there were two types of essential competencies necessary for the top management team of a company including a company’s directors: (i) functional knowledge; and (ii) firm-specific knowledge. Functional knowledge covers knowledge in finance, accounting, legal, marketing and economics. On the other hand, firm-specific knowledge relates to detailed information about the firm and its operation. Similarly, Abernathy et al. (2014) classified financial expertise into three groups: (i) accounting expertise; (ii) non- accounting</w:t>
      </w:r>
      <w:r>
        <w:rPr>
          <w:spacing w:val="-3"/>
        </w:rPr>
        <w:t> </w:t>
      </w:r>
      <w:r>
        <w:rPr/>
        <w:t>expertise;</w:t>
      </w:r>
      <w:r>
        <w:rPr>
          <w:spacing w:val="-3"/>
        </w:rPr>
        <w:t> </w:t>
      </w:r>
      <w:r>
        <w:rPr/>
        <w:t>and</w:t>
      </w:r>
      <w:r>
        <w:rPr>
          <w:spacing w:val="-4"/>
        </w:rPr>
        <w:t> </w:t>
      </w:r>
      <w:r>
        <w:rPr/>
        <w:t>(iii)</w:t>
      </w:r>
      <w:r>
        <w:rPr>
          <w:spacing w:val="-6"/>
        </w:rPr>
        <w:t> </w:t>
      </w:r>
      <w:r>
        <w:rPr/>
        <w:t>non-financial</w:t>
      </w:r>
      <w:r>
        <w:rPr>
          <w:spacing w:val="-4"/>
        </w:rPr>
        <w:t> </w:t>
      </w:r>
      <w:r>
        <w:rPr/>
        <w:t>expertise</w:t>
      </w:r>
      <w:r>
        <w:rPr>
          <w:sz w:val="20"/>
        </w:rPr>
        <w:t>.</w:t>
      </w:r>
      <w:r>
        <w:rPr>
          <w:spacing w:val="40"/>
          <w:sz w:val="20"/>
        </w:rPr>
        <w:t> </w:t>
      </w:r>
      <w:r>
        <w:rPr/>
        <w:t>Aifuwa</w:t>
      </w:r>
      <w:r>
        <w:rPr>
          <w:spacing w:val="-7"/>
        </w:rPr>
        <w:t> </w:t>
      </w:r>
      <w:r>
        <w:rPr/>
        <w:t>and</w:t>
      </w:r>
      <w:r>
        <w:rPr>
          <w:spacing w:val="-6"/>
        </w:rPr>
        <w:t> </w:t>
      </w:r>
      <w:r>
        <w:rPr/>
        <w:t>Embele</w:t>
      </w:r>
      <w:r>
        <w:rPr>
          <w:spacing w:val="-4"/>
        </w:rPr>
        <w:t> </w:t>
      </w:r>
      <w:r>
        <w:rPr/>
        <w:t>(2018)</w:t>
      </w:r>
      <w:r>
        <w:rPr>
          <w:spacing w:val="-7"/>
        </w:rPr>
        <w:t> </w:t>
      </w:r>
      <w:r>
        <w:rPr/>
        <w:t>opined</w:t>
      </w:r>
      <w:r>
        <w:rPr>
          <w:spacing w:val="-4"/>
        </w:rPr>
        <w:t> </w:t>
      </w:r>
      <w:r>
        <w:rPr/>
        <w:t>that to</w:t>
      </w:r>
      <w:r>
        <w:rPr>
          <w:spacing w:val="-2"/>
        </w:rPr>
        <w:t> </w:t>
      </w:r>
      <w:r>
        <w:rPr/>
        <w:t>become</w:t>
      </w:r>
      <w:r>
        <w:rPr>
          <w:spacing w:val="-1"/>
        </w:rPr>
        <w:t> </w:t>
      </w:r>
      <w:r>
        <w:rPr/>
        <w:t>an</w:t>
      </w:r>
      <w:r>
        <w:rPr>
          <w:spacing w:val="-2"/>
        </w:rPr>
        <w:t> </w:t>
      </w:r>
      <w:r>
        <w:rPr/>
        <w:t>expert</w:t>
      </w:r>
      <w:r>
        <w:rPr>
          <w:spacing w:val="-2"/>
        </w:rPr>
        <w:t> </w:t>
      </w:r>
      <w:r>
        <w:rPr/>
        <w:t>in a</w:t>
      </w:r>
      <w:r>
        <w:rPr>
          <w:spacing w:val="-1"/>
        </w:rPr>
        <w:t> </w:t>
      </w:r>
      <w:r>
        <w:rPr/>
        <w:t>board,</w:t>
      </w:r>
      <w:r>
        <w:rPr>
          <w:spacing w:val="-2"/>
        </w:rPr>
        <w:t> </w:t>
      </w:r>
      <w:r>
        <w:rPr/>
        <w:t>a</w:t>
      </w:r>
      <w:r>
        <w:rPr>
          <w:spacing w:val="-2"/>
        </w:rPr>
        <w:t> </w:t>
      </w:r>
      <w:r>
        <w:rPr/>
        <w:t>director</w:t>
      </w:r>
      <w:r>
        <w:rPr>
          <w:spacing w:val="-2"/>
        </w:rPr>
        <w:t> </w:t>
      </w:r>
      <w:r>
        <w:rPr/>
        <w:t>must</w:t>
      </w:r>
      <w:r>
        <w:rPr>
          <w:spacing w:val="-2"/>
        </w:rPr>
        <w:t> </w:t>
      </w:r>
      <w:r>
        <w:rPr/>
        <w:t>possess</w:t>
      </w:r>
      <w:r>
        <w:rPr>
          <w:spacing w:val="-2"/>
        </w:rPr>
        <w:t> </w:t>
      </w:r>
      <w:r>
        <w:rPr/>
        <w:t>adequate</w:t>
      </w:r>
      <w:r>
        <w:rPr>
          <w:spacing w:val="-2"/>
        </w:rPr>
        <w:t> </w:t>
      </w:r>
      <w:r>
        <w:rPr/>
        <w:t>educational</w:t>
      </w:r>
      <w:r>
        <w:rPr>
          <w:spacing w:val="-2"/>
        </w:rPr>
        <w:t> </w:t>
      </w:r>
      <w:r>
        <w:rPr/>
        <w:t>and</w:t>
      </w:r>
      <w:r>
        <w:rPr>
          <w:spacing w:val="-2"/>
        </w:rPr>
        <w:t> </w:t>
      </w:r>
      <w:r>
        <w:rPr/>
        <w:t>professional experience in areas of finance, accounting and auditing.</w:t>
      </w:r>
    </w:p>
    <w:p>
      <w:pPr>
        <w:pStyle w:val="BodyText"/>
        <w:spacing w:line="480" w:lineRule="auto" w:before="2"/>
        <w:ind w:left="940" w:right="1439"/>
        <w:jc w:val="both"/>
      </w:pPr>
      <w:r>
        <w:rPr/>
        <w:t>According</w:t>
      </w:r>
      <w:r>
        <w:rPr>
          <w:spacing w:val="-15"/>
        </w:rPr>
        <w:t> </w:t>
      </w:r>
      <w:r>
        <w:rPr/>
        <w:t>to</w:t>
      </w:r>
      <w:r>
        <w:rPr>
          <w:spacing w:val="-15"/>
        </w:rPr>
        <w:t> </w:t>
      </w:r>
      <w:r>
        <w:rPr/>
        <w:t>Agrawal</w:t>
      </w:r>
      <w:r>
        <w:rPr>
          <w:spacing w:val="-15"/>
        </w:rPr>
        <w:t> </w:t>
      </w:r>
      <w:r>
        <w:rPr/>
        <w:t>and</w:t>
      </w:r>
      <w:r>
        <w:rPr>
          <w:spacing w:val="-15"/>
        </w:rPr>
        <w:t> </w:t>
      </w:r>
      <w:r>
        <w:rPr/>
        <w:t>Chadha</w:t>
      </w:r>
      <w:r>
        <w:rPr>
          <w:spacing w:val="-15"/>
        </w:rPr>
        <w:t> </w:t>
      </w:r>
      <w:r>
        <w:rPr/>
        <w:t>(2005),</w:t>
      </w:r>
      <w:r>
        <w:rPr>
          <w:spacing w:val="-15"/>
        </w:rPr>
        <w:t> </w:t>
      </w:r>
      <w:r>
        <w:rPr/>
        <w:t>non-experienced</w:t>
      </w:r>
      <w:r>
        <w:rPr>
          <w:spacing w:val="-15"/>
        </w:rPr>
        <w:t> </w:t>
      </w:r>
      <w:r>
        <w:rPr/>
        <w:t>members</w:t>
      </w:r>
      <w:r>
        <w:rPr>
          <w:spacing w:val="-15"/>
        </w:rPr>
        <w:t> </w:t>
      </w:r>
      <w:r>
        <w:rPr/>
        <w:t>in</w:t>
      </w:r>
      <w:r>
        <w:rPr>
          <w:spacing w:val="-15"/>
        </w:rPr>
        <w:t> </w:t>
      </w:r>
      <w:r>
        <w:rPr/>
        <w:t>the</w:t>
      </w:r>
      <w:r>
        <w:rPr>
          <w:spacing w:val="-15"/>
        </w:rPr>
        <w:t> </w:t>
      </w:r>
      <w:r>
        <w:rPr/>
        <w:t>field</w:t>
      </w:r>
      <w:r>
        <w:rPr>
          <w:spacing w:val="-15"/>
        </w:rPr>
        <w:t> </w:t>
      </w:r>
      <w:r>
        <w:rPr/>
        <w:t>of</w:t>
      </w:r>
      <w:r>
        <w:rPr>
          <w:spacing w:val="-15"/>
        </w:rPr>
        <w:t> </w:t>
      </w:r>
      <w:r>
        <w:rPr/>
        <w:t>accounting and finance are not capable of discerning problems in the reports compared to experienced members. The experienced directors are capable of monitoring and advising because they positively contribute to a company’s outcomes through experiential learning. Directors who have</w:t>
      </w:r>
      <w:r>
        <w:rPr>
          <w:spacing w:val="-2"/>
        </w:rPr>
        <w:t> </w:t>
      </w:r>
      <w:r>
        <w:rPr/>
        <w:t>reasonable</w:t>
      </w:r>
      <w:r>
        <w:rPr>
          <w:spacing w:val="-1"/>
        </w:rPr>
        <w:t> </w:t>
      </w:r>
      <w:r>
        <w:rPr/>
        <w:t>financial backgrounds</w:t>
      </w:r>
      <w:r>
        <w:rPr>
          <w:spacing w:val="-1"/>
        </w:rPr>
        <w:t> </w:t>
      </w:r>
      <w:r>
        <w:rPr/>
        <w:t>are</w:t>
      </w:r>
      <w:r>
        <w:rPr>
          <w:spacing w:val="-2"/>
        </w:rPr>
        <w:t> </w:t>
      </w:r>
      <w:r>
        <w:rPr/>
        <w:t>more</w:t>
      </w:r>
      <w:r>
        <w:rPr>
          <w:spacing w:val="-2"/>
        </w:rPr>
        <w:t> </w:t>
      </w:r>
      <w:r>
        <w:rPr/>
        <w:t>effective</w:t>
      </w:r>
      <w:r>
        <w:rPr>
          <w:spacing w:val="-2"/>
        </w:rPr>
        <w:t> </w:t>
      </w:r>
      <w:r>
        <w:rPr/>
        <w:t>in</w:t>
      </w:r>
      <w:r>
        <w:rPr>
          <w:spacing w:val="-1"/>
        </w:rPr>
        <w:t> </w:t>
      </w:r>
      <w:r>
        <w:rPr/>
        <w:t>providing</w:t>
      </w:r>
      <w:r>
        <w:rPr>
          <w:spacing w:val="-1"/>
        </w:rPr>
        <w:t> </w:t>
      </w:r>
      <w:r>
        <w:rPr/>
        <w:t>internal</w:t>
      </w:r>
      <w:r>
        <w:rPr>
          <w:spacing w:val="-1"/>
        </w:rPr>
        <w:t> </w:t>
      </w:r>
      <w:r>
        <w:rPr/>
        <w:t>control</w:t>
      </w:r>
      <w:r>
        <w:rPr>
          <w:spacing w:val="-1"/>
        </w:rPr>
        <w:t> </w:t>
      </w:r>
      <w:r>
        <w:rPr>
          <w:spacing w:val="-2"/>
        </w:rPr>
        <w:t>system</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03168">
            <wp:simplePos x="0" y="0"/>
            <wp:positionH relativeFrom="page">
              <wp:posOffset>1095451</wp:posOffset>
            </wp:positionH>
            <wp:positionV relativeFrom="paragraph">
              <wp:posOffset>1850770</wp:posOffset>
            </wp:positionV>
            <wp:extent cx="5106847" cy="5238115"/>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5106847" cy="5238115"/>
                    </a:xfrm>
                    <a:prstGeom prst="rect">
                      <a:avLst/>
                    </a:prstGeom>
                  </pic:spPr>
                </pic:pic>
              </a:graphicData>
            </a:graphic>
          </wp:anchor>
        </w:drawing>
      </w:r>
      <w:r>
        <w:rPr/>
        <w:t>mechanisms to control firm performance (Conger &amp; Ready, 2004; Kor &amp; Sundaramuthy, 2009). When the board is comprised of experts, there is always a level of confidence in the financial statements reported (Onourah &amp; Imene, 2016). Board experience will assist in creating transparent financial information as it facilitates a comparison of knowledge and experience with respect to other firms (Dahya, Lonie, &amp; Power, 1996). Board members’ appropriate knowledge obtained through directorship experience could be significant in explaining the effectiveness of a particular board, and. hence those who lack experience are incapable of contributing fully to a firm’s strategy (Kroll, Walters &amp; Wright, 2008).</w:t>
      </w:r>
    </w:p>
    <w:p>
      <w:pPr>
        <w:pStyle w:val="Heading3"/>
        <w:spacing w:before="1"/>
      </w:pPr>
      <w:r>
        <w:rPr/>
        <w:t>Institutional </w:t>
      </w:r>
      <w:r>
        <w:rPr>
          <w:spacing w:val="-2"/>
        </w:rPr>
        <w:t>Ownership</w:t>
      </w:r>
    </w:p>
    <w:p>
      <w:pPr>
        <w:pStyle w:val="BodyText"/>
        <w:rPr>
          <w:b/>
        </w:rPr>
      </w:pPr>
    </w:p>
    <w:p>
      <w:pPr>
        <w:pStyle w:val="BodyText"/>
        <w:spacing w:line="480" w:lineRule="auto"/>
        <w:ind w:left="940" w:right="1434"/>
        <w:jc w:val="both"/>
      </w:pPr>
      <w:r>
        <w:rPr/>
        <w:t>These are shareholdings by corporate institutions such as banks, insurance companies, retirement</w:t>
      </w:r>
      <w:r>
        <w:rPr>
          <w:spacing w:val="-8"/>
        </w:rPr>
        <w:t> </w:t>
      </w:r>
      <w:r>
        <w:rPr/>
        <w:t>or</w:t>
      </w:r>
      <w:r>
        <w:rPr>
          <w:spacing w:val="-9"/>
        </w:rPr>
        <w:t> </w:t>
      </w:r>
      <w:r>
        <w:rPr/>
        <w:t>pension</w:t>
      </w:r>
      <w:r>
        <w:rPr>
          <w:spacing w:val="-8"/>
        </w:rPr>
        <w:t> </w:t>
      </w:r>
      <w:r>
        <w:rPr/>
        <w:t>funds,</w:t>
      </w:r>
      <w:r>
        <w:rPr>
          <w:spacing w:val="-8"/>
        </w:rPr>
        <w:t> </w:t>
      </w:r>
      <w:r>
        <w:rPr/>
        <w:t>hedges</w:t>
      </w:r>
      <w:r>
        <w:rPr>
          <w:spacing w:val="-8"/>
        </w:rPr>
        <w:t> </w:t>
      </w:r>
      <w:r>
        <w:rPr/>
        <w:t>funds,</w:t>
      </w:r>
      <w:r>
        <w:rPr>
          <w:spacing w:val="-9"/>
        </w:rPr>
        <w:t> </w:t>
      </w:r>
      <w:r>
        <w:rPr/>
        <w:t>investment</w:t>
      </w:r>
      <w:r>
        <w:rPr>
          <w:spacing w:val="-8"/>
        </w:rPr>
        <w:t> </w:t>
      </w:r>
      <w:r>
        <w:rPr/>
        <w:t>advisors</w:t>
      </w:r>
      <w:r>
        <w:rPr>
          <w:spacing w:val="-9"/>
        </w:rPr>
        <w:t> </w:t>
      </w:r>
      <w:r>
        <w:rPr/>
        <w:t>and</w:t>
      </w:r>
      <w:r>
        <w:rPr>
          <w:spacing w:val="-5"/>
        </w:rPr>
        <w:t> </w:t>
      </w:r>
      <w:r>
        <w:rPr/>
        <w:t>mutual</w:t>
      </w:r>
      <w:r>
        <w:rPr>
          <w:spacing w:val="-8"/>
        </w:rPr>
        <w:t> </w:t>
      </w:r>
      <w:r>
        <w:rPr/>
        <w:t>funds.</w:t>
      </w:r>
      <w:r>
        <w:rPr>
          <w:spacing w:val="-9"/>
        </w:rPr>
        <w:t> </w:t>
      </w:r>
      <w:r>
        <w:rPr/>
        <w:t>Considering the importance of corporate governance, shareholders’ active participation in the monitoring function</w:t>
      </w:r>
      <w:r>
        <w:rPr>
          <w:spacing w:val="-5"/>
        </w:rPr>
        <w:t> </w:t>
      </w:r>
      <w:r>
        <w:rPr/>
        <w:t>is</w:t>
      </w:r>
      <w:r>
        <w:rPr>
          <w:spacing w:val="-4"/>
        </w:rPr>
        <w:t> </w:t>
      </w:r>
      <w:r>
        <w:rPr/>
        <w:t>important</w:t>
      </w:r>
      <w:r>
        <w:rPr>
          <w:spacing w:val="-4"/>
        </w:rPr>
        <w:t> </w:t>
      </w:r>
      <w:r>
        <w:rPr/>
        <w:t>to</w:t>
      </w:r>
      <w:r>
        <w:rPr>
          <w:spacing w:val="-4"/>
        </w:rPr>
        <w:t> </w:t>
      </w:r>
      <w:r>
        <w:rPr/>
        <w:t>ensure</w:t>
      </w:r>
      <w:r>
        <w:rPr>
          <w:spacing w:val="-6"/>
        </w:rPr>
        <w:t> </w:t>
      </w:r>
      <w:r>
        <w:rPr/>
        <w:t>good</w:t>
      </w:r>
      <w:r>
        <w:rPr>
          <w:spacing w:val="-5"/>
        </w:rPr>
        <w:t> </w:t>
      </w:r>
      <w:r>
        <w:rPr/>
        <w:t>corporate</w:t>
      </w:r>
      <w:r>
        <w:rPr>
          <w:spacing w:val="-6"/>
        </w:rPr>
        <w:t> </w:t>
      </w:r>
      <w:r>
        <w:rPr/>
        <w:t>governance</w:t>
      </w:r>
      <w:r>
        <w:rPr>
          <w:spacing w:val="-6"/>
        </w:rPr>
        <w:t> </w:t>
      </w:r>
      <w:r>
        <w:rPr/>
        <w:t>practices.</w:t>
      </w:r>
      <w:r>
        <w:rPr>
          <w:spacing w:val="-5"/>
        </w:rPr>
        <w:t> </w:t>
      </w:r>
      <w:r>
        <w:rPr/>
        <w:t>The</w:t>
      </w:r>
      <w:r>
        <w:rPr>
          <w:spacing w:val="-4"/>
        </w:rPr>
        <w:t> </w:t>
      </w:r>
      <w:r>
        <w:rPr/>
        <w:t>NCCG</w:t>
      </w:r>
      <w:r>
        <w:rPr>
          <w:spacing w:val="-5"/>
        </w:rPr>
        <w:t> </w:t>
      </w:r>
      <w:r>
        <w:rPr/>
        <w:t>(2018, p.</w:t>
      </w:r>
      <w:r>
        <w:rPr>
          <w:spacing w:val="-5"/>
        </w:rPr>
        <w:t> </w:t>
      </w:r>
      <w:r>
        <w:rPr/>
        <w:t>29) stated that the board should encourage institutional investors to: (i) “positively influence the standard of corporate governance and promote value creation in the companies in which they invest;</w:t>
      </w:r>
      <w:r>
        <w:rPr>
          <w:spacing w:val="-14"/>
        </w:rPr>
        <w:t> </w:t>
      </w:r>
      <w:r>
        <w:rPr/>
        <w:t>and</w:t>
      </w:r>
      <w:r>
        <w:rPr>
          <w:spacing w:val="-14"/>
        </w:rPr>
        <w:t> </w:t>
      </w:r>
      <w:r>
        <w:rPr/>
        <w:t>(ii).</w:t>
      </w:r>
      <w:r>
        <w:rPr>
          <w:spacing w:val="-13"/>
        </w:rPr>
        <w:t> </w:t>
      </w:r>
      <w:r>
        <w:rPr/>
        <w:t>Also,</w:t>
      </w:r>
      <w:r>
        <w:rPr>
          <w:spacing w:val="-14"/>
        </w:rPr>
        <w:t> </w:t>
      </w:r>
      <w:r>
        <w:rPr/>
        <w:t>the</w:t>
      </w:r>
      <w:r>
        <w:rPr>
          <w:spacing w:val="-13"/>
        </w:rPr>
        <w:t> </w:t>
      </w:r>
      <w:r>
        <w:rPr/>
        <w:t>institutional</w:t>
      </w:r>
      <w:r>
        <w:rPr>
          <w:spacing w:val="-14"/>
        </w:rPr>
        <w:t> </w:t>
      </w:r>
      <w:r>
        <w:rPr/>
        <w:t>investors</w:t>
      </w:r>
      <w:r>
        <w:rPr>
          <w:spacing w:val="-15"/>
        </w:rPr>
        <w:t> </w:t>
      </w:r>
      <w:r>
        <w:rPr/>
        <w:t>should</w:t>
      </w:r>
      <w:r>
        <w:rPr>
          <w:spacing w:val="-14"/>
        </w:rPr>
        <w:t> </w:t>
      </w:r>
      <w:r>
        <w:rPr/>
        <w:t>monitor</w:t>
      </w:r>
      <w:r>
        <w:rPr>
          <w:spacing w:val="-15"/>
        </w:rPr>
        <w:t> </w:t>
      </w:r>
      <w:r>
        <w:rPr/>
        <w:t>conformance</w:t>
      </w:r>
      <w:r>
        <w:rPr>
          <w:spacing w:val="-13"/>
        </w:rPr>
        <w:t> </w:t>
      </w:r>
      <w:r>
        <w:rPr/>
        <w:t>with</w:t>
      </w:r>
      <w:r>
        <w:rPr>
          <w:spacing w:val="-14"/>
        </w:rPr>
        <w:t> </w:t>
      </w:r>
      <w:r>
        <w:rPr/>
        <w:t>the</w:t>
      </w:r>
      <w:r>
        <w:rPr>
          <w:spacing w:val="-15"/>
        </w:rPr>
        <w:t> </w:t>
      </w:r>
      <w:r>
        <w:rPr/>
        <w:t>provision of the code and raise concerns as appropriate”. Institutional investors’ participation has emerged as an important force in corporate monitoring to serve as a mechanism to protect minority shareholders’ interest. Institutional shareholdings is one of the effective elements of external control over corporate governance. The significant increase in the institutional investors‟</w:t>
      </w:r>
      <w:r>
        <w:rPr>
          <w:spacing w:val="-1"/>
        </w:rPr>
        <w:t> </w:t>
      </w:r>
      <w:r>
        <w:rPr/>
        <w:t>shareholdings has led</w:t>
      </w:r>
      <w:r>
        <w:rPr>
          <w:spacing w:val="-1"/>
        </w:rPr>
        <w:t> </w:t>
      </w:r>
      <w:r>
        <w:rPr/>
        <w:t>to the</w:t>
      </w:r>
      <w:r>
        <w:rPr>
          <w:spacing w:val="-1"/>
        </w:rPr>
        <w:t> </w:t>
      </w:r>
      <w:r>
        <w:rPr/>
        <w:t>formation of</w:t>
      </w:r>
      <w:r>
        <w:rPr>
          <w:spacing w:val="-1"/>
        </w:rPr>
        <w:t> </w:t>
      </w:r>
      <w:r>
        <w:rPr/>
        <w:t>a</w:t>
      </w:r>
      <w:r>
        <w:rPr>
          <w:spacing w:val="-1"/>
        </w:rPr>
        <w:t> </w:t>
      </w:r>
      <w:r>
        <w:rPr/>
        <w:t>large and powerful</w:t>
      </w:r>
      <w:r>
        <w:rPr>
          <w:spacing w:val="-1"/>
        </w:rPr>
        <w:t> </w:t>
      </w:r>
      <w:r>
        <w:rPr/>
        <w:t>constituency to play a</w:t>
      </w:r>
      <w:r>
        <w:rPr>
          <w:spacing w:val="-15"/>
        </w:rPr>
        <w:t> </w:t>
      </w:r>
      <w:r>
        <w:rPr/>
        <w:t>significant</w:t>
      </w:r>
      <w:r>
        <w:rPr>
          <w:spacing w:val="-15"/>
        </w:rPr>
        <w:t> </w:t>
      </w:r>
      <w:r>
        <w:rPr/>
        <w:t>role</w:t>
      </w:r>
      <w:r>
        <w:rPr>
          <w:spacing w:val="-15"/>
        </w:rPr>
        <w:t> </w:t>
      </w:r>
      <w:r>
        <w:rPr/>
        <w:t>in</w:t>
      </w:r>
      <w:r>
        <w:rPr>
          <w:spacing w:val="-15"/>
        </w:rPr>
        <w:t> </w:t>
      </w:r>
      <w:r>
        <w:rPr/>
        <w:t>corporate</w:t>
      </w:r>
      <w:r>
        <w:rPr>
          <w:spacing w:val="-15"/>
        </w:rPr>
        <w:t> </w:t>
      </w:r>
      <w:r>
        <w:rPr/>
        <w:t>governance.</w:t>
      </w:r>
      <w:r>
        <w:rPr>
          <w:spacing w:val="-15"/>
        </w:rPr>
        <w:t> </w:t>
      </w:r>
      <w:r>
        <w:rPr/>
        <w:t>The</w:t>
      </w:r>
      <w:r>
        <w:rPr>
          <w:spacing w:val="-15"/>
        </w:rPr>
        <w:t> </w:t>
      </w:r>
      <w:r>
        <w:rPr/>
        <w:t>active</w:t>
      </w:r>
      <w:r>
        <w:rPr>
          <w:spacing w:val="-15"/>
        </w:rPr>
        <w:t> </w:t>
      </w:r>
      <w:r>
        <w:rPr/>
        <w:t>monitoring</w:t>
      </w:r>
      <w:r>
        <w:rPr>
          <w:spacing w:val="-13"/>
        </w:rPr>
        <w:t> </w:t>
      </w:r>
      <w:r>
        <w:rPr/>
        <w:t>hypothesis</w:t>
      </w:r>
      <w:r>
        <w:rPr>
          <w:spacing w:val="-15"/>
        </w:rPr>
        <w:t> </w:t>
      </w:r>
      <w:r>
        <w:rPr/>
        <w:t>views</w:t>
      </w:r>
      <w:r>
        <w:rPr>
          <w:spacing w:val="-14"/>
        </w:rPr>
        <w:t> </w:t>
      </w:r>
      <w:r>
        <w:rPr/>
        <w:t>institutional investors as long-term investors with raving incentives and motivations to closely monitor management</w:t>
      </w:r>
      <w:r>
        <w:rPr>
          <w:spacing w:val="47"/>
        </w:rPr>
        <w:t> </w:t>
      </w:r>
      <w:r>
        <w:rPr/>
        <w:t>action</w:t>
      </w:r>
      <w:r>
        <w:rPr>
          <w:spacing w:val="49"/>
        </w:rPr>
        <w:t> </w:t>
      </w:r>
      <w:r>
        <w:rPr/>
        <w:t>(Jung</w:t>
      </w:r>
      <w:r>
        <w:rPr>
          <w:spacing w:val="48"/>
        </w:rPr>
        <w:t> </w:t>
      </w:r>
      <w:r>
        <w:rPr/>
        <w:t>&amp;</w:t>
      </w:r>
      <w:r>
        <w:rPr>
          <w:spacing w:val="49"/>
        </w:rPr>
        <w:t> </w:t>
      </w:r>
      <w:r>
        <w:rPr/>
        <w:t>Kown,</w:t>
      </w:r>
      <w:r>
        <w:rPr>
          <w:spacing w:val="49"/>
        </w:rPr>
        <w:t> </w:t>
      </w:r>
      <w:r>
        <w:rPr/>
        <w:t>2002).</w:t>
      </w:r>
      <w:r>
        <w:rPr>
          <w:spacing w:val="49"/>
        </w:rPr>
        <w:t> </w:t>
      </w:r>
      <w:r>
        <w:rPr/>
        <w:t>Institutions</w:t>
      </w:r>
      <w:r>
        <w:rPr>
          <w:spacing w:val="49"/>
        </w:rPr>
        <w:t> </w:t>
      </w:r>
      <w:r>
        <w:rPr/>
        <w:t>are</w:t>
      </w:r>
      <w:r>
        <w:rPr>
          <w:spacing w:val="47"/>
        </w:rPr>
        <w:t> </w:t>
      </w:r>
      <w:r>
        <w:rPr/>
        <w:t>the</w:t>
      </w:r>
      <w:r>
        <w:rPr>
          <w:spacing w:val="48"/>
        </w:rPr>
        <w:t> </w:t>
      </w:r>
      <w:r>
        <w:rPr/>
        <w:t>most</w:t>
      </w:r>
      <w:r>
        <w:rPr>
          <w:spacing w:val="50"/>
        </w:rPr>
        <w:t> </w:t>
      </w:r>
      <w:r>
        <w:rPr/>
        <w:t>significant</w:t>
      </w:r>
      <w:r>
        <w:rPr>
          <w:spacing w:val="49"/>
        </w:rPr>
        <w:t> </w:t>
      </w:r>
      <w:r>
        <w:rPr/>
        <w:t>group</w:t>
      </w:r>
      <w:r>
        <w:rPr>
          <w:spacing w:val="49"/>
        </w:rPr>
        <w:t> </w:t>
      </w:r>
      <w:r>
        <w:rPr>
          <w:spacing w:val="-7"/>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investors and have the power to impact a company’s management’s activities either directly through their ownership or indirectly by trading in their shares (Gillan &amp; Starks, 2003).</w:t>
      </w:r>
    </w:p>
    <w:p>
      <w:pPr>
        <w:pStyle w:val="BodyText"/>
        <w:spacing w:line="480" w:lineRule="auto"/>
        <w:ind w:left="940" w:right="1435"/>
        <w:jc w:val="both"/>
      </w:pPr>
      <w:r>
        <w:rPr/>
        <w:drawing>
          <wp:anchor distT="0" distB="0" distL="0" distR="0" allowOverlap="1" layoutInCell="1" locked="0" behindDoc="1" simplePos="0" relativeHeight="477703680">
            <wp:simplePos x="0" y="0"/>
            <wp:positionH relativeFrom="page">
              <wp:posOffset>1095451</wp:posOffset>
            </wp:positionH>
            <wp:positionV relativeFrom="paragraph">
              <wp:posOffset>1111055</wp:posOffset>
            </wp:positionV>
            <wp:extent cx="5106847" cy="5238115"/>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5" cstate="print"/>
                    <a:stretch>
                      <a:fillRect/>
                    </a:stretch>
                  </pic:blipFill>
                  <pic:spPr>
                    <a:xfrm>
                      <a:off x="0" y="0"/>
                      <a:ext cx="5106847" cy="5238115"/>
                    </a:xfrm>
                    <a:prstGeom prst="rect">
                      <a:avLst/>
                    </a:prstGeom>
                  </pic:spPr>
                </pic:pic>
              </a:graphicData>
            </a:graphic>
          </wp:anchor>
        </w:drawing>
      </w:r>
      <w:r>
        <w:rPr/>
        <w:t>Corporate monitoring by institutional investors can constrain managers’ behaviours because they</w:t>
      </w:r>
      <w:r>
        <w:rPr>
          <w:spacing w:val="-13"/>
        </w:rPr>
        <w:t> </w:t>
      </w:r>
      <w:r>
        <w:rPr/>
        <w:t>have</w:t>
      </w:r>
      <w:r>
        <w:rPr>
          <w:spacing w:val="-13"/>
        </w:rPr>
        <w:t> </w:t>
      </w:r>
      <w:r>
        <w:rPr/>
        <w:t>the</w:t>
      </w:r>
      <w:r>
        <w:rPr>
          <w:spacing w:val="-14"/>
        </w:rPr>
        <w:t> </w:t>
      </w:r>
      <w:r>
        <w:rPr/>
        <w:t>opportunity,</w:t>
      </w:r>
      <w:r>
        <w:rPr>
          <w:spacing w:val="-13"/>
        </w:rPr>
        <w:t> </w:t>
      </w:r>
      <w:r>
        <w:rPr/>
        <w:t>resources,</w:t>
      </w:r>
      <w:r>
        <w:rPr>
          <w:spacing w:val="-13"/>
        </w:rPr>
        <w:t> </w:t>
      </w:r>
      <w:r>
        <w:rPr/>
        <w:t>and</w:t>
      </w:r>
      <w:r>
        <w:rPr>
          <w:spacing w:val="-13"/>
        </w:rPr>
        <w:t> </w:t>
      </w:r>
      <w:r>
        <w:rPr/>
        <w:t>ability</w:t>
      </w:r>
      <w:r>
        <w:rPr>
          <w:spacing w:val="-13"/>
        </w:rPr>
        <w:t> </w:t>
      </w:r>
      <w:r>
        <w:rPr/>
        <w:t>to</w:t>
      </w:r>
      <w:r>
        <w:rPr>
          <w:spacing w:val="-13"/>
        </w:rPr>
        <w:t> </w:t>
      </w:r>
      <w:r>
        <w:rPr/>
        <w:t>monitor,</w:t>
      </w:r>
      <w:r>
        <w:rPr>
          <w:spacing w:val="-13"/>
        </w:rPr>
        <w:t> </w:t>
      </w:r>
      <w:r>
        <w:rPr/>
        <w:t>discipline,</w:t>
      </w:r>
      <w:r>
        <w:rPr>
          <w:spacing w:val="-13"/>
        </w:rPr>
        <w:t> </w:t>
      </w:r>
      <w:r>
        <w:rPr/>
        <w:t>and</w:t>
      </w:r>
      <w:r>
        <w:rPr>
          <w:spacing w:val="-13"/>
        </w:rPr>
        <w:t> </w:t>
      </w:r>
      <w:r>
        <w:rPr/>
        <w:t>influence</w:t>
      </w:r>
      <w:r>
        <w:rPr>
          <w:spacing w:val="-13"/>
        </w:rPr>
        <w:t> </w:t>
      </w:r>
      <w:r>
        <w:rPr/>
        <w:t>managers (Gillan</w:t>
      </w:r>
      <w:r>
        <w:rPr>
          <w:spacing w:val="-6"/>
        </w:rPr>
        <w:t> </w:t>
      </w:r>
      <w:r>
        <w:rPr/>
        <w:t>&amp;</w:t>
      </w:r>
      <w:r>
        <w:rPr>
          <w:spacing w:val="-5"/>
        </w:rPr>
        <w:t> </w:t>
      </w:r>
      <w:r>
        <w:rPr/>
        <w:t>Starks,</w:t>
      </w:r>
      <w:r>
        <w:rPr>
          <w:spacing w:val="-6"/>
        </w:rPr>
        <w:t> </w:t>
      </w:r>
      <w:r>
        <w:rPr/>
        <w:t>2003).</w:t>
      </w:r>
      <w:r>
        <w:rPr>
          <w:spacing w:val="-6"/>
        </w:rPr>
        <w:t> </w:t>
      </w:r>
      <w:r>
        <w:rPr/>
        <w:t>Also,</w:t>
      </w:r>
      <w:r>
        <w:rPr>
          <w:spacing w:val="-6"/>
        </w:rPr>
        <w:t> </w:t>
      </w:r>
      <w:r>
        <w:rPr/>
        <w:t>Balsam,</w:t>
      </w:r>
      <w:r>
        <w:rPr>
          <w:spacing w:val="-6"/>
        </w:rPr>
        <w:t> </w:t>
      </w:r>
      <w:r>
        <w:rPr/>
        <w:t>Krishnan</w:t>
      </w:r>
      <w:r>
        <w:rPr>
          <w:spacing w:val="-6"/>
        </w:rPr>
        <w:t> </w:t>
      </w:r>
      <w:r>
        <w:rPr/>
        <w:t>and</w:t>
      </w:r>
      <w:r>
        <w:rPr>
          <w:spacing w:val="-6"/>
        </w:rPr>
        <w:t> </w:t>
      </w:r>
      <w:r>
        <w:rPr/>
        <w:t>Yang</w:t>
      </w:r>
      <w:r>
        <w:rPr>
          <w:spacing w:val="-6"/>
        </w:rPr>
        <w:t> </w:t>
      </w:r>
      <w:r>
        <w:rPr/>
        <w:t>(2003)</w:t>
      </w:r>
      <w:r>
        <w:rPr>
          <w:spacing w:val="-3"/>
        </w:rPr>
        <w:t> </w:t>
      </w:r>
      <w:r>
        <w:rPr/>
        <w:t>argued</w:t>
      </w:r>
      <w:r>
        <w:rPr>
          <w:spacing w:val="-6"/>
        </w:rPr>
        <w:t> </w:t>
      </w:r>
      <w:r>
        <w:rPr/>
        <w:t>that</w:t>
      </w:r>
      <w:r>
        <w:rPr>
          <w:spacing w:val="-5"/>
        </w:rPr>
        <w:t> </w:t>
      </w:r>
      <w:r>
        <w:rPr/>
        <w:t>the</w:t>
      </w:r>
      <w:r>
        <w:rPr>
          <w:spacing w:val="-3"/>
        </w:rPr>
        <w:t> </w:t>
      </w:r>
      <w:r>
        <w:rPr/>
        <w:t>institutional shareholdings</w:t>
      </w:r>
      <w:r>
        <w:rPr>
          <w:spacing w:val="-15"/>
        </w:rPr>
        <w:t> </w:t>
      </w:r>
      <w:r>
        <w:rPr/>
        <w:t>had</w:t>
      </w:r>
      <w:r>
        <w:rPr>
          <w:spacing w:val="-15"/>
        </w:rPr>
        <w:t> </w:t>
      </w:r>
      <w:r>
        <w:rPr/>
        <w:t>the</w:t>
      </w:r>
      <w:r>
        <w:rPr>
          <w:spacing w:val="-15"/>
        </w:rPr>
        <w:t> </w:t>
      </w:r>
      <w:r>
        <w:rPr/>
        <w:t>advantage</w:t>
      </w:r>
      <w:r>
        <w:rPr>
          <w:spacing w:val="-15"/>
        </w:rPr>
        <w:t> </w:t>
      </w:r>
      <w:r>
        <w:rPr/>
        <w:t>of</w:t>
      </w:r>
      <w:r>
        <w:rPr>
          <w:spacing w:val="-15"/>
        </w:rPr>
        <w:t> </w:t>
      </w:r>
      <w:r>
        <w:rPr/>
        <w:t>discovering</w:t>
      </w:r>
      <w:r>
        <w:rPr>
          <w:spacing w:val="-15"/>
        </w:rPr>
        <w:t> </w:t>
      </w:r>
      <w:r>
        <w:rPr/>
        <w:t>earnings</w:t>
      </w:r>
      <w:r>
        <w:rPr>
          <w:spacing w:val="-15"/>
        </w:rPr>
        <w:t> </w:t>
      </w:r>
      <w:r>
        <w:rPr/>
        <w:t>management</w:t>
      </w:r>
      <w:r>
        <w:rPr>
          <w:spacing w:val="-14"/>
        </w:rPr>
        <w:t> </w:t>
      </w:r>
      <w:r>
        <w:rPr/>
        <w:t>practices.</w:t>
      </w:r>
      <w:r>
        <w:rPr>
          <w:spacing w:val="-15"/>
        </w:rPr>
        <w:t> </w:t>
      </w:r>
      <w:r>
        <w:rPr/>
        <w:t>Jiang</w:t>
      </w:r>
      <w:r>
        <w:rPr>
          <w:spacing w:val="-15"/>
        </w:rPr>
        <w:t> </w:t>
      </w:r>
      <w:r>
        <w:rPr/>
        <w:t>and</w:t>
      </w:r>
      <w:r>
        <w:rPr>
          <w:spacing w:val="-14"/>
        </w:rPr>
        <w:t> </w:t>
      </w:r>
      <w:r>
        <w:rPr/>
        <w:t>Kim (2000) indicated that, in terms of the market, institutional ownership increased accounting conservatism and reduced asymmetry information between managers and other interested parties. Also, they could affect accounting procedures and financial statements by controlling the administrations’ behaviour to increase the quality of financial statements (Feldmann &amp; Schwarzkopf, 2003; Song, 2015). According to Velury and Jenkins (2006), institutional investors, comparatively to individual investors, have additional capability of gathering, interpreting</w:t>
      </w:r>
      <w:r>
        <w:rPr>
          <w:spacing w:val="-8"/>
        </w:rPr>
        <w:t> </w:t>
      </w:r>
      <w:r>
        <w:rPr/>
        <w:t>financial</w:t>
      </w:r>
      <w:r>
        <w:rPr>
          <w:spacing w:val="-8"/>
        </w:rPr>
        <w:t> </w:t>
      </w:r>
      <w:r>
        <w:rPr/>
        <w:t>reports</w:t>
      </w:r>
      <w:r>
        <w:rPr>
          <w:spacing w:val="-8"/>
        </w:rPr>
        <w:t> </w:t>
      </w:r>
      <w:r>
        <w:rPr/>
        <w:t>and</w:t>
      </w:r>
      <w:r>
        <w:rPr>
          <w:spacing w:val="-8"/>
        </w:rPr>
        <w:t> </w:t>
      </w:r>
      <w:r>
        <w:rPr/>
        <w:t>detecting</w:t>
      </w:r>
      <w:r>
        <w:rPr>
          <w:spacing w:val="-8"/>
        </w:rPr>
        <w:t> </w:t>
      </w:r>
      <w:r>
        <w:rPr/>
        <w:t>managerial</w:t>
      </w:r>
      <w:r>
        <w:rPr>
          <w:spacing w:val="-8"/>
        </w:rPr>
        <w:t> </w:t>
      </w:r>
      <w:r>
        <w:rPr/>
        <w:t>opportunism</w:t>
      </w:r>
      <w:r>
        <w:rPr>
          <w:spacing w:val="-8"/>
        </w:rPr>
        <w:t> </w:t>
      </w:r>
      <w:r>
        <w:rPr/>
        <w:t>over</w:t>
      </w:r>
      <w:r>
        <w:rPr>
          <w:spacing w:val="-7"/>
        </w:rPr>
        <w:t> </w:t>
      </w:r>
      <w:r>
        <w:rPr/>
        <w:t>earnings</w:t>
      </w:r>
      <w:r>
        <w:rPr>
          <w:spacing w:val="-8"/>
        </w:rPr>
        <w:t> </w:t>
      </w:r>
      <w:r>
        <w:rPr/>
        <w:t>figures.</w:t>
      </w:r>
      <w:r>
        <w:rPr>
          <w:spacing w:val="-8"/>
        </w:rPr>
        <w:t> </w:t>
      </w:r>
      <w:r>
        <w:rPr/>
        <w:t>The institutional</w:t>
      </w:r>
      <w:r>
        <w:rPr>
          <w:spacing w:val="-15"/>
        </w:rPr>
        <w:t> </w:t>
      </w:r>
      <w:r>
        <w:rPr/>
        <w:t>investors</w:t>
      </w:r>
      <w:r>
        <w:rPr>
          <w:spacing w:val="-15"/>
        </w:rPr>
        <w:t> </w:t>
      </w:r>
      <w:r>
        <w:rPr/>
        <w:t>are</w:t>
      </w:r>
      <w:r>
        <w:rPr>
          <w:spacing w:val="-15"/>
        </w:rPr>
        <w:t> </w:t>
      </w:r>
      <w:r>
        <w:rPr/>
        <w:t>also</w:t>
      </w:r>
      <w:r>
        <w:rPr>
          <w:spacing w:val="-15"/>
        </w:rPr>
        <w:t> </w:t>
      </w:r>
      <w:r>
        <w:rPr/>
        <w:t>interested</w:t>
      </w:r>
      <w:r>
        <w:rPr>
          <w:spacing w:val="-15"/>
        </w:rPr>
        <w:t> </w:t>
      </w:r>
      <w:r>
        <w:rPr/>
        <w:t>in</w:t>
      </w:r>
      <w:r>
        <w:rPr>
          <w:spacing w:val="-15"/>
        </w:rPr>
        <w:t> </w:t>
      </w:r>
      <w:r>
        <w:rPr/>
        <w:t>monitoring</w:t>
      </w:r>
      <w:r>
        <w:rPr>
          <w:spacing w:val="-15"/>
        </w:rPr>
        <w:t> </w:t>
      </w:r>
      <w:r>
        <w:rPr/>
        <w:t>a</w:t>
      </w:r>
      <w:r>
        <w:rPr>
          <w:spacing w:val="-15"/>
        </w:rPr>
        <w:t> </w:t>
      </w:r>
      <w:r>
        <w:rPr/>
        <w:t>firm’s</w:t>
      </w:r>
      <w:r>
        <w:rPr>
          <w:spacing w:val="-15"/>
        </w:rPr>
        <w:t> </w:t>
      </w:r>
      <w:r>
        <w:rPr/>
        <w:t>financial</w:t>
      </w:r>
      <w:r>
        <w:rPr>
          <w:spacing w:val="-15"/>
        </w:rPr>
        <w:t> </w:t>
      </w:r>
      <w:r>
        <w:rPr/>
        <w:t>reporting</w:t>
      </w:r>
      <w:r>
        <w:rPr>
          <w:spacing w:val="-15"/>
        </w:rPr>
        <w:t> </w:t>
      </w:r>
      <w:r>
        <w:rPr/>
        <w:t>quality</w:t>
      </w:r>
      <w:r>
        <w:rPr>
          <w:spacing w:val="-15"/>
        </w:rPr>
        <w:t> </w:t>
      </w:r>
      <w:r>
        <w:rPr/>
        <w:t>when they invest heavily in the firm.</w:t>
      </w:r>
    </w:p>
    <w:p>
      <w:pPr>
        <w:pStyle w:val="Heading3"/>
        <w:spacing w:before="2"/>
      </w:pPr>
      <w:r>
        <w:rPr/>
        <w:t>Managerial</w:t>
      </w:r>
      <w:r>
        <w:rPr>
          <w:spacing w:val="-5"/>
        </w:rPr>
        <w:t> </w:t>
      </w:r>
      <w:r>
        <w:rPr>
          <w:spacing w:val="-2"/>
        </w:rPr>
        <w:t>Ownership</w:t>
      </w:r>
    </w:p>
    <w:p>
      <w:pPr>
        <w:pStyle w:val="BodyText"/>
        <w:spacing w:line="480" w:lineRule="auto" w:before="276"/>
        <w:ind w:left="940" w:right="1435"/>
        <w:jc w:val="both"/>
      </w:pPr>
      <w:r>
        <w:rPr/>
        <w:t>Managerial ownership, also known as directors’ ownership is the accumulated shares owned by Chief Executive Officers (CEOs) which include restricted shares but not included stock options (Zhou, 2011). According to Salehi and Baezegar (2011), managerial ownership is the percentage of shares held by officers and directors. It can also be defined as a manager who has</w:t>
      </w:r>
      <w:r>
        <w:rPr>
          <w:spacing w:val="-8"/>
        </w:rPr>
        <w:t> </w:t>
      </w:r>
      <w:r>
        <w:rPr/>
        <w:t>the</w:t>
      </w:r>
      <w:r>
        <w:rPr>
          <w:spacing w:val="-9"/>
        </w:rPr>
        <w:t> </w:t>
      </w:r>
      <w:r>
        <w:rPr/>
        <w:t>power</w:t>
      </w:r>
      <w:r>
        <w:rPr>
          <w:spacing w:val="-9"/>
        </w:rPr>
        <w:t> </w:t>
      </w:r>
      <w:r>
        <w:rPr/>
        <w:t>to</w:t>
      </w:r>
      <w:r>
        <w:rPr>
          <w:spacing w:val="-8"/>
        </w:rPr>
        <w:t> </w:t>
      </w:r>
      <w:r>
        <w:rPr/>
        <w:t>take</w:t>
      </w:r>
      <w:r>
        <w:rPr>
          <w:spacing w:val="-10"/>
        </w:rPr>
        <w:t> </w:t>
      </w:r>
      <w:r>
        <w:rPr/>
        <w:t>and</w:t>
      </w:r>
      <w:r>
        <w:rPr>
          <w:spacing w:val="-8"/>
        </w:rPr>
        <w:t> </w:t>
      </w:r>
      <w:r>
        <w:rPr/>
        <w:t>make</w:t>
      </w:r>
      <w:r>
        <w:rPr>
          <w:spacing w:val="-10"/>
        </w:rPr>
        <w:t> </w:t>
      </w:r>
      <w:r>
        <w:rPr/>
        <w:t>decisions</w:t>
      </w:r>
      <w:r>
        <w:rPr>
          <w:spacing w:val="-8"/>
        </w:rPr>
        <w:t> </w:t>
      </w:r>
      <w:r>
        <w:rPr/>
        <w:t>about</w:t>
      </w:r>
      <w:r>
        <w:rPr>
          <w:spacing w:val="-8"/>
        </w:rPr>
        <w:t> </w:t>
      </w:r>
      <w:r>
        <w:rPr/>
        <w:t>the</w:t>
      </w:r>
      <w:r>
        <w:rPr>
          <w:spacing w:val="-9"/>
        </w:rPr>
        <w:t> </w:t>
      </w:r>
      <w:r>
        <w:rPr/>
        <w:t>company’s</w:t>
      </w:r>
      <w:r>
        <w:rPr>
          <w:spacing w:val="-8"/>
        </w:rPr>
        <w:t> </w:t>
      </w:r>
      <w:r>
        <w:rPr/>
        <w:t>strategies</w:t>
      </w:r>
      <w:r>
        <w:rPr>
          <w:spacing w:val="-8"/>
        </w:rPr>
        <w:t> </w:t>
      </w:r>
      <w:r>
        <w:rPr/>
        <w:t>and</w:t>
      </w:r>
      <w:r>
        <w:rPr>
          <w:spacing w:val="-8"/>
        </w:rPr>
        <w:t> </w:t>
      </w:r>
      <w:r>
        <w:rPr/>
        <w:t>policies</w:t>
      </w:r>
      <w:r>
        <w:rPr>
          <w:spacing w:val="-9"/>
        </w:rPr>
        <w:t> </w:t>
      </w:r>
      <w:r>
        <w:rPr/>
        <w:t>(Chen</w:t>
      </w:r>
      <w:r>
        <w:rPr>
          <w:spacing w:val="-8"/>
        </w:rPr>
        <w:t> </w:t>
      </w:r>
      <w:r>
        <w:rPr/>
        <w:t>&amp; Yu,</w:t>
      </w:r>
      <w:r>
        <w:rPr>
          <w:spacing w:val="-3"/>
        </w:rPr>
        <w:t> </w:t>
      </w:r>
      <w:r>
        <w:rPr/>
        <w:t>2012).</w:t>
      </w:r>
      <w:r>
        <w:rPr>
          <w:spacing w:val="40"/>
        </w:rPr>
        <w:t> </w:t>
      </w:r>
      <w:r>
        <w:rPr/>
        <w:t>An</w:t>
      </w:r>
      <w:r>
        <w:rPr>
          <w:spacing w:val="-3"/>
        </w:rPr>
        <w:t> </w:t>
      </w:r>
      <w:r>
        <w:rPr/>
        <w:t>increase</w:t>
      </w:r>
      <w:r>
        <w:rPr>
          <w:spacing w:val="-4"/>
        </w:rPr>
        <w:t> </w:t>
      </w:r>
      <w:r>
        <w:rPr/>
        <w:t>in</w:t>
      </w:r>
      <w:r>
        <w:rPr>
          <w:spacing w:val="-3"/>
        </w:rPr>
        <w:t> </w:t>
      </w:r>
      <w:r>
        <w:rPr/>
        <w:t>managerial</w:t>
      </w:r>
      <w:r>
        <w:rPr>
          <w:spacing w:val="-2"/>
        </w:rPr>
        <w:t> </w:t>
      </w:r>
      <w:r>
        <w:rPr/>
        <w:t>ownership</w:t>
      </w:r>
      <w:r>
        <w:rPr>
          <w:spacing w:val="-3"/>
        </w:rPr>
        <w:t> </w:t>
      </w:r>
      <w:r>
        <w:rPr/>
        <w:t>forces</w:t>
      </w:r>
      <w:r>
        <w:rPr>
          <w:spacing w:val="-3"/>
        </w:rPr>
        <w:t> </w:t>
      </w:r>
      <w:r>
        <w:rPr/>
        <w:t>managers</w:t>
      </w:r>
      <w:r>
        <w:rPr>
          <w:spacing w:val="-3"/>
        </w:rPr>
        <w:t> </w:t>
      </w:r>
      <w:r>
        <w:rPr/>
        <w:t>to</w:t>
      </w:r>
      <w:r>
        <w:rPr>
          <w:spacing w:val="-3"/>
        </w:rPr>
        <w:t> </w:t>
      </w:r>
      <w:r>
        <w:rPr/>
        <w:t>take</w:t>
      </w:r>
      <w:r>
        <w:rPr>
          <w:spacing w:val="-5"/>
        </w:rPr>
        <w:t> </w:t>
      </w:r>
      <w:r>
        <w:rPr/>
        <w:t>the</w:t>
      </w:r>
      <w:r>
        <w:rPr>
          <w:spacing w:val="-3"/>
        </w:rPr>
        <w:t> </w:t>
      </w:r>
      <w:r>
        <w:rPr/>
        <w:t>responsibility</w:t>
      </w:r>
      <w:r>
        <w:rPr>
          <w:spacing w:val="-3"/>
        </w:rPr>
        <w:t> </w:t>
      </w:r>
      <w:r>
        <w:rPr/>
        <w:t>of wealth, consequence and thus coordinate the interest of management and shareholders. This reduces managerial incentives to consume perquisites and expropriate shareholders wealth (Jensen</w:t>
      </w:r>
      <w:r>
        <w:rPr>
          <w:spacing w:val="5"/>
        </w:rPr>
        <w:t> </w:t>
      </w:r>
      <w:r>
        <w:rPr/>
        <w:t>&amp;</w:t>
      </w:r>
      <w:r>
        <w:rPr>
          <w:spacing w:val="7"/>
        </w:rPr>
        <w:t> </w:t>
      </w:r>
      <w:r>
        <w:rPr/>
        <w:t>Meckling,</w:t>
      </w:r>
      <w:r>
        <w:rPr>
          <w:spacing w:val="7"/>
        </w:rPr>
        <w:t> </w:t>
      </w:r>
      <w:r>
        <w:rPr/>
        <w:t>1976).</w:t>
      </w:r>
      <w:r>
        <w:rPr>
          <w:spacing w:val="6"/>
        </w:rPr>
        <w:t> </w:t>
      </w:r>
      <w:r>
        <w:rPr/>
        <w:t>According</w:t>
      </w:r>
      <w:r>
        <w:rPr>
          <w:spacing w:val="5"/>
        </w:rPr>
        <w:t> </w:t>
      </w:r>
      <w:r>
        <w:rPr/>
        <w:t>to</w:t>
      </w:r>
      <w:r>
        <w:rPr>
          <w:spacing w:val="7"/>
        </w:rPr>
        <w:t> </w:t>
      </w:r>
      <w:r>
        <w:rPr/>
        <w:t>Brickley</w:t>
      </w:r>
      <w:r>
        <w:rPr>
          <w:spacing w:val="5"/>
        </w:rPr>
        <w:t> </w:t>
      </w:r>
      <w:r>
        <w:rPr/>
        <w:t>et</w:t>
      </w:r>
      <w:r>
        <w:rPr>
          <w:spacing w:val="7"/>
        </w:rPr>
        <w:t> </w:t>
      </w:r>
      <w:r>
        <w:rPr/>
        <w:t>al.</w:t>
      </w:r>
      <w:r>
        <w:rPr>
          <w:spacing w:val="6"/>
        </w:rPr>
        <w:t> </w:t>
      </w:r>
      <w:r>
        <w:rPr/>
        <w:t>(1998),</w:t>
      </w:r>
      <w:r>
        <w:rPr>
          <w:spacing w:val="6"/>
        </w:rPr>
        <w:t> </w:t>
      </w:r>
      <w:r>
        <w:rPr/>
        <w:t>director</w:t>
      </w:r>
      <w:r>
        <w:rPr>
          <w:spacing w:val="8"/>
        </w:rPr>
        <w:t> </w:t>
      </w:r>
      <w:r>
        <w:rPr/>
        <w:t>equity</w:t>
      </w:r>
      <w:r>
        <w:rPr>
          <w:spacing w:val="6"/>
        </w:rPr>
        <w:t> </w:t>
      </w:r>
      <w:r>
        <w:rPr/>
        <w:t>ownership</w:t>
      </w:r>
      <w:r>
        <w:rPr>
          <w:spacing w:val="6"/>
        </w:rPr>
        <w:t> </w:t>
      </w:r>
      <w:r>
        <w:rPr>
          <w:spacing w:val="-5"/>
        </w:rPr>
        <w:t>is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04192">
            <wp:simplePos x="0" y="0"/>
            <wp:positionH relativeFrom="page">
              <wp:posOffset>1095451</wp:posOffset>
            </wp:positionH>
            <wp:positionV relativeFrom="paragraph">
              <wp:posOffset>1850770</wp:posOffset>
            </wp:positionV>
            <wp:extent cx="5106847" cy="5238115"/>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5106847" cy="5238115"/>
                    </a:xfrm>
                    <a:prstGeom prst="rect">
                      <a:avLst/>
                    </a:prstGeom>
                  </pic:spPr>
                </pic:pic>
              </a:graphicData>
            </a:graphic>
          </wp:anchor>
        </w:drawing>
      </w:r>
      <w:r>
        <w:rPr/>
        <w:t>an</w:t>
      </w:r>
      <w:r>
        <w:rPr>
          <w:spacing w:val="-8"/>
        </w:rPr>
        <w:t> </w:t>
      </w:r>
      <w:r>
        <w:rPr/>
        <w:t>incentive</w:t>
      </w:r>
      <w:r>
        <w:rPr>
          <w:spacing w:val="-9"/>
        </w:rPr>
        <w:t> </w:t>
      </w:r>
      <w:r>
        <w:rPr/>
        <w:t>to</w:t>
      </w:r>
      <w:r>
        <w:rPr>
          <w:spacing w:val="-8"/>
        </w:rPr>
        <w:t> </w:t>
      </w:r>
      <w:r>
        <w:rPr/>
        <w:t>enable</w:t>
      </w:r>
      <w:r>
        <w:rPr>
          <w:spacing w:val="-9"/>
        </w:rPr>
        <w:t> </w:t>
      </w:r>
      <w:r>
        <w:rPr/>
        <w:t>them</w:t>
      </w:r>
      <w:r>
        <w:rPr>
          <w:spacing w:val="-6"/>
        </w:rPr>
        <w:t> </w:t>
      </w:r>
      <w:r>
        <w:rPr/>
        <w:t>to</w:t>
      </w:r>
      <w:r>
        <w:rPr>
          <w:spacing w:val="-8"/>
        </w:rPr>
        <w:t> </w:t>
      </w:r>
      <w:r>
        <w:rPr/>
        <w:t>monitor</w:t>
      </w:r>
      <w:r>
        <w:rPr>
          <w:spacing w:val="-9"/>
        </w:rPr>
        <w:t> </w:t>
      </w:r>
      <w:r>
        <w:rPr/>
        <w:t>managers</w:t>
      </w:r>
      <w:r>
        <w:rPr>
          <w:spacing w:val="-9"/>
        </w:rPr>
        <w:t> </w:t>
      </w:r>
      <w:r>
        <w:rPr/>
        <w:t>effectively.</w:t>
      </w:r>
      <w:r>
        <w:rPr>
          <w:spacing w:val="-8"/>
        </w:rPr>
        <w:t> </w:t>
      </w:r>
      <w:r>
        <w:rPr/>
        <w:t>When</w:t>
      </w:r>
      <w:r>
        <w:rPr>
          <w:spacing w:val="-8"/>
        </w:rPr>
        <w:t> </w:t>
      </w:r>
      <w:r>
        <w:rPr/>
        <w:t>directors</w:t>
      </w:r>
      <w:r>
        <w:rPr>
          <w:spacing w:val="-8"/>
        </w:rPr>
        <w:t> </w:t>
      </w:r>
      <w:r>
        <w:rPr/>
        <w:t>own</w:t>
      </w:r>
      <w:r>
        <w:rPr>
          <w:spacing w:val="-9"/>
        </w:rPr>
        <w:t> </w:t>
      </w:r>
      <w:r>
        <w:rPr/>
        <w:t>shares</w:t>
      </w:r>
      <w:r>
        <w:rPr>
          <w:spacing w:val="-8"/>
        </w:rPr>
        <w:t> </w:t>
      </w:r>
      <w:r>
        <w:rPr/>
        <w:t>in</w:t>
      </w:r>
      <w:r>
        <w:rPr>
          <w:spacing w:val="-8"/>
        </w:rPr>
        <w:t> </w:t>
      </w:r>
      <w:r>
        <w:rPr/>
        <w:t>the company, they will like to take actions that will increase both their wealth and that of the shareholders (Booth et al., 2002). Managerial ownership is considered an important device of ownership</w:t>
      </w:r>
      <w:r>
        <w:rPr>
          <w:spacing w:val="-15"/>
        </w:rPr>
        <w:t> </w:t>
      </w:r>
      <w:r>
        <w:rPr/>
        <w:t>structure</w:t>
      </w:r>
      <w:r>
        <w:rPr>
          <w:spacing w:val="-15"/>
        </w:rPr>
        <w:t> </w:t>
      </w:r>
      <w:r>
        <w:rPr/>
        <w:t>for</w:t>
      </w:r>
      <w:r>
        <w:rPr>
          <w:spacing w:val="-15"/>
        </w:rPr>
        <w:t> </w:t>
      </w:r>
      <w:r>
        <w:rPr/>
        <w:t>mitigating</w:t>
      </w:r>
      <w:r>
        <w:rPr>
          <w:spacing w:val="-15"/>
        </w:rPr>
        <w:t> </w:t>
      </w:r>
      <w:r>
        <w:rPr/>
        <w:t>the</w:t>
      </w:r>
      <w:r>
        <w:rPr>
          <w:spacing w:val="-15"/>
        </w:rPr>
        <w:t> </w:t>
      </w:r>
      <w:r>
        <w:rPr/>
        <w:t>conflict</w:t>
      </w:r>
      <w:r>
        <w:rPr>
          <w:spacing w:val="-15"/>
        </w:rPr>
        <w:t> </w:t>
      </w:r>
      <w:r>
        <w:rPr/>
        <w:t>between</w:t>
      </w:r>
      <w:r>
        <w:rPr>
          <w:spacing w:val="-15"/>
        </w:rPr>
        <w:t> </w:t>
      </w:r>
      <w:r>
        <w:rPr/>
        <w:t>managers</w:t>
      </w:r>
      <w:r>
        <w:rPr>
          <w:spacing w:val="-15"/>
        </w:rPr>
        <w:t> </w:t>
      </w:r>
      <w:r>
        <w:rPr/>
        <w:t>and</w:t>
      </w:r>
      <w:r>
        <w:rPr>
          <w:spacing w:val="-15"/>
        </w:rPr>
        <w:t> </w:t>
      </w:r>
      <w:r>
        <w:rPr/>
        <w:t>shareholders</w:t>
      </w:r>
      <w:r>
        <w:rPr>
          <w:spacing w:val="-15"/>
        </w:rPr>
        <w:t> </w:t>
      </w:r>
      <w:r>
        <w:rPr/>
        <w:t>(Liu,</w:t>
      </w:r>
      <w:r>
        <w:rPr>
          <w:spacing w:val="-15"/>
        </w:rPr>
        <w:t> </w:t>
      </w:r>
      <w:r>
        <w:rPr/>
        <w:t>2012). Managers with a high ownership interest in the firm are less likely to alter earnings for short term private gains at the expense of outside shareholders. According to Weisbach (1988), managerial</w:t>
      </w:r>
      <w:r>
        <w:rPr>
          <w:spacing w:val="-7"/>
        </w:rPr>
        <w:t> </w:t>
      </w:r>
      <w:r>
        <w:rPr/>
        <w:t>ownership</w:t>
      </w:r>
      <w:r>
        <w:rPr>
          <w:spacing w:val="-7"/>
        </w:rPr>
        <w:t> </w:t>
      </w:r>
      <w:r>
        <w:rPr/>
        <w:t>works</w:t>
      </w:r>
      <w:r>
        <w:rPr>
          <w:spacing w:val="-8"/>
        </w:rPr>
        <w:t> </w:t>
      </w:r>
      <w:r>
        <w:rPr/>
        <w:t>as</w:t>
      </w:r>
      <w:r>
        <w:rPr>
          <w:spacing w:val="-7"/>
        </w:rPr>
        <w:t> </w:t>
      </w:r>
      <w:r>
        <w:rPr/>
        <w:t>direct</w:t>
      </w:r>
      <w:r>
        <w:rPr>
          <w:spacing w:val="-7"/>
        </w:rPr>
        <w:t> </w:t>
      </w:r>
      <w:r>
        <w:rPr/>
        <w:t>incentives</w:t>
      </w:r>
      <w:r>
        <w:rPr>
          <w:spacing w:val="-5"/>
        </w:rPr>
        <w:t> </w:t>
      </w:r>
      <w:r>
        <w:rPr/>
        <w:t>for</w:t>
      </w:r>
      <w:r>
        <w:rPr>
          <w:spacing w:val="-8"/>
        </w:rPr>
        <w:t> </w:t>
      </w:r>
      <w:r>
        <w:rPr/>
        <w:t>managers</w:t>
      </w:r>
      <w:r>
        <w:rPr>
          <w:spacing w:val="-8"/>
        </w:rPr>
        <w:t> </w:t>
      </w:r>
      <w:r>
        <w:rPr/>
        <w:t>to</w:t>
      </w:r>
      <w:r>
        <w:rPr>
          <w:spacing w:val="-7"/>
        </w:rPr>
        <w:t> </w:t>
      </w:r>
      <w:r>
        <w:rPr/>
        <w:t>act</w:t>
      </w:r>
      <w:r>
        <w:rPr>
          <w:spacing w:val="-7"/>
        </w:rPr>
        <w:t> </w:t>
      </w:r>
      <w:r>
        <w:rPr/>
        <w:t>in</w:t>
      </w:r>
      <w:r>
        <w:rPr>
          <w:spacing w:val="-7"/>
        </w:rPr>
        <w:t> </w:t>
      </w:r>
      <w:r>
        <w:rPr/>
        <w:t>line</w:t>
      </w:r>
      <w:r>
        <w:rPr>
          <w:spacing w:val="-8"/>
        </w:rPr>
        <w:t> </w:t>
      </w:r>
      <w:r>
        <w:rPr/>
        <w:t>with</w:t>
      </w:r>
      <w:r>
        <w:rPr>
          <w:spacing w:val="-7"/>
        </w:rPr>
        <w:t> </w:t>
      </w:r>
      <w:r>
        <w:rPr/>
        <w:t>shareholder’s interest.</w:t>
      </w:r>
      <w:r>
        <w:rPr>
          <w:spacing w:val="-8"/>
        </w:rPr>
        <w:t> </w:t>
      </w:r>
      <w:r>
        <w:rPr/>
        <w:t>The</w:t>
      </w:r>
      <w:r>
        <w:rPr>
          <w:spacing w:val="-9"/>
        </w:rPr>
        <w:t> </w:t>
      </w:r>
      <w:r>
        <w:rPr/>
        <w:t>greater</w:t>
      </w:r>
      <w:r>
        <w:rPr>
          <w:spacing w:val="-9"/>
        </w:rPr>
        <w:t> </w:t>
      </w:r>
      <w:r>
        <w:rPr/>
        <w:t>the</w:t>
      </w:r>
      <w:r>
        <w:rPr>
          <w:spacing w:val="-9"/>
        </w:rPr>
        <w:t> </w:t>
      </w:r>
      <w:r>
        <w:rPr/>
        <w:t>percentage</w:t>
      </w:r>
      <w:r>
        <w:rPr>
          <w:spacing w:val="-9"/>
        </w:rPr>
        <w:t> </w:t>
      </w:r>
      <w:r>
        <w:rPr/>
        <w:t>of</w:t>
      </w:r>
      <w:r>
        <w:rPr>
          <w:spacing w:val="-7"/>
        </w:rPr>
        <w:t> </w:t>
      </w:r>
      <w:r>
        <w:rPr/>
        <w:t>stock</w:t>
      </w:r>
      <w:r>
        <w:rPr>
          <w:spacing w:val="-9"/>
        </w:rPr>
        <w:t> </w:t>
      </w:r>
      <w:r>
        <w:rPr/>
        <w:t>owned</w:t>
      </w:r>
      <w:r>
        <w:rPr>
          <w:spacing w:val="-6"/>
        </w:rPr>
        <w:t> </w:t>
      </w:r>
      <w:r>
        <w:rPr/>
        <w:t>by</w:t>
      </w:r>
      <w:r>
        <w:rPr>
          <w:spacing w:val="-8"/>
        </w:rPr>
        <w:t> </w:t>
      </w:r>
      <w:r>
        <w:rPr/>
        <w:t>top</w:t>
      </w:r>
      <w:r>
        <w:rPr>
          <w:spacing w:val="-8"/>
        </w:rPr>
        <w:t> </w:t>
      </w:r>
      <w:r>
        <w:rPr/>
        <w:t>managers,</w:t>
      </w:r>
      <w:r>
        <w:rPr>
          <w:spacing w:val="-9"/>
        </w:rPr>
        <w:t> </w:t>
      </w:r>
      <w:r>
        <w:rPr/>
        <w:t>the</w:t>
      </w:r>
      <w:r>
        <w:rPr>
          <w:spacing w:val="-9"/>
        </w:rPr>
        <w:t> </w:t>
      </w:r>
      <w:r>
        <w:rPr/>
        <w:t>more</w:t>
      </w:r>
      <w:r>
        <w:rPr>
          <w:spacing w:val="-10"/>
        </w:rPr>
        <w:t> </w:t>
      </w:r>
      <w:r>
        <w:rPr/>
        <w:t>likely</w:t>
      </w:r>
      <w:r>
        <w:rPr>
          <w:spacing w:val="-8"/>
        </w:rPr>
        <w:t> </w:t>
      </w:r>
      <w:r>
        <w:rPr/>
        <w:t>managers will make decisions consistent with maximizing shareholder’s wealth. In order to mitigate agency cost problem, it is necessary to align the interest of shareholders and directors. The reason</w:t>
      </w:r>
      <w:r>
        <w:rPr>
          <w:spacing w:val="-6"/>
        </w:rPr>
        <w:t> </w:t>
      </w:r>
      <w:r>
        <w:rPr/>
        <w:t>being</w:t>
      </w:r>
      <w:r>
        <w:rPr>
          <w:spacing w:val="-5"/>
        </w:rPr>
        <w:t> </w:t>
      </w:r>
      <w:r>
        <w:rPr/>
        <w:t>that</w:t>
      </w:r>
      <w:r>
        <w:rPr>
          <w:spacing w:val="-6"/>
        </w:rPr>
        <w:t> </w:t>
      </w:r>
      <w:r>
        <w:rPr/>
        <w:t>shareholders</w:t>
      </w:r>
      <w:r>
        <w:rPr>
          <w:spacing w:val="-6"/>
        </w:rPr>
        <w:t> </w:t>
      </w:r>
      <w:r>
        <w:rPr/>
        <w:t>provide</w:t>
      </w:r>
      <w:r>
        <w:rPr>
          <w:spacing w:val="-7"/>
        </w:rPr>
        <w:t> </w:t>
      </w:r>
      <w:r>
        <w:rPr/>
        <w:t>certain</w:t>
      </w:r>
      <w:r>
        <w:rPr>
          <w:spacing w:val="-5"/>
        </w:rPr>
        <w:t> </w:t>
      </w:r>
      <w:r>
        <w:rPr/>
        <w:t>incentives</w:t>
      </w:r>
      <w:r>
        <w:rPr>
          <w:spacing w:val="-6"/>
        </w:rPr>
        <w:t> </w:t>
      </w:r>
      <w:r>
        <w:rPr/>
        <w:t>for</w:t>
      </w:r>
      <w:r>
        <w:rPr>
          <w:spacing w:val="-7"/>
        </w:rPr>
        <w:t> </w:t>
      </w:r>
      <w:r>
        <w:rPr/>
        <w:t>directors</w:t>
      </w:r>
      <w:r>
        <w:rPr>
          <w:spacing w:val="-6"/>
        </w:rPr>
        <w:t> </w:t>
      </w:r>
      <w:r>
        <w:rPr/>
        <w:t>and</w:t>
      </w:r>
      <w:r>
        <w:rPr>
          <w:spacing w:val="-6"/>
        </w:rPr>
        <w:t> </w:t>
      </w:r>
      <w:r>
        <w:rPr/>
        <w:t>so</w:t>
      </w:r>
      <w:r>
        <w:rPr>
          <w:spacing w:val="-6"/>
        </w:rPr>
        <w:t> </w:t>
      </w:r>
      <w:r>
        <w:rPr/>
        <w:t>directors</w:t>
      </w:r>
      <w:r>
        <w:rPr>
          <w:spacing w:val="-6"/>
        </w:rPr>
        <w:t> </w:t>
      </w:r>
      <w:r>
        <w:rPr/>
        <w:t>will</w:t>
      </w:r>
      <w:r>
        <w:rPr>
          <w:spacing w:val="-5"/>
        </w:rPr>
        <w:t> </w:t>
      </w:r>
      <w:r>
        <w:rPr/>
        <w:t>not make</w:t>
      </w:r>
      <w:r>
        <w:rPr>
          <w:spacing w:val="-6"/>
        </w:rPr>
        <w:t> </w:t>
      </w:r>
      <w:r>
        <w:rPr/>
        <w:t>decisions</w:t>
      </w:r>
      <w:r>
        <w:rPr>
          <w:spacing w:val="-4"/>
        </w:rPr>
        <w:t> </w:t>
      </w:r>
      <w:r>
        <w:rPr/>
        <w:t>that</w:t>
      </w:r>
      <w:r>
        <w:rPr>
          <w:spacing w:val="-3"/>
        </w:rPr>
        <w:t> </w:t>
      </w:r>
      <w:r>
        <w:rPr/>
        <w:t>can</w:t>
      </w:r>
      <w:r>
        <w:rPr>
          <w:spacing w:val="-4"/>
        </w:rPr>
        <w:t> </w:t>
      </w:r>
      <w:r>
        <w:rPr/>
        <w:t>harm</w:t>
      </w:r>
      <w:r>
        <w:rPr>
          <w:spacing w:val="-4"/>
        </w:rPr>
        <w:t> </w:t>
      </w:r>
      <w:r>
        <w:rPr/>
        <w:t>shareholders</w:t>
      </w:r>
      <w:r>
        <w:rPr>
          <w:spacing w:val="-4"/>
        </w:rPr>
        <w:t> </w:t>
      </w:r>
      <w:r>
        <w:rPr/>
        <w:t>or</w:t>
      </w:r>
      <w:r>
        <w:rPr>
          <w:spacing w:val="-6"/>
        </w:rPr>
        <w:t> </w:t>
      </w:r>
      <w:r>
        <w:rPr/>
        <w:t>ensure</w:t>
      </w:r>
      <w:r>
        <w:rPr>
          <w:spacing w:val="-6"/>
        </w:rPr>
        <w:t> </w:t>
      </w:r>
      <w:r>
        <w:rPr/>
        <w:t>that</w:t>
      </w:r>
      <w:r>
        <w:rPr>
          <w:spacing w:val="-4"/>
        </w:rPr>
        <w:t> </w:t>
      </w:r>
      <w:r>
        <w:rPr/>
        <w:t>directors</w:t>
      </w:r>
      <w:r>
        <w:rPr>
          <w:spacing w:val="-4"/>
        </w:rPr>
        <w:t> </w:t>
      </w:r>
      <w:r>
        <w:rPr/>
        <w:t>receive</w:t>
      </w:r>
      <w:r>
        <w:rPr>
          <w:spacing w:val="-3"/>
        </w:rPr>
        <w:t> </w:t>
      </w:r>
      <w:r>
        <w:rPr/>
        <w:t>right</w:t>
      </w:r>
      <w:r>
        <w:rPr>
          <w:spacing w:val="-4"/>
        </w:rPr>
        <w:t> </w:t>
      </w:r>
      <w:r>
        <w:rPr/>
        <w:t>compensation if they act in the best interest of shareholders.</w:t>
      </w:r>
    </w:p>
    <w:p>
      <w:pPr>
        <w:pStyle w:val="BodyText"/>
        <w:spacing w:line="480" w:lineRule="auto" w:before="1"/>
        <w:ind w:left="940" w:right="1437"/>
        <w:jc w:val="both"/>
      </w:pPr>
      <w:r>
        <w:rPr/>
        <w:t>According</w:t>
      </w:r>
      <w:r>
        <w:rPr>
          <w:spacing w:val="-15"/>
        </w:rPr>
        <w:t> </w:t>
      </w:r>
      <w:r>
        <w:rPr/>
        <w:t>to</w:t>
      </w:r>
      <w:r>
        <w:rPr>
          <w:spacing w:val="-15"/>
        </w:rPr>
        <w:t> </w:t>
      </w:r>
      <w:r>
        <w:rPr/>
        <w:t>McConvill</w:t>
      </w:r>
      <w:r>
        <w:rPr>
          <w:spacing w:val="-15"/>
        </w:rPr>
        <w:t> </w:t>
      </w:r>
      <w:r>
        <w:rPr/>
        <w:t>and</w:t>
      </w:r>
      <w:r>
        <w:rPr>
          <w:spacing w:val="-15"/>
        </w:rPr>
        <w:t> </w:t>
      </w:r>
      <w:r>
        <w:rPr/>
        <w:t>Bagaric</w:t>
      </w:r>
      <w:r>
        <w:rPr>
          <w:spacing w:val="-15"/>
        </w:rPr>
        <w:t> </w:t>
      </w:r>
      <w:r>
        <w:rPr/>
        <w:t>(2004),</w:t>
      </w:r>
      <w:r>
        <w:rPr>
          <w:spacing w:val="-15"/>
        </w:rPr>
        <w:t> </w:t>
      </w:r>
      <w:r>
        <w:rPr/>
        <w:t>directors’</w:t>
      </w:r>
      <w:r>
        <w:rPr>
          <w:spacing w:val="-15"/>
        </w:rPr>
        <w:t> </w:t>
      </w:r>
      <w:r>
        <w:rPr/>
        <w:t>interest</w:t>
      </w:r>
      <w:r>
        <w:rPr>
          <w:spacing w:val="-15"/>
        </w:rPr>
        <w:t> </w:t>
      </w:r>
      <w:r>
        <w:rPr/>
        <w:t>should</w:t>
      </w:r>
      <w:r>
        <w:rPr>
          <w:spacing w:val="-15"/>
        </w:rPr>
        <w:t> </w:t>
      </w:r>
      <w:r>
        <w:rPr/>
        <w:t>align</w:t>
      </w:r>
      <w:r>
        <w:rPr>
          <w:spacing w:val="-15"/>
        </w:rPr>
        <w:t> </w:t>
      </w:r>
      <w:r>
        <w:rPr/>
        <w:t>with</w:t>
      </w:r>
      <w:r>
        <w:rPr>
          <w:spacing w:val="-15"/>
        </w:rPr>
        <w:t> </w:t>
      </w:r>
      <w:r>
        <w:rPr/>
        <w:t>shareholders’ interests to solve agency cost problem and to have better corporate management. Directors need to have sufficient ownership, therefore, they are less likely to behave opportunistically because</w:t>
      </w:r>
      <w:r>
        <w:rPr>
          <w:spacing w:val="-8"/>
        </w:rPr>
        <w:t> </w:t>
      </w:r>
      <w:r>
        <w:rPr/>
        <w:t>they</w:t>
      </w:r>
      <w:r>
        <w:rPr>
          <w:spacing w:val="-7"/>
        </w:rPr>
        <w:t> </w:t>
      </w:r>
      <w:r>
        <w:rPr/>
        <w:t>are</w:t>
      </w:r>
      <w:r>
        <w:rPr>
          <w:spacing w:val="-8"/>
        </w:rPr>
        <w:t> </w:t>
      </w:r>
      <w:r>
        <w:rPr/>
        <w:t>also</w:t>
      </w:r>
      <w:r>
        <w:rPr>
          <w:spacing w:val="-7"/>
        </w:rPr>
        <w:t> </w:t>
      </w:r>
      <w:r>
        <w:rPr/>
        <w:t>owners</w:t>
      </w:r>
      <w:r>
        <w:rPr>
          <w:spacing w:val="-8"/>
        </w:rPr>
        <w:t> </w:t>
      </w:r>
      <w:r>
        <w:rPr/>
        <w:t>of</w:t>
      </w:r>
      <w:r>
        <w:rPr>
          <w:spacing w:val="-8"/>
        </w:rPr>
        <w:t> </w:t>
      </w:r>
      <w:r>
        <w:rPr/>
        <w:t>the</w:t>
      </w:r>
      <w:r>
        <w:rPr>
          <w:spacing w:val="-8"/>
        </w:rPr>
        <w:t> </w:t>
      </w:r>
      <w:r>
        <w:rPr/>
        <w:t>firm</w:t>
      </w:r>
      <w:r>
        <w:rPr>
          <w:spacing w:val="-7"/>
        </w:rPr>
        <w:t> </w:t>
      </w:r>
      <w:r>
        <w:rPr/>
        <w:t>(McConvill</w:t>
      </w:r>
      <w:r>
        <w:rPr>
          <w:spacing w:val="-7"/>
        </w:rPr>
        <w:t> </w:t>
      </w:r>
      <w:r>
        <w:rPr/>
        <w:t>&amp;</w:t>
      </w:r>
      <w:r>
        <w:rPr>
          <w:spacing w:val="-7"/>
        </w:rPr>
        <w:t> </w:t>
      </w:r>
      <w:r>
        <w:rPr/>
        <w:t>Bagaric,</w:t>
      </w:r>
      <w:r>
        <w:rPr>
          <w:spacing w:val="-7"/>
        </w:rPr>
        <w:t> </w:t>
      </w:r>
      <w:r>
        <w:rPr/>
        <w:t>2004).</w:t>
      </w:r>
      <w:r>
        <w:rPr>
          <w:spacing w:val="-5"/>
        </w:rPr>
        <w:t> </w:t>
      </w:r>
      <w:r>
        <w:rPr/>
        <w:t>In</w:t>
      </w:r>
      <w:r>
        <w:rPr>
          <w:spacing w:val="-7"/>
        </w:rPr>
        <w:t> </w:t>
      </w:r>
      <w:r>
        <w:rPr/>
        <w:t>line</w:t>
      </w:r>
      <w:r>
        <w:rPr>
          <w:spacing w:val="-8"/>
        </w:rPr>
        <w:t> </w:t>
      </w:r>
      <w:r>
        <w:rPr/>
        <w:t>with</w:t>
      </w:r>
      <w:r>
        <w:rPr>
          <w:spacing w:val="-7"/>
        </w:rPr>
        <w:t> </w:t>
      </w:r>
      <w:r>
        <w:rPr/>
        <w:t>the</w:t>
      </w:r>
      <w:r>
        <w:rPr>
          <w:spacing w:val="-8"/>
        </w:rPr>
        <w:t> </w:t>
      </w:r>
      <w:r>
        <w:rPr/>
        <w:t>agency theory, agents of firms should have equity ownership in their firms in order to maximize firm value and mitigate agency cost problem. Farrer and Ramsay (1998) opined that agency cost reduction theory explained that directors share ownership could resolve agency cost problem. According to the convergence of interest hypothesis, managerial ownership leads to a better quality of accounting information (Gegenfurtner, Ampenberger &amp; Kaserer, 2009). Therefore, firms with high managerial ownership seem to reflect the true financial situation. Therefore, the convergence of interest hypothesis as enunciated by Jensen and Meckling (1976) predicts that</w:t>
      </w:r>
      <w:r>
        <w:rPr>
          <w:spacing w:val="1"/>
        </w:rPr>
        <w:t> </w:t>
      </w:r>
      <w:r>
        <w:rPr/>
        <w:t>managers</w:t>
      </w:r>
      <w:r>
        <w:rPr>
          <w:spacing w:val="3"/>
        </w:rPr>
        <w:t> </w:t>
      </w:r>
      <w:r>
        <w:rPr/>
        <w:t>with</w:t>
      </w:r>
      <w:r>
        <w:rPr>
          <w:spacing w:val="5"/>
        </w:rPr>
        <w:t> </w:t>
      </w:r>
      <w:r>
        <w:rPr/>
        <w:t>higher</w:t>
      </w:r>
      <w:r>
        <w:rPr>
          <w:spacing w:val="2"/>
        </w:rPr>
        <w:t> </w:t>
      </w:r>
      <w:r>
        <w:rPr/>
        <w:t>ownership</w:t>
      </w:r>
      <w:r>
        <w:rPr>
          <w:spacing w:val="4"/>
        </w:rPr>
        <w:t> </w:t>
      </w:r>
      <w:r>
        <w:rPr/>
        <w:t>have</w:t>
      </w:r>
      <w:r>
        <w:rPr>
          <w:spacing w:val="2"/>
        </w:rPr>
        <w:t> </w:t>
      </w:r>
      <w:r>
        <w:rPr/>
        <w:t>stronger</w:t>
      </w:r>
      <w:r>
        <w:rPr>
          <w:spacing w:val="3"/>
        </w:rPr>
        <w:t> </w:t>
      </w:r>
      <w:r>
        <w:rPr/>
        <w:t>incentives</w:t>
      </w:r>
      <w:r>
        <w:rPr>
          <w:spacing w:val="3"/>
        </w:rPr>
        <w:t> </w:t>
      </w:r>
      <w:r>
        <w:rPr/>
        <w:t>to</w:t>
      </w:r>
      <w:r>
        <w:rPr>
          <w:spacing w:val="5"/>
        </w:rPr>
        <w:t> </w:t>
      </w:r>
      <w:r>
        <w:rPr/>
        <w:t>act</w:t>
      </w:r>
      <w:r>
        <w:rPr>
          <w:spacing w:val="4"/>
        </w:rPr>
        <w:t> </w:t>
      </w:r>
      <w:r>
        <w:rPr/>
        <w:t>in</w:t>
      </w:r>
      <w:r>
        <w:rPr>
          <w:spacing w:val="5"/>
        </w:rPr>
        <w:t> </w:t>
      </w:r>
      <w:r>
        <w:rPr/>
        <w:t>line</w:t>
      </w:r>
      <w:r>
        <w:rPr>
          <w:spacing w:val="5"/>
        </w:rPr>
        <w:t> </w:t>
      </w:r>
      <w:r>
        <w:rPr/>
        <w:t>with</w:t>
      </w:r>
      <w:r>
        <w:rPr>
          <w:spacing w:val="5"/>
        </w:rPr>
        <w:t> </w:t>
      </w:r>
      <w:r>
        <w:rPr>
          <w:spacing w:val="-2"/>
        </w:rPr>
        <w:t>shareholders</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04704">
            <wp:simplePos x="0" y="0"/>
            <wp:positionH relativeFrom="page">
              <wp:posOffset>1095451</wp:posOffset>
            </wp:positionH>
            <wp:positionV relativeFrom="paragraph">
              <wp:posOffset>1850770</wp:posOffset>
            </wp:positionV>
            <wp:extent cx="5106847" cy="523811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5" cstate="print"/>
                    <a:stretch>
                      <a:fillRect/>
                    </a:stretch>
                  </pic:blipFill>
                  <pic:spPr>
                    <a:xfrm>
                      <a:off x="0" y="0"/>
                      <a:ext cx="5106847" cy="5238115"/>
                    </a:xfrm>
                    <a:prstGeom prst="rect">
                      <a:avLst/>
                    </a:prstGeom>
                  </pic:spPr>
                </pic:pic>
              </a:graphicData>
            </a:graphic>
          </wp:anchor>
        </w:drawing>
      </w:r>
      <w:r>
        <w:rPr/>
        <w:t>interest. Therefore, as the managerial ownership increases, the opportunistic managerial behaviour decreases. Other than the agency theory, the incentive theory also explains the convergence of interest hypothesis. According to the incentive theory, share ownership provides sufficient incentives for directors to make sure that the firms perform well. When directors have share ownership in their firms, their interests and shareholder’s interest will be aligned</w:t>
      </w:r>
      <w:r>
        <w:rPr>
          <w:spacing w:val="-3"/>
        </w:rPr>
        <w:t> </w:t>
      </w:r>
      <w:r>
        <w:rPr/>
        <w:t>and</w:t>
      </w:r>
      <w:r>
        <w:rPr>
          <w:spacing w:val="-3"/>
        </w:rPr>
        <w:t> </w:t>
      </w:r>
      <w:r>
        <w:rPr/>
        <w:t>their</w:t>
      </w:r>
      <w:r>
        <w:rPr>
          <w:spacing w:val="-4"/>
        </w:rPr>
        <w:t> </w:t>
      </w:r>
      <w:r>
        <w:rPr/>
        <w:t>personal</w:t>
      </w:r>
      <w:r>
        <w:rPr>
          <w:spacing w:val="-3"/>
        </w:rPr>
        <w:t> </w:t>
      </w:r>
      <w:r>
        <w:rPr/>
        <w:t>wealth</w:t>
      </w:r>
      <w:r>
        <w:rPr>
          <w:spacing w:val="-3"/>
        </w:rPr>
        <w:t> </w:t>
      </w:r>
      <w:r>
        <w:rPr/>
        <w:t>is</w:t>
      </w:r>
      <w:r>
        <w:rPr>
          <w:spacing w:val="-3"/>
        </w:rPr>
        <w:t> </w:t>
      </w:r>
      <w:r>
        <w:rPr/>
        <w:t>related</w:t>
      </w:r>
      <w:r>
        <w:rPr>
          <w:spacing w:val="-3"/>
        </w:rPr>
        <w:t> </w:t>
      </w:r>
      <w:r>
        <w:rPr/>
        <w:t>to</w:t>
      </w:r>
      <w:r>
        <w:rPr>
          <w:spacing w:val="-3"/>
        </w:rPr>
        <w:t> </w:t>
      </w:r>
      <w:r>
        <w:rPr/>
        <w:t>the</w:t>
      </w:r>
      <w:r>
        <w:rPr>
          <w:spacing w:val="-4"/>
        </w:rPr>
        <w:t> </w:t>
      </w:r>
      <w:r>
        <w:rPr/>
        <w:t>firms’</w:t>
      </w:r>
      <w:r>
        <w:rPr>
          <w:spacing w:val="-4"/>
        </w:rPr>
        <w:t> </w:t>
      </w:r>
      <w:r>
        <w:rPr/>
        <w:t>wealth.</w:t>
      </w:r>
      <w:r>
        <w:rPr>
          <w:spacing w:val="-3"/>
        </w:rPr>
        <w:t> </w:t>
      </w:r>
      <w:r>
        <w:rPr/>
        <w:t>Therefore,</w:t>
      </w:r>
      <w:r>
        <w:rPr>
          <w:spacing w:val="-2"/>
        </w:rPr>
        <w:t> </w:t>
      </w:r>
      <w:r>
        <w:rPr/>
        <w:t>managers</w:t>
      </w:r>
      <w:r>
        <w:rPr>
          <w:spacing w:val="-3"/>
        </w:rPr>
        <w:t> </w:t>
      </w:r>
      <w:r>
        <w:rPr/>
        <w:t>have</w:t>
      </w:r>
      <w:r>
        <w:rPr>
          <w:spacing w:val="-4"/>
        </w:rPr>
        <w:t> </w:t>
      </w:r>
      <w:r>
        <w:rPr/>
        <w:t>the incentives to ensure that the firms perform well (Farrer &amp; Ramsay, 1998).</w:t>
      </w:r>
    </w:p>
    <w:p>
      <w:pPr>
        <w:pStyle w:val="BodyText"/>
        <w:spacing w:line="480" w:lineRule="auto" w:before="1"/>
        <w:ind w:left="940" w:right="1435"/>
        <w:jc w:val="both"/>
        <w:rPr>
          <w:b/>
        </w:rPr>
      </w:pPr>
      <w:r>
        <w:rPr/>
        <w:t>When directors act as shareholders, they are more likely to protect shareholders interest from management opportunistic behaviour. Therefore, stronger shareholders protection will limit management’s</w:t>
      </w:r>
      <w:r>
        <w:rPr>
          <w:spacing w:val="-6"/>
        </w:rPr>
        <w:t> </w:t>
      </w:r>
      <w:r>
        <w:rPr/>
        <w:t>personal</w:t>
      </w:r>
      <w:r>
        <w:rPr>
          <w:spacing w:val="-5"/>
        </w:rPr>
        <w:t> </w:t>
      </w:r>
      <w:r>
        <w:rPr/>
        <w:t>incentives</w:t>
      </w:r>
      <w:r>
        <w:rPr>
          <w:spacing w:val="-6"/>
        </w:rPr>
        <w:t> </w:t>
      </w:r>
      <w:r>
        <w:rPr/>
        <w:t>to</w:t>
      </w:r>
      <w:r>
        <w:rPr>
          <w:spacing w:val="-5"/>
        </w:rPr>
        <w:t> </w:t>
      </w:r>
      <w:r>
        <w:rPr/>
        <w:t>manage</w:t>
      </w:r>
      <w:r>
        <w:rPr>
          <w:spacing w:val="-7"/>
        </w:rPr>
        <w:t> </w:t>
      </w:r>
      <w:r>
        <w:rPr/>
        <w:t>accounting</w:t>
      </w:r>
      <w:r>
        <w:rPr>
          <w:spacing w:val="-6"/>
        </w:rPr>
        <w:t> </w:t>
      </w:r>
      <w:r>
        <w:rPr/>
        <w:t>earnings</w:t>
      </w:r>
      <w:r>
        <w:rPr>
          <w:spacing w:val="-6"/>
        </w:rPr>
        <w:t> </w:t>
      </w:r>
      <w:r>
        <w:rPr/>
        <w:t>and</w:t>
      </w:r>
      <w:r>
        <w:rPr>
          <w:spacing w:val="-6"/>
        </w:rPr>
        <w:t> </w:t>
      </w:r>
      <w:r>
        <w:rPr/>
        <w:t>cover</w:t>
      </w:r>
      <w:r>
        <w:rPr>
          <w:spacing w:val="-7"/>
        </w:rPr>
        <w:t> </w:t>
      </w:r>
      <w:r>
        <w:rPr/>
        <w:t>up</w:t>
      </w:r>
      <w:r>
        <w:rPr>
          <w:spacing w:val="-6"/>
        </w:rPr>
        <w:t> </w:t>
      </w:r>
      <w:r>
        <w:rPr/>
        <w:t>the</w:t>
      </w:r>
      <w:r>
        <w:rPr>
          <w:spacing w:val="-6"/>
        </w:rPr>
        <w:t> </w:t>
      </w:r>
      <w:r>
        <w:rPr/>
        <w:t>real</w:t>
      </w:r>
      <w:r>
        <w:rPr>
          <w:spacing w:val="-5"/>
        </w:rPr>
        <w:t> </w:t>
      </w:r>
      <w:r>
        <w:rPr/>
        <w:t>firms’ performance. On the other hand, managerial entrenchment effect hypothesis as enunciated by Morck, Shleifer and Vishny (1988) posits that managers with larger ownership have greater control over firms, and therefore, possess more freedom to act in their own private interest, often to the detriment of those shareholders who engage in opportunistic behaviour to serve their own interest since they are less likely to be controlled or dismissed. On the appropriate level of share ownership managers should hold convergence of interest hypothesis occurs within a</w:t>
      </w:r>
      <w:r>
        <w:rPr>
          <w:spacing w:val="-1"/>
        </w:rPr>
        <w:t> </w:t>
      </w:r>
      <w:r>
        <w:rPr/>
        <w:t>low level of</w:t>
      </w:r>
      <w:r>
        <w:rPr>
          <w:spacing w:val="-1"/>
        </w:rPr>
        <w:t> </w:t>
      </w:r>
      <w:r>
        <w:rPr/>
        <w:t>ownership while</w:t>
      </w:r>
      <w:r>
        <w:rPr>
          <w:spacing w:val="-1"/>
        </w:rPr>
        <w:t> </w:t>
      </w:r>
      <w:r>
        <w:rPr/>
        <w:t>entrenchment effect occurs within the</w:t>
      </w:r>
      <w:r>
        <w:rPr>
          <w:spacing w:val="-1"/>
        </w:rPr>
        <w:t> </w:t>
      </w:r>
      <w:r>
        <w:rPr/>
        <w:t>intermediate and high level of ownership. Farrer and Ramsay (1998)</w:t>
      </w:r>
      <w:r>
        <w:rPr>
          <w:spacing w:val="-1"/>
        </w:rPr>
        <w:t> </w:t>
      </w:r>
      <w:r>
        <w:rPr/>
        <w:t>opined</w:t>
      </w:r>
      <w:r>
        <w:rPr>
          <w:spacing w:val="-1"/>
        </w:rPr>
        <w:t> </w:t>
      </w:r>
      <w:r>
        <w:rPr/>
        <w:t>that an increase</w:t>
      </w:r>
      <w:r>
        <w:rPr>
          <w:spacing w:val="-1"/>
        </w:rPr>
        <w:t> </w:t>
      </w:r>
      <w:r>
        <w:rPr/>
        <w:t>in director’s share ownership</w:t>
      </w:r>
      <w:r>
        <w:rPr>
          <w:spacing w:val="-8"/>
        </w:rPr>
        <w:t> </w:t>
      </w:r>
      <w:r>
        <w:rPr/>
        <w:t>up</w:t>
      </w:r>
      <w:r>
        <w:rPr>
          <w:spacing w:val="-8"/>
        </w:rPr>
        <w:t> </w:t>
      </w:r>
      <w:r>
        <w:rPr/>
        <w:t>to</w:t>
      </w:r>
      <w:r>
        <w:rPr>
          <w:spacing w:val="-8"/>
        </w:rPr>
        <w:t> </w:t>
      </w:r>
      <w:r>
        <w:rPr/>
        <w:t>5%</w:t>
      </w:r>
      <w:r>
        <w:rPr>
          <w:spacing w:val="-9"/>
        </w:rPr>
        <w:t> </w:t>
      </w:r>
      <w:r>
        <w:rPr/>
        <w:t>would</w:t>
      </w:r>
      <w:r>
        <w:rPr>
          <w:spacing w:val="-8"/>
        </w:rPr>
        <w:t> </w:t>
      </w:r>
      <w:r>
        <w:rPr/>
        <w:t>increase</w:t>
      </w:r>
      <w:r>
        <w:rPr>
          <w:spacing w:val="-9"/>
        </w:rPr>
        <w:t> </w:t>
      </w:r>
      <w:r>
        <w:rPr/>
        <w:t>shareholders’</w:t>
      </w:r>
      <w:r>
        <w:rPr>
          <w:spacing w:val="-9"/>
        </w:rPr>
        <w:t> </w:t>
      </w:r>
      <w:r>
        <w:rPr/>
        <w:t>return.</w:t>
      </w:r>
      <w:r>
        <w:rPr>
          <w:spacing w:val="-9"/>
        </w:rPr>
        <w:t> </w:t>
      </w:r>
      <w:r>
        <w:rPr/>
        <w:t>However,</w:t>
      </w:r>
      <w:r>
        <w:rPr>
          <w:spacing w:val="-9"/>
        </w:rPr>
        <w:t> </w:t>
      </w:r>
      <w:r>
        <w:rPr/>
        <w:t>when</w:t>
      </w:r>
      <w:r>
        <w:rPr>
          <w:spacing w:val="-8"/>
        </w:rPr>
        <w:t> </w:t>
      </w:r>
      <w:r>
        <w:rPr/>
        <w:t>directors</w:t>
      </w:r>
      <w:r>
        <w:rPr>
          <w:spacing w:val="-8"/>
        </w:rPr>
        <w:t> </w:t>
      </w:r>
      <w:r>
        <w:rPr/>
        <w:t>own</w:t>
      </w:r>
      <w:r>
        <w:rPr>
          <w:spacing w:val="-9"/>
        </w:rPr>
        <w:t> </w:t>
      </w:r>
      <w:r>
        <w:rPr/>
        <w:t>shares of more than 5%, shareholders’ return decreases to a lower level. The optimal managerial ownership</w:t>
      </w:r>
      <w:r>
        <w:rPr>
          <w:spacing w:val="-10"/>
        </w:rPr>
        <w:t> </w:t>
      </w:r>
      <w:r>
        <w:rPr/>
        <w:t>of</w:t>
      </w:r>
      <w:r>
        <w:rPr>
          <w:spacing w:val="-10"/>
        </w:rPr>
        <w:t> </w:t>
      </w:r>
      <w:r>
        <w:rPr/>
        <w:t>up</w:t>
      </w:r>
      <w:r>
        <w:rPr>
          <w:spacing w:val="-8"/>
        </w:rPr>
        <w:t> </w:t>
      </w:r>
      <w:r>
        <w:rPr/>
        <w:t>to</w:t>
      </w:r>
      <w:r>
        <w:rPr>
          <w:spacing w:val="-9"/>
        </w:rPr>
        <w:t> </w:t>
      </w:r>
      <w:r>
        <w:rPr/>
        <w:t>5%</w:t>
      </w:r>
      <w:r>
        <w:rPr>
          <w:spacing w:val="-10"/>
        </w:rPr>
        <w:t> </w:t>
      </w:r>
      <w:r>
        <w:rPr/>
        <w:t>has</w:t>
      </w:r>
      <w:r>
        <w:rPr>
          <w:spacing w:val="-9"/>
        </w:rPr>
        <w:t> </w:t>
      </w:r>
      <w:r>
        <w:rPr/>
        <w:t>also</w:t>
      </w:r>
      <w:r>
        <w:rPr>
          <w:spacing w:val="-9"/>
        </w:rPr>
        <w:t> </w:t>
      </w:r>
      <w:r>
        <w:rPr/>
        <w:t>been</w:t>
      </w:r>
      <w:r>
        <w:rPr>
          <w:spacing w:val="-7"/>
        </w:rPr>
        <w:t> </w:t>
      </w:r>
      <w:r>
        <w:rPr/>
        <w:t>supported</w:t>
      </w:r>
      <w:r>
        <w:rPr>
          <w:spacing w:val="-10"/>
        </w:rPr>
        <w:t> </w:t>
      </w:r>
      <w:r>
        <w:rPr/>
        <w:t>by</w:t>
      </w:r>
      <w:r>
        <w:rPr>
          <w:spacing w:val="-7"/>
        </w:rPr>
        <w:t> </w:t>
      </w:r>
      <w:r>
        <w:rPr/>
        <w:t>other</w:t>
      </w:r>
      <w:r>
        <w:rPr>
          <w:spacing w:val="-11"/>
        </w:rPr>
        <w:t> </w:t>
      </w:r>
      <w:r>
        <w:rPr/>
        <w:t>studies</w:t>
      </w:r>
      <w:r>
        <w:rPr>
          <w:spacing w:val="-9"/>
        </w:rPr>
        <w:t> </w:t>
      </w:r>
      <w:r>
        <w:rPr/>
        <w:t>(McConnell</w:t>
      </w:r>
      <w:r>
        <w:rPr>
          <w:spacing w:val="-9"/>
        </w:rPr>
        <w:t> </w:t>
      </w:r>
      <w:r>
        <w:rPr/>
        <w:t>&amp;</w:t>
      </w:r>
      <w:r>
        <w:rPr>
          <w:spacing w:val="-9"/>
        </w:rPr>
        <w:t> </w:t>
      </w:r>
      <w:r>
        <w:rPr/>
        <w:t>Servaes,</w:t>
      </w:r>
      <w:r>
        <w:rPr>
          <w:spacing w:val="-7"/>
        </w:rPr>
        <w:t> </w:t>
      </w:r>
      <w:r>
        <w:rPr/>
        <w:t>1990). </w:t>
      </w:r>
      <w:r>
        <w:rPr>
          <w:b/>
        </w:rPr>
        <w:t>Foreign Ownership</w:t>
      </w:r>
    </w:p>
    <w:p>
      <w:pPr>
        <w:pStyle w:val="BodyText"/>
        <w:spacing w:line="480" w:lineRule="auto" w:before="1"/>
        <w:ind w:left="940" w:right="1438"/>
        <w:jc w:val="both"/>
      </w:pPr>
      <w:r>
        <w:rPr/>
        <w:t>Foreign ownership refers to shareholdings by nationals outside the country of origin in local firms (OECD, 1999). According to An (2015), higher ratios of foreign ownership induces companies</w:t>
      </w:r>
      <w:r>
        <w:rPr>
          <w:spacing w:val="47"/>
        </w:rPr>
        <w:t> </w:t>
      </w:r>
      <w:r>
        <w:rPr/>
        <w:t>to</w:t>
      </w:r>
      <w:r>
        <w:rPr>
          <w:spacing w:val="47"/>
        </w:rPr>
        <w:t> </w:t>
      </w:r>
      <w:r>
        <w:rPr/>
        <w:t>improve</w:t>
      </w:r>
      <w:r>
        <w:rPr>
          <w:spacing w:val="45"/>
        </w:rPr>
        <w:t> </w:t>
      </w:r>
      <w:r>
        <w:rPr/>
        <w:t>their</w:t>
      </w:r>
      <w:r>
        <w:rPr>
          <w:spacing w:val="46"/>
        </w:rPr>
        <w:t> </w:t>
      </w:r>
      <w:r>
        <w:rPr/>
        <w:t>transparency</w:t>
      </w:r>
      <w:r>
        <w:rPr>
          <w:spacing w:val="46"/>
        </w:rPr>
        <w:t> </w:t>
      </w:r>
      <w:r>
        <w:rPr/>
        <w:t>and</w:t>
      </w:r>
      <w:r>
        <w:rPr>
          <w:spacing w:val="49"/>
        </w:rPr>
        <w:t> </w:t>
      </w:r>
      <w:r>
        <w:rPr/>
        <w:t>reduce</w:t>
      </w:r>
      <w:r>
        <w:rPr>
          <w:spacing w:val="45"/>
        </w:rPr>
        <w:t> </w:t>
      </w:r>
      <w:r>
        <w:rPr/>
        <w:t>opportunistic</w:t>
      </w:r>
      <w:r>
        <w:rPr>
          <w:spacing w:val="46"/>
        </w:rPr>
        <w:t> </w:t>
      </w:r>
      <w:r>
        <w:rPr/>
        <w:t>managerial</w:t>
      </w:r>
      <w:r>
        <w:rPr>
          <w:spacing w:val="57"/>
        </w:rPr>
        <w:t> </w:t>
      </w:r>
      <w:r>
        <w:rPr>
          <w:spacing w:val="-2"/>
        </w:rPr>
        <w:t>accounting</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drawing>
          <wp:anchor distT="0" distB="0" distL="0" distR="0" allowOverlap="1" layoutInCell="1" locked="0" behindDoc="1" simplePos="0" relativeHeight="477705216">
            <wp:simplePos x="0" y="0"/>
            <wp:positionH relativeFrom="page">
              <wp:posOffset>1095451</wp:posOffset>
            </wp:positionH>
            <wp:positionV relativeFrom="paragraph">
              <wp:posOffset>1850770</wp:posOffset>
            </wp:positionV>
            <wp:extent cx="5106847" cy="5238115"/>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5" cstate="print"/>
                    <a:stretch>
                      <a:fillRect/>
                    </a:stretch>
                  </pic:blipFill>
                  <pic:spPr>
                    <a:xfrm>
                      <a:off x="0" y="0"/>
                      <a:ext cx="5106847" cy="5238115"/>
                    </a:xfrm>
                    <a:prstGeom prst="rect">
                      <a:avLst/>
                    </a:prstGeom>
                  </pic:spPr>
                </pic:pic>
              </a:graphicData>
            </a:graphic>
          </wp:anchor>
        </w:drawing>
      </w:r>
      <w:r>
        <w:rPr/>
        <w:t>choices and decisions. In addition, they have better incentives and expertise to independently observe</w:t>
      </w:r>
      <w:r>
        <w:rPr>
          <w:spacing w:val="-15"/>
        </w:rPr>
        <w:t> </w:t>
      </w:r>
      <w:r>
        <w:rPr/>
        <w:t>companies.</w:t>
      </w:r>
      <w:r>
        <w:rPr>
          <w:spacing w:val="-13"/>
        </w:rPr>
        <w:t> </w:t>
      </w:r>
      <w:r>
        <w:rPr/>
        <w:t>Corporate</w:t>
      </w:r>
      <w:r>
        <w:rPr>
          <w:spacing w:val="-14"/>
        </w:rPr>
        <w:t> </w:t>
      </w:r>
      <w:r>
        <w:rPr/>
        <w:t>governance</w:t>
      </w:r>
      <w:r>
        <w:rPr>
          <w:spacing w:val="-14"/>
        </w:rPr>
        <w:t> </w:t>
      </w:r>
      <w:r>
        <w:rPr/>
        <w:t>literature</w:t>
      </w:r>
      <w:r>
        <w:rPr>
          <w:spacing w:val="-14"/>
        </w:rPr>
        <w:t> </w:t>
      </w:r>
      <w:r>
        <w:rPr/>
        <w:t>on</w:t>
      </w:r>
      <w:r>
        <w:rPr>
          <w:spacing w:val="-13"/>
        </w:rPr>
        <w:t> </w:t>
      </w:r>
      <w:r>
        <w:rPr/>
        <w:t>ownership</w:t>
      </w:r>
      <w:r>
        <w:rPr>
          <w:spacing w:val="-13"/>
        </w:rPr>
        <w:t> </w:t>
      </w:r>
      <w:r>
        <w:rPr/>
        <w:t>structure</w:t>
      </w:r>
      <w:r>
        <w:rPr>
          <w:spacing w:val="-12"/>
        </w:rPr>
        <w:t> </w:t>
      </w:r>
      <w:r>
        <w:rPr/>
        <w:t>argues</w:t>
      </w:r>
      <w:r>
        <w:rPr>
          <w:spacing w:val="-13"/>
        </w:rPr>
        <w:t> </w:t>
      </w:r>
      <w:r>
        <w:rPr/>
        <w:t>that</w:t>
      </w:r>
      <w:r>
        <w:rPr>
          <w:spacing w:val="-13"/>
        </w:rPr>
        <w:t> </w:t>
      </w:r>
      <w:r>
        <w:rPr/>
        <w:t>foreign investors have a vital role to control and monitor management (Gillan &amp; Starks, 1998; Muhamad &amp; Karbhari, 2005). Foreign ownership can effectively monitor management by increasing pressure on managers to release timely corporate reports. Sasidharan and Kathuria (2011) opined that foreign investment in India forced domestic firms to undertake Research and Development (R &amp; D) activities or import new technology so as to compete with them. Falk (2008) opined that foreign-owned firms were more innovative than domestic firms. Falk (2008) also opined that foreign ownership often led to direct technology transfers and knowledge spillover. According to Chuang and Lin (2007), R &amp; D spillover effect occurs during</w:t>
      </w:r>
      <w:r>
        <w:rPr>
          <w:spacing w:val="-1"/>
        </w:rPr>
        <w:t> </w:t>
      </w:r>
      <w:r>
        <w:rPr/>
        <w:t>the</w:t>
      </w:r>
      <w:r>
        <w:rPr>
          <w:spacing w:val="-1"/>
        </w:rPr>
        <w:t> </w:t>
      </w:r>
      <w:r>
        <w:rPr/>
        <w:t>process of foreign direct investment. They opined</w:t>
      </w:r>
      <w:r>
        <w:rPr>
          <w:spacing w:val="-1"/>
        </w:rPr>
        <w:t> </w:t>
      </w:r>
      <w:r>
        <w:rPr/>
        <w:t>further</w:t>
      </w:r>
      <w:r>
        <w:rPr>
          <w:spacing w:val="-1"/>
        </w:rPr>
        <w:t> </w:t>
      </w:r>
      <w:r>
        <w:rPr/>
        <w:t>that foreign-owned firms had larger production scale, higher export orientation and less capital and R &amp; D intensity.</w:t>
      </w:r>
    </w:p>
    <w:p>
      <w:pPr>
        <w:pStyle w:val="BodyText"/>
        <w:spacing w:line="480" w:lineRule="auto" w:before="1"/>
        <w:ind w:left="940" w:right="1436"/>
        <w:jc w:val="both"/>
      </w:pPr>
      <w:r>
        <w:rPr/>
        <w:t>Yudaeva, Kozlov, Melentie and Ponomarva (2003) compared Russia firms with domestically owned firms. They posited that an increase in foreign shares suggested a greater value added to</w:t>
      </w:r>
      <w:r>
        <w:rPr>
          <w:spacing w:val="-12"/>
        </w:rPr>
        <w:t> </w:t>
      </w:r>
      <w:r>
        <w:rPr/>
        <w:t>the</w:t>
      </w:r>
      <w:r>
        <w:rPr>
          <w:spacing w:val="-13"/>
        </w:rPr>
        <w:t> </w:t>
      </w:r>
      <w:r>
        <w:rPr/>
        <w:t>firms.</w:t>
      </w:r>
      <w:r>
        <w:rPr>
          <w:spacing w:val="-11"/>
        </w:rPr>
        <w:t> </w:t>
      </w:r>
      <w:r>
        <w:rPr/>
        <w:t>They</w:t>
      </w:r>
      <w:r>
        <w:rPr>
          <w:spacing w:val="-12"/>
        </w:rPr>
        <w:t> </w:t>
      </w:r>
      <w:r>
        <w:rPr/>
        <w:t>stated</w:t>
      </w:r>
      <w:r>
        <w:rPr>
          <w:spacing w:val="-12"/>
        </w:rPr>
        <w:t> </w:t>
      </w:r>
      <w:r>
        <w:rPr/>
        <w:t>further</w:t>
      </w:r>
      <w:r>
        <w:rPr>
          <w:spacing w:val="-13"/>
        </w:rPr>
        <w:t> </w:t>
      </w:r>
      <w:r>
        <w:rPr/>
        <w:t>that</w:t>
      </w:r>
      <w:r>
        <w:rPr>
          <w:spacing w:val="-12"/>
        </w:rPr>
        <w:t> </w:t>
      </w:r>
      <w:r>
        <w:rPr/>
        <w:t>during</w:t>
      </w:r>
      <w:r>
        <w:rPr>
          <w:spacing w:val="-12"/>
        </w:rPr>
        <w:t> </w:t>
      </w:r>
      <w:r>
        <w:rPr/>
        <w:t>the</w:t>
      </w:r>
      <w:r>
        <w:rPr>
          <w:spacing w:val="-13"/>
        </w:rPr>
        <w:t> </w:t>
      </w:r>
      <w:r>
        <w:rPr/>
        <w:t>knowledge</w:t>
      </w:r>
      <w:r>
        <w:rPr>
          <w:spacing w:val="-13"/>
        </w:rPr>
        <w:t> </w:t>
      </w:r>
      <w:r>
        <w:rPr/>
        <w:t>and</w:t>
      </w:r>
      <w:r>
        <w:rPr>
          <w:spacing w:val="-12"/>
        </w:rPr>
        <w:t> </w:t>
      </w:r>
      <w:r>
        <w:rPr/>
        <w:t>technology</w:t>
      </w:r>
      <w:r>
        <w:rPr>
          <w:spacing w:val="-12"/>
        </w:rPr>
        <w:t> </w:t>
      </w:r>
      <w:r>
        <w:rPr/>
        <w:t>spill</w:t>
      </w:r>
      <w:r>
        <w:rPr>
          <w:spacing w:val="-12"/>
        </w:rPr>
        <w:t> </w:t>
      </w:r>
      <w:r>
        <w:rPr/>
        <w:t>over</w:t>
      </w:r>
      <w:r>
        <w:rPr>
          <w:spacing w:val="-13"/>
        </w:rPr>
        <w:t> </w:t>
      </w:r>
      <w:r>
        <w:rPr/>
        <w:t>associated with foreign ownership, several factors were introduced: (i) sophisticated technology; (ii) available</w:t>
      </w:r>
      <w:r>
        <w:rPr>
          <w:spacing w:val="5"/>
        </w:rPr>
        <w:t> </w:t>
      </w:r>
      <w:r>
        <w:rPr/>
        <w:t>pool</w:t>
      </w:r>
      <w:r>
        <w:rPr>
          <w:spacing w:val="7"/>
        </w:rPr>
        <w:t> </w:t>
      </w:r>
      <w:r>
        <w:rPr/>
        <w:t>of</w:t>
      </w:r>
      <w:r>
        <w:rPr>
          <w:spacing w:val="5"/>
        </w:rPr>
        <w:t> </w:t>
      </w:r>
      <w:r>
        <w:rPr/>
        <w:t>information</w:t>
      </w:r>
      <w:r>
        <w:rPr>
          <w:spacing w:val="6"/>
        </w:rPr>
        <w:t> </w:t>
      </w:r>
      <w:r>
        <w:rPr/>
        <w:t>and</w:t>
      </w:r>
      <w:r>
        <w:rPr>
          <w:spacing w:val="5"/>
        </w:rPr>
        <w:t> </w:t>
      </w:r>
      <w:r>
        <w:rPr/>
        <w:t>resources;</w:t>
      </w:r>
      <w:r>
        <w:rPr>
          <w:spacing w:val="7"/>
        </w:rPr>
        <w:t> </w:t>
      </w:r>
      <w:r>
        <w:rPr/>
        <w:t>(iii)</w:t>
      </w:r>
      <w:r>
        <w:rPr>
          <w:spacing w:val="8"/>
        </w:rPr>
        <w:t> </w:t>
      </w:r>
      <w:r>
        <w:rPr/>
        <w:t>increase</w:t>
      </w:r>
      <w:r>
        <w:rPr>
          <w:spacing w:val="10"/>
        </w:rPr>
        <w:t> </w:t>
      </w:r>
      <w:r>
        <w:rPr/>
        <w:t>in</w:t>
      </w:r>
      <w:r>
        <w:rPr>
          <w:spacing w:val="7"/>
        </w:rPr>
        <w:t> </w:t>
      </w:r>
      <w:r>
        <w:rPr/>
        <w:t>competition</w:t>
      </w:r>
      <w:r>
        <w:rPr>
          <w:spacing w:val="6"/>
        </w:rPr>
        <w:t> </w:t>
      </w:r>
      <w:r>
        <w:rPr/>
        <w:t>and</w:t>
      </w:r>
      <w:r>
        <w:rPr>
          <w:spacing w:val="5"/>
        </w:rPr>
        <w:t> </w:t>
      </w:r>
      <w:r>
        <w:rPr/>
        <w:t>innovation;</w:t>
      </w:r>
      <w:r>
        <w:rPr>
          <w:spacing w:val="7"/>
        </w:rPr>
        <w:t> </w:t>
      </w:r>
      <w:r>
        <w:rPr>
          <w:spacing w:val="-5"/>
        </w:rPr>
        <w:t>and</w:t>
      </w:r>
    </w:p>
    <w:p>
      <w:pPr>
        <w:pStyle w:val="BodyText"/>
        <w:spacing w:line="480" w:lineRule="auto" w:before="1"/>
        <w:ind w:left="940" w:right="1435"/>
        <w:jc w:val="both"/>
      </w:pPr>
      <w:r>
        <w:rPr/>
        <w:t>(iv)</w:t>
      </w:r>
      <w:r>
        <w:rPr>
          <w:spacing w:val="-15"/>
        </w:rPr>
        <w:t> </w:t>
      </w:r>
      <w:r>
        <w:rPr/>
        <w:t>transfer</w:t>
      </w:r>
      <w:r>
        <w:rPr>
          <w:spacing w:val="-15"/>
        </w:rPr>
        <w:t> </w:t>
      </w:r>
      <w:r>
        <w:rPr/>
        <w:t>of</w:t>
      </w:r>
      <w:r>
        <w:rPr>
          <w:spacing w:val="-15"/>
        </w:rPr>
        <w:t> </w:t>
      </w:r>
      <w:r>
        <w:rPr/>
        <w:t>technology.</w:t>
      </w:r>
      <w:r>
        <w:rPr>
          <w:spacing w:val="-15"/>
        </w:rPr>
        <w:t> </w:t>
      </w:r>
      <w:r>
        <w:rPr/>
        <w:t>According</w:t>
      </w:r>
      <w:r>
        <w:rPr>
          <w:spacing w:val="-15"/>
        </w:rPr>
        <w:t> </w:t>
      </w:r>
      <w:r>
        <w:rPr/>
        <w:t>to</w:t>
      </w:r>
      <w:r>
        <w:rPr>
          <w:spacing w:val="-15"/>
        </w:rPr>
        <w:t> </w:t>
      </w:r>
      <w:r>
        <w:rPr/>
        <w:t>Boardman,</w:t>
      </w:r>
      <w:r>
        <w:rPr>
          <w:spacing w:val="-15"/>
        </w:rPr>
        <w:t> </w:t>
      </w:r>
      <w:r>
        <w:rPr/>
        <w:t>Shapiro</w:t>
      </w:r>
      <w:r>
        <w:rPr>
          <w:spacing w:val="-15"/>
        </w:rPr>
        <w:t> </w:t>
      </w:r>
      <w:r>
        <w:rPr/>
        <w:t>and</w:t>
      </w:r>
      <w:r>
        <w:rPr>
          <w:spacing w:val="-15"/>
        </w:rPr>
        <w:t> </w:t>
      </w:r>
      <w:r>
        <w:rPr/>
        <w:t>Vining</w:t>
      </w:r>
      <w:r>
        <w:rPr>
          <w:spacing w:val="-15"/>
        </w:rPr>
        <w:t> </w:t>
      </w:r>
      <w:r>
        <w:rPr/>
        <w:t>(1997),</w:t>
      </w:r>
      <w:r>
        <w:rPr>
          <w:spacing w:val="-15"/>
        </w:rPr>
        <w:t> </w:t>
      </w:r>
      <w:r>
        <w:rPr/>
        <w:t>foreign</w:t>
      </w:r>
      <w:r>
        <w:rPr>
          <w:spacing w:val="-15"/>
        </w:rPr>
        <w:t> </w:t>
      </w:r>
      <w:r>
        <w:rPr/>
        <w:t>owned firms tend to have better performance. They attributed that to a difference in agency costs associated</w:t>
      </w:r>
      <w:r>
        <w:rPr>
          <w:spacing w:val="-4"/>
        </w:rPr>
        <w:t> </w:t>
      </w:r>
      <w:r>
        <w:rPr/>
        <w:t>with</w:t>
      </w:r>
      <w:r>
        <w:rPr>
          <w:spacing w:val="-4"/>
        </w:rPr>
        <w:t> </w:t>
      </w:r>
      <w:r>
        <w:rPr/>
        <w:t>both</w:t>
      </w:r>
      <w:r>
        <w:rPr>
          <w:spacing w:val="-4"/>
        </w:rPr>
        <w:t> </w:t>
      </w:r>
      <w:r>
        <w:rPr/>
        <w:t>foreign</w:t>
      </w:r>
      <w:r>
        <w:rPr>
          <w:spacing w:val="-4"/>
        </w:rPr>
        <w:t> </w:t>
      </w:r>
      <w:r>
        <w:rPr/>
        <w:t>and</w:t>
      </w:r>
      <w:r>
        <w:rPr>
          <w:spacing w:val="-4"/>
        </w:rPr>
        <w:t> </w:t>
      </w:r>
      <w:r>
        <w:rPr/>
        <w:t>domestic</w:t>
      </w:r>
      <w:r>
        <w:rPr>
          <w:spacing w:val="-5"/>
        </w:rPr>
        <w:t> </w:t>
      </w:r>
      <w:r>
        <w:rPr/>
        <w:t>ownership.</w:t>
      </w:r>
      <w:r>
        <w:rPr>
          <w:spacing w:val="-4"/>
        </w:rPr>
        <w:t> </w:t>
      </w:r>
      <w:r>
        <w:rPr/>
        <w:t>Cyert</w:t>
      </w:r>
      <w:r>
        <w:rPr>
          <w:spacing w:val="-4"/>
        </w:rPr>
        <w:t> </w:t>
      </w:r>
      <w:r>
        <w:rPr/>
        <w:t>and</w:t>
      </w:r>
      <w:r>
        <w:rPr>
          <w:spacing w:val="-4"/>
        </w:rPr>
        <w:t> </w:t>
      </w:r>
      <w:r>
        <w:rPr/>
        <w:t>March</w:t>
      </w:r>
      <w:r>
        <w:rPr>
          <w:spacing w:val="-4"/>
        </w:rPr>
        <w:t> </w:t>
      </w:r>
      <w:r>
        <w:rPr/>
        <w:t>(1963)</w:t>
      </w:r>
      <w:r>
        <w:rPr>
          <w:spacing w:val="-4"/>
        </w:rPr>
        <w:t> </w:t>
      </w:r>
      <w:r>
        <w:rPr/>
        <w:t>opined</w:t>
      </w:r>
      <w:r>
        <w:rPr>
          <w:spacing w:val="-4"/>
        </w:rPr>
        <w:t> </w:t>
      </w:r>
      <w:r>
        <w:rPr/>
        <w:t>that</w:t>
      </w:r>
      <w:r>
        <w:rPr>
          <w:spacing w:val="-2"/>
        </w:rPr>
        <w:t> </w:t>
      </w:r>
      <w:r>
        <w:rPr/>
        <w:t>the better</w:t>
      </w:r>
      <w:r>
        <w:rPr>
          <w:spacing w:val="-10"/>
        </w:rPr>
        <w:t> </w:t>
      </w:r>
      <w:r>
        <w:rPr/>
        <w:t>performance</w:t>
      </w:r>
      <w:r>
        <w:rPr>
          <w:spacing w:val="-11"/>
        </w:rPr>
        <w:t> </w:t>
      </w:r>
      <w:r>
        <w:rPr/>
        <w:t>of</w:t>
      </w:r>
      <w:r>
        <w:rPr>
          <w:spacing w:val="-10"/>
        </w:rPr>
        <w:t> </w:t>
      </w:r>
      <w:r>
        <w:rPr/>
        <w:t>foreign</w:t>
      </w:r>
      <w:r>
        <w:rPr>
          <w:spacing w:val="-9"/>
        </w:rPr>
        <w:t> </w:t>
      </w:r>
      <w:r>
        <w:rPr/>
        <w:t>owned</w:t>
      </w:r>
      <w:r>
        <w:rPr>
          <w:spacing w:val="-10"/>
        </w:rPr>
        <w:t> </w:t>
      </w:r>
      <w:r>
        <w:rPr/>
        <w:t>firms</w:t>
      </w:r>
      <w:r>
        <w:rPr>
          <w:spacing w:val="-9"/>
        </w:rPr>
        <w:t> </w:t>
      </w:r>
      <w:r>
        <w:rPr/>
        <w:t>could</w:t>
      </w:r>
      <w:r>
        <w:rPr>
          <w:spacing w:val="-9"/>
        </w:rPr>
        <w:t> </w:t>
      </w:r>
      <w:r>
        <w:rPr/>
        <w:t>also</w:t>
      </w:r>
      <w:r>
        <w:rPr>
          <w:spacing w:val="-9"/>
        </w:rPr>
        <w:t> </w:t>
      </w:r>
      <w:r>
        <w:rPr/>
        <w:t>be</w:t>
      </w:r>
      <w:r>
        <w:rPr>
          <w:spacing w:val="-11"/>
        </w:rPr>
        <w:t> </w:t>
      </w:r>
      <w:r>
        <w:rPr/>
        <w:t>related</w:t>
      </w:r>
      <w:r>
        <w:rPr>
          <w:spacing w:val="-10"/>
        </w:rPr>
        <w:t> </w:t>
      </w:r>
      <w:r>
        <w:rPr/>
        <w:t>to</w:t>
      </w:r>
      <w:r>
        <w:rPr>
          <w:spacing w:val="-9"/>
        </w:rPr>
        <w:t> </w:t>
      </w:r>
      <w:r>
        <w:rPr/>
        <w:t>more</w:t>
      </w:r>
      <w:r>
        <w:rPr>
          <w:spacing w:val="-11"/>
        </w:rPr>
        <w:t> </w:t>
      </w:r>
      <w:r>
        <w:rPr/>
        <w:t>risk</w:t>
      </w:r>
      <w:r>
        <w:rPr>
          <w:spacing w:val="-10"/>
        </w:rPr>
        <w:t> </w:t>
      </w:r>
      <w:r>
        <w:rPr/>
        <w:t>taking</w:t>
      </w:r>
      <w:r>
        <w:rPr>
          <w:spacing w:val="-10"/>
        </w:rPr>
        <w:t> </w:t>
      </w:r>
      <w:r>
        <w:rPr/>
        <w:t>investment behavior of foreign investors.</w:t>
      </w:r>
      <w:r>
        <w:rPr>
          <w:spacing w:val="80"/>
        </w:rPr>
        <w:t> </w:t>
      </w:r>
      <w:r>
        <w:rPr/>
        <w:t>On the contrary, it is believed that different types of shareholders</w:t>
      </w:r>
      <w:r>
        <w:rPr>
          <w:spacing w:val="-3"/>
        </w:rPr>
        <w:t> </w:t>
      </w:r>
      <w:r>
        <w:rPr/>
        <w:t>may</w:t>
      </w:r>
      <w:r>
        <w:rPr>
          <w:spacing w:val="-4"/>
        </w:rPr>
        <w:t> </w:t>
      </w:r>
      <w:r>
        <w:rPr/>
        <w:t>have</w:t>
      </w:r>
      <w:r>
        <w:rPr>
          <w:spacing w:val="-4"/>
        </w:rPr>
        <w:t> </w:t>
      </w:r>
      <w:r>
        <w:rPr/>
        <w:t>different</w:t>
      </w:r>
      <w:r>
        <w:rPr>
          <w:spacing w:val="-3"/>
        </w:rPr>
        <w:t> </w:t>
      </w:r>
      <w:r>
        <w:rPr/>
        <w:t>interest</w:t>
      </w:r>
      <w:r>
        <w:rPr>
          <w:spacing w:val="-3"/>
        </w:rPr>
        <w:t> </w:t>
      </w:r>
      <w:r>
        <w:rPr/>
        <w:t>in</w:t>
      </w:r>
      <w:r>
        <w:rPr>
          <w:spacing w:val="-3"/>
        </w:rPr>
        <w:t> </w:t>
      </w:r>
      <w:r>
        <w:rPr/>
        <w:t>R</w:t>
      </w:r>
      <w:r>
        <w:rPr>
          <w:spacing w:val="-3"/>
        </w:rPr>
        <w:t> </w:t>
      </w:r>
      <w:r>
        <w:rPr/>
        <w:t>&amp;</w:t>
      </w:r>
      <w:r>
        <w:rPr>
          <w:spacing w:val="-3"/>
        </w:rPr>
        <w:t> </w:t>
      </w:r>
      <w:r>
        <w:rPr/>
        <w:t>D</w:t>
      </w:r>
      <w:r>
        <w:rPr>
          <w:spacing w:val="-3"/>
        </w:rPr>
        <w:t> </w:t>
      </w:r>
      <w:r>
        <w:rPr/>
        <w:t>investment</w:t>
      </w:r>
      <w:r>
        <w:rPr>
          <w:spacing w:val="-3"/>
        </w:rPr>
        <w:t> </w:t>
      </w:r>
      <w:r>
        <w:rPr/>
        <w:t>consequently</w:t>
      </w:r>
      <w:r>
        <w:rPr>
          <w:spacing w:val="-3"/>
        </w:rPr>
        <w:t> </w:t>
      </w:r>
      <w:r>
        <w:rPr/>
        <w:t>creating a</w:t>
      </w:r>
      <w:r>
        <w:rPr>
          <w:spacing w:val="-2"/>
        </w:rPr>
        <w:t> </w:t>
      </w:r>
      <w:r>
        <w:rPr/>
        <w:t>conflict of interest (Kochhar &amp; David, 1996; Douma, George &amp; Kabir, 2006). Furthermore, there is a negative</w:t>
      </w:r>
      <w:r>
        <w:rPr>
          <w:spacing w:val="-5"/>
        </w:rPr>
        <w:t> </w:t>
      </w:r>
      <w:r>
        <w:rPr/>
        <w:t>effect</w:t>
      </w:r>
      <w:r>
        <w:rPr>
          <w:spacing w:val="-1"/>
        </w:rPr>
        <w:t> </w:t>
      </w:r>
      <w:r>
        <w:rPr/>
        <w:t>of</w:t>
      </w:r>
      <w:r>
        <w:rPr>
          <w:spacing w:val="-1"/>
        </w:rPr>
        <w:t> </w:t>
      </w:r>
      <w:r>
        <w:rPr/>
        <w:t>foreign</w:t>
      </w:r>
      <w:r>
        <w:rPr>
          <w:spacing w:val="-1"/>
        </w:rPr>
        <w:t> </w:t>
      </w:r>
      <w:r>
        <w:rPr/>
        <w:t>ownership</w:t>
      </w:r>
      <w:r>
        <w:rPr>
          <w:spacing w:val="-2"/>
        </w:rPr>
        <w:t> </w:t>
      </w:r>
      <w:r>
        <w:rPr/>
        <w:t>through</w:t>
      </w:r>
      <w:r>
        <w:rPr>
          <w:spacing w:val="-1"/>
        </w:rPr>
        <w:t> </w:t>
      </w:r>
      <w:r>
        <w:rPr/>
        <w:t>its</w:t>
      </w:r>
      <w:r>
        <w:rPr>
          <w:spacing w:val="-1"/>
        </w:rPr>
        <w:t> </w:t>
      </w:r>
      <w:r>
        <w:rPr/>
        <w:t>impact</w:t>
      </w:r>
      <w:r>
        <w:rPr>
          <w:spacing w:val="-1"/>
        </w:rPr>
        <w:t> </w:t>
      </w:r>
      <w:r>
        <w:rPr/>
        <w:t>on</w:t>
      </w:r>
      <w:r>
        <w:rPr>
          <w:spacing w:val="-1"/>
        </w:rPr>
        <w:t> </w:t>
      </w:r>
      <w:r>
        <w:rPr/>
        <w:t>the</w:t>
      </w:r>
      <w:r>
        <w:rPr>
          <w:spacing w:val="-3"/>
        </w:rPr>
        <w:t> </w:t>
      </w:r>
      <w:r>
        <w:rPr/>
        <w:t>likelihood</w:t>
      </w:r>
      <w:r>
        <w:rPr>
          <w:spacing w:val="-1"/>
        </w:rPr>
        <w:t> </w:t>
      </w:r>
      <w:r>
        <w:rPr/>
        <w:t>of</w:t>
      </w:r>
      <w:r>
        <w:rPr>
          <w:spacing w:val="-1"/>
        </w:rPr>
        <w:t> </w:t>
      </w:r>
      <w:r>
        <w:rPr/>
        <w:t>having</w:t>
      </w:r>
      <w:r>
        <w:rPr>
          <w:spacing w:val="-1"/>
        </w:rPr>
        <w:t> </w:t>
      </w:r>
      <w:r>
        <w:rPr/>
        <w:t>an</w:t>
      </w:r>
      <w:r>
        <w:rPr>
          <w:spacing w:val="-1"/>
        </w:rPr>
        <w:t> </w:t>
      </w:r>
      <w:r>
        <w:rPr>
          <w:spacing w:val="-2"/>
        </w:rPr>
        <w:t>internal</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t>R &amp; D activity. Firms that engage in internal R &amp; D activity are proved to be more likely to have global partners for innovation cooperation. As foreign-owned firms are less likely to engage in an internal R &amp; D activity, it creates the other indirect effect on the probability of innovation cooperation. Therefore, foreign owned firms, when compared to domestic owned firms, are less likely to transfer technology through innovation cooperation.</w:t>
      </w:r>
    </w:p>
    <w:p>
      <w:pPr>
        <w:pStyle w:val="Heading3"/>
      </w:pPr>
      <w:r>
        <w:rPr/>
        <w:drawing>
          <wp:anchor distT="0" distB="0" distL="0" distR="0" allowOverlap="1" layoutInCell="1" locked="0" behindDoc="1" simplePos="0" relativeHeight="477705728">
            <wp:simplePos x="0" y="0"/>
            <wp:positionH relativeFrom="page">
              <wp:posOffset>1095451</wp:posOffset>
            </wp:positionH>
            <wp:positionV relativeFrom="paragraph">
              <wp:posOffset>59584</wp:posOffset>
            </wp:positionV>
            <wp:extent cx="5106847" cy="5238115"/>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5" cstate="print"/>
                    <a:stretch>
                      <a:fillRect/>
                    </a:stretch>
                  </pic:blipFill>
                  <pic:spPr>
                    <a:xfrm>
                      <a:off x="0" y="0"/>
                      <a:ext cx="5106847" cy="5238115"/>
                    </a:xfrm>
                    <a:prstGeom prst="rect">
                      <a:avLst/>
                    </a:prstGeom>
                  </pic:spPr>
                </pic:pic>
              </a:graphicData>
            </a:graphic>
          </wp:anchor>
        </w:drawing>
      </w:r>
      <w:r>
        <w:rPr/>
        <w:t>Ownership</w:t>
      </w:r>
      <w:r>
        <w:rPr>
          <w:spacing w:val="-1"/>
        </w:rPr>
        <w:t> </w:t>
      </w:r>
      <w:r>
        <w:rPr>
          <w:spacing w:val="-2"/>
        </w:rPr>
        <w:t>Concentration</w:t>
      </w:r>
    </w:p>
    <w:p>
      <w:pPr>
        <w:pStyle w:val="BodyText"/>
        <w:spacing w:before="1"/>
        <w:rPr>
          <w:b/>
        </w:rPr>
      </w:pPr>
    </w:p>
    <w:p>
      <w:pPr>
        <w:pStyle w:val="BodyText"/>
        <w:spacing w:line="480" w:lineRule="auto"/>
        <w:ind w:left="940" w:right="1434"/>
        <w:jc w:val="both"/>
      </w:pPr>
      <w:r>
        <w:rPr/>
        <w:t>Ownership concentration is a measure of the existence of large shareholders in a firm. According</w:t>
      </w:r>
      <w:r>
        <w:rPr>
          <w:spacing w:val="-3"/>
        </w:rPr>
        <w:t> </w:t>
      </w:r>
      <w:r>
        <w:rPr/>
        <w:t>to</w:t>
      </w:r>
      <w:r>
        <w:rPr>
          <w:spacing w:val="-2"/>
        </w:rPr>
        <w:t> </w:t>
      </w:r>
      <w:r>
        <w:rPr/>
        <w:t>Zhang</w:t>
      </w:r>
      <w:r>
        <w:rPr>
          <w:spacing w:val="-2"/>
        </w:rPr>
        <w:t> </w:t>
      </w:r>
      <w:r>
        <w:rPr/>
        <w:t>(2006),</w:t>
      </w:r>
      <w:r>
        <w:rPr>
          <w:spacing w:val="-3"/>
        </w:rPr>
        <w:t> </w:t>
      </w:r>
      <w:r>
        <w:rPr/>
        <w:t>ownership</w:t>
      </w:r>
      <w:r>
        <w:rPr>
          <w:spacing w:val="-2"/>
        </w:rPr>
        <w:t> </w:t>
      </w:r>
      <w:r>
        <w:rPr/>
        <w:t>concentration</w:t>
      </w:r>
      <w:r>
        <w:rPr>
          <w:spacing w:val="-2"/>
        </w:rPr>
        <w:t> </w:t>
      </w:r>
      <w:r>
        <w:rPr/>
        <w:t>is</w:t>
      </w:r>
      <w:r>
        <w:rPr>
          <w:spacing w:val="-2"/>
        </w:rPr>
        <w:t> </w:t>
      </w:r>
      <w:r>
        <w:rPr/>
        <w:t>stockholders</w:t>
      </w:r>
      <w:r>
        <w:rPr>
          <w:spacing w:val="-3"/>
        </w:rPr>
        <w:t> </w:t>
      </w:r>
      <w:r>
        <w:rPr/>
        <w:t>ownership</w:t>
      </w:r>
      <w:r>
        <w:rPr>
          <w:spacing w:val="-2"/>
        </w:rPr>
        <w:t> </w:t>
      </w:r>
      <w:r>
        <w:rPr/>
        <w:t>proportion.</w:t>
      </w:r>
      <w:r>
        <w:rPr>
          <w:spacing w:val="-2"/>
        </w:rPr>
        <w:t> </w:t>
      </w:r>
      <w:r>
        <w:rPr/>
        <w:t>It represents the concentration degree of ownership in firms. Pedersen and Thomsen (1999) as cited in Wen (2010) defined ownership concentration as the share of the largest owners who are influenced by absolute risk and monitoring costs. Ownership concentration refers to the distribution of the shares owned by a certain number of individuals or institutions (Claessens &amp; Djankov, 1998). Zhang (2006) further reiterated that there were three types of ownership structure: (i) absolute concentration of ownership, that is, there is only one stockholder who has the absolute power to control the firm and usually keeps 50% ownership; (ii) absolutely dispersed ownership, implying that there are numerous stockholders, that is individual ownership of below 10%; and (iii) where there coexists relative concentration of ownership and some large shareholders in a firm. When ownership is concentrated, shareholders owning the major part of the firm’s shares get to control the voting privileges as well, and, therefore, this</w:t>
      </w:r>
      <w:r>
        <w:rPr>
          <w:spacing w:val="-3"/>
        </w:rPr>
        <w:t> </w:t>
      </w:r>
      <w:r>
        <w:rPr/>
        <w:t>puts</w:t>
      </w:r>
      <w:r>
        <w:rPr>
          <w:spacing w:val="-3"/>
        </w:rPr>
        <w:t> </w:t>
      </w:r>
      <w:r>
        <w:rPr/>
        <w:t>them</w:t>
      </w:r>
      <w:r>
        <w:rPr>
          <w:spacing w:val="-3"/>
        </w:rPr>
        <w:t> </w:t>
      </w:r>
      <w:r>
        <w:rPr/>
        <w:t>in</w:t>
      </w:r>
      <w:r>
        <w:rPr>
          <w:spacing w:val="-5"/>
        </w:rPr>
        <w:t> </w:t>
      </w:r>
      <w:r>
        <w:rPr/>
        <w:t>a</w:t>
      </w:r>
      <w:r>
        <w:rPr>
          <w:spacing w:val="-3"/>
        </w:rPr>
        <w:t> </w:t>
      </w:r>
      <w:r>
        <w:rPr/>
        <w:t>powerful</w:t>
      </w:r>
      <w:r>
        <w:rPr>
          <w:spacing w:val="-3"/>
        </w:rPr>
        <w:t> </w:t>
      </w:r>
      <w:r>
        <w:rPr/>
        <w:t>position.</w:t>
      </w:r>
      <w:r>
        <w:rPr>
          <w:spacing w:val="-3"/>
        </w:rPr>
        <w:t> </w:t>
      </w:r>
      <w:r>
        <w:rPr/>
        <w:t>They</w:t>
      </w:r>
      <w:r>
        <w:rPr>
          <w:spacing w:val="-3"/>
        </w:rPr>
        <w:t> </w:t>
      </w:r>
      <w:r>
        <w:rPr/>
        <w:t>continue</w:t>
      </w:r>
      <w:r>
        <w:rPr>
          <w:spacing w:val="-3"/>
        </w:rPr>
        <w:t> </w:t>
      </w:r>
      <w:r>
        <w:rPr/>
        <w:t>to</w:t>
      </w:r>
      <w:r>
        <w:rPr>
          <w:spacing w:val="-3"/>
        </w:rPr>
        <w:t> </w:t>
      </w:r>
      <w:r>
        <w:rPr/>
        <w:t>dominate</w:t>
      </w:r>
      <w:r>
        <w:rPr>
          <w:spacing w:val="-3"/>
        </w:rPr>
        <w:t> </w:t>
      </w:r>
      <w:r>
        <w:rPr/>
        <w:t>even</w:t>
      </w:r>
      <w:r>
        <w:rPr>
          <w:spacing w:val="-3"/>
        </w:rPr>
        <w:t> </w:t>
      </w:r>
      <w:r>
        <w:rPr/>
        <w:t>when</w:t>
      </w:r>
      <w:r>
        <w:rPr>
          <w:spacing w:val="-3"/>
        </w:rPr>
        <w:t> </w:t>
      </w:r>
      <w:r>
        <w:rPr/>
        <w:t>there</w:t>
      </w:r>
      <w:r>
        <w:rPr>
          <w:spacing w:val="-3"/>
        </w:rPr>
        <w:t> </w:t>
      </w:r>
      <w:r>
        <w:rPr/>
        <w:t>is a</w:t>
      </w:r>
      <w:r>
        <w:rPr>
          <w:spacing w:val="-3"/>
        </w:rPr>
        <w:t> </w:t>
      </w:r>
      <w:r>
        <w:rPr/>
        <w:t>conflict over the control with the minority shareholders (Kiatapiwat, 2010). Also, these dominant shareholders end up usually taking care of their own interests through the manipulation of earnings information (Song, 2015). They improve the company’s performance and may help to</w:t>
      </w:r>
      <w:r>
        <w:rPr>
          <w:spacing w:val="44"/>
        </w:rPr>
        <w:t> </w:t>
      </w:r>
      <w:r>
        <w:rPr/>
        <w:t>select</w:t>
      </w:r>
      <w:r>
        <w:rPr>
          <w:spacing w:val="47"/>
        </w:rPr>
        <w:t> </w:t>
      </w:r>
      <w:r>
        <w:rPr/>
        <w:t>accounting</w:t>
      </w:r>
      <w:r>
        <w:rPr>
          <w:spacing w:val="46"/>
        </w:rPr>
        <w:t> </w:t>
      </w:r>
      <w:r>
        <w:rPr/>
        <w:t>policies</w:t>
      </w:r>
      <w:r>
        <w:rPr>
          <w:spacing w:val="46"/>
        </w:rPr>
        <w:t> </w:t>
      </w:r>
      <w:r>
        <w:rPr/>
        <w:t>to</w:t>
      </w:r>
      <w:r>
        <w:rPr>
          <w:spacing w:val="47"/>
        </w:rPr>
        <w:t> </w:t>
      </w:r>
      <w:r>
        <w:rPr/>
        <w:t>reduce</w:t>
      </w:r>
      <w:r>
        <w:rPr>
          <w:spacing w:val="44"/>
        </w:rPr>
        <w:t> </w:t>
      </w:r>
      <w:r>
        <w:rPr/>
        <w:t>the</w:t>
      </w:r>
      <w:r>
        <w:rPr>
          <w:spacing w:val="46"/>
        </w:rPr>
        <w:t> </w:t>
      </w:r>
      <w:r>
        <w:rPr/>
        <w:t>management’s</w:t>
      </w:r>
      <w:r>
        <w:rPr>
          <w:spacing w:val="46"/>
        </w:rPr>
        <w:t> </w:t>
      </w:r>
      <w:r>
        <w:rPr/>
        <w:t>opportunistic</w:t>
      </w:r>
      <w:r>
        <w:rPr>
          <w:spacing w:val="48"/>
        </w:rPr>
        <w:t> </w:t>
      </w:r>
      <w:r>
        <w:rPr/>
        <w:t>behaviours,</w:t>
      </w:r>
      <w:r>
        <w:rPr>
          <w:spacing w:val="47"/>
        </w:rPr>
        <w:t> </w:t>
      </w:r>
      <w:r>
        <w:rPr>
          <w:spacing w:val="-4"/>
        </w:rPr>
        <w:t>make</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optimum</w:t>
      </w:r>
      <w:r>
        <w:rPr>
          <w:spacing w:val="-3"/>
        </w:rPr>
        <w:t> </w:t>
      </w:r>
      <w:r>
        <w:rPr/>
        <w:t>use</w:t>
      </w:r>
      <w:r>
        <w:rPr>
          <w:spacing w:val="-4"/>
        </w:rPr>
        <w:t> </w:t>
      </w:r>
      <w:r>
        <w:rPr/>
        <w:t>of</w:t>
      </w:r>
      <w:r>
        <w:rPr>
          <w:spacing w:val="-7"/>
        </w:rPr>
        <w:t> </w:t>
      </w:r>
      <w:r>
        <w:rPr/>
        <w:t>the</w:t>
      </w:r>
      <w:r>
        <w:rPr>
          <w:spacing w:val="-3"/>
        </w:rPr>
        <w:t> </w:t>
      </w:r>
      <w:r>
        <w:rPr/>
        <w:t>company’s</w:t>
      </w:r>
      <w:r>
        <w:rPr>
          <w:spacing w:val="-4"/>
        </w:rPr>
        <w:t> </w:t>
      </w:r>
      <w:r>
        <w:rPr/>
        <w:t>recourses</w:t>
      </w:r>
      <w:r>
        <w:rPr>
          <w:spacing w:val="-4"/>
        </w:rPr>
        <w:t> </w:t>
      </w:r>
      <w:r>
        <w:rPr/>
        <w:t>and</w:t>
      </w:r>
      <w:r>
        <w:rPr>
          <w:spacing w:val="-3"/>
        </w:rPr>
        <w:t> </w:t>
      </w:r>
      <w:r>
        <w:rPr/>
        <w:t>increase</w:t>
      </w:r>
      <w:r>
        <w:rPr>
          <w:spacing w:val="-4"/>
        </w:rPr>
        <w:t> </w:t>
      </w:r>
      <w:r>
        <w:rPr/>
        <w:t>the</w:t>
      </w:r>
      <w:r>
        <w:rPr>
          <w:spacing w:val="-3"/>
        </w:rPr>
        <w:t> </w:t>
      </w:r>
      <w:r>
        <w:rPr/>
        <w:t>investors’</w:t>
      </w:r>
      <w:r>
        <w:rPr>
          <w:spacing w:val="-3"/>
        </w:rPr>
        <w:t> </w:t>
      </w:r>
      <w:r>
        <w:rPr/>
        <w:t>trust</w:t>
      </w:r>
      <w:r>
        <w:rPr>
          <w:spacing w:val="-3"/>
        </w:rPr>
        <w:t> </w:t>
      </w:r>
      <w:r>
        <w:rPr/>
        <w:t>(Ammann,</w:t>
      </w:r>
      <w:r>
        <w:rPr>
          <w:spacing w:val="-3"/>
        </w:rPr>
        <w:t> </w:t>
      </w:r>
      <w:r>
        <w:rPr/>
        <w:t>Oesch</w:t>
      </w:r>
      <w:r>
        <w:rPr>
          <w:spacing w:val="-3"/>
        </w:rPr>
        <w:t> </w:t>
      </w:r>
      <w:r>
        <w:rPr/>
        <w:t>&amp; Schmid, 2011; Lskavyan &amp; Spatareanu, 2011; Cheung, Stouraitis &amp; Wong, 2005).</w:t>
      </w:r>
    </w:p>
    <w:p>
      <w:pPr>
        <w:pStyle w:val="BodyText"/>
        <w:spacing w:line="480" w:lineRule="auto"/>
        <w:ind w:left="940" w:right="1436"/>
        <w:jc w:val="both"/>
      </w:pPr>
      <w:r>
        <w:rPr/>
        <w:drawing>
          <wp:anchor distT="0" distB="0" distL="0" distR="0" allowOverlap="1" layoutInCell="1" locked="0" behindDoc="1" simplePos="0" relativeHeight="477706240">
            <wp:simplePos x="0" y="0"/>
            <wp:positionH relativeFrom="page">
              <wp:posOffset>1095451</wp:posOffset>
            </wp:positionH>
            <wp:positionV relativeFrom="paragraph">
              <wp:posOffset>1111055</wp:posOffset>
            </wp:positionV>
            <wp:extent cx="5106847" cy="5238115"/>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5" cstate="print"/>
                    <a:stretch>
                      <a:fillRect/>
                    </a:stretch>
                  </pic:blipFill>
                  <pic:spPr>
                    <a:xfrm>
                      <a:off x="0" y="0"/>
                      <a:ext cx="5106847" cy="5238115"/>
                    </a:xfrm>
                    <a:prstGeom prst="rect">
                      <a:avLst/>
                    </a:prstGeom>
                  </pic:spPr>
                </pic:pic>
              </a:graphicData>
            </a:graphic>
          </wp:anchor>
        </w:drawing>
      </w:r>
      <w:r>
        <w:rPr/>
        <w:t>Agency theory predicts that when ownership is concentrated, controlling shareholders have stronger incentives to supervise managerial activities (Jensen &amp; Warner, 1988). The presence of controlling shareholders with greater incentives to monitor and discipline managers is expected to reduce agency costs associated with monitoring managers. However, the primary source of an agency problem in concentrated ownership firms arises due to the conflicts of interest between controlling and outside shareholders (La Porta, Silanes, Shleifer, 2002; Morck, Shleifer &amp; Vishny, 2005). While controlling shareholders have incentives to directly monitor managers, they may have negative effects on outside shareholder value by following their own interests in companies. Shleifer and Vishny (1997) specifically considered the role of</w:t>
      </w:r>
      <w:r>
        <w:rPr>
          <w:spacing w:val="-2"/>
        </w:rPr>
        <w:t> </w:t>
      </w:r>
      <w:r>
        <w:rPr/>
        <w:t>large</w:t>
      </w:r>
      <w:r>
        <w:rPr>
          <w:spacing w:val="-3"/>
        </w:rPr>
        <w:t> </w:t>
      </w:r>
      <w:r>
        <w:rPr/>
        <w:t>shareholders</w:t>
      </w:r>
      <w:r>
        <w:rPr>
          <w:spacing w:val="-2"/>
        </w:rPr>
        <w:t> </w:t>
      </w:r>
      <w:r>
        <w:rPr/>
        <w:t>in exercising</w:t>
      </w:r>
      <w:r>
        <w:rPr>
          <w:spacing w:val="-2"/>
        </w:rPr>
        <w:t> </w:t>
      </w:r>
      <w:r>
        <w:rPr/>
        <w:t>their</w:t>
      </w:r>
      <w:r>
        <w:rPr>
          <w:spacing w:val="-1"/>
        </w:rPr>
        <w:t> </w:t>
      </w:r>
      <w:r>
        <w:rPr/>
        <w:t>power</w:t>
      </w:r>
      <w:r>
        <w:rPr>
          <w:spacing w:val="-2"/>
        </w:rPr>
        <w:t> </w:t>
      </w:r>
      <w:r>
        <w:rPr/>
        <w:t>in</w:t>
      </w:r>
      <w:r>
        <w:rPr>
          <w:spacing w:val="-1"/>
        </w:rPr>
        <w:t> </w:t>
      </w:r>
      <w:r>
        <w:rPr/>
        <w:t>firms</w:t>
      </w:r>
      <w:r>
        <w:rPr>
          <w:spacing w:val="-2"/>
        </w:rPr>
        <w:t> </w:t>
      </w:r>
      <w:r>
        <w:rPr/>
        <w:t>and</w:t>
      </w:r>
      <w:r>
        <w:rPr>
          <w:spacing w:val="-2"/>
        </w:rPr>
        <w:t> </w:t>
      </w:r>
      <w:r>
        <w:rPr/>
        <w:t>the</w:t>
      </w:r>
      <w:r>
        <w:rPr>
          <w:spacing w:val="-1"/>
        </w:rPr>
        <w:t> </w:t>
      </w:r>
      <w:r>
        <w:rPr/>
        <w:t>potential costs</w:t>
      </w:r>
      <w:r>
        <w:rPr>
          <w:spacing w:val="-2"/>
        </w:rPr>
        <w:t> </w:t>
      </w:r>
      <w:r>
        <w:rPr/>
        <w:t>associated</w:t>
      </w:r>
      <w:r>
        <w:rPr>
          <w:spacing w:val="-1"/>
        </w:rPr>
        <w:t> </w:t>
      </w:r>
      <w:r>
        <w:rPr/>
        <w:t>with the expropriation of minority shareholder wealth by large shareholders. The entrenchment effect</w:t>
      </w:r>
      <w:r>
        <w:rPr>
          <w:spacing w:val="-1"/>
        </w:rPr>
        <w:t> </w:t>
      </w:r>
      <w:r>
        <w:rPr/>
        <w:t>of</w:t>
      </w:r>
      <w:r>
        <w:rPr>
          <w:spacing w:val="-2"/>
        </w:rPr>
        <w:t> </w:t>
      </w:r>
      <w:r>
        <w:rPr/>
        <w:t>having</w:t>
      </w:r>
      <w:r>
        <w:rPr>
          <w:spacing w:val="-1"/>
        </w:rPr>
        <w:t> </w:t>
      </w:r>
      <w:r>
        <w:rPr/>
        <w:t>a</w:t>
      </w:r>
      <w:r>
        <w:rPr>
          <w:spacing w:val="-2"/>
        </w:rPr>
        <w:t> </w:t>
      </w:r>
      <w:r>
        <w:rPr/>
        <w:t>large</w:t>
      </w:r>
      <w:r>
        <w:rPr>
          <w:spacing w:val="-2"/>
        </w:rPr>
        <w:t> </w:t>
      </w:r>
      <w:r>
        <w:rPr/>
        <w:t>control</w:t>
      </w:r>
      <w:r>
        <w:rPr>
          <w:spacing w:val="-1"/>
        </w:rPr>
        <w:t> </w:t>
      </w:r>
      <w:r>
        <w:rPr/>
        <w:t>necessitates</w:t>
      </w:r>
      <w:r>
        <w:rPr>
          <w:spacing w:val="-1"/>
        </w:rPr>
        <w:t> </w:t>
      </w:r>
      <w:r>
        <w:rPr/>
        <w:t>a</w:t>
      </w:r>
      <w:r>
        <w:rPr>
          <w:spacing w:val="-2"/>
        </w:rPr>
        <w:t> </w:t>
      </w:r>
      <w:r>
        <w:rPr/>
        <w:t>situation</w:t>
      </w:r>
      <w:r>
        <w:rPr>
          <w:spacing w:val="-1"/>
        </w:rPr>
        <w:t> </w:t>
      </w:r>
      <w:r>
        <w:rPr/>
        <w:t>where</w:t>
      </w:r>
      <w:r>
        <w:rPr>
          <w:spacing w:val="-3"/>
        </w:rPr>
        <w:t> </w:t>
      </w:r>
      <w:r>
        <w:rPr/>
        <w:t>controlling</w:t>
      </w:r>
      <w:r>
        <w:rPr>
          <w:spacing w:val="-1"/>
        </w:rPr>
        <w:t> </w:t>
      </w:r>
      <w:r>
        <w:rPr/>
        <w:t>shareholder</w:t>
      </w:r>
      <w:r>
        <w:rPr>
          <w:spacing w:val="-2"/>
        </w:rPr>
        <w:t> </w:t>
      </w:r>
      <w:r>
        <w:rPr/>
        <w:t>interests deviate from those of other minority shareholders and lead to a misallocation of corporate resources</w:t>
      </w:r>
      <w:r>
        <w:rPr>
          <w:spacing w:val="-10"/>
        </w:rPr>
        <w:t> </w:t>
      </w:r>
      <w:r>
        <w:rPr/>
        <w:t>(Stulz,</w:t>
      </w:r>
      <w:r>
        <w:rPr>
          <w:spacing w:val="-11"/>
        </w:rPr>
        <w:t> </w:t>
      </w:r>
      <w:r>
        <w:rPr/>
        <w:t>1988).</w:t>
      </w:r>
      <w:r>
        <w:rPr>
          <w:spacing w:val="-11"/>
        </w:rPr>
        <w:t> </w:t>
      </w:r>
      <w:r>
        <w:rPr/>
        <w:t>In</w:t>
      </w:r>
      <w:r>
        <w:rPr>
          <w:spacing w:val="-11"/>
        </w:rPr>
        <w:t> </w:t>
      </w:r>
      <w:r>
        <w:rPr/>
        <w:t>the</w:t>
      </w:r>
      <w:r>
        <w:rPr>
          <w:spacing w:val="-11"/>
        </w:rPr>
        <w:t> </w:t>
      </w:r>
      <w:r>
        <w:rPr/>
        <w:t>same</w:t>
      </w:r>
      <w:r>
        <w:rPr>
          <w:spacing w:val="-11"/>
        </w:rPr>
        <w:t> </w:t>
      </w:r>
      <w:r>
        <w:rPr/>
        <w:t>vein,</w:t>
      </w:r>
      <w:r>
        <w:rPr>
          <w:spacing w:val="-10"/>
        </w:rPr>
        <w:t> </w:t>
      </w:r>
      <w:r>
        <w:rPr/>
        <w:t>it</w:t>
      </w:r>
      <w:r>
        <w:rPr>
          <w:spacing w:val="-10"/>
        </w:rPr>
        <w:t> </w:t>
      </w:r>
      <w:r>
        <w:rPr/>
        <w:t>is</w:t>
      </w:r>
      <w:r>
        <w:rPr>
          <w:spacing w:val="-12"/>
        </w:rPr>
        <w:t> </w:t>
      </w:r>
      <w:r>
        <w:rPr/>
        <w:t>always</w:t>
      </w:r>
      <w:r>
        <w:rPr>
          <w:spacing w:val="-10"/>
        </w:rPr>
        <w:t> </w:t>
      </w:r>
      <w:r>
        <w:rPr/>
        <w:t>assumed</w:t>
      </w:r>
      <w:r>
        <w:rPr>
          <w:spacing w:val="-11"/>
        </w:rPr>
        <w:t> </w:t>
      </w:r>
      <w:r>
        <w:rPr/>
        <w:t>that</w:t>
      </w:r>
      <w:r>
        <w:rPr>
          <w:spacing w:val="-11"/>
        </w:rPr>
        <w:t> </w:t>
      </w:r>
      <w:r>
        <w:rPr/>
        <w:t>only</w:t>
      </w:r>
      <w:r>
        <w:rPr>
          <w:spacing w:val="-10"/>
        </w:rPr>
        <w:t> </w:t>
      </w:r>
      <w:r>
        <w:rPr/>
        <w:t>shareholders</w:t>
      </w:r>
      <w:r>
        <w:rPr>
          <w:spacing w:val="-10"/>
        </w:rPr>
        <w:t> </w:t>
      </w:r>
      <w:r>
        <w:rPr/>
        <w:t>who</w:t>
      </w:r>
      <w:r>
        <w:rPr>
          <w:spacing w:val="-11"/>
        </w:rPr>
        <w:t> </w:t>
      </w:r>
      <w:r>
        <w:rPr/>
        <w:t>hold large shares may closely monitor the management of boards. In firms which have relative concentration of ownership and some large shareholders, ownership structure can almost decide</w:t>
      </w:r>
      <w:r>
        <w:rPr>
          <w:spacing w:val="-3"/>
        </w:rPr>
        <w:t> </w:t>
      </w:r>
      <w:r>
        <w:rPr/>
        <w:t>the</w:t>
      </w:r>
      <w:r>
        <w:rPr>
          <w:spacing w:val="-2"/>
        </w:rPr>
        <w:t> </w:t>
      </w:r>
      <w:r>
        <w:rPr/>
        <w:t>composition</w:t>
      </w:r>
      <w:r>
        <w:rPr>
          <w:spacing w:val="-3"/>
        </w:rPr>
        <w:t> </w:t>
      </w:r>
      <w:r>
        <w:rPr/>
        <w:t>of</w:t>
      </w:r>
      <w:r>
        <w:rPr>
          <w:spacing w:val="-2"/>
        </w:rPr>
        <w:t> </w:t>
      </w:r>
      <w:r>
        <w:rPr/>
        <w:t>the</w:t>
      </w:r>
      <w:r>
        <w:rPr>
          <w:spacing w:val="-4"/>
        </w:rPr>
        <w:t> </w:t>
      </w:r>
      <w:r>
        <w:rPr/>
        <w:t>board.</w:t>
      </w:r>
      <w:r>
        <w:rPr>
          <w:spacing w:val="-1"/>
        </w:rPr>
        <w:t> </w:t>
      </w:r>
      <w:r>
        <w:rPr/>
        <w:t>Large</w:t>
      </w:r>
      <w:r>
        <w:rPr>
          <w:spacing w:val="-4"/>
        </w:rPr>
        <w:t> </w:t>
      </w:r>
      <w:r>
        <w:rPr/>
        <w:t>shareholders</w:t>
      </w:r>
      <w:r>
        <w:rPr>
          <w:spacing w:val="-3"/>
        </w:rPr>
        <w:t> </w:t>
      </w:r>
      <w:r>
        <w:rPr/>
        <w:t>have</w:t>
      </w:r>
      <w:r>
        <w:rPr>
          <w:spacing w:val="-4"/>
        </w:rPr>
        <w:t> </w:t>
      </w:r>
      <w:r>
        <w:rPr/>
        <w:t>the</w:t>
      </w:r>
      <w:r>
        <w:rPr>
          <w:spacing w:val="-4"/>
        </w:rPr>
        <w:t> </w:t>
      </w:r>
      <w:r>
        <w:rPr/>
        <w:t>advantage</w:t>
      </w:r>
      <w:r>
        <w:rPr>
          <w:spacing w:val="-4"/>
        </w:rPr>
        <w:t> </w:t>
      </w:r>
      <w:r>
        <w:rPr/>
        <w:t>of</w:t>
      </w:r>
      <w:r>
        <w:rPr>
          <w:spacing w:val="-3"/>
        </w:rPr>
        <w:t> </w:t>
      </w:r>
      <w:r>
        <w:rPr/>
        <w:t>controlling</w:t>
      </w:r>
      <w:r>
        <w:rPr>
          <w:spacing w:val="-3"/>
        </w:rPr>
        <w:t> </w:t>
      </w:r>
      <w:r>
        <w:rPr/>
        <w:t>the exercise of the board, although they can as well use their voting power to improve their own position at the expense of other shareholders. Large shareholders have greater incentives to monitor management because the costs associated with monitoring management are less than the</w:t>
      </w:r>
      <w:r>
        <w:rPr>
          <w:spacing w:val="-13"/>
        </w:rPr>
        <w:t> </w:t>
      </w:r>
      <w:r>
        <w:rPr/>
        <w:t>expected</w:t>
      </w:r>
      <w:r>
        <w:rPr>
          <w:spacing w:val="-13"/>
        </w:rPr>
        <w:t> </w:t>
      </w:r>
      <w:r>
        <w:rPr/>
        <w:t>benefits</w:t>
      </w:r>
      <w:r>
        <w:rPr>
          <w:spacing w:val="-12"/>
        </w:rPr>
        <w:t> </w:t>
      </w:r>
      <w:r>
        <w:rPr/>
        <w:t>to</w:t>
      </w:r>
      <w:r>
        <w:rPr>
          <w:spacing w:val="-12"/>
        </w:rPr>
        <w:t> </w:t>
      </w:r>
      <w:r>
        <w:rPr/>
        <w:t>their</w:t>
      </w:r>
      <w:r>
        <w:rPr>
          <w:spacing w:val="-13"/>
        </w:rPr>
        <w:t> </w:t>
      </w:r>
      <w:r>
        <w:rPr/>
        <w:t>large</w:t>
      </w:r>
      <w:r>
        <w:rPr>
          <w:spacing w:val="-11"/>
        </w:rPr>
        <w:t> </w:t>
      </w:r>
      <w:r>
        <w:rPr/>
        <w:t>equity</w:t>
      </w:r>
      <w:r>
        <w:rPr>
          <w:spacing w:val="-12"/>
        </w:rPr>
        <w:t> </w:t>
      </w:r>
      <w:r>
        <w:rPr/>
        <w:t>holdings</w:t>
      </w:r>
      <w:r>
        <w:rPr>
          <w:spacing w:val="-14"/>
        </w:rPr>
        <w:t> </w:t>
      </w:r>
      <w:r>
        <w:rPr/>
        <w:t>in</w:t>
      </w:r>
      <w:r>
        <w:rPr>
          <w:spacing w:val="-12"/>
        </w:rPr>
        <w:t> </w:t>
      </w:r>
      <w:r>
        <w:rPr/>
        <w:t>the</w:t>
      </w:r>
      <w:r>
        <w:rPr>
          <w:spacing w:val="-13"/>
        </w:rPr>
        <w:t> </w:t>
      </w:r>
      <w:r>
        <w:rPr/>
        <w:t>firm.</w:t>
      </w:r>
      <w:r>
        <w:rPr>
          <w:spacing w:val="-10"/>
        </w:rPr>
        <w:t> </w:t>
      </w:r>
      <w:r>
        <w:rPr/>
        <w:t>According</w:t>
      </w:r>
      <w:r>
        <w:rPr>
          <w:spacing w:val="-12"/>
        </w:rPr>
        <w:t> </w:t>
      </w:r>
      <w:r>
        <w:rPr/>
        <w:t>to</w:t>
      </w:r>
      <w:r>
        <w:rPr>
          <w:spacing w:val="-12"/>
        </w:rPr>
        <w:t> </w:t>
      </w:r>
      <w:r>
        <w:rPr/>
        <w:t>Dou,</w:t>
      </w:r>
      <w:r>
        <w:rPr>
          <w:spacing w:val="-13"/>
        </w:rPr>
        <w:t> </w:t>
      </w:r>
      <w:r>
        <w:rPr/>
        <w:t>Ole-Kristian, Thomas and Zou, (2013), major shareholders have two forms of impact on the financial reporting:</w:t>
      </w:r>
      <w:r>
        <w:rPr>
          <w:spacing w:val="63"/>
        </w:rPr>
        <w:t> </w:t>
      </w:r>
      <w:r>
        <w:rPr/>
        <w:t>(i)</w:t>
      </w:r>
      <w:r>
        <w:rPr>
          <w:spacing w:val="65"/>
        </w:rPr>
        <w:t> </w:t>
      </w:r>
      <w:r>
        <w:rPr/>
        <w:t>through</w:t>
      </w:r>
      <w:r>
        <w:rPr>
          <w:spacing w:val="64"/>
        </w:rPr>
        <w:t> </w:t>
      </w:r>
      <w:r>
        <w:rPr/>
        <w:t>direct</w:t>
      </w:r>
      <w:r>
        <w:rPr>
          <w:spacing w:val="66"/>
        </w:rPr>
        <w:t> </w:t>
      </w:r>
      <w:r>
        <w:rPr/>
        <w:t>intervention</w:t>
      </w:r>
      <w:r>
        <w:rPr>
          <w:spacing w:val="65"/>
        </w:rPr>
        <w:t> </w:t>
      </w:r>
      <w:r>
        <w:rPr/>
        <w:t>in</w:t>
      </w:r>
      <w:r>
        <w:rPr>
          <w:spacing w:val="65"/>
        </w:rPr>
        <w:t> </w:t>
      </w:r>
      <w:r>
        <w:rPr/>
        <w:t>the</w:t>
      </w:r>
      <w:r>
        <w:rPr>
          <w:spacing w:val="65"/>
        </w:rPr>
        <w:t> </w:t>
      </w:r>
      <w:r>
        <w:rPr/>
        <w:t>company’s</w:t>
      </w:r>
      <w:r>
        <w:rPr>
          <w:spacing w:val="69"/>
        </w:rPr>
        <w:t> </w:t>
      </w:r>
      <w:r>
        <w:rPr/>
        <w:t>activities</w:t>
      </w:r>
      <w:r>
        <w:rPr>
          <w:spacing w:val="64"/>
        </w:rPr>
        <w:t> </w:t>
      </w:r>
      <w:r>
        <w:rPr/>
        <w:t>such</w:t>
      </w:r>
      <w:r>
        <w:rPr>
          <w:spacing w:val="65"/>
        </w:rPr>
        <w:t> </w:t>
      </w:r>
      <w:r>
        <w:rPr/>
        <w:t>as</w:t>
      </w:r>
      <w:r>
        <w:rPr>
          <w:spacing w:val="66"/>
        </w:rPr>
        <w:t> </w:t>
      </w:r>
      <w:r>
        <w:rPr>
          <w:spacing w:val="-2"/>
        </w:rPr>
        <w:t>financing,</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06752">
            <wp:simplePos x="0" y="0"/>
            <wp:positionH relativeFrom="page">
              <wp:posOffset>1095451</wp:posOffset>
            </wp:positionH>
            <wp:positionV relativeFrom="paragraph">
              <wp:posOffset>1850770</wp:posOffset>
            </wp:positionV>
            <wp:extent cx="5106847" cy="523811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5" cstate="print"/>
                    <a:stretch>
                      <a:fillRect/>
                    </a:stretch>
                  </pic:blipFill>
                  <pic:spPr>
                    <a:xfrm>
                      <a:off x="0" y="0"/>
                      <a:ext cx="5106847" cy="5238115"/>
                    </a:xfrm>
                    <a:prstGeom prst="rect">
                      <a:avLst/>
                    </a:prstGeom>
                  </pic:spPr>
                </pic:pic>
              </a:graphicData>
            </a:graphic>
          </wp:anchor>
        </w:drawing>
      </w:r>
      <w:r>
        <w:rPr/>
        <w:t>investment</w:t>
      </w:r>
      <w:r>
        <w:rPr>
          <w:spacing w:val="-13"/>
        </w:rPr>
        <w:t> </w:t>
      </w:r>
      <w:r>
        <w:rPr/>
        <w:t>and</w:t>
      </w:r>
      <w:r>
        <w:rPr>
          <w:spacing w:val="-13"/>
        </w:rPr>
        <w:t> </w:t>
      </w:r>
      <w:r>
        <w:rPr/>
        <w:t>management</w:t>
      </w:r>
      <w:r>
        <w:rPr>
          <w:spacing w:val="-13"/>
        </w:rPr>
        <w:t> </w:t>
      </w:r>
      <w:r>
        <w:rPr/>
        <w:t>decisions;</w:t>
      </w:r>
      <w:r>
        <w:rPr>
          <w:spacing w:val="-13"/>
        </w:rPr>
        <w:t> </w:t>
      </w:r>
      <w:r>
        <w:rPr/>
        <w:t>and</w:t>
      </w:r>
      <w:r>
        <w:rPr>
          <w:spacing w:val="-13"/>
        </w:rPr>
        <w:t> </w:t>
      </w:r>
      <w:r>
        <w:rPr/>
        <w:t>(ii)</w:t>
      </w:r>
      <w:r>
        <w:rPr>
          <w:spacing w:val="-14"/>
        </w:rPr>
        <w:t> </w:t>
      </w:r>
      <w:r>
        <w:rPr/>
        <w:t>through</w:t>
      </w:r>
      <w:r>
        <w:rPr>
          <w:spacing w:val="-13"/>
        </w:rPr>
        <w:t> </w:t>
      </w:r>
      <w:r>
        <w:rPr/>
        <w:t>the</w:t>
      </w:r>
      <w:r>
        <w:rPr>
          <w:spacing w:val="-14"/>
        </w:rPr>
        <w:t> </w:t>
      </w:r>
      <w:r>
        <w:rPr/>
        <w:t>major</w:t>
      </w:r>
      <w:r>
        <w:rPr>
          <w:spacing w:val="-14"/>
        </w:rPr>
        <w:t> </w:t>
      </w:r>
      <w:r>
        <w:rPr/>
        <w:t>shareholders’</w:t>
      </w:r>
      <w:r>
        <w:rPr>
          <w:spacing w:val="-14"/>
        </w:rPr>
        <w:t> </w:t>
      </w:r>
      <w:r>
        <w:rPr/>
        <w:t>influence</w:t>
      </w:r>
      <w:r>
        <w:rPr>
          <w:spacing w:val="-14"/>
        </w:rPr>
        <w:t> </w:t>
      </w:r>
      <w:r>
        <w:rPr/>
        <w:t>from obtaining private information, exploiting it for personal benefits or influencing managers’ decisions by threatening them to sell their rations from the company’s shares. In contrast, dispersed</w:t>
      </w:r>
      <w:r>
        <w:rPr>
          <w:spacing w:val="-7"/>
        </w:rPr>
        <w:t> </w:t>
      </w:r>
      <w:r>
        <w:rPr/>
        <w:t>shareholders</w:t>
      </w:r>
      <w:r>
        <w:rPr>
          <w:spacing w:val="-7"/>
        </w:rPr>
        <w:t> </w:t>
      </w:r>
      <w:r>
        <w:rPr/>
        <w:t>have</w:t>
      </w:r>
      <w:r>
        <w:rPr>
          <w:spacing w:val="-8"/>
        </w:rPr>
        <w:t> </w:t>
      </w:r>
      <w:r>
        <w:rPr/>
        <w:t>little</w:t>
      </w:r>
      <w:r>
        <w:rPr>
          <w:spacing w:val="-8"/>
        </w:rPr>
        <w:t> </w:t>
      </w:r>
      <w:r>
        <w:rPr/>
        <w:t>or</w:t>
      </w:r>
      <w:r>
        <w:rPr>
          <w:spacing w:val="-8"/>
        </w:rPr>
        <w:t> </w:t>
      </w:r>
      <w:r>
        <w:rPr/>
        <w:t>no</w:t>
      </w:r>
      <w:r>
        <w:rPr>
          <w:spacing w:val="-7"/>
        </w:rPr>
        <w:t> </w:t>
      </w:r>
      <w:r>
        <w:rPr/>
        <w:t>incentive</w:t>
      </w:r>
      <w:r>
        <w:rPr>
          <w:spacing w:val="-8"/>
        </w:rPr>
        <w:t> </w:t>
      </w:r>
      <w:r>
        <w:rPr/>
        <w:t>to</w:t>
      </w:r>
      <w:r>
        <w:rPr>
          <w:spacing w:val="-7"/>
        </w:rPr>
        <w:t> </w:t>
      </w:r>
      <w:r>
        <w:rPr/>
        <w:t>monitor</w:t>
      </w:r>
      <w:r>
        <w:rPr>
          <w:spacing w:val="-8"/>
        </w:rPr>
        <w:t> </w:t>
      </w:r>
      <w:r>
        <w:rPr/>
        <w:t>the</w:t>
      </w:r>
      <w:r>
        <w:rPr>
          <w:spacing w:val="-8"/>
        </w:rPr>
        <w:t> </w:t>
      </w:r>
      <w:r>
        <w:rPr/>
        <w:t>management</w:t>
      </w:r>
      <w:r>
        <w:rPr>
          <w:spacing w:val="-7"/>
        </w:rPr>
        <w:t> </w:t>
      </w:r>
      <w:r>
        <w:rPr/>
        <w:t>and</w:t>
      </w:r>
      <w:r>
        <w:rPr>
          <w:spacing w:val="-7"/>
        </w:rPr>
        <w:t> </w:t>
      </w:r>
      <w:r>
        <w:rPr/>
        <w:t>may</w:t>
      </w:r>
      <w:r>
        <w:rPr>
          <w:spacing w:val="-8"/>
        </w:rPr>
        <w:t> </w:t>
      </w:r>
      <w:r>
        <w:rPr/>
        <w:t>have</w:t>
      </w:r>
      <w:r>
        <w:rPr>
          <w:spacing w:val="-8"/>
        </w:rPr>
        <w:t> </w:t>
      </w:r>
      <w:r>
        <w:rPr/>
        <w:t>no power to decide for the board. In situations where shareholders hold low stakes in the firm, shareholders have little or no incentive to monitor managers because monitoring costs will exceed the gains of monitoring managers.</w:t>
      </w:r>
    </w:p>
    <w:p>
      <w:pPr>
        <w:pStyle w:val="BodyText"/>
      </w:pPr>
    </w:p>
    <w:p>
      <w:pPr>
        <w:pStyle w:val="BodyText"/>
        <w:spacing w:before="1"/>
      </w:pPr>
    </w:p>
    <w:p>
      <w:pPr>
        <w:pStyle w:val="Heading3"/>
        <w:numPr>
          <w:ilvl w:val="1"/>
          <w:numId w:val="23"/>
        </w:numPr>
        <w:tabs>
          <w:tab w:pos="1300" w:val="left" w:leader="none"/>
        </w:tabs>
        <w:spacing w:line="240" w:lineRule="auto" w:before="0" w:after="0"/>
        <w:ind w:left="1300" w:right="0" w:hanging="360"/>
        <w:jc w:val="left"/>
      </w:pPr>
      <w:bookmarkStart w:name="_TOC_250050" w:id="20"/>
      <w:r>
        <w:rPr/>
        <w:t>Empirical</w:t>
      </w:r>
      <w:r>
        <w:rPr>
          <w:spacing w:val="-1"/>
        </w:rPr>
        <w:t> </w:t>
      </w:r>
      <w:r>
        <w:rPr/>
        <w:t>Review</w:t>
      </w:r>
      <w:r>
        <w:rPr>
          <w:spacing w:val="-2"/>
        </w:rPr>
        <w:t> </w:t>
      </w:r>
      <w:r>
        <w:rPr/>
        <w:t>of </w:t>
      </w:r>
      <w:bookmarkEnd w:id="20"/>
      <w:r>
        <w:rPr>
          <w:spacing w:val="-2"/>
        </w:rPr>
        <w:t>Literature</w:t>
      </w:r>
    </w:p>
    <w:p>
      <w:pPr>
        <w:pStyle w:val="BodyText"/>
        <w:rPr>
          <w:b/>
        </w:rPr>
      </w:pPr>
    </w:p>
    <w:p>
      <w:pPr>
        <w:pStyle w:val="Heading3"/>
        <w:numPr>
          <w:ilvl w:val="2"/>
          <w:numId w:val="23"/>
        </w:numPr>
        <w:tabs>
          <w:tab w:pos="1480" w:val="left" w:leader="none"/>
        </w:tabs>
        <w:spacing w:line="240" w:lineRule="auto" w:before="0" w:after="0"/>
        <w:ind w:left="1480" w:right="0" w:hanging="540"/>
        <w:jc w:val="left"/>
      </w:pPr>
      <w:bookmarkStart w:name="_TOC_250049" w:id="21"/>
      <w:r>
        <w:rPr/>
        <w:t>Board</w:t>
      </w:r>
      <w:r>
        <w:rPr>
          <w:spacing w:val="-2"/>
        </w:rPr>
        <w:t> </w:t>
      </w:r>
      <w:r>
        <w:rPr/>
        <w:t>of</w:t>
      </w:r>
      <w:r>
        <w:rPr>
          <w:spacing w:val="-1"/>
        </w:rPr>
        <w:t> </w:t>
      </w:r>
      <w:r>
        <w:rPr/>
        <w:t>Director</w:t>
      </w:r>
      <w:r>
        <w:rPr>
          <w:spacing w:val="-2"/>
        </w:rPr>
        <w:t> </w:t>
      </w:r>
      <w:r>
        <w:rPr/>
        <w:t>Size</w:t>
      </w:r>
      <w:r>
        <w:rPr>
          <w:spacing w:val="-3"/>
        </w:rPr>
        <w:t> </w:t>
      </w:r>
      <w:r>
        <w:rPr/>
        <w:t>and</w:t>
      </w:r>
      <w:r>
        <w:rPr>
          <w:spacing w:val="-2"/>
        </w:rPr>
        <w:t> </w:t>
      </w:r>
      <w:r>
        <w:rPr/>
        <w:t>Financial</w:t>
      </w:r>
      <w:r>
        <w:rPr>
          <w:spacing w:val="-1"/>
        </w:rPr>
        <w:t> </w:t>
      </w:r>
      <w:r>
        <w:rPr/>
        <w:t>Reporting</w:t>
      </w:r>
      <w:r>
        <w:rPr>
          <w:spacing w:val="-1"/>
        </w:rPr>
        <w:t> </w:t>
      </w:r>
      <w:bookmarkEnd w:id="21"/>
      <w:r>
        <w:rPr>
          <w:spacing w:val="-2"/>
        </w:rPr>
        <w:t>Quality</w:t>
      </w:r>
    </w:p>
    <w:p>
      <w:pPr>
        <w:pStyle w:val="BodyText"/>
        <w:rPr>
          <w:b/>
        </w:rPr>
      </w:pPr>
    </w:p>
    <w:p>
      <w:pPr>
        <w:pStyle w:val="BodyText"/>
        <w:spacing w:line="480" w:lineRule="auto"/>
        <w:ind w:left="940" w:right="1435"/>
        <w:jc w:val="both"/>
      </w:pPr>
      <w:r>
        <w:rPr/>
        <w:t>Ibrahim and Jehu (2018) examined the relationship between board composition and financial reporting</w:t>
      </w:r>
      <w:r>
        <w:rPr>
          <w:spacing w:val="-3"/>
        </w:rPr>
        <w:t> </w:t>
      </w:r>
      <w:r>
        <w:rPr/>
        <w:t>quality.</w:t>
      </w:r>
      <w:r>
        <w:rPr>
          <w:spacing w:val="-3"/>
        </w:rPr>
        <w:t> </w:t>
      </w:r>
      <w:r>
        <w:rPr/>
        <w:t>The</w:t>
      </w:r>
      <w:r>
        <w:rPr>
          <w:spacing w:val="-4"/>
        </w:rPr>
        <w:t> </w:t>
      </w:r>
      <w:r>
        <w:rPr/>
        <w:t>sample</w:t>
      </w:r>
      <w:r>
        <w:rPr>
          <w:spacing w:val="-4"/>
        </w:rPr>
        <w:t> </w:t>
      </w:r>
      <w:r>
        <w:rPr/>
        <w:t>consisted</w:t>
      </w:r>
      <w:r>
        <w:rPr>
          <w:spacing w:val="-3"/>
        </w:rPr>
        <w:t> </w:t>
      </w:r>
      <w:r>
        <w:rPr/>
        <w:t>of</w:t>
      </w:r>
      <w:r>
        <w:rPr>
          <w:spacing w:val="-3"/>
        </w:rPr>
        <w:t> </w:t>
      </w:r>
      <w:r>
        <w:rPr/>
        <w:t>576</w:t>
      </w:r>
      <w:r>
        <w:rPr>
          <w:spacing w:val="-3"/>
        </w:rPr>
        <w:t> </w:t>
      </w:r>
      <w:r>
        <w:rPr/>
        <w:t>Nigerian</w:t>
      </w:r>
      <w:r>
        <w:rPr>
          <w:spacing w:val="-3"/>
        </w:rPr>
        <w:t> </w:t>
      </w:r>
      <w:r>
        <w:rPr/>
        <w:t>firms</w:t>
      </w:r>
      <w:r>
        <w:rPr>
          <w:spacing w:val="-3"/>
        </w:rPr>
        <w:t> </w:t>
      </w:r>
      <w:r>
        <w:rPr/>
        <w:t>during</w:t>
      </w:r>
      <w:r>
        <w:rPr>
          <w:spacing w:val="-3"/>
        </w:rPr>
        <w:t> </w:t>
      </w:r>
      <w:r>
        <w:rPr/>
        <w:t>the</w:t>
      </w:r>
      <w:r>
        <w:rPr>
          <w:spacing w:val="-3"/>
        </w:rPr>
        <w:t> </w:t>
      </w:r>
      <w:r>
        <w:rPr/>
        <w:t>period</w:t>
      </w:r>
      <w:r>
        <w:rPr>
          <w:spacing w:val="-3"/>
        </w:rPr>
        <w:t> </w:t>
      </w:r>
      <w:r>
        <w:rPr/>
        <w:t>2011</w:t>
      </w:r>
      <w:r>
        <w:rPr>
          <w:spacing w:val="-3"/>
        </w:rPr>
        <w:t> </w:t>
      </w:r>
      <w:r>
        <w:rPr/>
        <w:t>to</w:t>
      </w:r>
      <w:r>
        <w:rPr>
          <w:spacing w:val="-3"/>
        </w:rPr>
        <w:t> </w:t>
      </w:r>
      <w:r>
        <w:rPr/>
        <w:t>2016. The results from the multivariate regression analyses suggested that board size exhibited an insignificant</w:t>
      </w:r>
      <w:r>
        <w:rPr>
          <w:spacing w:val="-13"/>
        </w:rPr>
        <w:t> </w:t>
      </w:r>
      <w:r>
        <w:rPr/>
        <w:t>inverse</w:t>
      </w:r>
      <w:r>
        <w:rPr>
          <w:spacing w:val="-11"/>
        </w:rPr>
        <w:t> </w:t>
      </w:r>
      <w:r>
        <w:rPr/>
        <w:t>relationship</w:t>
      </w:r>
      <w:r>
        <w:rPr>
          <w:spacing w:val="-13"/>
        </w:rPr>
        <w:t> </w:t>
      </w:r>
      <w:r>
        <w:rPr/>
        <w:t>with</w:t>
      </w:r>
      <w:r>
        <w:rPr>
          <w:spacing w:val="-13"/>
        </w:rPr>
        <w:t> </w:t>
      </w:r>
      <w:r>
        <w:rPr/>
        <w:t>abnormal</w:t>
      </w:r>
      <w:r>
        <w:rPr>
          <w:spacing w:val="-10"/>
        </w:rPr>
        <w:t> </w:t>
      </w:r>
      <w:r>
        <w:rPr/>
        <w:t>accruals</w:t>
      </w:r>
      <w:r>
        <w:rPr>
          <w:rFonts w:ascii="Calibri" w:hAnsi="Calibri"/>
          <w:sz w:val="22"/>
        </w:rPr>
        <w:t>.</w:t>
      </w:r>
      <w:r>
        <w:rPr>
          <w:rFonts w:ascii="Calibri" w:hAnsi="Calibri"/>
          <w:spacing w:val="-10"/>
          <w:sz w:val="22"/>
        </w:rPr>
        <w:t> </w:t>
      </w:r>
      <w:r>
        <w:rPr/>
        <w:t>Adebiyi</w:t>
      </w:r>
      <w:r>
        <w:rPr>
          <w:spacing w:val="-10"/>
        </w:rPr>
        <w:t> </w:t>
      </w:r>
      <w:r>
        <w:rPr/>
        <w:t>(2017)</w:t>
      </w:r>
      <w:r>
        <w:rPr>
          <w:spacing w:val="-14"/>
        </w:rPr>
        <w:t> </w:t>
      </w:r>
      <w:r>
        <w:rPr/>
        <w:t>investigated</w:t>
      </w:r>
      <w:r>
        <w:rPr>
          <w:spacing w:val="-14"/>
        </w:rPr>
        <w:t> </w:t>
      </w:r>
      <w:r>
        <w:rPr/>
        <w:t>board</w:t>
      </w:r>
      <w:r>
        <w:rPr>
          <w:spacing w:val="-14"/>
        </w:rPr>
        <w:t> </w:t>
      </w:r>
      <w:r>
        <w:rPr/>
        <w:t>of directors’ composition and financial reporting quality of deposit money banks in Nigeria. Board composition was a proxy for board size and independence while financial reporting quality was a proxy for discretionary accruals. The study used a sample of fifteen (15) commercial banks during the period 2005 to 2016 and the Ordinary Least Square (OLS) regression to estimate the panel data set. The study found that board size exhibited a positive relationship with financial reporting quality. Fodio, Ibikunle and Oba (2013) investigated corporate governance mechanisms and reported earnings quality in listed insurance firms in Nigerian. Using a study period 2007 to 2012, the result revealed that board size exhibited a significant inverse relationship with earnings management.</w:t>
      </w:r>
    </w:p>
    <w:p>
      <w:pPr>
        <w:pStyle w:val="BodyText"/>
        <w:spacing w:line="480" w:lineRule="auto" w:before="2"/>
        <w:ind w:left="940" w:right="1438"/>
        <w:jc w:val="both"/>
      </w:pPr>
      <w:r>
        <w:rPr/>
        <w:t>In a similar study, Nugroho and Eko (2011) found that board size did not affect earnings management</w:t>
      </w:r>
      <w:r>
        <w:rPr>
          <w:spacing w:val="-11"/>
        </w:rPr>
        <w:t> </w:t>
      </w:r>
      <w:r>
        <w:rPr/>
        <w:t>of</w:t>
      </w:r>
      <w:r>
        <w:rPr>
          <w:spacing w:val="-9"/>
        </w:rPr>
        <w:t> </w:t>
      </w:r>
      <w:r>
        <w:rPr/>
        <w:t>firms</w:t>
      </w:r>
      <w:r>
        <w:rPr>
          <w:spacing w:val="-11"/>
        </w:rPr>
        <w:t> </w:t>
      </w:r>
      <w:r>
        <w:rPr/>
        <w:t>listed</w:t>
      </w:r>
      <w:r>
        <w:rPr>
          <w:spacing w:val="-10"/>
        </w:rPr>
        <w:t> </w:t>
      </w:r>
      <w:r>
        <w:rPr/>
        <w:t>on</w:t>
      </w:r>
      <w:r>
        <w:rPr>
          <w:spacing w:val="-10"/>
        </w:rPr>
        <w:t> </w:t>
      </w:r>
      <w:r>
        <w:rPr/>
        <w:t>the</w:t>
      </w:r>
      <w:r>
        <w:rPr>
          <w:spacing w:val="-10"/>
        </w:rPr>
        <w:t> </w:t>
      </w:r>
      <w:r>
        <w:rPr/>
        <w:t>Indonesian</w:t>
      </w:r>
      <w:r>
        <w:rPr>
          <w:spacing w:val="-11"/>
        </w:rPr>
        <w:t> </w:t>
      </w:r>
      <w:r>
        <w:rPr/>
        <w:t>Stock</w:t>
      </w:r>
      <w:r>
        <w:rPr>
          <w:spacing w:val="-10"/>
        </w:rPr>
        <w:t> </w:t>
      </w:r>
      <w:r>
        <w:rPr/>
        <w:t>Exchange.</w:t>
      </w:r>
      <w:r>
        <w:rPr>
          <w:spacing w:val="-10"/>
        </w:rPr>
        <w:t> </w:t>
      </w:r>
      <w:r>
        <w:rPr/>
        <w:t>Rashidah</w:t>
      </w:r>
      <w:r>
        <w:rPr>
          <w:spacing w:val="-10"/>
        </w:rPr>
        <w:t> </w:t>
      </w:r>
      <w:r>
        <w:rPr/>
        <w:t>and</w:t>
      </w:r>
      <w:r>
        <w:rPr>
          <w:spacing w:val="-11"/>
        </w:rPr>
        <w:t> </w:t>
      </w:r>
      <w:r>
        <w:rPr/>
        <w:t>Fairuzana</w:t>
      </w:r>
      <w:r>
        <w:rPr>
          <w:spacing w:val="-10"/>
        </w:rPr>
        <w:t> </w:t>
      </w:r>
      <w:r>
        <w:rPr>
          <w:spacing w:val="-2"/>
        </w:rPr>
        <w:t>(2006)</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07264">
            <wp:simplePos x="0" y="0"/>
            <wp:positionH relativeFrom="page">
              <wp:posOffset>1095451</wp:posOffset>
            </wp:positionH>
            <wp:positionV relativeFrom="paragraph">
              <wp:posOffset>1850770</wp:posOffset>
            </wp:positionV>
            <wp:extent cx="5106847" cy="523811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5106847" cy="5238115"/>
                    </a:xfrm>
                    <a:prstGeom prst="rect">
                      <a:avLst/>
                    </a:prstGeom>
                  </pic:spPr>
                </pic:pic>
              </a:graphicData>
            </a:graphic>
          </wp:anchor>
        </w:drawing>
      </w:r>
      <w:r>
        <w:rPr/>
        <w:t>examined</w:t>
      </w:r>
      <w:r>
        <w:rPr>
          <w:spacing w:val="-14"/>
        </w:rPr>
        <w:t> </w:t>
      </w:r>
      <w:r>
        <w:rPr/>
        <w:t>board,</w:t>
      </w:r>
      <w:r>
        <w:rPr>
          <w:spacing w:val="-12"/>
        </w:rPr>
        <w:t> </w:t>
      </w:r>
      <w:r>
        <w:rPr/>
        <w:t>audit</w:t>
      </w:r>
      <w:r>
        <w:rPr>
          <w:spacing w:val="-13"/>
        </w:rPr>
        <w:t> </w:t>
      </w:r>
      <w:r>
        <w:rPr/>
        <w:t>committee,</w:t>
      </w:r>
      <w:r>
        <w:rPr>
          <w:spacing w:val="-14"/>
        </w:rPr>
        <w:t> </w:t>
      </w:r>
      <w:r>
        <w:rPr/>
        <w:t>culture</w:t>
      </w:r>
      <w:r>
        <w:rPr>
          <w:spacing w:val="-15"/>
        </w:rPr>
        <w:t> </w:t>
      </w:r>
      <w:r>
        <w:rPr/>
        <w:t>and</w:t>
      </w:r>
      <w:r>
        <w:rPr>
          <w:spacing w:val="-14"/>
        </w:rPr>
        <w:t> </w:t>
      </w:r>
      <w:r>
        <w:rPr/>
        <w:t>earnings</w:t>
      </w:r>
      <w:r>
        <w:rPr>
          <w:spacing w:val="-13"/>
        </w:rPr>
        <w:t> </w:t>
      </w:r>
      <w:r>
        <w:rPr/>
        <w:t>management,</w:t>
      </w:r>
      <w:r>
        <w:rPr>
          <w:spacing w:val="-14"/>
        </w:rPr>
        <w:t> </w:t>
      </w:r>
      <w:r>
        <w:rPr/>
        <w:t>evidence</w:t>
      </w:r>
      <w:r>
        <w:rPr>
          <w:spacing w:val="-15"/>
        </w:rPr>
        <w:t> </w:t>
      </w:r>
      <w:r>
        <w:rPr/>
        <w:t>from</w:t>
      </w:r>
      <w:r>
        <w:rPr>
          <w:spacing w:val="-14"/>
        </w:rPr>
        <w:t> </w:t>
      </w:r>
      <w:r>
        <w:rPr/>
        <w:t>Malaysian firms. The study found that a larger board was associated with lower levels of discretionary accruals.</w:t>
      </w:r>
      <w:r>
        <w:rPr>
          <w:spacing w:val="-9"/>
        </w:rPr>
        <w:t> </w:t>
      </w:r>
      <w:r>
        <w:rPr/>
        <w:t>In</w:t>
      </w:r>
      <w:r>
        <w:rPr>
          <w:spacing w:val="-11"/>
        </w:rPr>
        <w:t> </w:t>
      </w:r>
      <w:r>
        <w:rPr/>
        <w:t>the</w:t>
      </w:r>
      <w:r>
        <w:rPr>
          <w:spacing w:val="-11"/>
        </w:rPr>
        <w:t> </w:t>
      </w:r>
      <w:r>
        <w:rPr/>
        <w:t>same</w:t>
      </w:r>
      <w:r>
        <w:rPr>
          <w:spacing w:val="-12"/>
        </w:rPr>
        <w:t> </w:t>
      </w:r>
      <w:r>
        <w:rPr/>
        <w:t>vein,</w:t>
      </w:r>
      <w:r>
        <w:rPr>
          <w:spacing w:val="-11"/>
        </w:rPr>
        <w:t> </w:t>
      </w:r>
      <w:r>
        <w:rPr/>
        <w:t>Xie,</w:t>
      </w:r>
      <w:r>
        <w:rPr>
          <w:spacing w:val="-11"/>
        </w:rPr>
        <w:t> </w:t>
      </w:r>
      <w:r>
        <w:rPr/>
        <w:t>Davidson</w:t>
      </w:r>
      <w:r>
        <w:rPr>
          <w:spacing w:val="-11"/>
        </w:rPr>
        <w:t> </w:t>
      </w:r>
      <w:r>
        <w:rPr/>
        <w:t>and</w:t>
      </w:r>
      <w:r>
        <w:rPr>
          <w:spacing w:val="-12"/>
        </w:rPr>
        <w:t> </w:t>
      </w:r>
      <w:r>
        <w:rPr/>
        <w:t>Dalt</w:t>
      </w:r>
      <w:r>
        <w:rPr>
          <w:spacing w:val="-11"/>
        </w:rPr>
        <w:t> </w:t>
      </w:r>
      <w:r>
        <w:rPr/>
        <w:t>(2003)</w:t>
      </w:r>
      <w:r>
        <w:rPr>
          <w:spacing w:val="-11"/>
        </w:rPr>
        <w:t> </w:t>
      </w:r>
      <w:r>
        <w:rPr/>
        <w:t>examined</w:t>
      </w:r>
      <w:r>
        <w:rPr>
          <w:spacing w:val="-11"/>
        </w:rPr>
        <w:t> </w:t>
      </w:r>
      <w:r>
        <w:rPr/>
        <w:t>earnings</w:t>
      </w:r>
      <w:r>
        <w:rPr>
          <w:spacing w:val="-11"/>
        </w:rPr>
        <w:t> </w:t>
      </w:r>
      <w:r>
        <w:rPr/>
        <w:t>management</w:t>
      </w:r>
      <w:r>
        <w:rPr>
          <w:spacing w:val="-11"/>
        </w:rPr>
        <w:t> </w:t>
      </w:r>
      <w:r>
        <w:rPr/>
        <w:t>and corporate</w:t>
      </w:r>
      <w:r>
        <w:rPr>
          <w:spacing w:val="-12"/>
        </w:rPr>
        <w:t> </w:t>
      </w:r>
      <w:r>
        <w:rPr/>
        <w:t>governance,</w:t>
      </w:r>
      <w:r>
        <w:rPr>
          <w:spacing w:val="-11"/>
        </w:rPr>
        <w:t> </w:t>
      </w:r>
      <w:r>
        <w:rPr/>
        <w:t>the</w:t>
      </w:r>
      <w:r>
        <w:rPr>
          <w:spacing w:val="-11"/>
        </w:rPr>
        <w:t> </w:t>
      </w:r>
      <w:r>
        <w:rPr/>
        <w:t>role</w:t>
      </w:r>
      <w:r>
        <w:rPr>
          <w:spacing w:val="-12"/>
        </w:rPr>
        <w:t> </w:t>
      </w:r>
      <w:r>
        <w:rPr/>
        <w:t>of</w:t>
      </w:r>
      <w:r>
        <w:rPr>
          <w:spacing w:val="-11"/>
        </w:rPr>
        <w:t> </w:t>
      </w:r>
      <w:r>
        <w:rPr/>
        <w:t>the</w:t>
      </w:r>
      <w:r>
        <w:rPr>
          <w:spacing w:val="-11"/>
        </w:rPr>
        <w:t> </w:t>
      </w:r>
      <w:r>
        <w:rPr/>
        <w:t>board</w:t>
      </w:r>
      <w:r>
        <w:rPr>
          <w:spacing w:val="-11"/>
        </w:rPr>
        <w:t> </w:t>
      </w:r>
      <w:r>
        <w:rPr/>
        <w:t>and</w:t>
      </w:r>
      <w:r>
        <w:rPr>
          <w:spacing w:val="-11"/>
        </w:rPr>
        <w:t> </w:t>
      </w:r>
      <w:r>
        <w:rPr/>
        <w:t>the</w:t>
      </w:r>
      <w:r>
        <w:rPr>
          <w:spacing w:val="-12"/>
        </w:rPr>
        <w:t> </w:t>
      </w:r>
      <w:r>
        <w:rPr/>
        <w:t>audit</w:t>
      </w:r>
      <w:r>
        <w:rPr>
          <w:spacing w:val="-10"/>
        </w:rPr>
        <w:t> </w:t>
      </w:r>
      <w:r>
        <w:rPr/>
        <w:t>committee.</w:t>
      </w:r>
      <w:r>
        <w:rPr>
          <w:spacing w:val="-11"/>
        </w:rPr>
        <w:t> </w:t>
      </w:r>
      <w:r>
        <w:rPr/>
        <w:t>The</w:t>
      </w:r>
      <w:r>
        <w:rPr>
          <w:spacing w:val="-12"/>
        </w:rPr>
        <w:t> </w:t>
      </w:r>
      <w:r>
        <w:rPr/>
        <w:t>findings</w:t>
      </w:r>
      <w:r>
        <w:rPr>
          <w:spacing w:val="-10"/>
        </w:rPr>
        <w:t> </w:t>
      </w:r>
      <w:r>
        <w:rPr/>
        <w:t>revealed</w:t>
      </w:r>
      <w:r>
        <w:rPr>
          <w:spacing w:val="-11"/>
        </w:rPr>
        <w:t> </w:t>
      </w:r>
      <w:r>
        <w:rPr/>
        <w:t>that board was associated with lower levels of discretionary accruals. The findings from both studies</w:t>
      </w:r>
      <w:r>
        <w:rPr>
          <w:spacing w:val="-9"/>
        </w:rPr>
        <w:t> </w:t>
      </w:r>
      <w:r>
        <w:rPr/>
        <w:t>confirmed</w:t>
      </w:r>
      <w:r>
        <w:rPr>
          <w:spacing w:val="-10"/>
        </w:rPr>
        <w:t> </w:t>
      </w:r>
      <w:r>
        <w:rPr/>
        <w:t>that</w:t>
      </w:r>
      <w:r>
        <w:rPr>
          <w:spacing w:val="-10"/>
        </w:rPr>
        <w:t> </w:t>
      </w:r>
      <w:r>
        <w:rPr/>
        <w:t>a</w:t>
      </w:r>
      <w:r>
        <w:rPr>
          <w:spacing w:val="-11"/>
        </w:rPr>
        <w:t> </w:t>
      </w:r>
      <w:r>
        <w:rPr/>
        <w:t>larger</w:t>
      </w:r>
      <w:r>
        <w:rPr>
          <w:spacing w:val="-10"/>
        </w:rPr>
        <w:t> </w:t>
      </w:r>
      <w:r>
        <w:rPr/>
        <w:t>board</w:t>
      </w:r>
      <w:r>
        <w:rPr>
          <w:spacing w:val="-10"/>
        </w:rPr>
        <w:t> </w:t>
      </w:r>
      <w:r>
        <w:rPr/>
        <w:t>could</w:t>
      </w:r>
      <w:r>
        <w:rPr>
          <w:spacing w:val="-9"/>
        </w:rPr>
        <w:t> </w:t>
      </w:r>
      <w:r>
        <w:rPr/>
        <w:t>often</w:t>
      </w:r>
      <w:r>
        <w:rPr>
          <w:spacing w:val="-10"/>
        </w:rPr>
        <w:t> </w:t>
      </w:r>
      <w:r>
        <w:rPr/>
        <w:t>be</w:t>
      </w:r>
      <w:r>
        <w:rPr>
          <w:spacing w:val="-11"/>
        </w:rPr>
        <w:t> </w:t>
      </w:r>
      <w:r>
        <w:rPr/>
        <w:t>more</w:t>
      </w:r>
      <w:r>
        <w:rPr>
          <w:spacing w:val="-11"/>
        </w:rPr>
        <w:t> </w:t>
      </w:r>
      <w:r>
        <w:rPr/>
        <w:t>effective</w:t>
      </w:r>
      <w:r>
        <w:rPr>
          <w:spacing w:val="-11"/>
        </w:rPr>
        <w:t> </w:t>
      </w:r>
      <w:r>
        <w:rPr/>
        <w:t>in</w:t>
      </w:r>
      <w:r>
        <w:rPr>
          <w:spacing w:val="-9"/>
        </w:rPr>
        <w:t> </w:t>
      </w:r>
      <w:r>
        <w:rPr/>
        <w:t>monitoring</w:t>
      </w:r>
      <w:r>
        <w:rPr>
          <w:spacing w:val="-9"/>
        </w:rPr>
        <w:t> </w:t>
      </w:r>
      <w:r>
        <w:rPr/>
        <w:t>such</w:t>
      </w:r>
      <w:r>
        <w:rPr>
          <w:spacing w:val="-10"/>
        </w:rPr>
        <w:t> </w:t>
      </w:r>
      <w:r>
        <w:rPr/>
        <w:t>accruals than a smaller board. The studies by Farber (2005) and Carcello and Nagy (2004) found an inverse relationship between board size and financial reporting quality. However, Beasley (1996) found that board size exhibited a positive relationship with the likelihood of financial statement fraud.</w:t>
      </w:r>
    </w:p>
    <w:p>
      <w:pPr>
        <w:pStyle w:val="Heading3"/>
        <w:numPr>
          <w:ilvl w:val="2"/>
          <w:numId w:val="23"/>
        </w:numPr>
        <w:tabs>
          <w:tab w:pos="1480" w:val="left" w:leader="none"/>
        </w:tabs>
        <w:spacing w:line="240" w:lineRule="auto" w:before="1" w:after="0"/>
        <w:ind w:left="1480" w:right="0" w:hanging="540"/>
        <w:jc w:val="both"/>
      </w:pPr>
      <w:bookmarkStart w:name="_TOC_250048" w:id="22"/>
      <w:r>
        <w:rPr/>
        <w:t>Board</w:t>
      </w:r>
      <w:r>
        <w:rPr>
          <w:spacing w:val="-5"/>
        </w:rPr>
        <w:t> </w:t>
      </w:r>
      <w:r>
        <w:rPr/>
        <w:t>of</w:t>
      </w:r>
      <w:r>
        <w:rPr>
          <w:spacing w:val="-3"/>
        </w:rPr>
        <w:t> </w:t>
      </w:r>
      <w:r>
        <w:rPr/>
        <w:t>Director</w:t>
      </w:r>
      <w:r>
        <w:rPr>
          <w:spacing w:val="-2"/>
        </w:rPr>
        <w:t> </w:t>
      </w:r>
      <w:r>
        <w:rPr/>
        <w:t>Independence</w:t>
      </w:r>
      <w:r>
        <w:rPr>
          <w:spacing w:val="-4"/>
        </w:rPr>
        <w:t> </w:t>
      </w:r>
      <w:r>
        <w:rPr/>
        <w:t>and</w:t>
      </w:r>
      <w:r>
        <w:rPr>
          <w:spacing w:val="-2"/>
        </w:rPr>
        <w:t> </w:t>
      </w:r>
      <w:r>
        <w:rPr/>
        <w:t>Financial</w:t>
      </w:r>
      <w:r>
        <w:rPr>
          <w:spacing w:val="-3"/>
        </w:rPr>
        <w:t> </w:t>
      </w:r>
      <w:r>
        <w:rPr/>
        <w:t>Reporting</w:t>
      </w:r>
      <w:bookmarkEnd w:id="22"/>
      <w:r>
        <w:rPr>
          <w:spacing w:val="-2"/>
        </w:rPr>
        <w:t> Quality</w:t>
      </w:r>
    </w:p>
    <w:p>
      <w:pPr>
        <w:pStyle w:val="BodyText"/>
        <w:rPr>
          <w:b/>
        </w:rPr>
      </w:pPr>
    </w:p>
    <w:p>
      <w:pPr>
        <w:pStyle w:val="BodyText"/>
        <w:spacing w:line="480" w:lineRule="auto"/>
        <w:ind w:left="940" w:right="1433"/>
        <w:jc w:val="both"/>
      </w:pPr>
      <w:r>
        <w:rPr/>
        <w:t>The abovementioned study by Ibrahim and Jehu (2018) investigated the relationship between board</w:t>
      </w:r>
      <w:r>
        <w:rPr>
          <w:spacing w:val="-10"/>
        </w:rPr>
        <w:t> </w:t>
      </w:r>
      <w:r>
        <w:rPr/>
        <w:t>composition</w:t>
      </w:r>
      <w:r>
        <w:rPr>
          <w:spacing w:val="-9"/>
        </w:rPr>
        <w:t> </w:t>
      </w:r>
      <w:r>
        <w:rPr/>
        <w:t>and</w:t>
      </w:r>
      <w:r>
        <w:rPr>
          <w:spacing w:val="-9"/>
        </w:rPr>
        <w:t> </w:t>
      </w:r>
      <w:r>
        <w:rPr/>
        <w:t>financial</w:t>
      </w:r>
      <w:r>
        <w:rPr>
          <w:spacing w:val="-9"/>
        </w:rPr>
        <w:t> </w:t>
      </w:r>
      <w:r>
        <w:rPr/>
        <w:t>reporting</w:t>
      </w:r>
      <w:r>
        <w:rPr>
          <w:spacing w:val="-9"/>
        </w:rPr>
        <w:t> </w:t>
      </w:r>
      <w:r>
        <w:rPr/>
        <w:t>quality.</w:t>
      </w:r>
      <w:r>
        <w:rPr>
          <w:spacing w:val="-9"/>
        </w:rPr>
        <w:t> </w:t>
      </w:r>
      <w:r>
        <w:rPr/>
        <w:t>The</w:t>
      </w:r>
      <w:r>
        <w:rPr>
          <w:spacing w:val="-10"/>
        </w:rPr>
        <w:t> </w:t>
      </w:r>
      <w:r>
        <w:rPr/>
        <w:t>results</w:t>
      </w:r>
      <w:r>
        <w:rPr>
          <w:spacing w:val="-9"/>
        </w:rPr>
        <w:t> </w:t>
      </w:r>
      <w:r>
        <w:rPr/>
        <w:t>from</w:t>
      </w:r>
      <w:r>
        <w:rPr>
          <w:spacing w:val="-9"/>
        </w:rPr>
        <w:t> </w:t>
      </w:r>
      <w:r>
        <w:rPr/>
        <w:t>the</w:t>
      </w:r>
      <w:r>
        <w:rPr>
          <w:spacing w:val="-10"/>
        </w:rPr>
        <w:t> </w:t>
      </w:r>
      <w:r>
        <w:rPr/>
        <w:t>multivariate</w:t>
      </w:r>
      <w:r>
        <w:rPr>
          <w:spacing w:val="-10"/>
        </w:rPr>
        <w:t> </w:t>
      </w:r>
      <w:r>
        <w:rPr/>
        <w:t>regression analyses suggested that the proportions of non-executive directors as well as those of the independent non-executive directors had a significant inverse relationship with abnormal accruals</w:t>
      </w:r>
      <w:r>
        <w:rPr>
          <w:spacing w:val="-11"/>
        </w:rPr>
        <w:t> </w:t>
      </w:r>
      <w:r>
        <w:rPr/>
        <w:t>which,</w:t>
      </w:r>
      <w:r>
        <w:rPr>
          <w:spacing w:val="-11"/>
        </w:rPr>
        <w:t> </w:t>
      </w:r>
      <w:r>
        <w:rPr/>
        <w:t>in</w:t>
      </w:r>
      <w:r>
        <w:rPr>
          <w:spacing w:val="-11"/>
        </w:rPr>
        <w:t> </w:t>
      </w:r>
      <w:r>
        <w:rPr/>
        <w:t>turn,</w:t>
      </w:r>
      <w:r>
        <w:rPr>
          <w:spacing w:val="-11"/>
        </w:rPr>
        <w:t> </w:t>
      </w:r>
      <w:r>
        <w:rPr/>
        <w:t>improved</w:t>
      </w:r>
      <w:r>
        <w:rPr>
          <w:spacing w:val="-11"/>
        </w:rPr>
        <w:t> </w:t>
      </w:r>
      <w:r>
        <w:rPr/>
        <w:t>the</w:t>
      </w:r>
      <w:r>
        <w:rPr>
          <w:spacing w:val="-11"/>
        </w:rPr>
        <w:t> </w:t>
      </w:r>
      <w:r>
        <w:rPr/>
        <w:t>quality</w:t>
      </w:r>
      <w:r>
        <w:rPr>
          <w:spacing w:val="-11"/>
        </w:rPr>
        <w:t> </w:t>
      </w:r>
      <w:r>
        <w:rPr/>
        <w:t>of</w:t>
      </w:r>
      <w:r>
        <w:rPr>
          <w:spacing w:val="-11"/>
        </w:rPr>
        <w:t> </w:t>
      </w:r>
      <w:r>
        <w:rPr/>
        <w:t>financial</w:t>
      </w:r>
      <w:r>
        <w:rPr>
          <w:spacing w:val="-11"/>
        </w:rPr>
        <w:t> </w:t>
      </w:r>
      <w:r>
        <w:rPr/>
        <w:t>reporting.</w:t>
      </w:r>
      <w:r>
        <w:rPr>
          <w:spacing w:val="-11"/>
        </w:rPr>
        <w:t> </w:t>
      </w:r>
      <w:r>
        <w:rPr/>
        <w:t>The</w:t>
      </w:r>
      <w:r>
        <w:rPr>
          <w:spacing w:val="-11"/>
        </w:rPr>
        <w:t> </w:t>
      </w:r>
      <w:r>
        <w:rPr/>
        <w:t>abovementioned</w:t>
      </w:r>
      <w:r>
        <w:rPr>
          <w:spacing w:val="-11"/>
        </w:rPr>
        <w:t> </w:t>
      </w:r>
      <w:r>
        <w:rPr/>
        <w:t>study by</w:t>
      </w:r>
      <w:r>
        <w:rPr>
          <w:spacing w:val="-8"/>
        </w:rPr>
        <w:t> </w:t>
      </w:r>
      <w:r>
        <w:rPr/>
        <w:t>Adebiyi</w:t>
      </w:r>
      <w:r>
        <w:rPr>
          <w:spacing w:val="-8"/>
        </w:rPr>
        <w:t> </w:t>
      </w:r>
      <w:r>
        <w:rPr/>
        <w:t>(2017)</w:t>
      </w:r>
      <w:r>
        <w:rPr>
          <w:spacing w:val="-9"/>
        </w:rPr>
        <w:t> </w:t>
      </w:r>
      <w:r>
        <w:rPr/>
        <w:t>examined</w:t>
      </w:r>
      <w:r>
        <w:rPr>
          <w:spacing w:val="-8"/>
        </w:rPr>
        <w:t> </w:t>
      </w:r>
      <w:r>
        <w:rPr/>
        <w:t>board</w:t>
      </w:r>
      <w:r>
        <w:rPr>
          <w:spacing w:val="-9"/>
        </w:rPr>
        <w:t> </w:t>
      </w:r>
      <w:r>
        <w:rPr/>
        <w:t>of</w:t>
      </w:r>
      <w:r>
        <w:rPr>
          <w:spacing w:val="-9"/>
        </w:rPr>
        <w:t> </w:t>
      </w:r>
      <w:r>
        <w:rPr/>
        <w:t>directors’</w:t>
      </w:r>
      <w:r>
        <w:rPr>
          <w:spacing w:val="-9"/>
        </w:rPr>
        <w:t> </w:t>
      </w:r>
      <w:r>
        <w:rPr/>
        <w:t>composition</w:t>
      </w:r>
      <w:r>
        <w:rPr>
          <w:spacing w:val="-8"/>
        </w:rPr>
        <w:t> </w:t>
      </w:r>
      <w:r>
        <w:rPr/>
        <w:t>and</w:t>
      </w:r>
      <w:r>
        <w:rPr>
          <w:spacing w:val="-8"/>
        </w:rPr>
        <w:t> </w:t>
      </w:r>
      <w:r>
        <w:rPr/>
        <w:t>financial</w:t>
      </w:r>
      <w:r>
        <w:rPr>
          <w:spacing w:val="-8"/>
        </w:rPr>
        <w:t> </w:t>
      </w:r>
      <w:r>
        <w:rPr/>
        <w:t>reporting</w:t>
      </w:r>
      <w:r>
        <w:rPr>
          <w:spacing w:val="-8"/>
        </w:rPr>
        <w:t> </w:t>
      </w:r>
      <w:r>
        <w:rPr/>
        <w:t>quality</w:t>
      </w:r>
      <w:r>
        <w:rPr>
          <w:spacing w:val="-8"/>
        </w:rPr>
        <w:t> </w:t>
      </w:r>
      <w:r>
        <w:rPr/>
        <w:t>of deposit</w:t>
      </w:r>
      <w:r>
        <w:rPr>
          <w:spacing w:val="-8"/>
        </w:rPr>
        <w:t> </w:t>
      </w:r>
      <w:r>
        <w:rPr/>
        <w:t>money</w:t>
      </w:r>
      <w:r>
        <w:rPr>
          <w:spacing w:val="-9"/>
        </w:rPr>
        <w:t> </w:t>
      </w:r>
      <w:r>
        <w:rPr/>
        <w:t>banks</w:t>
      </w:r>
      <w:r>
        <w:rPr>
          <w:spacing w:val="-8"/>
        </w:rPr>
        <w:t> </w:t>
      </w:r>
      <w:r>
        <w:rPr/>
        <w:t>in</w:t>
      </w:r>
      <w:r>
        <w:rPr>
          <w:spacing w:val="-8"/>
        </w:rPr>
        <w:t> </w:t>
      </w:r>
      <w:r>
        <w:rPr/>
        <w:t>Nigeria.</w:t>
      </w:r>
      <w:r>
        <w:rPr>
          <w:spacing w:val="-8"/>
        </w:rPr>
        <w:t> </w:t>
      </w:r>
      <w:r>
        <w:rPr/>
        <w:t>The</w:t>
      </w:r>
      <w:r>
        <w:rPr>
          <w:spacing w:val="-9"/>
        </w:rPr>
        <w:t> </w:t>
      </w:r>
      <w:r>
        <w:rPr/>
        <w:t>study</w:t>
      </w:r>
      <w:r>
        <w:rPr>
          <w:spacing w:val="-8"/>
        </w:rPr>
        <w:t> </w:t>
      </w:r>
      <w:r>
        <w:rPr/>
        <w:t>found</w:t>
      </w:r>
      <w:r>
        <w:rPr>
          <w:spacing w:val="-5"/>
        </w:rPr>
        <w:t> </w:t>
      </w:r>
      <w:r>
        <w:rPr/>
        <w:t>that</w:t>
      </w:r>
      <w:r>
        <w:rPr>
          <w:spacing w:val="-8"/>
        </w:rPr>
        <w:t> </w:t>
      </w:r>
      <w:r>
        <w:rPr/>
        <w:t>board</w:t>
      </w:r>
      <w:r>
        <w:rPr>
          <w:spacing w:val="-9"/>
        </w:rPr>
        <w:t> </w:t>
      </w:r>
      <w:r>
        <w:rPr/>
        <w:t>independence</w:t>
      </w:r>
      <w:r>
        <w:rPr>
          <w:spacing w:val="-7"/>
        </w:rPr>
        <w:t> </w:t>
      </w:r>
      <w:r>
        <w:rPr/>
        <w:t>exhibited</w:t>
      </w:r>
      <w:r>
        <w:rPr>
          <w:spacing w:val="-9"/>
        </w:rPr>
        <w:t> </w:t>
      </w:r>
      <w:r>
        <w:rPr/>
        <w:t>a</w:t>
      </w:r>
      <w:r>
        <w:rPr>
          <w:spacing w:val="-8"/>
        </w:rPr>
        <w:t> </w:t>
      </w:r>
      <w:r>
        <w:rPr/>
        <w:t>positive relationship with financial reporting quality. Moradi, Salehi and Bighi and Najari (2012) investigated the relationship between board of directors and earnings management of listed companies in Iran. The</w:t>
      </w:r>
      <w:r>
        <w:rPr>
          <w:spacing w:val="-2"/>
        </w:rPr>
        <w:t> </w:t>
      </w:r>
      <w:r>
        <w:rPr/>
        <w:t>sample</w:t>
      </w:r>
      <w:r>
        <w:rPr>
          <w:spacing w:val="-1"/>
        </w:rPr>
        <w:t> </w:t>
      </w:r>
      <w:r>
        <w:rPr/>
        <w:t>consisted of</w:t>
      </w:r>
      <w:r>
        <w:rPr>
          <w:spacing w:val="-1"/>
        </w:rPr>
        <w:t> </w:t>
      </w:r>
      <w:r>
        <w:rPr/>
        <w:t>listed</w:t>
      </w:r>
      <w:r>
        <w:rPr>
          <w:spacing w:val="-2"/>
        </w:rPr>
        <w:t> </w:t>
      </w:r>
      <w:r>
        <w:rPr/>
        <w:t>firms on the</w:t>
      </w:r>
      <w:r>
        <w:rPr>
          <w:spacing w:val="-1"/>
        </w:rPr>
        <w:t> </w:t>
      </w:r>
      <w:r>
        <w:rPr/>
        <w:t>Tehran Stock</w:t>
      </w:r>
      <w:r>
        <w:rPr>
          <w:spacing w:val="-1"/>
        </w:rPr>
        <w:t> </w:t>
      </w:r>
      <w:r>
        <w:rPr/>
        <w:t>Exchange</w:t>
      </w:r>
      <w:r>
        <w:rPr>
          <w:spacing w:val="-1"/>
        </w:rPr>
        <w:t> </w:t>
      </w:r>
      <w:r>
        <w:rPr/>
        <w:t>during the</w:t>
      </w:r>
      <w:r>
        <w:rPr>
          <w:spacing w:val="-11"/>
        </w:rPr>
        <w:t> </w:t>
      </w:r>
      <w:r>
        <w:rPr/>
        <w:t>period</w:t>
      </w:r>
      <w:r>
        <w:rPr>
          <w:spacing w:val="-11"/>
        </w:rPr>
        <w:t> </w:t>
      </w:r>
      <w:r>
        <w:rPr/>
        <w:t>2006</w:t>
      </w:r>
      <w:r>
        <w:rPr>
          <w:spacing w:val="-11"/>
        </w:rPr>
        <w:t> </w:t>
      </w:r>
      <w:r>
        <w:rPr/>
        <w:t>to</w:t>
      </w:r>
      <w:r>
        <w:rPr>
          <w:spacing w:val="-10"/>
        </w:rPr>
        <w:t> </w:t>
      </w:r>
      <w:r>
        <w:rPr/>
        <w:t>2009.</w:t>
      </w:r>
      <w:r>
        <w:rPr>
          <w:spacing w:val="-13"/>
        </w:rPr>
        <w:t> </w:t>
      </w:r>
      <w:r>
        <w:rPr/>
        <w:t>The</w:t>
      </w:r>
      <w:r>
        <w:rPr>
          <w:spacing w:val="-12"/>
        </w:rPr>
        <w:t> </w:t>
      </w:r>
      <w:r>
        <w:rPr/>
        <w:t>result</w:t>
      </w:r>
      <w:r>
        <w:rPr>
          <w:spacing w:val="-10"/>
        </w:rPr>
        <w:t> </w:t>
      </w:r>
      <w:r>
        <w:rPr/>
        <w:t>showed</w:t>
      </w:r>
      <w:r>
        <w:rPr>
          <w:spacing w:val="-11"/>
        </w:rPr>
        <w:t> </w:t>
      </w:r>
      <w:r>
        <w:rPr/>
        <w:t>an</w:t>
      </w:r>
      <w:r>
        <w:rPr>
          <w:spacing w:val="-11"/>
        </w:rPr>
        <w:t> </w:t>
      </w:r>
      <w:r>
        <w:rPr/>
        <w:t>insignificant</w:t>
      </w:r>
      <w:r>
        <w:rPr>
          <w:spacing w:val="-10"/>
        </w:rPr>
        <w:t> </w:t>
      </w:r>
      <w:r>
        <w:rPr/>
        <w:t>inverse</w:t>
      </w:r>
      <w:r>
        <w:rPr>
          <w:spacing w:val="-11"/>
        </w:rPr>
        <w:t> </w:t>
      </w:r>
      <w:r>
        <w:rPr/>
        <w:t>relationship</w:t>
      </w:r>
      <w:r>
        <w:rPr>
          <w:spacing w:val="-10"/>
        </w:rPr>
        <w:t> </w:t>
      </w:r>
      <w:r>
        <w:rPr/>
        <w:t>between</w:t>
      </w:r>
      <w:r>
        <w:rPr>
          <w:spacing w:val="-11"/>
        </w:rPr>
        <w:t> </w:t>
      </w:r>
      <w:r>
        <w:rPr/>
        <w:t>board composition and earnings management. Roodposhti and Chashmi (2011) investigated the impact</w:t>
      </w:r>
      <w:r>
        <w:rPr>
          <w:spacing w:val="-3"/>
        </w:rPr>
        <w:t> </w:t>
      </w:r>
      <w:r>
        <w:rPr/>
        <w:t>of</w:t>
      </w:r>
      <w:r>
        <w:rPr>
          <w:spacing w:val="-3"/>
        </w:rPr>
        <w:t> </w:t>
      </w:r>
      <w:r>
        <w:rPr/>
        <w:t>corporate</w:t>
      </w:r>
      <w:r>
        <w:rPr>
          <w:spacing w:val="-3"/>
        </w:rPr>
        <w:t> </w:t>
      </w:r>
      <w:r>
        <w:rPr/>
        <w:t>governance</w:t>
      </w:r>
      <w:r>
        <w:rPr>
          <w:spacing w:val="-4"/>
        </w:rPr>
        <w:t> </w:t>
      </w:r>
      <w:r>
        <w:rPr/>
        <w:t>on</w:t>
      </w:r>
      <w:r>
        <w:rPr>
          <w:spacing w:val="-3"/>
        </w:rPr>
        <w:t> </w:t>
      </w:r>
      <w:r>
        <w:rPr/>
        <w:t>earnings</w:t>
      </w:r>
      <w:r>
        <w:rPr>
          <w:spacing w:val="-3"/>
        </w:rPr>
        <w:t> </w:t>
      </w:r>
      <w:r>
        <w:rPr/>
        <w:t>management</w:t>
      </w:r>
      <w:r>
        <w:rPr>
          <w:spacing w:val="-3"/>
        </w:rPr>
        <w:t> </w:t>
      </w:r>
      <w:r>
        <w:rPr/>
        <w:t>during</w:t>
      </w:r>
      <w:r>
        <w:rPr>
          <w:spacing w:val="-3"/>
        </w:rPr>
        <w:t> </w:t>
      </w:r>
      <w:r>
        <w:rPr/>
        <w:t>the</w:t>
      </w:r>
      <w:r>
        <w:rPr>
          <w:spacing w:val="-4"/>
        </w:rPr>
        <w:t> </w:t>
      </w:r>
      <w:r>
        <w:rPr/>
        <w:t>period</w:t>
      </w:r>
      <w:r>
        <w:rPr>
          <w:spacing w:val="-3"/>
        </w:rPr>
        <w:t> </w:t>
      </w:r>
      <w:r>
        <w:rPr/>
        <w:t>2004</w:t>
      </w:r>
      <w:r>
        <w:rPr>
          <w:spacing w:val="-3"/>
        </w:rPr>
        <w:t> </w:t>
      </w:r>
      <w:r>
        <w:rPr/>
        <w:t>to</w:t>
      </w:r>
      <w:r>
        <w:rPr>
          <w:spacing w:val="-3"/>
        </w:rPr>
        <w:t> </w:t>
      </w:r>
      <w:r>
        <w:rPr/>
        <w:t>2008.</w:t>
      </w:r>
      <w:r>
        <w:rPr>
          <w:spacing w:val="-6"/>
        </w:rPr>
        <w:t> </w:t>
      </w:r>
      <w:r>
        <w:rPr/>
        <w:t>The result</w:t>
      </w:r>
      <w:r>
        <w:rPr>
          <w:spacing w:val="64"/>
        </w:rPr>
        <w:t> </w:t>
      </w:r>
      <w:r>
        <w:rPr/>
        <w:t>indicated</w:t>
      </w:r>
      <w:r>
        <w:rPr>
          <w:spacing w:val="63"/>
        </w:rPr>
        <w:t> </w:t>
      </w:r>
      <w:r>
        <w:rPr/>
        <w:t>that</w:t>
      </w:r>
      <w:r>
        <w:rPr>
          <w:spacing w:val="66"/>
        </w:rPr>
        <w:t> </w:t>
      </w:r>
      <w:r>
        <w:rPr/>
        <w:t>board</w:t>
      </w:r>
      <w:r>
        <w:rPr>
          <w:spacing w:val="62"/>
        </w:rPr>
        <w:t> </w:t>
      </w:r>
      <w:r>
        <w:rPr/>
        <w:t>composition</w:t>
      </w:r>
      <w:r>
        <w:rPr>
          <w:spacing w:val="65"/>
        </w:rPr>
        <w:t> </w:t>
      </w:r>
      <w:r>
        <w:rPr/>
        <w:t>exhibited</w:t>
      </w:r>
      <w:r>
        <w:rPr>
          <w:spacing w:val="63"/>
        </w:rPr>
        <w:t> </w:t>
      </w:r>
      <w:r>
        <w:rPr/>
        <w:t>a</w:t>
      </w:r>
      <w:r>
        <w:rPr>
          <w:spacing w:val="63"/>
        </w:rPr>
        <w:t> </w:t>
      </w:r>
      <w:r>
        <w:rPr/>
        <w:t>significant</w:t>
      </w:r>
      <w:r>
        <w:rPr>
          <w:spacing w:val="65"/>
        </w:rPr>
        <w:t> </w:t>
      </w:r>
      <w:r>
        <w:rPr/>
        <w:t>inverse</w:t>
      </w:r>
      <w:r>
        <w:rPr>
          <w:spacing w:val="64"/>
        </w:rPr>
        <w:t> </w:t>
      </w:r>
      <w:r>
        <w:rPr/>
        <w:t>relationship</w:t>
      </w:r>
      <w:r>
        <w:rPr>
          <w:spacing w:val="65"/>
        </w:rPr>
        <w:t> </w:t>
      </w:r>
      <w:r>
        <w:rPr>
          <w:spacing w:val="-4"/>
        </w:rPr>
        <w:t>with</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earnings</w:t>
      </w:r>
      <w:r>
        <w:rPr>
          <w:spacing w:val="-2"/>
        </w:rPr>
        <w:t> </w:t>
      </w:r>
      <w:r>
        <w:rPr/>
        <w:t>management.</w:t>
      </w:r>
      <w:r>
        <w:rPr>
          <w:spacing w:val="-2"/>
        </w:rPr>
        <w:t> </w:t>
      </w:r>
      <w:r>
        <w:rPr/>
        <w:t>Fodio</w:t>
      </w:r>
      <w:r>
        <w:rPr>
          <w:spacing w:val="-2"/>
        </w:rPr>
        <w:t> </w:t>
      </w:r>
      <w:r>
        <w:rPr/>
        <w:t>et</w:t>
      </w:r>
      <w:r>
        <w:rPr>
          <w:spacing w:val="-2"/>
        </w:rPr>
        <w:t> </w:t>
      </w:r>
      <w:r>
        <w:rPr/>
        <w:t>al.</w:t>
      </w:r>
      <w:r>
        <w:rPr>
          <w:spacing w:val="-2"/>
        </w:rPr>
        <w:t> </w:t>
      </w:r>
      <w:r>
        <w:rPr/>
        <w:t>(2013)</w:t>
      </w:r>
      <w:r>
        <w:rPr>
          <w:spacing w:val="-3"/>
        </w:rPr>
        <w:t> </w:t>
      </w:r>
      <w:r>
        <w:rPr/>
        <w:t>investigated</w:t>
      </w:r>
      <w:r>
        <w:rPr>
          <w:spacing w:val="-3"/>
        </w:rPr>
        <w:t> </w:t>
      </w:r>
      <w:r>
        <w:rPr/>
        <w:t>corporate</w:t>
      </w:r>
      <w:r>
        <w:rPr>
          <w:spacing w:val="-3"/>
        </w:rPr>
        <w:t> </w:t>
      </w:r>
      <w:r>
        <w:rPr/>
        <w:t>governance</w:t>
      </w:r>
      <w:r>
        <w:rPr>
          <w:spacing w:val="-3"/>
        </w:rPr>
        <w:t> </w:t>
      </w:r>
      <w:r>
        <w:rPr/>
        <w:t>mechanisms</w:t>
      </w:r>
      <w:r>
        <w:rPr>
          <w:spacing w:val="-2"/>
        </w:rPr>
        <w:t> </w:t>
      </w:r>
      <w:r>
        <w:rPr/>
        <w:t>and reported earnings quality in listed insurance firms in Nigerian. Using a time period 2007 to 2010,</w:t>
      </w:r>
      <w:r>
        <w:rPr>
          <w:spacing w:val="-6"/>
        </w:rPr>
        <w:t> </w:t>
      </w:r>
      <w:r>
        <w:rPr/>
        <w:t>the</w:t>
      </w:r>
      <w:r>
        <w:rPr>
          <w:spacing w:val="-6"/>
        </w:rPr>
        <w:t> </w:t>
      </w:r>
      <w:r>
        <w:rPr/>
        <w:t>study</w:t>
      </w:r>
      <w:r>
        <w:rPr>
          <w:spacing w:val="-5"/>
        </w:rPr>
        <w:t> </w:t>
      </w:r>
      <w:r>
        <w:rPr/>
        <w:t>found</w:t>
      </w:r>
      <w:r>
        <w:rPr>
          <w:spacing w:val="-6"/>
        </w:rPr>
        <w:t> </w:t>
      </w:r>
      <w:r>
        <w:rPr/>
        <w:t>that</w:t>
      </w:r>
      <w:r>
        <w:rPr>
          <w:spacing w:val="-5"/>
        </w:rPr>
        <w:t> </w:t>
      </w:r>
      <w:r>
        <w:rPr/>
        <w:t>board</w:t>
      </w:r>
      <w:r>
        <w:rPr>
          <w:spacing w:val="-7"/>
        </w:rPr>
        <w:t> </w:t>
      </w:r>
      <w:r>
        <w:rPr/>
        <w:t>composition</w:t>
      </w:r>
      <w:r>
        <w:rPr>
          <w:spacing w:val="-5"/>
        </w:rPr>
        <w:t> </w:t>
      </w:r>
      <w:r>
        <w:rPr/>
        <w:t>exhibited</w:t>
      </w:r>
      <w:r>
        <w:rPr>
          <w:spacing w:val="-6"/>
        </w:rPr>
        <w:t> </w:t>
      </w:r>
      <w:r>
        <w:rPr/>
        <w:t>a</w:t>
      </w:r>
      <w:r>
        <w:rPr>
          <w:spacing w:val="-5"/>
        </w:rPr>
        <w:t> </w:t>
      </w:r>
      <w:r>
        <w:rPr/>
        <w:t>significant</w:t>
      </w:r>
      <w:r>
        <w:rPr>
          <w:spacing w:val="-5"/>
        </w:rPr>
        <w:t> </w:t>
      </w:r>
      <w:r>
        <w:rPr/>
        <w:t>positive</w:t>
      </w:r>
      <w:r>
        <w:rPr>
          <w:spacing w:val="-7"/>
        </w:rPr>
        <w:t> </w:t>
      </w:r>
      <w:r>
        <w:rPr/>
        <w:t>relationship</w:t>
      </w:r>
      <w:r>
        <w:rPr>
          <w:spacing w:val="-5"/>
        </w:rPr>
        <w:t> </w:t>
      </w:r>
      <w:r>
        <w:rPr/>
        <w:t>with earnings management.</w:t>
      </w:r>
    </w:p>
    <w:p>
      <w:pPr>
        <w:pStyle w:val="BodyText"/>
        <w:spacing w:line="480" w:lineRule="auto"/>
        <w:ind w:left="940" w:right="1435"/>
        <w:jc w:val="both"/>
      </w:pPr>
      <w:r>
        <w:rPr/>
        <w:drawing>
          <wp:anchor distT="0" distB="0" distL="0" distR="0" allowOverlap="1" layoutInCell="1" locked="0" behindDoc="1" simplePos="0" relativeHeight="477707776">
            <wp:simplePos x="0" y="0"/>
            <wp:positionH relativeFrom="page">
              <wp:posOffset>1095451</wp:posOffset>
            </wp:positionH>
            <wp:positionV relativeFrom="paragraph">
              <wp:posOffset>410075</wp:posOffset>
            </wp:positionV>
            <wp:extent cx="5106847" cy="5238115"/>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5" cstate="print"/>
                    <a:stretch>
                      <a:fillRect/>
                    </a:stretch>
                  </pic:blipFill>
                  <pic:spPr>
                    <a:xfrm>
                      <a:off x="0" y="0"/>
                      <a:ext cx="5106847" cy="5238115"/>
                    </a:xfrm>
                    <a:prstGeom prst="rect">
                      <a:avLst/>
                    </a:prstGeom>
                  </pic:spPr>
                </pic:pic>
              </a:graphicData>
            </a:graphic>
          </wp:anchor>
        </w:drawing>
      </w:r>
      <w:r>
        <w:rPr/>
        <w:t>Nesrine and Abdelwahid (2011) opined that board independence improved earnings quality, however,</w:t>
      </w:r>
      <w:r>
        <w:rPr>
          <w:spacing w:val="-1"/>
        </w:rPr>
        <w:t> </w:t>
      </w:r>
      <w:r>
        <w:rPr/>
        <w:t>in the case</w:t>
      </w:r>
      <w:r>
        <w:rPr>
          <w:spacing w:val="-1"/>
        </w:rPr>
        <w:t> </w:t>
      </w:r>
      <w:r>
        <w:rPr/>
        <w:t>of</w:t>
      </w:r>
      <w:r>
        <w:rPr>
          <w:spacing w:val="-1"/>
        </w:rPr>
        <w:t> </w:t>
      </w:r>
      <w:r>
        <w:rPr/>
        <w:t>Tunisian firms, this could not be</w:t>
      </w:r>
      <w:r>
        <w:rPr>
          <w:spacing w:val="-1"/>
        </w:rPr>
        <w:t> </w:t>
      </w:r>
      <w:r>
        <w:rPr/>
        <w:t>possible</w:t>
      </w:r>
      <w:r>
        <w:rPr>
          <w:spacing w:val="-1"/>
        </w:rPr>
        <w:t> </w:t>
      </w:r>
      <w:r>
        <w:rPr/>
        <w:t>given</w:t>
      </w:r>
      <w:r>
        <w:rPr>
          <w:spacing w:val="-1"/>
        </w:rPr>
        <w:t> </w:t>
      </w:r>
      <w:r>
        <w:rPr/>
        <w:t>the limited</w:t>
      </w:r>
      <w:r>
        <w:rPr>
          <w:spacing w:val="-1"/>
        </w:rPr>
        <w:t> </w:t>
      </w:r>
      <w:r>
        <w:rPr/>
        <w:t>number</w:t>
      </w:r>
      <w:r>
        <w:rPr>
          <w:spacing w:val="-2"/>
        </w:rPr>
        <w:t> </w:t>
      </w:r>
      <w:r>
        <w:rPr/>
        <w:t>of independent directors and the high frequency of CEO duality. The study by Afify (2009) provided</w:t>
      </w:r>
      <w:r>
        <w:rPr>
          <w:spacing w:val="-8"/>
        </w:rPr>
        <w:t> </w:t>
      </w:r>
      <w:r>
        <w:rPr/>
        <w:t>evidence</w:t>
      </w:r>
      <w:r>
        <w:rPr>
          <w:spacing w:val="-9"/>
        </w:rPr>
        <w:t> </w:t>
      </w:r>
      <w:r>
        <w:rPr/>
        <w:t>on</w:t>
      </w:r>
      <w:r>
        <w:rPr>
          <w:spacing w:val="-8"/>
        </w:rPr>
        <w:t> </w:t>
      </w:r>
      <w:r>
        <w:rPr/>
        <w:t>the</w:t>
      </w:r>
      <w:r>
        <w:rPr>
          <w:spacing w:val="-7"/>
        </w:rPr>
        <w:t> </w:t>
      </w:r>
      <w:r>
        <w:rPr/>
        <w:t>significant</w:t>
      </w:r>
      <w:r>
        <w:rPr>
          <w:spacing w:val="-8"/>
        </w:rPr>
        <w:t> </w:t>
      </w:r>
      <w:r>
        <w:rPr/>
        <w:t>relationship</w:t>
      </w:r>
      <w:r>
        <w:rPr>
          <w:spacing w:val="-8"/>
        </w:rPr>
        <w:t> </w:t>
      </w:r>
      <w:r>
        <w:rPr/>
        <w:t>between</w:t>
      </w:r>
      <w:r>
        <w:rPr>
          <w:spacing w:val="-8"/>
        </w:rPr>
        <w:t> </w:t>
      </w:r>
      <w:r>
        <w:rPr/>
        <w:t>the</w:t>
      </w:r>
      <w:r>
        <w:rPr>
          <w:spacing w:val="-9"/>
        </w:rPr>
        <w:t> </w:t>
      </w:r>
      <w:r>
        <w:rPr/>
        <w:t>independence</w:t>
      </w:r>
      <w:r>
        <w:rPr>
          <w:spacing w:val="-7"/>
        </w:rPr>
        <w:t> </w:t>
      </w:r>
      <w:r>
        <w:rPr/>
        <w:t>of</w:t>
      </w:r>
      <w:r>
        <w:rPr>
          <w:spacing w:val="-9"/>
        </w:rPr>
        <w:t> </w:t>
      </w:r>
      <w:r>
        <w:rPr/>
        <w:t>board</w:t>
      </w:r>
      <w:r>
        <w:rPr>
          <w:spacing w:val="-9"/>
        </w:rPr>
        <w:t> </w:t>
      </w:r>
      <w:r>
        <w:rPr/>
        <w:t>members and</w:t>
      </w:r>
      <w:r>
        <w:rPr>
          <w:spacing w:val="-6"/>
        </w:rPr>
        <w:t> </w:t>
      </w:r>
      <w:r>
        <w:rPr/>
        <w:t>audit</w:t>
      </w:r>
      <w:r>
        <w:rPr>
          <w:spacing w:val="-5"/>
        </w:rPr>
        <w:t> </w:t>
      </w:r>
      <w:r>
        <w:rPr/>
        <w:t>report</w:t>
      </w:r>
      <w:r>
        <w:rPr>
          <w:spacing w:val="-6"/>
        </w:rPr>
        <w:t> </w:t>
      </w:r>
      <w:r>
        <w:rPr/>
        <w:t>lag.</w:t>
      </w:r>
      <w:r>
        <w:rPr>
          <w:spacing w:val="-6"/>
        </w:rPr>
        <w:t> </w:t>
      </w:r>
      <w:r>
        <w:rPr/>
        <w:t>The</w:t>
      </w:r>
      <w:r>
        <w:rPr>
          <w:spacing w:val="-7"/>
        </w:rPr>
        <w:t> </w:t>
      </w:r>
      <w:r>
        <w:rPr/>
        <w:t>study</w:t>
      </w:r>
      <w:r>
        <w:rPr>
          <w:spacing w:val="-5"/>
        </w:rPr>
        <w:t> </w:t>
      </w:r>
      <w:r>
        <w:rPr/>
        <w:t>implied</w:t>
      </w:r>
      <w:r>
        <w:rPr>
          <w:spacing w:val="-5"/>
        </w:rPr>
        <w:t> </w:t>
      </w:r>
      <w:r>
        <w:rPr/>
        <w:t>that</w:t>
      </w:r>
      <w:r>
        <w:rPr>
          <w:spacing w:val="-6"/>
        </w:rPr>
        <w:t> </w:t>
      </w:r>
      <w:r>
        <w:rPr/>
        <w:t>the</w:t>
      </w:r>
      <w:r>
        <w:rPr>
          <w:spacing w:val="-9"/>
        </w:rPr>
        <w:t> </w:t>
      </w:r>
      <w:r>
        <w:rPr/>
        <w:t>monitoring</w:t>
      </w:r>
      <w:r>
        <w:rPr>
          <w:spacing w:val="-5"/>
        </w:rPr>
        <w:t> </w:t>
      </w:r>
      <w:r>
        <w:rPr/>
        <w:t>role</w:t>
      </w:r>
      <w:r>
        <w:rPr>
          <w:spacing w:val="-7"/>
        </w:rPr>
        <w:t> </w:t>
      </w:r>
      <w:r>
        <w:rPr/>
        <w:t>of</w:t>
      </w:r>
      <w:r>
        <w:rPr>
          <w:spacing w:val="-7"/>
        </w:rPr>
        <w:t> </w:t>
      </w:r>
      <w:r>
        <w:rPr/>
        <w:t>the</w:t>
      </w:r>
      <w:r>
        <w:rPr>
          <w:spacing w:val="-6"/>
        </w:rPr>
        <w:t> </w:t>
      </w:r>
      <w:r>
        <w:rPr/>
        <w:t>more</w:t>
      </w:r>
      <w:r>
        <w:rPr>
          <w:spacing w:val="-9"/>
        </w:rPr>
        <w:t> </w:t>
      </w:r>
      <w:r>
        <w:rPr/>
        <w:t>independent</w:t>
      </w:r>
      <w:r>
        <w:rPr>
          <w:spacing w:val="-5"/>
        </w:rPr>
        <w:t> </w:t>
      </w:r>
      <w:r>
        <w:rPr/>
        <w:t>board could have a positive influence on the timeliness of financial reports through more effective and efficient audit thus, reducing the audit report lag. The study by Cornett, Mc Nutt and Tehranian</w:t>
      </w:r>
      <w:r>
        <w:rPr>
          <w:spacing w:val="-11"/>
        </w:rPr>
        <w:t> </w:t>
      </w:r>
      <w:r>
        <w:rPr/>
        <w:t>(2009)</w:t>
      </w:r>
      <w:r>
        <w:rPr>
          <w:spacing w:val="-12"/>
        </w:rPr>
        <w:t> </w:t>
      </w:r>
      <w:r>
        <w:rPr/>
        <w:t>revealed</w:t>
      </w:r>
      <w:r>
        <w:rPr>
          <w:spacing w:val="-13"/>
        </w:rPr>
        <w:t> </w:t>
      </w:r>
      <w:r>
        <w:rPr/>
        <w:t>that</w:t>
      </w:r>
      <w:r>
        <w:rPr>
          <w:spacing w:val="-13"/>
        </w:rPr>
        <w:t> </w:t>
      </w:r>
      <w:r>
        <w:rPr/>
        <w:t>board</w:t>
      </w:r>
      <w:r>
        <w:rPr>
          <w:spacing w:val="-12"/>
        </w:rPr>
        <w:t> </w:t>
      </w:r>
      <w:r>
        <w:rPr/>
        <w:t>independence</w:t>
      </w:r>
      <w:r>
        <w:rPr>
          <w:spacing w:val="-13"/>
        </w:rPr>
        <w:t> </w:t>
      </w:r>
      <w:r>
        <w:rPr/>
        <w:t>was</w:t>
      </w:r>
      <w:r>
        <w:rPr>
          <w:spacing w:val="-11"/>
        </w:rPr>
        <w:t> </w:t>
      </w:r>
      <w:r>
        <w:rPr/>
        <w:t>inversely</w:t>
      </w:r>
      <w:r>
        <w:rPr>
          <w:spacing w:val="-10"/>
        </w:rPr>
        <w:t> </w:t>
      </w:r>
      <w:r>
        <w:rPr/>
        <w:t>related</w:t>
      </w:r>
      <w:r>
        <w:rPr>
          <w:spacing w:val="-13"/>
        </w:rPr>
        <w:t> </w:t>
      </w:r>
      <w:r>
        <w:rPr/>
        <w:t>to</w:t>
      </w:r>
      <w:r>
        <w:rPr>
          <w:spacing w:val="-10"/>
        </w:rPr>
        <w:t> </w:t>
      </w:r>
      <w:r>
        <w:rPr/>
        <w:t>financial</w:t>
      </w:r>
      <w:r>
        <w:rPr>
          <w:spacing w:val="-13"/>
        </w:rPr>
        <w:t> </w:t>
      </w:r>
      <w:r>
        <w:rPr/>
        <w:t>reporting quality. In contrast, Wu et al. (2008) believed that the existence of independent directors was associated with a longer financial reports lag. The findings could be due to the directors’ monitoring role as they could spend more time to verify a firm’s events. Abdelsalam and El- Masry (2008) opined that directors’ independence was positively related to the timeliness of financial</w:t>
      </w:r>
      <w:r>
        <w:rPr>
          <w:spacing w:val="-6"/>
        </w:rPr>
        <w:t> </w:t>
      </w:r>
      <w:r>
        <w:rPr/>
        <w:t>internet</w:t>
      </w:r>
      <w:r>
        <w:rPr>
          <w:spacing w:val="-5"/>
        </w:rPr>
        <w:t> </w:t>
      </w:r>
      <w:r>
        <w:rPr/>
        <w:t>reports</w:t>
      </w:r>
      <w:r>
        <w:rPr>
          <w:spacing w:val="-3"/>
        </w:rPr>
        <w:t> </w:t>
      </w:r>
      <w:r>
        <w:rPr/>
        <w:t>because</w:t>
      </w:r>
      <w:r>
        <w:rPr>
          <w:spacing w:val="-4"/>
        </w:rPr>
        <w:t> </w:t>
      </w:r>
      <w:r>
        <w:rPr/>
        <w:t>outside</w:t>
      </w:r>
      <w:r>
        <w:rPr>
          <w:spacing w:val="-6"/>
        </w:rPr>
        <w:t> </w:t>
      </w:r>
      <w:r>
        <w:rPr/>
        <w:t>directors</w:t>
      </w:r>
      <w:r>
        <w:rPr>
          <w:spacing w:val="-4"/>
        </w:rPr>
        <w:t> </w:t>
      </w:r>
      <w:r>
        <w:rPr/>
        <w:t>usually</w:t>
      </w:r>
      <w:r>
        <w:rPr>
          <w:spacing w:val="-6"/>
        </w:rPr>
        <w:t> </w:t>
      </w:r>
      <w:r>
        <w:rPr/>
        <w:t>had</w:t>
      </w:r>
      <w:r>
        <w:rPr>
          <w:spacing w:val="-5"/>
        </w:rPr>
        <w:t> </w:t>
      </w:r>
      <w:r>
        <w:rPr/>
        <w:t>to</w:t>
      </w:r>
      <w:r>
        <w:rPr>
          <w:spacing w:val="-5"/>
        </w:rPr>
        <w:t> </w:t>
      </w:r>
      <w:r>
        <w:rPr/>
        <w:t>take</w:t>
      </w:r>
      <w:r>
        <w:rPr>
          <w:spacing w:val="-7"/>
        </w:rPr>
        <w:t> </w:t>
      </w:r>
      <w:r>
        <w:rPr/>
        <w:t>advantage</w:t>
      </w:r>
      <w:r>
        <w:rPr>
          <w:spacing w:val="-7"/>
        </w:rPr>
        <w:t> </w:t>
      </w:r>
      <w:r>
        <w:rPr/>
        <w:t>of</w:t>
      </w:r>
      <w:r>
        <w:rPr>
          <w:spacing w:val="-7"/>
        </w:rPr>
        <w:t> </w:t>
      </w:r>
      <w:r>
        <w:rPr/>
        <w:t>delayed</w:t>
      </w:r>
      <w:r>
        <w:rPr>
          <w:spacing w:val="-6"/>
        </w:rPr>
        <w:t> </w:t>
      </w:r>
      <w:r>
        <w:rPr/>
        <w:t>or selective disclosures (Abdelsalam &amp; Street, 2007). Moreover, the independence of a board is related to a high quality of auditors because a board with a high percentage of independent directors employs specialized auditors than the less independent boards. Therefore, a more- timely financial reporting can be achieved (Beasley &amp; Petroni, 2001). Smaili and Labelle (2007) investigated defective financial statements of selected companies in Canada. The sample consisted of 107 companies sanctioned by the Ontario Securities Commission (OSC) for defective financial statements during the period 2001-2005. Multivariate ordinal logit regression</w:t>
      </w:r>
      <w:r>
        <w:rPr>
          <w:spacing w:val="-2"/>
        </w:rPr>
        <w:t> </w:t>
      </w:r>
      <w:r>
        <w:rPr/>
        <w:t>analyses</w:t>
      </w:r>
      <w:r>
        <w:rPr>
          <w:spacing w:val="1"/>
        </w:rPr>
        <w:t> </w:t>
      </w:r>
      <w:r>
        <w:rPr/>
        <w:t>suggested that firms</w:t>
      </w:r>
      <w:r>
        <w:rPr>
          <w:spacing w:val="1"/>
        </w:rPr>
        <w:t> </w:t>
      </w:r>
      <w:r>
        <w:rPr/>
        <w:t>with</w:t>
      </w:r>
      <w:r>
        <w:rPr>
          <w:spacing w:val="-1"/>
        </w:rPr>
        <w:t> </w:t>
      </w:r>
      <w:r>
        <w:rPr/>
        <w:t>fewer</w:t>
      </w:r>
      <w:r>
        <w:rPr>
          <w:spacing w:val="-1"/>
        </w:rPr>
        <w:t> </w:t>
      </w:r>
      <w:r>
        <w:rPr/>
        <w:t>independent</w:t>
      </w:r>
      <w:r>
        <w:rPr>
          <w:spacing w:val="1"/>
        </w:rPr>
        <w:t> </w:t>
      </w:r>
      <w:r>
        <w:rPr/>
        <w:t>directors</w:t>
      </w:r>
      <w:r>
        <w:rPr>
          <w:spacing w:val="5"/>
        </w:rPr>
        <w:t> </w:t>
      </w:r>
      <w:r>
        <w:rPr/>
        <w:t>were</w:t>
      </w:r>
      <w:r>
        <w:rPr>
          <w:spacing w:val="-2"/>
        </w:rPr>
        <w:t> </w:t>
      </w:r>
      <w:r>
        <w:rPr/>
        <w:t>more</w:t>
      </w:r>
      <w:r>
        <w:rPr>
          <w:spacing w:val="-1"/>
        </w:rPr>
        <w:t> </w:t>
      </w:r>
      <w:r>
        <w:rPr/>
        <w:t>likely</w:t>
      </w:r>
      <w:r>
        <w:rPr>
          <w:spacing w:val="1"/>
        </w:rPr>
        <w:t> </w:t>
      </w:r>
      <w:r>
        <w:rPr>
          <w:spacing w:val="-5"/>
        </w:rPr>
        <w:t>to</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t>exhibit accounting irregularities, and that their level of non-compliance with OSC guidelines was likely to be higher.</w:t>
      </w:r>
    </w:p>
    <w:p>
      <w:pPr>
        <w:pStyle w:val="BodyText"/>
        <w:spacing w:line="480" w:lineRule="auto"/>
        <w:ind w:left="940" w:right="1435"/>
        <w:jc w:val="both"/>
      </w:pPr>
      <w:r>
        <w:rPr/>
        <w:drawing>
          <wp:anchor distT="0" distB="0" distL="0" distR="0" allowOverlap="1" layoutInCell="1" locked="0" behindDoc="1" simplePos="0" relativeHeight="477708288">
            <wp:simplePos x="0" y="0"/>
            <wp:positionH relativeFrom="page">
              <wp:posOffset>1095451</wp:posOffset>
            </wp:positionH>
            <wp:positionV relativeFrom="paragraph">
              <wp:posOffset>1111055</wp:posOffset>
            </wp:positionV>
            <wp:extent cx="5106847" cy="5238115"/>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5" cstate="print"/>
                    <a:stretch>
                      <a:fillRect/>
                    </a:stretch>
                  </pic:blipFill>
                  <pic:spPr>
                    <a:xfrm>
                      <a:off x="0" y="0"/>
                      <a:ext cx="5106847" cy="5238115"/>
                    </a:xfrm>
                    <a:prstGeom prst="rect">
                      <a:avLst/>
                    </a:prstGeom>
                  </pic:spPr>
                </pic:pic>
              </a:graphicData>
            </a:graphic>
          </wp:anchor>
        </w:drawing>
      </w:r>
      <w:r>
        <w:rPr/>
        <w:t>The study by Firth, Fung and Rui (2007) indicated that the presence of independent directors improved the earnings quality of Chinese firms. The studies by Petra (2007), Bradbury, Mak and</w:t>
      </w:r>
      <w:r>
        <w:rPr>
          <w:spacing w:val="-8"/>
        </w:rPr>
        <w:t> </w:t>
      </w:r>
      <w:r>
        <w:rPr/>
        <w:t>Tan</w:t>
      </w:r>
      <w:r>
        <w:rPr>
          <w:spacing w:val="-8"/>
        </w:rPr>
        <w:t> </w:t>
      </w:r>
      <w:r>
        <w:rPr/>
        <w:t>(2006)</w:t>
      </w:r>
      <w:r>
        <w:rPr>
          <w:spacing w:val="-7"/>
        </w:rPr>
        <w:t> </w:t>
      </w:r>
      <w:r>
        <w:rPr/>
        <w:t>and</w:t>
      </w:r>
      <w:r>
        <w:rPr>
          <w:spacing w:val="-8"/>
        </w:rPr>
        <w:t> </w:t>
      </w:r>
      <w:r>
        <w:rPr/>
        <w:t>Ahmed,</w:t>
      </w:r>
      <w:r>
        <w:rPr>
          <w:spacing w:val="-8"/>
        </w:rPr>
        <w:t> </w:t>
      </w:r>
      <w:r>
        <w:rPr/>
        <w:t>Hossain</w:t>
      </w:r>
      <w:r>
        <w:rPr>
          <w:spacing w:val="-8"/>
        </w:rPr>
        <w:t> </w:t>
      </w:r>
      <w:r>
        <w:rPr/>
        <w:t>and</w:t>
      </w:r>
      <w:r>
        <w:rPr>
          <w:spacing w:val="-8"/>
        </w:rPr>
        <w:t> </w:t>
      </w:r>
      <w:r>
        <w:rPr/>
        <w:t>Adams</w:t>
      </w:r>
      <w:r>
        <w:rPr>
          <w:spacing w:val="-8"/>
        </w:rPr>
        <w:t> </w:t>
      </w:r>
      <w:r>
        <w:rPr/>
        <w:t>(2006)</w:t>
      </w:r>
      <w:r>
        <w:rPr>
          <w:spacing w:val="-9"/>
        </w:rPr>
        <w:t> </w:t>
      </w:r>
      <w:r>
        <w:rPr/>
        <w:t>found</w:t>
      </w:r>
      <w:r>
        <w:rPr>
          <w:spacing w:val="-8"/>
        </w:rPr>
        <w:t> </w:t>
      </w:r>
      <w:r>
        <w:rPr/>
        <w:t>that</w:t>
      </w:r>
      <w:r>
        <w:rPr>
          <w:spacing w:val="-8"/>
        </w:rPr>
        <w:t> </w:t>
      </w:r>
      <w:r>
        <w:rPr/>
        <w:t>independent</w:t>
      </w:r>
      <w:r>
        <w:rPr>
          <w:spacing w:val="-8"/>
        </w:rPr>
        <w:t> </w:t>
      </w:r>
      <w:r>
        <w:rPr/>
        <w:t>directors</w:t>
      </w:r>
      <w:r>
        <w:rPr>
          <w:spacing w:val="-8"/>
        </w:rPr>
        <w:t> </w:t>
      </w:r>
      <w:r>
        <w:rPr/>
        <w:t>were not competent enough to control the managers, and their presence on the board had no effect in</w:t>
      </w:r>
      <w:r>
        <w:rPr>
          <w:spacing w:val="-15"/>
        </w:rPr>
        <w:t> </w:t>
      </w:r>
      <w:r>
        <w:rPr/>
        <w:t>ensuring</w:t>
      </w:r>
      <w:r>
        <w:rPr>
          <w:spacing w:val="-15"/>
        </w:rPr>
        <w:t> </w:t>
      </w:r>
      <w:r>
        <w:rPr/>
        <w:t>financial</w:t>
      </w:r>
      <w:r>
        <w:rPr>
          <w:spacing w:val="-15"/>
        </w:rPr>
        <w:t> </w:t>
      </w:r>
      <w:r>
        <w:rPr/>
        <w:t>reporting</w:t>
      </w:r>
      <w:r>
        <w:rPr>
          <w:spacing w:val="-15"/>
        </w:rPr>
        <w:t> </w:t>
      </w:r>
      <w:r>
        <w:rPr/>
        <w:t>quality.</w:t>
      </w:r>
      <w:r>
        <w:rPr>
          <w:spacing w:val="-15"/>
        </w:rPr>
        <w:t> </w:t>
      </w:r>
      <w:r>
        <w:rPr/>
        <w:t>Bushman,</w:t>
      </w:r>
      <w:r>
        <w:rPr>
          <w:spacing w:val="-15"/>
        </w:rPr>
        <w:t> </w:t>
      </w:r>
      <w:r>
        <w:rPr/>
        <w:t>Chen,</w:t>
      </w:r>
      <w:r>
        <w:rPr>
          <w:spacing w:val="-15"/>
        </w:rPr>
        <w:t> </w:t>
      </w:r>
      <w:r>
        <w:rPr/>
        <w:t>Engel</w:t>
      </w:r>
      <w:r>
        <w:rPr>
          <w:spacing w:val="-15"/>
        </w:rPr>
        <w:t> </w:t>
      </w:r>
      <w:r>
        <w:rPr/>
        <w:t>and</w:t>
      </w:r>
      <w:r>
        <w:rPr>
          <w:spacing w:val="-15"/>
        </w:rPr>
        <w:t> </w:t>
      </w:r>
      <w:r>
        <w:rPr/>
        <w:t>Smith</w:t>
      </w:r>
      <w:r>
        <w:rPr>
          <w:spacing w:val="-15"/>
        </w:rPr>
        <w:t> </w:t>
      </w:r>
      <w:r>
        <w:rPr/>
        <w:t>(2004),</w:t>
      </w:r>
      <w:r>
        <w:rPr>
          <w:spacing w:val="-15"/>
        </w:rPr>
        <w:t> </w:t>
      </w:r>
      <w:r>
        <w:rPr/>
        <w:t>Vafeas</w:t>
      </w:r>
      <w:r>
        <w:rPr>
          <w:spacing w:val="-15"/>
        </w:rPr>
        <w:t> </w:t>
      </w:r>
      <w:r>
        <w:rPr/>
        <w:t>(2005) and</w:t>
      </w:r>
      <w:r>
        <w:rPr>
          <w:spacing w:val="-7"/>
        </w:rPr>
        <w:t> </w:t>
      </w:r>
      <w:r>
        <w:rPr/>
        <w:t>Karamanou</w:t>
      </w:r>
      <w:r>
        <w:rPr>
          <w:spacing w:val="-7"/>
        </w:rPr>
        <w:t> </w:t>
      </w:r>
      <w:r>
        <w:rPr/>
        <w:t>and</w:t>
      </w:r>
      <w:r>
        <w:rPr>
          <w:spacing w:val="-7"/>
        </w:rPr>
        <w:t> </w:t>
      </w:r>
      <w:r>
        <w:rPr/>
        <w:t>Vafeas</w:t>
      </w:r>
      <w:r>
        <w:rPr>
          <w:spacing w:val="-7"/>
        </w:rPr>
        <w:t> </w:t>
      </w:r>
      <w:r>
        <w:rPr/>
        <w:t>(2005)</w:t>
      </w:r>
      <w:r>
        <w:rPr>
          <w:spacing w:val="-8"/>
        </w:rPr>
        <w:t> </w:t>
      </w:r>
      <w:r>
        <w:rPr/>
        <w:t>opined</w:t>
      </w:r>
      <w:r>
        <w:rPr>
          <w:spacing w:val="-7"/>
        </w:rPr>
        <w:t> </w:t>
      </w:r>
      <w:r>
        <w:rPr/>
        <w:t>that</w:t>
      </w:r>
      <w:r>
        <w:rPr>
          <w:spacing w:val="-6"/>
        </w:rPr>
        <w:t> </w:t>
      </w:r>
      <w:r>
        <w:rPr/>
        <w:t>information</w:t>
      </w:r>
      <w:r>
        <w:rPr>
          <w:spacing w:val="-6"/>
        </w:rPr>
        <w:t> </w:t>
      </w:r>
      <w:r>
        <w:rPr/>
        <w:t>quality</w:t>
      </w:r>
      <w:r>
        <w:rPr>
          <w:spacing w:val="-6"/>
        </w:rPr>
        <w:t> </w:t>
      </w:r>
      <w:r>
        <w:rPr/>
        <w:t>increased</w:t>
      </w:r>
      <w:r>
        <w:rPr>
          <w:spacing w:val="-5"/>
        </w:rPr>
        <w:t> </w:t>
      </w:r>
      <w:r>
        <w:rPr/>
        <w:t>with</w:t>
      </w:r>
      <w:r>
        <w:rPr>
          <w:spacing w:val="-6"/>
        </w:rPr>
        <w:t> </w:t>
      </w:r>
      <w:r>
        <w:rPr/>
        <w:t>the</w:t>
      </w:r>
      <w:r>
        <w:rPr>
          <w:spacing w:val="-7"/>
        </w:rPr>
        <w:t> </w:t>
      </w:r>
      <w:r>
        <w:rPr/>
        <w:t>increase in the percentage of outside or independent directors. The studies by Klein (2002), Peasnell, Pope and Young (2000) found that board independence mitigated earnings management. Farber (2005) examined firms committing fraud according to the Securities and Exchange Accounting</w:t>
      </w:r>
      <w:r>
        <w:rPr>
          <w:spacing w:val="-12"/>
        </w:rPr>
        <w:t> </w:t>
      </w:r>
      <w:r>
        <w:rPr/>
        <w:t>and</w:t>
      </w:r>
      <w:r>
        <w:rPr>
          <w:spacing w:val="-13"/>
        </w:rPr>
        <w:t> </w:t>
      </w:r>
      <w:r>
        <w:rPr/>
        <w:t>Auditing</w:t>
      </w:r>
      <w:r>
        <w:rPr>
          <w:spacing w:val="-11"/>
        </w:rPr>
        <w:t> </w:t>
      </w:r>
      <w:r>
        <w:rPr/>
        <w:t>Enforcement</w:t>
      </w:r>
      <w:r>
        <w:rPr>
          <w:spacing w:val="-12"/>
        </w:rPr>
        <w:t> </w:t>
      </w:r>
      <w:r>
        <w:rPr/>
        <w:t>Releases</w:t>
      </w:r>
      <w:r>
        <w:rPr>
          <w:spacing w:val="-13"/>
        </w:rPr>
        <w:t> </w:t>
      </w:r>
      <w:r>
        <w:rPr/>
        <w:t>(AAERs)</w:t>
      </w:r>
      <w:r>
        <w:rPr>
          <w:spacing w:val="-12"/>
        </w:rPr>
        <w:t> </w:t>
      </w:r>
      <w:r>
        <w:rPr/>
        <w:t>during</w:t>
      </w:r>
      <w:r>
        <w:rPr>
          <w:spacing w:val="-13"/>
        </w:rPr>
        <w:t> </w:t>
      </w:r>
      <w:r>
        <w:rPr/>
        <w:t>the</w:t>
      </w:r>
      <w:r>
        <w:rPr>
          <w:spacing w:val="-13"/>
        </w:rPr>
        <w:t> </w:t>
      </w:r>
      <w:r>
        <w:rPr/>
        <w:t>period</w:t>
      </w:r>
      <w:r>
        <w:rPr>
          <w:spacing w:val="-12"/>
        </w:rPr>
        <w:t> </w:t>
      </w:r>
      <w:r>
        <w:rPr/>
        <w:t>1982</w:t>
      </w:r>
      <w:r>
        <w:rPr>
          <w:spacing w:val="-13"/>
        </w:rPr>
        <w:t> </w:t>
      </w:r>
      <w:r>
        <w:rPr/>
        <w:t>to</w:t>
      </w:r>
      <w:r>
        <w:rPr>
          <w:spacing w:val="-12"/>
        </w:rPr>
        <w:t> </w:t>
      </w:r>
      <w:r>
        <w:rPr/>
        <w:t>2000.</w:t>
      </w:r>
      <w:r>
        <w:rPr>
          <w:spacing w:val="-13"/>
        </w:rPr>
        <w:t> </w:t>
      </w:r>
      <w:r>
        <w:rPr/>
        <w:t>The study consisted of 87 firm samples committing fraud according to AAERs. The result comparisons indicated that fraud firms had a significantly lower percentage and number of outside</w:t>
      </w:r>
      <w:r>
        <w:rPr>
          <w:spacing w:val="-8"/>
        </w:rPr>
        <w:t> </w:t>
      </w:r>
      <w:r>
        <w:rPr/>
        <w:t>directors</w:t>
      </w:r>
      <w:r>
        <w:rPr>
          <w:spacing w:val="-7"/>
        </w:rPr>
        <w:t> </w:t>
      </w:r>
      <w:r>
        <w:rPr/>
        <w:t>the</w:t>
      </w:r>
      <w:r>
        <w:rPr>
          <w:spacing w:val="-8"/>
        </w:rPr>
        <w:t> </w:t>
      </w:r>
      <w:r>
        <w:rPr/>
        <w:t>year</w:t>
      </w:r>
      <w:r>
        <w:rPr>
          <w:spacing w:val="-6"/>
        </w:rPr>
        <w:t> </w:t>
      </w:r>
      <w:r>
        <w:rPr/>
        <w:t>before</w:t>
      </w:r>
      <w:r>
        <w:rPr>
          <w:spacing w:val="-6"/>
        </w:rPr>
        <w:t> </w:t>
      </w:r>
      <w:r>
        <w:rPr/>
        <w:t>a</w:t>
      </w:r>
      <w:r>
        <w:rPr>
          <w:spacing w:val="-8"/>
        </w:rPr>
        <w:t> </w:t>
      </w:r>
      <w:r>
        <w:rPr/>
        <w:t>fraud</w:t>
      </w:r>
      <w:r>
        <w:rPr>
          <w:spacing w:val="-7"/>
        </w:rPr>
        <w:t> </w:t>
      </w:r>
      <w:r>
        <w:rPr/>
        <w:t>was</w:t>
      </w:r>
      <w:r>
        <w:rPr>
          <w:spacing w:val="-7"/>
        </w:rPr>
        <w:t> </w:t>
      </w:r>
      <w:r>
        <w:rPr/>
        <w:t>detected</w:t>
      </w:r>
      <w:r>
        <w:rPr>
          <w:spacing w:val="-8"/>
        </w:rPr>
        <w:t> </w:t>
      </w:r>
      <w:r>
        <w:rPr/>
        <w:t>but</w:t>
      </w:r>
      <w:r>
        <w:rPr>
          <w:spacing w:val="-7"/>
        </w:rPr>
        <w:t> </w:t>
      </w:r>
      <w:r>
        <w:rPr/>
        <w:t>that</w:t>
      </w:r>
      <w:r>
        <w:rPr>
          <w:spacing w:val="-7"/>
        </w:rPr>
        <w:t> </w:t>
      </w:r>
      <w:r>
        <w:rPr/>
        <w:t>those</w:t>
      </w:r>
      <w:r>
        <w:rPr>
          <w:spacing w:val="-8"/>
        </w:rPr>
        <w:t> </w:t>
      </w:r>
      <w:r>
        <w:rPr/>
        <w:t>differences</w:t>
      </w:r>
      <w:r>
        <w:rPr>
          <w:spacing w:val="-6"/>
        </w:rPr>
        <w:t> </w:t>
      </w:r>
      <w:r>
        <w:rPr/>
        <w:t>were</w:t>
      </w:r>
      <w:r>
        <w:rPr>
          <w:spacing w:val="-9"/>
        </w:rPr>
        <w:t> </w:t>
      </w:r>
      <w:r>
        <w:rPr/>
        <w:t>no</w:t>
      </w:r>
      <w:r>
        <w:rPr>
          <w:spacing w:val="-7"/>
        </w:rPr>
        <w:t> </w:t>
      </w:r>
      <w:r>
        <w:rPr/>
        <w:t>longer significant five years later. The finding suggested that increasing outside directors’ involvement was seen as a remediating measure following fraud detection. Agrawal and Chadha (2005) investigated the probability of financial statement restatement in selected US public</w:t>
      </w:r>
      <w:r>
        <w:rPr>
          <w:spacing w:val="-15"/>
        </w:rPr>
        <w:t> </w:t>
      </w:r>
      <w:r>
        <w:rPr/>
        <w:t>firms</w:t>
      </w:r>
      <w:r>
        <w:rPr>
          <w:spacing w:val="-15"/>
        </w:rPr>
        <w:t> </w:t>
      </w:r>
      <w:r>
        <w:rPr/>
        <w:t>during</w:t>
      </w:r>
      <w:r>
        <w:rPr>
          <w:spacing w:val="-15"/>
        </w:rPr>
        <w:t> </w:t>
      </w:r>
      <w:r>
        <w:rPr/>
        <w:t>the</w:t>
      </w:r>
      <w:r>
        <w:rPr>
          <w:spacing w:val="-15"/>
        </w:rPr>
        <w:t> </w:t>
      </w:r>
      <w:r>
        <w:rPr/>
        <w:t>period</w:t>
      </w:r>
      <w:r>
        <w:rPr>
          <w:spacing w:val="-15"/>
        </w:rPr>
        <w:t> </w:t>
      </w:r>
      <w:r>
        <w:rPr/>
        <w:t>2000</w:t>
      </w:r>
      <w:r>
        <w:rPr>
          <w:spacing w:val="-15"/>
        </w:rPr>
        <w:t> </w:t>
      </w:r>
      <w:r>
        <w:rPr/>
        <w:t>to</w:t>
      </w:r>
      <w:r>
        <w:rPr>
          <w:spacing w:val="-15"/>
        </w:rPr>
        <w:t> </w:t>
      </w:r>
      <w:r>
        <w:rPr/>
        <w:t>2001.</w:t>
      </w:r>
      <w:r>
        <w:rPr>
          <w:spacing w:val="-15"/>
        </w:rPr>
        <w:t> </w:t>
      </w:r>
      <w:r>
        <w:rPr/>
        <w:t>Using</w:t>
      </w:r>
      <w:r>
        <w:rPr>
          <w:spacing w:val="-15"/>
        </w:rPr>
        <w:t> </w:t>
      </w:r>
      <w:r>
        <w:rPr/>
        <w:t>a</w:t>
      </w:r>
      <w:r>
        <w:rPr>
          <w:spacing w:val="-15"/>
        </w:rPr>
        <w:t> </w:t>
      </w:r>
      <w:r>
        <w:rPr/>
        <w:t>matched-pairs</w:t>
      </w:r>
      <w:r>
        <w:rPr>
          <w:spacing w:val="-15"/>
        </w:rPr>
        <w:t> </w:t>
      </w:r>
      <w:r>
        <w:rPr/>
        <w:t>logistic</w:t>
      </w:r>
      <w:r>
        <w:rPr>
          <w:spacing w:val="-15"/>
        </w:rPr>
        <w:t> </w:t>
      </w:r>
      <w:r>
        <w:rPr/>
        <w:t>regression</w:t>
      </w:r>
      <w:r>
        <w:rPr>
          <w:spacing w:val="-15"/>
        </w:rPr>
        <w:t> </w:t>
      </w:r>
      <w:r>
        <w:rPr/>
        <w:t>analysis, the result indicated that the proportion of independent directors was unrelated to financial statement restatement.</w:t>
      </w:r>
    </w:p>
    <w:p>
      <w:pPr>
        <w:pStyle w:val="BodyText"/>
        <w:spacing w:line="480" w:lineRule="auto" w:before="2"/>
        <w:ind w:left="940" w:right="1435"/>
        <w:jc w:val="both"/>
      </w:pPr>
      <w:r>
        <w:rPr/>
        <w:t>Vafeas</w:t>
      </w:r>
      <w:r>
        <w:rPr>
          <w:spacing w:val="-4"/>
        </w:rPr>
        <w:t> </w:t>
      </w:r>
      <w:r>
        <w:rPr/>
        <w:t>(2005)</w:t>
      </w:r>
      <w:r>
        <w:rPr>
          <w:spacing w:val="-6"/>
        </w:rPr>
        <w:t> </w:t>
      </w:r>
      <w:r>
        <w:rPr/>
        <w:t>investigated</w:t>
      </w:r>
      <w:r>
        <w:rPr>
          <w:spacing w:val="-4"/>
        </w:rPr>
        <w:t> </w:t>
      </w:r>
      <w:r>
        <w:rPr/>
        <w:t>selected</w:t>
      </w:r>
      <w:r>
        <w:rPr>
          <w:spacing w:val="-4"/>
        </w:rPr>
        <w:t> </w:t>
      </w:r>
      <w:r>
        <w:rPr/>
        <w:t>board</w:t>
      </w:r>
      <w:r>
        <w:rPr>
          <w:spacing w:val="-4"/>
        </w:rPr>
        <w:t> </w:t>
      </w:r>
      <w:r>
        <w:rPr/>
        <w:t>attributes</w:t>
      </w:r>
      <w:r>
        <w:rPr>
          <w:spacing w:val="-4"/>
        </w:rPr>
        <w:t> </w:t>
      </w:r>
      <w:r>
        <w:rPr/>
        <w:t>on</w:t>
      </w:r>
      <w:r>
        <w:rPr>
          <w:spacing w:val="-4"/>
        </w:rPr>
        <w:t> </w:t>
      </w:r>
      <w:r>
        <w:rPr/>
        <w:t>earnings</w:t>
      </w:r>
      <w:r>
        <w:rPr>
          <w:spacing w:val="-4"/>
        </w:rPr>
        <w:t> </w:t>
      </w:r>
      <w:r>
        <w:rPr/>
        <w:t>management.</w:t>
      </w:r>
      <w:r>
        <w:rPr>
          <w:spacing w:val="-4"/>
        </w:rPr>
        <w:t> </w:t>
      </w:r>
      <w:r>
        <w:rPr/>
        <w:t>Using</w:t>
      </w:r>
      <w:r>
        <w:rPr>
          <w:spacing w:val="-4"/>
        </w:rPr>
        <w:t> </w:t>
      </w:r>
      <w:r>
        <w:rPr/>
        <w:t>a</w:t>
      </w:r>
      <w:r>
        <w:rPr>
          <w:spacing w:val="-5"/>
        </w:rPr>
        <w:t> </w:t>
      </w:r>
      <w:r>
        <w:rPr/>
        <w:t>sample of 1621 firm year observations for US firms, the result indicated that board independence variable was not associated with threshold-induced earnings management. Sharma (2004), using</w:t>
      </w:r>
      <w:r>
        <w:rPr>
          <w:spacing w:val="29"/>
        </w:rPr>
        <w:t> </w:t>
      </w:r>
      <w:r>
        <w:rPr/>
        <w:t>a</w:t>
      </w:r>
      <w:r>
        <w:rPr>
          <w:spacing w:val="30"/>
        </w:rPr>
        <w:t> </w:t>
      </w:r>
      <w:r>
        <w:rPr/>
        <w:t>sample</w:t>
      </w:r>
      <w:r>
        <w:rPr>
          <w:spacing w:val="30"/>
        </w:rPr>
        <w:t> </w:t>
      </w:r>
      <w:r>
        <w:rPr/>
        <w:t>of</w:t>
      </w:r>
      <w:r>
        <w:rPr>
          <w:spacing w:val="30"/>
        </w:rPr>
        <w:t> </w:t>
      </w:r>
      <w:r>
        <w:rPr/>
        <w:t>31</w:t>
      </w:r>
      <w:r>
        <w:rPr>
          <w:spacing w:val="33"/>
        </w:rPr>
        <w:t> </w:t>
      </w:r>
      <w:r>
        <w:rPr/>
        <w:t>firms</w:t>
      </w:r>
      <w:r>
        <w:rPr>
          <w:spacing w:val="31"/>
        </w:rPr>
        <w:t> </w:t>
      </w:r>
      <w:r>
        <w:rPr/>
        <w:t>listed</w:t>
      </w:r>
      <w:r>
        <w:rPr>
          <w:spacing w:val="34"/>
        </w:rPr>
        <w:t> </w:t>
      </w:r>
      <w:r>
        <w:rPr/>
        <w:t>on</w:t>
      </w:r>
      <w:r>
        <w:rPr>
          <w:spacing w:val="30"/>
        </w:rPr>
        <w:t> </w:t>
      </w:r>
      <w:r>
        <w:rPr/>
        <w:t>the</w:t>
      </w:r>
      <w:r>
        <w:rPr>
          <w:spacing w:val="30"/>
        </w:rPr>
        <w:t> </w:t>
      </w:r>
      <w:r>
        <w:rPr/>
        <w:t>Australian</w:t>
      </w:r>
      <w:r>
        <w:rPr>
          <w:spacing w:val="30"/>
        </w:rPr>
        <w:t> </w:t>
      </w:r>
      <w:r>
        <w:rPr/>
        <w:t>Stock</w:t>
      </w:r>
      <w:r>
        <w:rPr>
          <w:spacing w:val="30"/>
        </w:rPr>
        <w:t> </w:t>
      </w:r>
      <w:r>
        <w:rPr/>
        <w:t>Exchange</w:t>
      </w:r>
      <w:r>
        <w:rPr>
          <w:spacing w:val="30"/>
        </w:rPr>
        <w:t> </w:t>
      </w:r>
      <w:r>
        <w:rPr/>
        <w:t>(ASX)</w:t>
      </w:r>
      <w:r>
        <w:rPr>
          <w:spacing w:val="29"/>
        </w:rPr>
        <w:t> </w:t>
      </w:r>
      <w:r>
        <w:rPr/>
        <w:t>found</w:t>
      </w:r>
      <w:r>
        <w:rPr>
          <w:spacing w:val="30"/>
        </w:rPr>
        <w:t> </w:t>
      </w:r>
      <w:r>
        <w:rPr/>
        <w:t>that</w:t>
      </w:r>
      <w:r>
        <w:rPr>
          <w:spacing w:val="31"/>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08800">
            <wp:simplePos x="0" y="0"/>
            <wp:positionH relativeFrom="page">
              <wp:posOffset>1095451</wp:posOffset>
            </wp:positionH>
            <wp:positionV relativeFrom="paragraph">
              <wp:posOffset>1850770</wp:posOffset>
            </wp:positionV>
            <wp:extent cx="5106847" cy="523811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5" cstate="print"/>
                    <a:stretch>
                      <a:fillRect/>
                    </a:stretch>
                  </pic:blipFill>
                  <pic:spPr>
                    <a:xfrm>
                      <a:off x="0" y="0"/>
                      <a:ext cx="5106847" cy="5238115"/>
                    </a:xfrm>
                    <a:prstGeom prst="rect">
                      <a:avLst/>
                    </a:prstGeom>
                  </pic:spPr>
                </pic:pic>
              </a:graphicData>
            </a:graphic>
          </wp:anchor>
        </w:drawing>
      </w:r>
      <w:r>
        <w:rPr/>
        <w:t>probability of fraudulent reporting decreased with the percentage of outside directors on the board. Bradbury, Mak and Tan (2004) reported that the percentage of independent directors was insignificantly associated with abnormal working capital accruals for 252 Singapore and Malaysia</w:t>
      </w:r>
      <w:r>
        <w:rPr>
          <w:spacing w:val="-9"/>
        </w:rPr>
        <w:t> </w:t>
      </w:r>
      <w:r>
        <w:rPr/>
        <w:t>firms</w:t>
      </w:r>
      <w:r>
        <w:rPr>
          <w:spacing w:val="-8"/>
        </w:rPr>
        <w:t> </w:t>
      </w:r>
      <w:r>
        <w:rPr/>
        <w:t>in</w:t>
      </w:r>
      <w:r>
        <w:rPr>
          <w:spacing w:val="-8"/>
        </w:rPr>
        <w:t> </w:t>
      </w:r>
      <w:r>
        <w:rPr/>
        <w:t>2000.</w:t>
      </w:r>
      <w:r>
        <w:rPr>
          <w:spacing w:val="-11"/>
        </w:rPr>
        <w:t> </w:t>
      </w:r>
      <w:r>
        <w:rPr/>
        <w:t>Moreover,</w:t>
      </w:r>
      <w:r>
        <w:rPr>
          <w:spacing w:val="-9"/>
        </w:rPr>
        <w:t> </w:t>
      </w:r>
      <w:r>
        <w:rPr/>
        <w:t>in</w:t>
      </w:r>
      <w:r>
        <w:rPr>
          <w:spacing w:val="-8"/>
        </w:rPr>
        <w:t> </w:t>
      </w:r>
      <w:r>
        <w:rPr/>
        <w:t>East</w:t>
      </w:r>
      <w:r>
        <w:rPr>
          <w:spacing w:val="-8"/>
        </w:rPr>
        <w:t> </w:t>
      </w:r>
      <w:r>
        <w:rPr/>
        <w:t>Asia</w:t>
      </w:r>
      <w:r>
        <w:rPr>
          <w:spacing w:val="-9"/>
        </w:rPr>
        <w:t> </w:t>
      </w:r>
      <w:r>
        <w:rPr/>
        <w:t>where</w:t>
      </w:r>
      <w:r>
        <w:rPr>
          <w:spacing w:val="-10"/>
        </w:rPr>
        <w:t> </w:t>
      </w:r>
      <w:r>
        <w:rPr/>
        <w:t>ownership</w:t>
      </w:r>
      <w:r>
        <w:rPr>
          <w:spacing w:val="-8"/>
        </w:rPr>
        <w:t> </w:t>
      </w:r>
      <w:r>
        <w:rPr/>
        <w:t>structures</w:t>
      </w:r>
      <w:r>
        <w:rPr>
          <w:spacing w:val="-6"/>
        </w:rPr>
        <w:t> </w:t>
      </w:r>
      <w:r>
        <w:rPr/>
        <w:t>exhibited</w:t>
      </w:r>
      <w:r>
        <w:rPr>
          <w:spacing w:val="-8"/>
        </w:rPr>
        <w:t> </w:t>
      </w:r>
      <w:r>
        <w:rPr/>
        <w:t>a</w:t>
      </w:r>
      <w:r>
        <w:rPr>
          <w:spacing w:val="-9"/>
        </w:rPr>
        <w:t> </w:t>
      </w:r>
      <w:r>
        <w:rPr/>
        <w:t>degree </w:t>
      </w:r>
      <w:r>
        <w:rPr>
          <w:spacing w:val="-2"/>
        </w:rPr>
        <w:t>of</w:t>
      </w:r>
      <w:r>
        <w:rPr>
          <w:spacing w:val="-8"/>
        </w:rPr>
        <w:t> </w:t>
      </w:r>
      <w:r>
        <w:rPr>
          <w:spacing w:val="-2"/>
        </w:rPr>
        <w:t>concentration</w:t>
      </w:r>
      <w:r>
        <w:rPr>
          <w:spacing w:val="-6"/>
        </w:rPr>
        <w:t> </w:t>
      </w:r>
      <w:r>
        <w:rPr>
          <w:spacing w:val="-2"/>
        </w:rPr>
        <w:t>similar</w:t>
      </w:r>
      <w:r>
        <w:rPr>
          <w:spacing w:val="-8"/>
        </w:rPr>
        <w:t> </w:t>
      </w:r>
      <w:r>
        <w:rPr>
          <w:spacing w:val="-2"/>
        </w:rPr>
        <w:t>to</w:t>
      </w:r>
      <w:r>
        <w:rPr>
          <w:spacing w:val="-6"/>
        </w:rPr>
        <w:t> </w:t>
      </w:r>
      <w:r>
        <w:rPr>
          <w:spacing w:val="-2"/>
        </w:rPr>
        <w:t>that</w:t>
      </w:r>
      <w:r>
        <w:rPr>
          <w:spacing w:val="-6"/>
        </w:rPr>
        <w:t> </w:t>
      </w:r>
      <w:r>
        <w:rPr>
          <w:spacing w:val="-2"/>
        </w:rPr>
        <w:t>of</w:t>
      </w:r>
      <w:r>
        <w:rPr>
          <w:spacing w:val="-8"/>
        </w:rPr>
        <w:t> </w:t>
      </w:r>
      <w:r>
        <w:rPr>
          <w:spacing w:val="-2"/>
        </w:rPr>
        <w:t>continental</w:t>
      </w:r>
      <w:r>
        <w:rPr>
          <w:spacing w:val="-6"/>
        </w:rPr>
        <w:t> </w:t>
      </w:r>
      <w:r>
        <w:rPr>
          <w:spacing w:val="-2"/>
        </w:rPr>
        <w:t>European</w:t>
      </w:r>
      <w:r>
        <w:rPr>
          <w:spacing w:val="-6"/>
        </w:rPr>
        <w:t> </w:t>
      </w:r>
      <w:r>
        <w:rPr>
          <w:spacing w:val="-2"/>
        </w:rPr>
        <w:t>countries,</w:t>
      </w:r>
      <w:r>
        <w:rPr>
          <w:spacing w:val="-6"/>
        </w:rPr>
        <w:t> </w:t>
      </w:r>
      <w:r>
        <w:rPr>
          <w:spacing w:val="-2"/>
        </w:rPr>
        <w:t>the</w:t>
      </w:r>
      <w:r>
        <w:rPr>
          <w:spacing w:val="-8"/>
        </w:rPr>
        <w:t> </w:t>
      </w:r>
      <w:r>
        <w:rPr>
          <w:spacing w:val="-2"/>
        </w:rPr>
        <w:t>study</w:t>
      </w:r>
      <w:r>
        <w:rPr>
          <w:spacing w:val="-5"/>
        </w:rPr>
        <w:t> </w:t>
      </w:r>
      <w:r>
        <w:rPr>
          <w:spacing w:val="-2"/>
        </w:rPr>
        <w:t>by</w:t>
      </w:r>
      <w:r>
        <w:rPr>
          <w:spacing w:val="-6"/>
        </w:rPr>
        <w:t> </w:t>
      </w:r>
      <w:r>
        <w:rPr>
          <w:spacing w:val="-2"/>
        </w:rPr>
        <w:t>Xie</w:t>
      </w:r>
      <w:r>
        <w:rPr>
          <w:spacing w:val="-8"/>
        </w:rPr>
        <w:t> </w:t>
      </w:r>
      <w:r>
        <w:rPr>
          <w:spacing w:val="-2"/>
        </w:rPr>
        <w:t>et</w:t>
      </w:r>
      <w:r>
        <w:rPr>
          <w:spacing w:val="-5"/>
        </w:rPr>
        <w:t> </w:t>
      </w:r>
      <w:r>
        <w:rPr>
          <w:spacing w:val="-2"/>
        </w:rPr>
        <w:t>al.,</w:t>
      </w:r>
      <w:r>
        <w:rPr>
          <w:spacing w:val="-5"/>
        </w:rPr>
        <w:t> </w:t>
      </w:r>
      <w:r>
        <w:rPr>
          <w:spacing w:val="-2"/>
        </w:rPr>
        <w:t>(2003) </w:t>
      </w:r>
      <w:r>
        <w:rPr/>
        <w:t>considering S&amp;P 500 companies during a similar period (1992, 1994, and 1996) did not find any</w:t>
      </w:r>
      <w:r>
        <w:rPr>
          <w:spacing w:val="-1"/>
        </w:rPr>
        <w:t> </w:t>
      </w:r>
      <w:r>
        <w:rPr/>
        <w:t>significant</w:t>
      </w:r>
      <w:r>
        <w:rPr>
          <w:spacing w:val="-1"/>
        </w:rPr>
        <w:t> </w:t>
      </w:r>
      <w:r>
        <w:rPr/>
        <w:t>association</w:t>
      </w:r>
      <w:r>
        <w:rPr>
          <w:spacing w:val="-1"/>
        </w:rPr>
        <w:t> </w:t>
      </w:r>
      <w:r>
        <w:rPr/>
        <w:t>between</w:t>
      </w:r>
      <w:r>
        <w:rPr>
          <w:spacing w:val="-1"/>
        </w:rPr>
        <w:t> </w:t>
      </w:r>
      <w:r>
        <w:rPr/>
        <w:t>the</w:t>
      </w:r>
      <w:r>
        <w:rPr>
          <w:spacing w:val="-2"/>
        </w:rPr>
        <w:t> </w:t>
      </w:r>
      <w:r>
        <w:rPr/>
        <w:t>percentage</w:t>
      </w:r>
      <w:r>
        <w:rPr>
          <w:spacing w:val="-1"/>
        </w:rPr>
        <w:t> </w:t>
      </w:r>
      <w:r>
        <w:rPr/>
        <w:t>of</w:t>
      </w:r>
      <w:r>
        <w:rPr>
          <w:spacing w:val="-2"/>
        </w:rPr>
        <w:t> </w:t>
      </w:r>
      <w:r>
        <w:rPr/>
        <w:t>outside</w:t>
      </w:r>
      <w:r>
        <w:rPr>
          <w:spacing w:val="-2"/>
        </w:rPr>
        <w:t> </w:t>
      </w:r>
      <w:r>
        <w:rPr/>
        <w:t>directors</w:t>
      </w:r>
      <w:r>
        <w:rPr>
          <w:spacing w:val="-1"/>
        </w:rPr>
        <w:t> </w:t>
      </w:r>
      <w:r>
        <w:rPr/>
        <w:t>and abnormal</w:t>
      </w:r>
      <w:r>
        <w:rPr>
          <w:spacing w:val="-1"/>
        </w:rPr>
        <w:t> </w:t>
      </w:r>
      <w:r>
        <w:rPr/>
        <w:t>working capital</w:t>
      </w:r>
      <w:r>
        <w:rPr>
          <w:spacing w:val="-5"/>
        </w:rPr>
        <w:t> </w:t>
      </w:r>
      <w:r>
        <w:rPr/>
        <w:t>accruals.</w:t>
      </w:r>
      <w:r>
        <w:rPr>
          <w:spacing w:val="-5"/>
        </w:rPr>
        <w:t> </w:t>
      </w:r>
      <w:r>
        <w:rPr/>
        <w:t>Klein</w:t>
      </w:r>
      <w:r>
        <w:rPr>
          <w:spacing w:val="-5"/>
        </w:rPr>
        <w:t> </w:t>
      </w:r>
      <w:r>
        <w:rPr/>
        <w:t>(2002a)</w:t>
      </w:r>
      <w:r>
        <w:rPr>
          <w:spacing w:val="-5"/>
        </w:rPr>
        <w:t> </w:t>
      </w:r>
      <w:r>
        <w:rPr/>
        <w:t>examined</w:t>
      </w:r>
      <w:r>
        <w:rPr>
          <w:spacing w:val="-5"/>
        </w:rPr>
        <w:t> </w:t>
      </w:r>
      <w:r>
        <w:rPr/>
        <w:t>board</w:t>
      </w:r>
      <w:r>
        <w:rPr>
          <w:spacing w:val="-5"/>
        </w:rPr>
        <w:t> </w:t>
      </w:r>
      <w:r>
        <w:rPr/>
        <w:t>characteristics</w:t>
      </w:r>
      <w:r>
        <w:rPr>
          <w:spacing w:val="-5"/>
        </w:rPr>
        <w:t> </w:t>
      </w:r>
      <w:r>
        <w:rPr/>
        <w:t>and</w:t>
      </w:r>
      <w:r>
        <w:rPr>
          <w:spacing w:val="-5"/>
        </w:rPr>
        <w:t> </w:t>
      </w:r>
      <w:r>
        <w:rPr/>
        <w:t>earnings</w:t>
      </w:r>
      <w:r>
        <w:rPr>
          <w:spacing w:val="-3"/>
        </w:rPr>
        <w:t> </w:t>
      </w:r>
      <w:r>
        <w:rPr/>
        <w:t>management.</w:t>
      </w:r>
      <w:r>
        <w:rPr>
          <w:spacing w:val="-5"/>
        </w:rPr>
        <w:t> </w:t>
      </w:r>
      <w:r>
        <w:rPr/>
        <w:t>The sample consisted of S&amp;P 500 firms during the period 1992-1993. Using a cross-sectional variant of Jones’ (1991) model to measure abnormal accruals, the findings revealed that there was a significant inverse relationship between the incidence of abnormal accruals suggesting earnings management and the percentage of outside directors on the board. The association was</w:t>
      </w:r>
      <w:r>
        <w:rPr>
          <w:spacing w:val="-1"/>
        </w:rPr>
        <w:t> </w:t>
      </w:r>
      <w:r>
        <w:rPr/>
        <w:t>stronger</w:t>
      </w:r>
      <w:r>
        <w:rPr>
          <w:spacing w:val="-2"/>
        </w:rPr>
        <w:t> </w:t>
      </w:r>
      <w:r>
        <w:rPr/>
        <w:t>when</w:t>
      </w:r>
      <w:r>
        <w:rPr>
          <w:spacing w:val="-1"/>
        </w:rPr>
        <w:t> </w:t>
      </w:r>
      <w:r>
        <w:rPr/>
        <w:t>using</w:t>
      </w:r>
      <w:r>
        <w:rPr>
          <w:spacing w:val="-1"/>
        </w:rPr>
        <w:t> </w:t>
      </w:r>
      <w:r>
        <w:rPr/>
        <w:t>the</w:t>
      </w:r>
      <w:r>
        <w:rPr>
          <w:spacing w:val="-2"/>
        </w:rPr>
        <w:t> </w:t>
      </w:r>
      <w:r>
        <w:rPr/>
        <w:t>majority-threshold</w:t>
      </w:r>
      <w:r>
        <w:rPr>
          <w:spacing w:val="-1"/>
        </w:rPr>
        <w:t> </w:t>
      </w:r>
      <w:r>
        <w:rPr/>
        <w:t>measure</w:t>
      </w:r>
      <w:r>
        <w:rPr>
          <w:spacing w:val="-3"/>
        </w:rPr>
        <w:t> </w:t>
      </w:r>
      <w:r>
        <w:rPr/>
        <w:t>than</w:t>
      </w:r>
      <w:r>
        <w:rPr>
          <w:spacing w:val="-2"/>
        </w:rPr>
        <w:t> </w:t>
      </w:r>
      <w:r>
        <w:rPr/>
        <w:t>the</w:t>
      </w:r>
      <w:r>
        <w:rPr>
          <w:spacing w:val="-2"/>
        </w:rPr>
        <w:t> </w:t>
      </w:r>
      <w:r>
        <w:rPr/>
        <w:t>actual</w:t>
      </w:r>
      <w:r>
        <w:rPr>
          <w:spacing w:val="-1"/>
        </w:rPr>
        <w:t> </w:t>
      </w:r>
      <w:r>
        <w:rPr/>
        <w:t>percentage</w:t>
      </w:r>
      <w:r>
        <w:rPr>
          <w:spacing w:val="-3"/>
        </w:rPr>
        <w:t> </w:t>
      </w:r>
      <w:r>
        <w:rPr/>
        <w:t>of</w:t>
      </w:r>
      <w:r>
        <w:rPr>
          <w:spacing w:val="-2"/>
        </w:rPr>
        <w:t> </w:t>
      </w:r>
      <w:r>
        <w:rPr/>
        <w:t>outside directors, suggesting that majority rule efficiently drove board actions to promote financial reporting quality without precluding strategic input from specialized insiders.</w:t>
      </w:r>
    </w:p>
    <w:p>
      <w:pPr>
        <w:pStyle w:val="BodyText"/>
        <w:spacing w:line="480" w:lineRule="auto" w:before="2"/>
        <w:ind w:left="940" w:right="1434"/>
        <w:jc w:val="both"/>
      </w:pPr>
      <w:r>
        <w:rPr/>
        <w:t>Peasnell, Pope and Young (2001) selected companies for defective financial statement sanctioned</w:t>
      </w:r>
      <w:r>
        <w:rPr>
          <w:spacing w:val="-3"/>
        </w:rPr>
        <w:t> </w:t>
      </w:r>
      <w:r>
        <w:rPr/>
        <w:t>by</w:t>
      </w:r>
      <w:r>
        <w:rPr>
          <w:spacing w:val="-3"/>
        </w:rPr>
        <w:t> </w:t>
      </w:r>
      <w:r>
        <w:rPr/>
        <w:t>the</w:t>
      </w:r>
      <w:r>
        <w:rPr>
          <w:spacing w:val="-3"/>
        </w:rPr>
        <w:t> </w:t>
      </w:r>
      <w:r>
        <w:rPr/>
        <w:t>Financial</w:t>
      </w:r>
      <w:r>
        <w:rPr>
          <w:spacing w:val="-3"/>
        </w:rPr>
        <w:t> </w:t>
      </w:r>
      <w:r>
        <w:rPr/>
        <w:t>Reporting</w:t>
      </w:r>
      <w:r>
        <w:rPr>
          <w:spacing w:val="-3"/>
        </w:rPr>
        <w:t> </w:t>
      </w:r>
      <w:r>
        <w:rPr/>
        <w:t>Review</w:t>
      </w:r>
      <w:r>
        <w:rPr>
          <w:spacing w:val="-4"/>
        </w:rPr>
        <w:t> </w:t>
      </w:r>
      <w:r>
        <w:rPr/>
        <w:t>Panel</w:t>
      </w:r>
      <w:r>
        <w:rPr>
          <w:spacing w:val="-3"/>
        </w:rPr>
        <w:t> </w:t>
      </w:r>
      <w:r>
        <w:rPr/>
        <w:t>(FRRP)</w:t>
      </w:r>
      <w:r>
        <w:rPr>
          <w:spacing w:val="-3"/>
        </w:rPr>
        <w:t> </w:t>
      </w:r>
      <w:r>
        <w:rPr/>
        <w:t>in</w:t>
      </w:r>
      <w:r>
        <w:rPr>
          <w:spacing w:val="-3"/>
        </w:rPr>
        <w:t> </w:t>
      </w:r>
      <w:r>
        <w:rPr/>
        <w:t>the</w:t>
      </w:r>
      <w:r>
        <w:rPr>
          <w:spacing w:val="-4"/>
        </w:rPr>
        <w:t> </w:t>
      </w:r>
      <w:r>
        <w:rPr/>
        <w:t>UK.</w:t>
      </w:r>
      <w:r>
        <w:rPr>
          <w:spacing w:val="-3"/>
        </w:rPr>
        <w:t> </w:t>
      </w:r>
      <w:r>
        <w:rPr/>
        <w:t>The</w:t>
      </w:r>
      <w:r>
        <w:rPr>
          <w:spacing w:val="-4"/>
        </w:rPr>
        <w:t> </w:t>
      </w:r>
      <w:r>
        <w:rPr/>
        <w:t>sample</w:t>
      </w:r>
      <w:r>
        <w:rPr>
          <w:spacing w:val="-4"/>
        </w:rPr>
        <w:t> </w:t>
      </w:r>
      <w:r>
        <w:rPr/>
        <w:t>consisted of 47 companies during the period 1990 to 1998. The result indicated that the percentage of NEDs</w:t>
      </w:r>
      <w:r>
        <w:rPr>
          <w:spacing w:val="-2"/>
        </w:rPr>
        <w:t> </w:t>
      </w:r>
      <w:r>
        <w:rPr/>
        <w:t>on</w:t>
      </w:r>
      <w:r>
        <w:rPr>
          <w:spacing w:val="-1"/>
        </w:rPr>
        <w:t> </w:t>
      </w:r>
      <w:r>
        <w:rPr/>
        <w:t>the</w:t>
      </w:r>
      <w:r>
        <w:rPr>
          <w:spacing w:val="-2"/>
        </w:rPr>
        <w:t> </w:t>
      </w:r>
      <w:r>
        <w:rPr/>
        <w:t>board</w:t>
      </w:r>
      <w:r>
        <w:rPr>
          <w:spacing w:val="-2"/>
        </w:rPr>
        <w:t> </w:t>
      </w:r>
      <w:r>
        <w:rPr/>
        <w:t>had a</w:t>
      </w:r>
      <w:r>
        <w:rPr>
          <w:spacing w:val="-2"/>
        </w:rPr>
        <w:t> </w:t>
      </w:r>
      <w:r>
        <w:rPr/>
        <w:t>marginal</w:t>
      </w:r>
      <w:r>
        <w:rPr>
          <w:spacing w:val="-1"/>
        </w:rPr>
        <w:t> </w:t>
      </w:r>
      <w:r>
        <w:rPr/>
        <w:t>inverse</w:t>
      </w:r>
      <w:r>
        <w:rPr>
          <w:spacing w:val="-2"/>
        </w:rPr>
        <w:t> </w:t>
      </w:r>
      <w:r>
        <w:rPr/>
        <w:t>impact</w:t>
      </w:r>
      <w:r>
        <w:rPr>
          <w:spacing w:val="-1"/>
        </w:rPr>
        <w:t> </w:t>
      </w:r>
      <w:r>
        <w:rPr/>
        <w:t>on</w:t>
      </w:r>
      <w:r>
        <w:rPr>
          <w:spacing w:val="-1"/>
        </w:rPr>
        <w:t> </w:t>
      </w:r>
      <w:r>
        <w:rPr/>
        <w:t>the</w:t>
      </w:r>
      <w:r>
        <w:rPr>
          <w:spacing w:val="-2"/>
        </w:rPr>
        <w:t> </w:t>
      </w:r>
      <w:r>
        <w:rPr/>
        <w:t>probability</w:t>
      </w:r>
      <w:r>
        <w:rPr>
          <w:spacing w:val="-1"/>
        </w:rPr>
        <w:t> </w:t>
      </w:r>
      <w:r>
        <w:rPr/>
        <w:t>of</w:t>
      </w:r>
      <w:r>
        <w:rPr>
          <w:spacing w:val="-2"/>
        </w:rPr>
        <w:t> </w:t>
      </w:r>
      <w:r>
        <w:rPr/>
        <w:t>disclosing</w:t>
      </w:r>
      <w:r>
        <w:rPr>
          <w:spacing w:val="-1"/>
        </w:rPr>
        <w:t> </w:t>
      </w:r>
      <w:r>
        <w:rPr/>
        <w:t>low</w:t>
      </w:r>
      <w:r>
        <w:rPr>
          <w:spacing w:val="-1"/>
        </w:rPr>
        <w:t> </w:t>
      </w:r>
      <w:r>
        <w:rPr/>
        <w:t>quality financial</w:t>
      </w:r>
      <w:r>
        <w:rPr>
          <w:spacing w:val="-1"/>
        </w:rPr>
        <w:t> </w:t>
      </w:r>
      <w:r>
        <w:rPr/>
        <w:t>information.</w:t>
      </w:r>
      <w:r>
        <w:rPr>
          <w:spacing w:val="-1"/>
        </w:rPr>
        <w:t> </w:t>
      </w:r>
      <w:r>
        <w:rPr/>
        <w:t>Abbott,</w:t>
      </w:r>
      <w:r>
        <w:rPr>
          <w:spacing w:val="-1"/>
        </w:rPr>
        <w:t> </w:t>
      </w:r>
      <w:r>
        <w:rPr/>
        <w:t>Park</w:t>
      </w:r>
      <w:r>
        <w:rPr>
          <w:spacing w:val="-2"/>
        </w:rPr>
        <w:t> </w:t>
      </w:r>
      <w:r>
        <w:rPr/>
        <w:t>and</w:t>
      </w:r>
      <w:r>
        <w:rPr>
          <w:spacing w:val="-3"/>
        </w:rPr>
        <w:t> </w:t>
      </w:r>
      <w:r>
        <w:rPr/>
        <w:t>Parker</w:t>
      </w:r>
      <w:r>
        <w:rPr>
          <w:spacing w:val="-2"/>
        </w:rPr>
        <w:t> </w:t>
      </w:r>
      <w:r>
        <w:rPr/>
        <w:t>(2000)</w:t>
      </w:r>
      <w:r>
        <w:rPr>
          <w:spacing w:val="-2"/>
        </w:rPr>
        <w:t> </w:t>
      </w:r>
      <w:r>
        <w:rPr/>
        <w:t>investigated</w:t>
      </w:r>
      <w:r>
        <w:rPr>
          <w:spacing w:val="-2"/>
        </w:rPr>
        <w:t> </w:t>
      </w:r>
      <w:r>
        <w:rPr/>
        <w:t>78</w:t>
      </w:r>
      <w:r>
        <w:rPr>
          <w:spacing w:val="-1"/>
        </w:rPr>
        <w:t> </w:t>
      </w:r>
      <w:r>
        <w:rPr/>
        <w:t>US</w:t>
      </w:r>
      <w:r>
        <w:rPr>
          <w:spacing w:val="-3"/>
        </w:rPr>
        <w:t> </w:t>
      </w:r>
      <w:r>
        <w:rPr/>
        <w:t>firms</w:t>
      </w:r>
      <w:r>
        <w:rPr>
          <w:spacing w:val="-1"/>
        </w:rPr>
        <w:t> </w:t>
      </w:r>
      <w:r>
        <w:rPr/>
        <w:t>sanctioned</w:t>
      </w:r>
      <w:r>
        <w:rPr>
          <w:spacing w:val="-1"/>
        </w:rPr>
        <w:t> </w:t>
      </w:r>
      <w:r>
        <w:rPr/>
        <w:t>by the SEC for aggressive or fraudulent financial reporting during the period 1980 to 1996. The result from the Pair-wise logit analyses showed that the proportion of NEDs on the board did not exhibit a significant impact on aggressive or fraudulent financial reporting. Peasnell et al. (2000) investigated the management of working capital accruals to reach earnings target thresholds.</w:t>
      </w:r>
      <w:r>
        <w:rPr>
          <w:spacing w:val="24"/>
        </w:rPr>
        <w:t> </w:t>
      </w:r>
      <w:r>
        <w:rPr/>
        <w:t>Using</w:t>
      </w:r>
      <w:r>
        <w:rPr>
          <w:spacing w:val="25"/>
        </w:rPr>
        <w:t> </w:t>
      </w:r>
      <w:r>
        <w:rPr/>
        <w:t>a</w:t>
      </w:r>
      <w:r>
        <w:rPr>
          <w:spacing w:val="24"/>
        </w:rPr>
        <w:t> </w:t>
      </w:r>
      <w:r>
        <w:rPr/>
        <w:t>sample</w:t>
      </w:r>
      <w:r>
        <w:rPr>
          <w:spacing w:val="24"/>
        </w:rPr>
        <w:t> </w:t>
      </w:r>
      <w:r>
        <w:rPr/>
        <w:t>of</w:t>
      </w:r>
      <w:r>
        <w:rPr>
          <w:spacing w:val="24"/>
        </w:rPr>
        <w:t> </w:t>
      </w:r>
      <w:r>
        <w:rPr/>
        <w:t>630</w:t>
      </w:r>
      <w:r>
        <w:rPr>
          <w:spacing w:val="25"/>
        </w:rPr>
        <w:t> </w:t>
      </w:r>
      <w:r>
        <w:rPr/>
        <w:t>UK</w:t>
      </w:r>
      <w:r>
        <w:rPr>
          <w:spacing w:val="24"/>
        </w:rPr>
        <w:t> </w:t>
      </w:r>
      <w:r>
        <w:rPr/>
        <w:t>firms</w:t>
      </w:r>
      <w:r>
        <w:rPr>
          <w:spacing w:val="25"/>
        </w:rPr>
        <w:t> </w:t>
      </w:r>
      <w:r>
        <w:rPr/>
        <w:t>before</w:t>
      </w:r>
      <w:r>
        <w:rPr>
          <w:spacing w:val="24"/>
        </w:rPr>
        <w:t> </w:t>
      </w:r>
      <w:r>
        <w:rPr/>
        <w:t>and</w:t>
      </w:r>
      <w:r>
        <w:rPr>
          <w:spacing w:val="25"/>
        </w:rPr>
        <w:t> </w:t>
      </w:r>
      <w:r>
        <w:rPr/>
        <w:t>after</w:t>
      </w:r>
      <w:r>
        <w:rPr>
          <w:spacing w:val="24"/>
        </w:rPr>
        <w:t> </w:t>
      </w:r>
      <w:r>
        <w:rPr/>
        <w:t>the</w:t>
      </w:r>
      <w:r>
        <w:rPr>
          <w:spacing w:val="24"/>
        </w:rPr>
        <w:t> </w:t>
      </w:r>
      <w:r>
        <w:rPr/>
        <w:t>1992</w:t>
      </w:r>
      <w:r>
        <w:rPr>
          <w:spacing w:val="25"/>
        </w:rPr>
        <w:t> </w:t>
      </w:r>
      <w:r>
        <w:rPr/>
        <w:t>Cadbury</w:t>
      </w:r>
      <w:r>
        <w:rPr>
          <w:spacing w:val="24"/>
        </w:rPr>
        <w:t> </w:t>
      </w:r>
      <w:r>
        <w:rPr/>
        <w:t>report,</w:t>
      </w:r>
      <w:r>
        <w:rPr>
          <w:spacing w:val="24"/>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09312">
            <wp:simplePos x="0" y="0"/>
            <wp:positionH relativeFrom="page">
              <wp:posOffset>1095451</wp:posOffset>
            </wp:positionH>
            <wp:positionV relativeFrom="paragraph">
              <wp:posOffset>1850770</wp:posOffset>
            </wp:positionV>
            <wp:extent cx="5106847" cy="523811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5" cstate="print"/>
                    <a:stretch>
                      <a:fillRect/>
                    </a:stretch>
                  </pic:blipFill>
                  <pic:spPr>
                    <a:xfrm>
                      <a:off x="0" y="0"/>
                      <a:ext cx="5106847" cy="5238115"/>
                    </a:xfrm>
                    <a:prstGeom prst="rect">
                      <a:avLst/>
                    </a:prstGeom>
                  </pic:spPr>
                </pic:pic>
              </a:graphicData>
            </a:graphic>
          </wp:anchor>
        </w:drawing>
      </w:r>
      <w:r>
        <w:rPr/>
        <w:t>result was consistent with higher percentages of NEDs mitigating earnings management. Abbott, Parker and Peters (2004) found the percentage of NEDs to be insignificant predictors of the probability that a firm would be subject to an SEC enforcement action for fraud or that firms would issue earnings restatements during 1991-1999. Beasley (1996) analysed 75 firms that publicly reported financial statement frauds matched with non-fraud firms from 1980- 1991. The results indicated that the percentage of outside (or non-executive) directors on the board had a significant negative impact on the probability of fraudulent financial reporting.</w:t>
      </w:r>
    </w:p>
    <w:p>
      <w:pPr>
        <w:pStyle w:val="Heading3"/>
        <w:numPr>
          <w:ilvl w:val="2"/>
          <w:numId w:val="23"/>
        </w:numPr>
        <w:tabs>
          <w:tab w:pos="1480" w:val="left" w:leader="none"/>
        </w:tabs>
        <w:spacing w:line="240" w:lineRule="auto" w:before="1" w:after="0"/>
        <w:ind w:left="1480" w:right="0" w:hanging="540"/>
        <w:jc w:val="both"/>
      </w:pPr>
      <w:bookmarkStart w:name="_TOC_250047" w:id="23"/>
      <w:r>
        <w:rPr/>
        <w:t>Board</w:t>
      </w:r>
      <w:r>
        <w:rPr>
          <w:spacing w:val="-5"/>
        </w:rPr>
        <w:t> </w:t>
      </w:r>
      <w:r>
        <w:rPr/>
        <w:t>financial</w:t>
      </w:r>
      <w:r>
        <w:rPr>
          <w:spacing w:val="-2"/>
        </w:rPr>
        <w:t> </w:t>
      </w:r>
      <w:r>
        <w:rPr/>
        <w:t>expertise</w:t>
      </w:r>
      <w:r>
        <w:rPr>
          <w:spacing w:val="-2"/>
        </w:rPr>
        <w:t> </w:t>
      </w:r>
      <w:r>
        <w:rPr/>
        <w:t>and</w:t>
      </w:r>
      <w:r>
        <w:rPr>
          <w:spacing w:val="-2"/>
        </w:rPr>
        <w:t> </w:t>
      </w:r>
      <w:r>
        <w:rPr/>
        <w:t>Financial</w:t>
      </w:r>
      <w:r>
        <w:rPr>
          <w:spacing w:val="-2"/>
        </w:rPr>
        <w:t> </w:t>
      </w:r>
      <w:r>
        <w:rPr/>
        <w:t>Reporting</w:t>
      </w:r>
      <w:bookmarkEnd w:id="23"/>
      <w:r>
        <w:rPr>
          <w:spacing w:val="-2"/>
        </w:rPr>
        <w:t> Quality</w:t>
      </w:r>
    </w:p>
    <w:p>
      <w:pPr>
        <w:pStyle w:val="BodyText"/>
        <w:rPr>
          <w:b/>
        </w:rPr>
      </w:pPr>
    </w:p>
    <w:p>
      <w:pPr>
        <w:pStyle w:val="BodyText"/>
        <w:spacing w:line="480" w:lineRule="auto"/>
        <w:ind w:left="940" w:right="1436"/>
        <w:jc w:val="both"/>
      </w:pPr>
      <w:r>
        <w:rPr/>
        <w:t>The study by Abernathy et al. (2014) examined whether prior evidence on audit committee expertise</w:t>
      </w:r>
      <w:r>
        <w:rPr>
          <w:spacing w:val="-14"/>
        </w:rPr>
        <w:t> </w:t>
      </w:r>
      <w:r>
        <w:rPr/>
        <w:t>was</w:t>
      </w:r>
      <w:r>
        <w:rPr>
          <w:spacing w:val="-12"/>
        </w:rPr>
        <w:t> </w:t>
      </w:r>
      <w:r>
        <w:rPr/>
        <w:t>attributed</w:t>
      </w:r>
      <w:r>
        <w:rPr>
          <w:spacing w:val="-14"/>
        </w:rPr>
        <w:t> </w:t>
      </w:r>
      <w:r>
        <w:rPr/>
        <w:t>to</w:t>
      </w:r>
      <w:r>
        <w:rPr>
          <w:spacing w:val="-14"/>
        </w:rPr>
        <w:t> </w:t>
      </w:r>
      <w:r>
        <w:rPr/>
        <w:t>accounting</w:t>
      </w:r>
      <w:r>
        <w:rPr>
          <w:spacing w:val="-14"/>
        </w:rPr>
        <w:t> </w:t>
      </w:r>
      <w:r>
        <w:rPr/>
        <w:t>expertise</w:t>
      </w:r>
      <w:r>
        <w:rPr>
          <w:spacing w:val="-15"/>
        </w:rPr>
        <w:t> </w:t>
      </w:r>
      <w:r>
        <w:rPr/>
        <w:t>or</w:t>
      </w:r>
      <w:r>
        <w:rPr>
          <w:spacing w:val="-11"/>
        </w:rPr>
        <w:t> </w:t>
      </w:r>
      <w:r>
        <w:rPr/>
        <w:t>other</w:t>
      </w:r>
      <w:r>
        <w:rPr>
          <w:spacing w:val="-15"/>
        </w:rPr>
        <w:t> </w:t>
      </w:r>
      <w:r>
        <w:rPr/>
        <w:t>types</w:t>
      </w:r>
      <w:r>
        <w:rPr>
          <w:spacing w:val="-15"/>
        </w:rPr>
        <w:t> </w:t>
      </w:r>
      <w:r>
        <w:rPr/>
        <w:t>of</w:t>
      </w:r>
      <w:r>
        <w:rPr>
          <w:spacing w:val="-15"/>
        </w:rPr>
        <w:t> </w:t>
      </w:r>
      <w:r>
        <w:rPr/>
        <w:t>expertise.</w:t>
      </w:r>
      <w:r>
        <w:rPr>
          <w:spacing w:val="-13"/>
        </w:rPr>
        <w:t> </w:t>
      </w:r>
      <w:r>
        <w:rPr/>
        <w:t>The</w:t>
      </w:r>
      <w:r>
        <w:rPr>
          <w:spacing w:val="-15"/>
        </w:rPr>
        <w:t> </w:t>
      </w:r>
      <w:r>
        <w:rPr/>
        <w:t>study</w:t>
      </w:r>
      <w:r>
        <w:rPr>
          <w:spacing w:val="-14"/>
        </w:rPr>
        <w:t> </w:t>
      </w:r>
      <w:r>
        <w:rPr/>
        <w:t>classified financial expertise into three groups, namely, accounting expertise, non-accounting expertise and non-financial expertise. The findings showed that audit committee members with accounting background exhibited a significant decrease in audit report delay. Similarly, Baatwah et al. (2015) found a decrease in audit report lag for Omani companies with a high proportion</w:t>
      </w:r>
      <w:r>
        <w:rPr>
          <w:spacing w:val="-15"/>
        </w:rPr>
        <w:t> </w:t>
      </w:r>
      <w:r>
        <w:rPr/>
        <w:t>of</w:t>
      </w:r>
      <w:r>
        <w:rPr>
          <w:spacing w:val="-15"/>
        </w:rPr>
        <w:t> </w:t>
      </w:r>
      <w:r>
        <w:rPr/>
        <w:t>financial</w:t>
      </w:r>
      <w:r>
        <w:rPr>
          <w:spacing w:val="-15"/>
        </w:rPr>
        <w:t> </w:t>
      </w:r>
      <w:r>
        <w:rPr/>
        <w:t>expertise</w:t>
      </w:r>
      <w:r>
        <w:rPr>
          <w:spacing w:val="-15"/>
        </w:rPr>
        <w:t> </w:t>
      </w:r>
      <w:r>
        <w:rPr/>
        <w:t>on</w:t>
      </w:r>
      <w:r>
        <w:rPr>
          <w:spacing w:val="-15"/>
        </w:rPr>
        <w:t> </w:t>
      </w:r>
      <w:r>
        <w:rPr/>
        <w:t>audit</w:t>
      </w:r>
      <w:r>
        <w:rPr>
          <w:spacing w:val="-15"/>
        </w:rPr>
        <w:t> </w:t>
      </w:r>
      <w:r>
        <w:rPr/>
        <w:t>committee.</w:t>
      </w:r>
      <w:r>
        <w:rPr>
          <w:spacing w:val="-15"/>
        </w:rPr>
        <w:t> </w:t>
      </w:r>
      <w:r>
        <w:rPr/>
        <w:t>On</w:t>
      </w:r>
      <w:r>
        <w:rPr>
          <w:spacing w:val="-15"/>
        </w:rPr>
        <w:t> </w:t>
      </w:r>
      <w:r>
        <w:rPr/>
        <w:t>the</w:t>
      </w:r>
      <w:r>
        <w:rPr>
          <w:spacing w:val="-15"/>
        </w:rPr>
        <w:t> </w:t>
      </w:r>
      <w:r>
        <w:rPr/>
        <w:t>contrary,</w:t>
      </w:r>
      <w:r>
        <w:rPr>
          <w:spacing w:val="-15"/>
        </w:rPr>
        <w:t> </w:t>
      </w:r>
      <w:r>
        <w:rPr/>
        <w:t>the</w:t>
      </w:r>
      <w:r>
        <w:rPr>
          <w:spacing w:val="-15"/>
        </w:rPr>
        <w:t> </w:t>
      </w:r>
      <w:r>
        <w:rPr/>
        <w:t>studies</w:t>
      </w:r>
      <w:r>
        <w:rPr>
          <w:spacing w:val="-15"/>
        </w:rPr>
        <w:t> </w:t>
      </w:r>
      <w:r>
        <w:rPr/>
        <w:t>by</w:t>
      </w:r>
      <w:r>
        <w:rPr>
          <w:spacing w:val="-15"/>
        </w:rPr>
        <w:t> </w:t>
      </w:r>
      <w:r>
        <w:rPr/>
        <w:t>Mohamad- Nor et al. (2010) and Wan-Hussin and Bamahros (2013) investigated the importance of accounting</w:t>
      </w:r>
      <w:r>
        <w:rPr>
          <w:spacing w:val="-6"/>
        </w:rPr>
        <w:t> </w:t>
      </w:r>
      <w:r>
        <w:rPr/>
        <w:t>expertise</w:t>
      </w:r>
      <w:r>
        <w:rPr>
          <w:spacing w:val="-6"/>
        </w:rPr>
        <w:t> </w:t>
      </w:r>
      <w:r>
        <w:rPr/>
        <w:t>in</w:t>
      </w:r>
      <w:r>
        <w:rPr>
          <w:spacing w:val="-5"/>
        </w:rPr>
        <w:t> </w:t>
      </w:r>
      <w:r>
        <w:rPr/>
        <w:t>improving</w:t>
      </w:r>
      <w:r>
        <w:rPr>
          <w:spacing w:val="-6"/>
        </w:rPr>
        <w:t> </w:t>
      </w:r>
      <w:r>
        <w:rPr/>
        <w:t>the</w:t>
      </w:r>
      <w:r>
        <w:rPr>
          <w:spacing w:val="-6"/>
        </w:rPr>
        <w:t> </w:t>
      </w:r>
      <w:r>
        <w:rPr/>
        <w:t>effectiveness</w:t>
      </w:r>
      <w:r>
        <w:rPr>
          <w:spacing w:val="-5"/>
        </w:rPr>
        <w:t> </w:t>
      </w:r>
      <w:r>
        <w:rPr/>
        <w:t>of</w:t>
      </w:r>
      <w:r>
        <w:rPr>
          <w:spacing w:val="-7"/>
        </w:rPr>
        <w:t> </w:t>
      </w:r>
      <w:r>
        <w:rPr/>
        <w:t>audit</w:t>
      </w:r>
      <w:r>
        <w:rPr>
          <w:spacing w:val="-5"/>
        </w:rPr>
        <w:t> </w:t>
      </w:r>
      <w:r>
        <w:rPr/>
        <w:t>committee.</w:t>
      </w:r>
      <w:r>
        <w:rPr>
          <w:spacing w:val="-6"/>
        </w:rPr>
        <w:t> </w:t>
      </w:r>
      <w:r>
        <w:rPr/>
        <w:t>The</w:t>
      </w:r>
      <w:r>
        <w:rPr>
          <w:spacing w:val="-7"/>
        </w:rPr>
        <w:t> </w:t>
      </w:r>
      <w:r>
        <w:rPr/>
        <w:t>study</w:t>
      </w:r>
      <w:r>
        <w:rPr>
          <w:spacing w:val="-5"/>
        </w:rPr>
        <w:t> </w:t>
      </w:r>
      <w:r>
        <w:rPr/>
        <w:t>reported</w:t>
      </w:r>
      <w:r>
        <w:rPr>
          <w:spacing w:val="-6"/>
        </w:rPr>
        <w:t> </w:t>
      </w:r>
      <w:r>
        <w:rPr/>
        <w:t>no association</w:t>
      </w:r>
      <w:r>
        <w:rPr>
          <w:spacing w:val="-13"/>
        </w:rPr>
        <w:t> </w:t>
      </w:r>
      <w:r>
        <w:rPr/>
        <w:t>between</w:t>
      </w:r>
      <w:r>
        <w:rPr>
          <w:spacing w:val="-12"/>
        </w:rPr>
        <w:t> </w:t>
      </w:r>
      <w:r>
        <w:rPr/>
        <w:t>audit</w:t>
      </w:r>
      <w:r>
        <w:rPr>
          <w:spacing w:val="-13"/>
        </w:rPr>
        <w:t> </w:t>
      </w:r>
      <w:r>
        <w:rPr/>
        <w:t>committee</w:t>
      </w:r>
      <w:r>
        <w:rPr>
          <w:spacing w:val="-13"/>
        </w:rPr>
        <w:t> </w:t>
      </w:r>
      <w:r>
        <w:rPr/>
        <w:t>accounting/auditing</w:t>
      </w:r>
      <w:r>
        <w:rPr>
          <w:spacing w:val="-13"/>
        </w:rPr>
        <w:t> </w:t>
      </w:r>
      <w:r>
        <w:rPr/>
        <w:t>expertise</w:t>
      </w:r>
      <w:r>
        <w:rPr>
          <w:spacing w:val="-12"/>
        </w:rPr>
        <w:t> </w:t>
      </w:r>
      <w:r>
        <w:rPr/>
        <w:t>and</w:t>
      </w:r>
      <w:r>
        <w:rPr>
          <w:spacing w:val="-13"/>
        </w:rPr>
        <w:t> </w:t>
      </w:r>
      <w:r>
        <w:rPr/>
        <w:t>audit</w:t>
      </w:r>
      <w:r>
        <w:rPr>
          <w:spacing w:val="-13"/>
        </w:rPr>
        <w:t> </w:t>
      </w:r>
      <w:r>
        <w:rPr/>
        <w:t>report</w:t>
      </w:r>
      <w:r>
        <w:rPr>
          <w:spacing w:val="-13"/>
        </w:rPr>
        <w:t> </w:t>
      </w:r>
      <w:r>
        <w:rPr/>
        <w:t>timeliness. They concluded that corporate governance characteristics, and particularly, audit committee expertise could have a significant influence on the timeliness of financial reporting. Dhaliwal et</w:t>
      </w:r>
      <w:r>
        <w:rPr>
          <w:spacing w:val="-3"/>
        </w:rPr>
        <w:t> </w:t>
      </w:r>
      <w:r>
        <w:rPr/>
        <w:t>al.</w:t>
      </w:r>
      <w:r>
        <w:rPr>
          <w:spacing w:val="-3"/>
        </w:rPr>
        <w:t> </w:t>
      </w:r>
      <w:r>
        <w:rPr/>
        <w:t>(2010)</w:t>
      </w:r>
      <w:r>
        <w:rPr>
          <w:spacing w:val="-4"/>
        </w:rPr>
        <w:t> </w:t>
      </w:r>
      <w:r>
        <w:rPr/>
        <w:t>opined</w:t>
      </w:r>
      <w:r>
        <w:rPr>
          <w:spacing w:val="-3"/>
        </w:rPr>
        <w:t> </w:t>
      </w:r>
      <w:r>
        <w:rPr/>
        <w:t>that</w:t>
      </w:r>
      <w:r>
        <w:rPr>
          <w:spacing w:val="-1"/>
        </w:rPr>
        <w:t> </w:t>
      </w:r>
      <w:r>
        <w:rPr/>
        <w:t>audit</w:t>
      </w:r>
      <w:r>
        <w:rPr>
          <w:spacing w:val="-3"/>
        </w:rPr>
        <w:t> </w:t>
      </w:r>
      <w:r>
        <w:rPr/>
        <w:t>committee</w:t>
      </w:r>
      <w:r>
        <w:rPr>
          <w:spacing w:val="-5"/>
        </w:rPr>
        <w:t> </w:t>
      </w:r>
      <w:r>
        <w:rPr/>
        <w:t>effectiveness</w:t>
      </w:r>
      <w:r>
        <w:rPr>
          <w:spacing w:val="-3"/>
        </w:rPr>
        <w:t> </w:t>
      </w:r>
      <w:r>
        <w:rPr/>
        <w:t>exhibited</w:t>
      </w:r>
      <w:r>
        <w:rPr>
          <w:spacing w:val="-3"/>
        </w:rPr>
        <w:t> </w:t>
      </w:r>
      <w:r>
        <w:rPr/>
        <w:t>a</w:t>
      </w:r>
      <w:r>
        <w:rPr>
          <w:spacing w:val="-4"/>
        </w:rPr>
        <w:t> </w:t>
      </w:r>
      <w:r>
        <w:rPr/>
        <w:t>positive</w:t>
      </w:r>
      <w:r>
        <w:rPr>
          <w:spacing w:val="-1"/>
        </w:rPr>
        <w:t> </w:t>
      </w:r>
      <w:r>
        <w:rPr/>
        <w:t>impact</w:t>
      </w:r>
      <w:r>
        <w:rPr>
          <w:spacing w:val="-3"/>
        </w:rPr>
        <w:t> </w:t>
      </w:r>
      <w:r>
        <w:rPr/>
        <w:t>on</w:t>
      </w:r>
      <w:r>
        <w:rPr>
          <w:spacing w:val="-3"/>
        </w:rPr>
        <w:t> </w:t>
      </w:r>
      <w:r>
        <w:rPr/>
        <w:t>accruals quality. That was explained by a combination of both accounting and finance experts on the audit committee. Conversely, the study by Lin et al. (2006) found that financial expertise on the audit committee for US companies had no effect on the quality of financial reporting.</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09824">
            <wp:simplePos x="0" y="0"/>
            <wp:positionH relativeFrom="page">
              <wp:posOffset>1095451</wp:posOffset>
            </wp:positionH>
            <wp:positionV relativeFrom="paragraph">
              <wp:posOffset>1850770</wp:posOffset>
            </wp:positionV>
            <wp:extent cx="5106847" cy="5238115"/>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5" cstate="print"/>
                    <a:stretch>
                      <a:fillRect/>
                    </a:stretch>
                  </pic:blipFill>
                  <pic:spPr>
                    <a:xfrm>
                      <a:off x="0" y="0"/>
                      <a:ext cx="5106847" cy="5238115"/>
                    </a:xfrm>
                    <a:prstGeom prst="rect">
                      <a:avLst/>
                    </a:prstGeom>
                  </pic:spPr>
                </pic:pic>
              </a:graphicData>
            </a:graphic>
          </wp:anchor>
        </w:drawing>
      </w:r>
      <w:r>
        <w:rPr/>
        <w:t>Carcello et al. (2011b) reported that the involvement of CEO in the selection of directors constrained the role of financial expertise in preventing the incidence of financial reporting restatement. In the same vein, Lisic et al. (2012) revealed that the role of audit committee financial</w:t>
      </w:r>
      <w:r>
        <w:rPr>
          <w:spacing w:val="-11"/>
        </w:rPr>
        <w:t> </w:t>
      </w:r>
      <w:r>
        <w:rPr/>
        <w:t>expertise</w:t>
      </w:r>
      <w:r>
        <w:rPr>
          <w:spacing w:val="-11"/>
        </w:rPr>
        <w:t> </w:t>
      </w:r>
      <w:r>
        <w:rPr/>
        <w:t>on</w:t>
      </w:r>
      <w:r>
        <w:rPr>
          <w:spacing w:val="-11"/>
        </w:rPr>
        <w:t> </w:t>
      </w:r>
      <w:r>
        <w:rPr/>
        <w:t>increasing</w:t>
      </w:r>
      <w:r>
        <w:rPr>
          <w:spacing w:val="-10"/>
        </w:rPr>
        <w:t> </w:t>
      </w:r>
      <w:r>
        <w:rPr/>
        <w:t>the</w:t>
      </w:r>
      <w:r>
        <w:rPr>
          <w:spacing w:val="-11"/>
        </w:rPr>
        <w:t> </w:t>
      </w:r>
      <w:r>
        <w:rPr/>
        <w:t>quality</w:t>
      </w:r>
      <w:r>
        <w:rPr>
          <w:spacing w:val="-10"/>
        </w:rPr>
        <w:t> </w:t>
      </w:r>
      <w:r>
        <w:rPr/>
        <w:t>of</w:t>
      </w:r>
      <w:r>
        <w:rPr>
          <w:spacing w:val="-11"/>
        </w:rPr>
        <w:t> </w:t>
      </w:r>
      <w:r>
        <w:rPr/>
        <w:t>financial</w:t>
      </w:r>
      <w:r>
        <w:rPr>
          <w:spacing w:val="-11"/>
        </w:rPr>
        <w:t> </w:t>
      </w:r>
      <w:r>
        <w:rPr/>
        <w:t>reporting</w:t>
      </w:r>
      <w:r>
        <w:rPr>
          <w:spacing w:val="-7"/>
        </w:rPr>
        <w:t> </w:t>
      </w:r>
      <w:r>
        <w:rPr/>
        <w:t>was</w:t>
      </w:r>
      <w:r>
        <w:rPr>
          <w:spacing w:val="-10"/>
        </w:rPr>
        <w:t> </w:t>
      </w:r>
      <w:r>
        <w:rPr/>
        <w:t>constrained</w:t>
      </w:r>
      <w:r>
        <w:rPr>
          <w:spacing w:val="-11"/>
        </w:rPr>
        <w:t> </w:t>
      </w:r>
      <w:r>
        <w:rPr/>
        <w:t>by</w:t>
      </w:r>
      <w:r>
        <w:rPr>
          <w:spacing w:val="-11"/>
        </w:rPr>
        <w:t> </w:t>
      </w:r>
      <w:r>
        <w:rPr/>
        <w:t>powerful CEOs. A particular line of studies argued that the ability of an audit committee with financial expertise to discharge its responsibilities also depended on the power of the committee (Baatwah et al. 2013; Kalbers &amp; Fogarty 1993). It suggested that audit committees with expertise and position powers would perform more effectively than their counterparts. Consistent</w:t>
      </w:r>
      <w:r>
        <w:rPr>
          <w:spacing w:val="-15"/>
        </w:rPr>
        <w:t> </w:t>
      </w:r>
      <w:r>
        <w:rPr/>
        <w:t>with</w:t>
      </w:r>
      <w:r>
        <w:rPr>
          <w:spacing w:val="-15"/>
        </w:rPr>
        <w:t> </w:t>
      </w:r>
      <w:r>
        <w:rPr/>
        <w:t>that,</w:t>
      </w:r>
      <w:r>
        <w:rPr>
          <w:spacing w:val="-15"/>
        </w:rPr>
        <w:t> </w:t>
      </w:r>
      <w:r>
        <w:rPr/>
        <w:t>Baatwah</w:t>
      </w:r>
      <w:r>
        <w:rPr>
          <w:spacing w:val="-15"/>
        </w:rPr>
        <w:t> </w:t>
      </w:r>
      <w:r>
        <w:rPr/>
        <w:t>et</w:t>
      </w:r>
      <w:r>
        <w:rPr>
          <w:spacing w:val="-15"/>
        </w:rPr>
        <w:t> </w:t>
      </w:r>
      <w:r>
        <w:rPr/>
        <w:t>al.</w:t>
      </w:r>
      <w:r>
        <w:rPr>
          <w:spacing w:val="-15"/>
        </w:rPr>
        <w:t> </w:t>
      </w:r>
      <w:r>
        <w:rPr/>
        <w:t>(2013)</w:t>
      </w:r>
      <w:r>
        <w:rPr>
          <w:spacing w:val="-15"/>
        </w:rPr>
        <w:t> </w:t>
      </w:r>
      <w:r>
        <w:rPr/>
        <w:t>opined</w:t>
      </w:r>
      <w:r>
        <w:rPr>
          <w:spacing w:val="-15"/>
        </w:rPr>
        <w:t> </w:t>
      </w:r>
      <w:r>
        <w:rPr/>
        <w:t>that</w:t>
      </w:r>
      <w:r>
        <w:rPr>
          <w:spacing w:val="-15"/>
        </w:rPr>
        <w:t> </w:t>
      </w:r>
      <w:r>
        <w:rPr/>
        <w:t>audit</w:t>
      </w:r>
      <w:r>
        <w:rPr>
          <w:spacing w:val="-15"/>
        </w:rPr>
        <w:t> </w:t>
      </w:r>
      <w:r>
        <w:rPr/>
        <w:t>committee</w:t>
      </w:r>
      <w:r>
        <w:rPr>
          <w:spacing w:val="-15"/>
        </w:rPr>
        <w:t> </w:t>
      </w:r>
      <w:r>
        <w:rPr/>
        <w:t>chaired</w:t>
      </w:r>
      <w:r>
        <w:rPr>
          <w:spacing w:val="-15"/>
        </w:rPr>
        <w:t> </w:t>
      </w:r>
      <w:r>
        <w:rPr/>
        <w:t>with</w:t>
      </w:r>
      <w:r>
        <w:rPr>
          <w:spacing w:val="-15"/>
        </w:rPr>
        <w:t> </w:t>
      </w:r>
      <w:r>
        <w:rPr/>
        <w:t>accounting expertise could complement audit committee financial expertise in producing more-timely financial reporting. Therefore, it was expected that audit committee accounting experts who also chaired the audit committee could improve the monitoring role of audit committee financial expertise over financial reporting quality. Other than accounting and financial expertise,</w:t>
      </w:r>
      <w:r>
        <w:rPr>
          <w:spacing w:val="-6"/>
        </w:rPr>
        <w:t> </w:t>
      </w:r>
      <w:r>
        <w:rPr/>
        <w:t>Krishnan</w:t>
      </w:r>
      <w:r>
        <w:rPr>
          <w:spacing w:val="-6"/>
        </w:rPr>
        <w:t> </w:t>
      </w:r>
      <w:r>
        <w:rPr/>
        <w:t>et</w:t>
      </w:r>
      <w:r>
        <w:rPr>
          <w:spacing w:val="-5"/>
        </w:rPr>
        <w:t> </w:t>
      </w:r>
      <w:r>
        <w:rPr/>
        <w:t>al.</w:t>
      </w:r>
      <w:r>
        <w:rPr>
          <w:spacing w:val="-3"/>
        </w:rPr>
        <w:t> </w:t>
      </w:r>
      <w:r>
        <w:rPr/>
        <w:t>(2011)</w:t>
      </w:r>
      <w:r>
        <w:rPr>
          <w:spacing w:val="-7"/>
        </w:rPr>
        <w:t> </w:t>
      </w:r>
      <w:r>
        <w:rPr/>
        <w:t>reported</w:t>
      </w:r>
      <w:r>
        <w:rPr>
          <w:spacing w:val="-6"/>
        </w:rPr>
        <w:t> </w:t>
      </w:r>
      <w:r>
        <w:rPr/>
        <w:t>that</w:t>
      </w:r>
      <w:r>
        <w:rPr>
          <w:spacing w:val="-6"/>
        </w:rPr>
        <w:t> </w:t>
      </w:r>
      <w:r>
        <w:rPr/>
        <w:t>legal</w:t>
      </w:r>
      <w:r>
        <w:rPr>
          <w:spacing w:val="-3"/>
        </w:rPr>
        <w:t> </w:t>
      </w:r>
      <w:r>
        <w:rPr/>
        <w:t>expertise</w:t>
      </w:r>
      <w:r>
        <w:rPr>
          <w:spacing w:val="-4"/>
        </w:rPr>
        <w:t> </w:t>
      </w:r>
      <w:r>
        <w:rPr/>
        <w:t>on</w:t>
      </w:r>
      <w:r>
        <w:rPr>
          <w:spacing w:val="-6"/>
        </w:rPr>
        <w:t> </w:t>
      </w:r>
      <w:r>
        <w:rPr/>
        <w:t>the</w:t>
      </w:r>
      <w:r>
        <w:rPr>
          <w:spacing w:val="-3"/>
        </w:rPr>
        <w:t> </w:t>
      </w:r>
      <w:r>
        <w:rPr/>
        <w:t>audit</w:t>
      </w:r>
      <w:r>
        <w:rPr>
          <w:spacing w:val="-5"/>
        </w:rPr>
        <w:t> </w:t>
      </w:r>
      <w:r>
        <w:rPr/>
        <w:t>committee</w:t>
      </w:r>
      <w:r>
        <w:rPr>
          <w:spacing w:val="-7"/>
        </w:rPr>
        <w:t> </w:t>
      </w:r>
      <w:r>
        <w:rPr/>
        <w:t>enhanced the quality of financial reporting and that quality was more obvious if accounting and legal expertise were combined. More recent evidence showed that audit committee industry expertise was associated with less financial reporting restatements, and it played a greater mediating role in an auditor and client disagreement (Cohen et al. 2014; Salleh &amp; Stewart </w:t>
      </w:r>
      <w:r>
        <w:rPr>
          <w:spacing w:val="-2"/>
        </w:rPr>
        <w:t>2012a).</w:t>
      </w:r>
    </w:p>
    <w:p>
      <w:pPr>
        <w:pStyle w:val="BodyText"/>
        <w:spacing w:line="480" w:lineRule="auto" w:before="2"/>
        <w:ind w:left="940" w:right="1436"/>
        <w:jc w:val="both"/>
      </w:pPr>
      <w:r>
        <w:rPr/>
        <w:t>The study by Krishnan and Visvanathan (2008) investigated the relationship between audit committee composition and conservatism, a fundamental property of financial statement. The sample consisted of 500 firms. The result indicated that only accounting financial expertise rather than non-accounting financial expertise exhibited a positive relationship with conservatism, a fundamental property of financial statements. On the other hand, Goh (2009) found</w:t>
      </w:r>
      <w:r>
        <w:rPr>
          <w:spacing w:val="10"/>
        </w:rPr>
        <w:t> </w:t>
      </w:r>
      <w:r>
        <w:rPr/>
        <w:t>that</w:t>
      </w:r>
      <w:r>
        <w:rPr>
          <w:spacing w:val="14"/>
        </w:rPr>
        <w:t> </w:t>
      </w:r>
      <w:r>
        <w:rPr/>
        <w:t>only</w:t>
      </w:r>
      <w:r>
        <w:rPr>
          <w:spacing w:val="14"/>
        </w:rPr>
        <w:t> </w:t>
      </w:r>
      <w:r>
        <w:rPr/>
        <w:t>non-accounting</w:t>
      </w:r>
      <w:r>
        <w:rPr>
          <w:spacing w:val="13"/>
        </w:rPr>
        <w:t> </w:t>
      </w:r>
      <w:r>
        <w:rPr/>
        <w:t>financial</w:t>
      </w:r>
      <w:r>
        <w:rPr>
          <w:spacing w:val="14"/>
        </w:rPr>
        <w:t> </w:t>
      </w:r>
      <w:r>
        <w:rPr/>
        <w:t>expertise</w:t>
      </w:r>
      <w:r>
        <w:rPr>
          <w:spacing w:val="13"/>
        </w:rPr>
        <w:t> </w:t>
      </w:r>
      <w:r>
        <w:rPr/>
        <w:t>rather</w:t>
      </w:r>
      <w:r>
        <w:rPr>
          <w:spacing w:val="12"/>
        </w:rPr>
        <w:t> </w:t>
      </w:r>
      <w:r>
        <w:rPr/>
        <w:t>than</w:t>
      </w:r>
      <w:r>
        <w:rPr>
          <w:spacing w:val="16"/>
        </w:rPr>
        <w:t> </w:t>
      </w:r>
      <w:r>
        <w:rPr/>
        <w:t>accounting</w:t>
      </w:r>
      <w:r>
        <w:rPr>
          <w:spacing w:val="14"/>
        </w:rPr>
        <w:t> </w:t>
      </w:r>
      <w:r>
        <w:rPr/>
        <w:t>financial</w:t>
      </w:r>
      <w:r>
        <w:rPr>
          <w:spacing w:val="14"/>
        </w:rPr>
        <w:t> </w:t>
      </w:r>
      <w:r>
        <w:rPr>
          <w:spacing w:val="-2"/>
        </w:rPr>
        <w:t>expertise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10336">
            <wp:simplePos x="0" y="0"/>
            <wp:positionH relativeFrom="page">
              <wp:posOffset>1095451</wp:posOffset>
            </wp:positionH>
            <wp:positionV relativeFrom="paragraph">
              <wp:posOffset>1850770</wp:posOffset>
            </wp:positionV>
            <wp:extent cx="5106847" cy="5238115"/>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5106847" cy="5238115"/>
                    </a:xfrm>
                    <a:prstGeom prst="rect">
                      <a:avLst/>
                    </a:prstGeom>
                  </pic:spPr>
                </pic:pic>
              </a:graphicData>
            </a:graphic>
          </wp:anchor>
        </w:drawing>
      </w:r>
      <w:r>
        <w:rPr/>
        <w:t>exhibited</w:t>
      </w:r>
      <w:r>
        <w:rPr>
          <w:spacing w:val="-2"/>
        </w:rPr>
        <w:t> </w:t>
      </w:r>
      <w:r>
        <w:rPr/>
        <w:t>a</w:t>
      </w:r>
      <w:r>
        <w:rPr>
          <w:spacing w:val="-1"/>
        </w:rPr>
        <w:t> </w:t>
      </w:r>
      <w:r>
        <w:rPr/>
        <w:t>positive</w:t>
      </w:r>
      <w:r>
        <w:rPr>
          <w:spacing w:val="-2"/>
        </w:rPr>
        <w:t> </w:t>
      </w:r>
      <w:r>
        <w:rPr/>
        <w:t>relationship</w:t>
      </w:r>
      <w:r>
        <w:rPr>
          <w:spacing w:val="-1"/>
        </w:rPr>
        <w:t> </w:t>
      </w:r>
      <w:r>
        <w:rPr/>
        <w:t>with</w:t>
      </w:r>
      <w:r>
        <w:rPr>
          <w:spacing w:val="-1"/>
        </w:rPr>
        <w:t> </w:t>
      </w:r>
      <w:r>
        <w:rPr/>
        <w:t>reporting</w:t>
      </w:r>
      <w:r>
        <w:rPr>
          <w:spacing w:val="-1"/>
        </w:rPr>
        <w:t> </w:t>
      </w:r>
      <w:r>
        <w:rPr/>
        <w:t>quality. Abbott</w:t>
      </w:r>
      <w:r>
        <w:rPr>
          <w:spacing w:val="-1"/>
        </w:rPr>
        <w:t> </w:t>
      </w:r>
      <w:r>
        <w:rPr/>
        <w:t>et</w:t>
      </w:r>
      <w:r>
        <w:rPr>
          <w:spacing w:val="-1"/>
        </w:rPr>
        <w:t> </w:t>
      </w:r>
      <w:r>
        <w:rPr/>
        <w:t>al.</w:t>
      </w:r>
      <w:r>
        <w:rPr>
          <w:spacing w:val="-1"/>
        </w:rPr>
        <w:t> </w:t>
      </w:r>
      <w:r>
        <w:rPr/>
        <w:t>(2004),</w:t>
      </w:r>
      <w:r>
        <w:rPr>
          <w:spacing w:val="-2"/>
        </w:rPr>
        <w:t> </w:t>
      </w:r>
      <w:r>
        <w:rPr/>
        <w:t>and</w:t>
      </w:r>
      <w:r>
        <w:rPr>
          <w:spacing w:val="-1"/>
        </w:rPr>
        <w:t> </w:t>
      </w:r>
      <w:r>
        <w:rPr/>
        <w:t>Agrawal</w:t>
      </w:r>
      <w:r>
        <w:rPr>
          <w:spacing w:val="-1"/>
        </w:rPr>
        <w:t> </w:t>
      </w:r>
      <w:r>
        <w:rPr/>
        <w:t>and Chadha (2005) found that the financial expertise (under a broad definition) of the audit committee exhibited a significant inverse relationship with the occurrence of a restatement. Farber (2005) also employed the broad definition of financial expertise and found a significantly lower occurrence of financial fraud in firms with financial expertise on the audit committee. However, Anderson et al. (2004) employed the broad definition of financial expertise and found no association between audit committee financial expertise and cost of debt. Krishnan and Visvanathan (2008) found that firms with accounting financial experts on the audit committee were associated with more conservative financial reporting. Dhaliwal et al. (2010) found a significant positive relation between accounting expertise on audit committees</w:t>
      </w:r>
      <w:r>
        <w:rPr>
          <w:spacing w:val="-3"/>
        </w:rPr>
        <w:t> </w:t>
      </w:r>
      <w:r>
        <w:rPr/>
        <w:t>and</w:t>
      </w:r>
      <w:r>
        <w:rPr>
          <w:spacing w:val="-3"/>
        </w:rPr>
        <w:t> </w:t>
      </w:r>
      <w:r>
        <w:rPr/>
        <w:t>accrual</w:t>
      </w:r>
      <w:r>
        <w:rPr>
          <w:spacing w:val="-3"/>
        </w:rPr>
        <w:t> </w:t>
      </w:r>
      <w:r>
        <w:rPr/>
        <w:t>quality.</w:t>
      </w:r>
      <w:r>
        <w:rPr>
          <w:spacing w:val="-2"/>
        </w:rPr>
        <w:t> </w:t>
      </w:r>
      <w:r>
        <w:rPr/>
        <w:t>Xie</w:t>
      </w:r>
      <w:r>
        <w:rPr>
          <w:spacing w:val="-4"/>
        </w:rPr>
        <w:t> </w:t>
      </w:r>
      <w:r>
        <w:rPr/>
        <w:t>et</w:t>
      </w:r>
      <w:r>
        <w:rPr>
          <w:spacing w:val="-3"/>
        </w:rPr>
        <w:t> </w:t>
      </w:r>
      <w:r>
        <w:rPr/>
        <w:t>al.</w:t>
      </w:r>
      <w:r>
        <w:rPr>
          <w:spacing w:val="-3"/>
        </w:rPr>
        <w:t> </w:t>
      </w:r>
      <w:r>
        <w:rPr/>
        <w:t>(2003)</w:t>
      </w:r>
      <w:r>
        <w:rPr>
          <w:spacing w:val="-4"/>
        </w:rPr>
        <w:t> </w:t>
      </w:r>
      <w:r>
        <w:rPr/>
        <w:t>found</w:t>
      </w:r>
      <w:r>
        <w:rPr>
          <w:spacing w:val="-3"/>
        </w:rPr>
        <w:t> </w:t>
      </w:r>
      <w:r>
        <w:rPr/>
        <w:t>that</w:t>
      </w:r>
      <w:r>
        <w:rPr>
          <w:spacing w:val="-3"/>
        </w:rPr>
        <w:t> </w:t>
      </w:r>
      <w:r>
        <w:rPr/>
        <w:t>boards</w:t>
      </w:r>
      <w:r>
        <w:rPr>
          <w:spacing w:val="-3"/>
        </w:rPr>
        <w:t> </w:t>
      </w:r>
      <w:r>
        <w:rPr/>
        <w:t>of</w:t>
      </w:r>
      <w:r>
        <w:rPr>
          <w:spacing w:val="-5"/>
        </w:rPr>
        <w:t> </w:t>
      </w:r>
      <w:r>
        <w:rPr/>
        <w:t>directors</w:t>
      </w:r>
      <w:r>
        <w:rPr>
          <w:spacing w:val="-3"/>
        </w:rPr>
        <w:t> </w:t>
      </w:r>
      <w:r>
        <w:rPr/>
        <w:t>with</w:t>
      </w:r>
      <w:r>
        <w:rPr>
          <w:spacing w:val="-3"/>
        </w:rPr>
        <w:t> </w:t>
      </w:r>
      <w:r>
        <w:rPr/>
        <w:t>corporate or investment banking backgrounds were inversely related to the level of earnings management. Park and Shin (2004) also found that the presence of officers from financial intermediaries on the board could limit abnormal accruals it the unmanaged earnings were below the target.</w:t>
      </w:r>
    </w:p>
    <w:p>
      <w:pPr>
        <w:pStyle w:val="Heading3"/>
        <w:numPr>
          <w:ilvl w:val="2"/>
          <w:numId w:val="23"/>
        </w:numPr>
        <w:tabs>
          <w:tab w:pos="1480" w:val="left" w:leader="none"/>
        </w:tabs>
        <w:spacing w:line="240" w:lineRule="auto" w:before="2" w:after="0"/>
        <w:ind w:left="1480" w:right="0" w:hanging="540"/>
        <w:jc w:val="both"/>
      </w:pPr>
      <w:bookmarkStart w:name="_TOC_250046" w:id="24"/>
      <w:r>
        <w:rPr/>
        <w:t>Institutional</w:t>
      </w:r>
      <w:r>
        <w:rPr>
          <w:spacing w:val="-5"/>
        </w:rPr>
        <w:t> </w:t>
      </w:r>
      <w:r>
        <w:rPr/>
        <w:t>Ownership and</w:t>
      </w:r>
      <w:r>
        <w:rPr>
          <w:spacing w:val="-2"/>
        </w:rPr>
        <w:t> </w:t>
      </w:r>
      <w:r>
        <w:rPr/>
        <w:t>Financial</w:t>
      </w:r>
      <w:r>
        <w:rPr>
          <w:spacing w:val="-2"/>
        </w:rPr>
        <w:t> </w:t>
      </w:r>
      <w:r>
        <w:rPr/>
        <w:t>Reporting</w:t>
      </w:r>
      <w:bookmarkEnd w:id="24"/>
      <w:r>
        <w:rPr>
          <w:spacing w:val="-2"/>
        </w:rPr>
        <w:t> Quality</w:t>
      </w:r>
    </w:p>
    <w:p>
      <w:pPr>
        <w:pStyle w:val="BodyText"/>
        <w:spacing w:line="480" w:lineRule="auto" w:before="276"/>
        <w:ind w:left="940" w:right="1437"/>
        <w:jc w:val="both"/>
      </w:pPr>
      <w:r>
        <w:rPr/>
        <w:t>The study by Affan, Rosidi and Liliki (2017) examined the impact of ownership structure on financial reporting quality among firms on the Indonesian market. Specifically, the study sought</w:t>
      </w:r>
      <w:r>
        <w:rPr>
          <w:spacing w:val="-5"/>
        </w:rPr>
        <w:t> </w:t>
      </w:r>
      <w:r>
        <w:rPr/>
        <w:t>to</w:t>
      </w:r>
      <w:r>
        <w:rPr>
          <w:spacing w:val="-8"/>
        </w:rPr>
        <w:t> </w:t>
      </w:r>
      <w:r>
        <w:rPr/>
        <w:t>investigate</w:t>
      </w:r>
      <w:r>
        <w:rPr>
          <w:spacing w:val="-6"/>
        </w:rPr>
        <w:t> </w:t>
      </w:r>
      <w:r>
        <w:rPr/>
        <w:t>the</w:t>
      </w:r>
      <w:r>
        <w:rPr>
          <w:spacing w:val="-9"/>
        </w:rPr>
        <w:t> </w:t>
      </w:r>
      <w:r>
        <w:rPr/>
        <w:t>difference</w:t>
      </w:r>
      <w:r>
        <w:rPr>
          <w:spacing w:val="-7"/>
        </w:rPr>
        <w:t> </w:t>
      </w:r>
      <w:r>
        <w:rPr/>
        <w:t>in</w:t>
      </w:r>
      <w:r>
        <w:rPr>
          <w:spacing w:val="-5"/>
        </w:rPr>
        <w:t> </w:t>
      </w:r>
      <w:r>
        <w:rPr/>
        <w:t>quality</w:t>
      </w:r>
      <w:r>
        <w:rPr>
          <w:spacing w:val="-5"/>
        </w:rPr>
        <w:t> </w:t>
      </w:r>
      <w:r>
        <w:rPr/>
        <w:t>between</w:t>
      </w:r>
      <w:r>
        <w:rPr>
          <w:spacing w:val="-6"/>
        </w:rPr>
        <w:t> </w:t>
      </w:r>
      <w:r>
        <w:rPr/>
        <w:t>the</w:t>
      </w:r>
      <w:r>
        <w:rPr>
          <w:spacing w:val="-7"/>
        </w:rPr>
        <w:t> </w:t>
      </w:r>
      <w:r>
        <w:rPr/>
        <w:t>financial</w:t>
      </w:r>
      <w:r>
        <w:rPr>
          <w:spacing w:val="-6"/>
        </w:rPr>
        <w:t> </w:t>
      </w:r>
      <w:r>
        <w:rPr/>
        <w:t>reporting</w:t>
      </w:r>
      <w:r>
        <w:rPr>
          <w:spacing w:val="-6"/>
        </w:rPr>
        <w:t> </w:t>
      </w:r>
      <w:r>
        <w:rPr/>
        <w:t>that</w:t>
      </w:r>
      <w:r>
        <w:rPr>
          <w:spacing w:val="-6"/>
        </w:rPr>
        <w:t> </w:t>
      </w:r>
      <w:r>
        <w:rPr/>
        <w:t>used</w:t>
      </w:r>
      <w:r>
        <w:rPr>
          <w:spacing w:val="-6"/>
        </w:rPr>
        <w:t> </w:t>
      </w:r>
      <w:r>
        <w:rPr/>
        <w:t>accrual earnings management and those that used real earnings management as indicators. Secondary data were obtained for 52 manufacturing firms listed on the IDX during 2013-2015.Mann Whitney’s difference test and multiple regression analyses were used to estimate data. The ownership</w:t>
      </w:r>
      <w:r>
        <w:rPr>
          <w:spacing w:val="-15"/>
        </w:rPr>
        <w:t> </w:t>
      </w:r>
      <w:r>
        <w:rPr/>
        <w:t>structure</w:t>
      </w:r>
      <w:r>
        <w:rPr>
          <w:spacing w:val="-15"/>
        </w:rPr>
        <w:t> </w:t>
      </w:r>
      <w:r>
        <w:rPr/>
        <w:t>variables</w:t>
      </w:r>
      <w:r>
        <w:rPr>
          <w:spacing w:val="-15"/>
        </w:rPr>
        <w:t> </w:t>
      </w:r>
      <w:r>
        <w:rPr/>
        <w:t>included</w:t>
      </w:r>
      <w:r>
        <w:rPr>
          <w:spacing w:val="-15"/>
        </w:rPr>
        <w:t> </w:t>
      </w:r>
      <w:r>
        <w:rPr/>
        <w:t>institutional,</w:t>
      </w:r>
      <w:r>
        <w:rPr>
          <w:spacing w:val="-15"/>
        </w:rPr>
        <w:t> </w:t>
      </w:r>
      <w:r>
        <w:rPr/>
        <w:t>managerial,</w:t>
      </w:r>
      <w:r>
        <w:rPr>
          <w:spacing w:val="-15"/>
        </w:rPr>
        <w:t> </w:t>
      </w:r>
      <w:r>
        <w:rPr/>
        <w:t>family</w:t>
      </w:r>
      <w:r>
        <w:rPr>
          <w:spacing w:val="-15"/>
        </w:rPr>
        <w:t> </w:t>
      </w:r>
      <w:r>
        <w:rPr/>
        <w:t>and</w:t>
      </w:r>
      <w:r>
        <w:rPr>
          <w:spacing w:val="-15"/>
        </w:rPr>
        <w:t> </w:t>
      </w:r>
      <w:r>
        <w:rPr/>
        <w:t>foreign</w:t>
      </w:r>
      <w:r>
        <w:rPr>
          <w:spacing w:val="-15"/>
        </w:rPr>
        <w:t> </w:t>
      </w:r>
      <w:r>
        <w:rPr/>
        <w:t>ownership. The</w:t>
      </w:r>
      <w:r>
        <w:rPr>
          <w:spacing w:val="-5"/>
        </w:rPr>
        <w:t> </w:t>
      </w:r>
      <w:r>
        <w:rPr/>
        <w:t>results</w:t>
      </w:r>
      <w:r>
        <w:rPr>
          <w:spacing w:val="-3"/>
        </w:rPr>
        <w:t> </w:t>
      </w:r>
      <w:r>
        <w:rPr/>
        <w:t>showed</w:t>
      </w:r>
      <w:r>
        <w:rPr>
          <w:spacing w:val="-1"/>
        </w:rPr>
        <w:t> </w:t>
      </w:r>
      <w:r>
        <w:rPr/>
        <w:t>a</w:t>
      </w:r>
      <w:r>
        <w:rPr>
          <w:spacing w:val="-4"/>
        </w:rPr>
        <w:t> </w:t>
      </w:r>
      <w:r>
        <w:rPr/>
        <w:t>difference</w:t>
      </w:r>
      <w:r>
        <w:rPr>
          <w:spacing w:val="-4"/>
        </w:rPr>
        <w:t> </w:t>
      </w:r>
      <w:r>
        <w:rPr/>
        <w:t>in</w:t>
      </w:r>
      <w:r>
        <w:rPr>
          <w:spacing w:val="-1"/>
        </w:rPr>
        <w:t> </w:t>
      </w:r>
      <w:r>
        <w:rPr/>
        <w:t>the</w:t>
      </w:r>
      <w:r>
        <w:rPr>
          <w:spacing w:val="-4"/>
        </w:rPr>
        <w:t> </w:t>
      </w:r>
      <w:r>
        <w:rPr/>
        <w:t>quality</w:t>
      </w:r>
      <w:r>
        <w:rPr>
          <w:spacing w:val="-3"/>
        </w:rPr>
        <w:t> </w:t>
      </w:r>
      <w:r>
        <w:rPr/>
        <w:t>of</w:t>
      </w:r>
      <w:r>
        <w:rPr>
          <w:spacing w:val="-2"/>
        </w:rPr>
        <w:t> </w:t>
      </w:r>
      <w:r>
        <w:rPr/>
        <w:t>financial</w:t>
      </w:r>
      <w:r>
        <w:rPr>
          <w:spacing w:val="-3"/>
        </w:rPr>
        <w:t> </w:t>
      </w:r>
      <w:r>
        <w:rPr/>
        <w:t>reporting</w:t>
      </w:r>
      <w:r>
        <w:rPr>
          <w:spacing w:val="-3"/>
        </w:rPr>
        <w:t> </w:t>
      </w:r>
      <w:r>
        <w:rPr/>
        <w:t>that</w:t>
      </w:r>
      <w:r>
        <w:rPr>
          <w:spacing w:val="-3"/>
        </w:rPr>
        <w:t> </w:t>
      </w:r>
      <w:r>
        <w:rPr/>
        <w:t>used</w:t>
      </w:r>
      <w:r>
        <w:rPr>
          <w:spacing w:val="-3"/>
        </w:rPr>
        <w:t> </w:t>
      </w:r>
      <w:r>
        <w:rPr/>
        <w:t>accrual</w:t>
      </w:r>
      <w:r>
        <w:rPr>
          <w:spacing w:val="-3"/>
        </w:rPr>
        <w:t> </w:t>
      </w:r>
      <w:r>
        <w:rPr/>
        <w:t>earnings management</w:t>
      </w:r>
      <w:r>
        <w:rPr>
          <w:spacing w:val="-7"/>
        </w:rPr>
        <w:t> </w:t>
      </w:r>
      <w:r>
        <w:rPr/>
        <w:t>and</w:t>
      </w:r>
      <w:r>
        <w:rPr>
          <w:spacing w:val="-2"/>
        </w:rPr>
        <w:t> </w:t>
      </w:r>
      <w:r>
        <w:rPr/>
        <w:t>real</w:t>
      </w:r>
      <w:r>
        <w:rPr>
          <w:spacing w:val="-1"/>
        </w:rPr>
        <w:t> </w:t>
      </w:r>
      <w:r>
        <w:rPr/>
        <w:t>earnings</w:t>
      </w:r>
      <w:r>
        <w:rPr>
          <w:spacing w:val="-4"/>
        </w:rPr>
        <w:t> </w:t>
      </w:r>
      <w:r>
        <w:rPr/>
        <w:t>management</w:t>
      </w:r>
      <w:r>
        <w:rPr>
          <w:spacing w:val="-5"/>
        </w:rPr>
        <w:t> </w:t>
      </w:r>
      <w:r>
        <w:rPr/>
        <w:t>as</w:t>
      </w:r>
      <w:r>
        <w:rPr>
          <w:spacing w:val="-4"/>
        </w:rPr>
        <w:t> </w:t>
      </w:r>
      <w:r>
        <w:rPr/>
        <w:t>indicators.</w:t>
      </w:r>
      <w:r>
        <w:rPr>
          <w:spacing w:val="-5"/>
        </w:rPr>
        <w:t> </w:t>
      </w:r>
      <w:r>
        <w:rPr/>
        <w:t>With</w:t>
      </w:r>
      <w:r>
        <w:rPr>
          <w:spacing w:val="-4"/>
        </w:rPr>
        <w:t> </w:t>
      </w:r>
      <w:r>
        <w:rPr/>
        <w:t>accrual</w:t>
      </w:r>
      <w:r>
        <w:rPr>
          <w:spacing w:val="-2"/>
        </w:rPr>
        <w:t> </w:t>
      </w:r>
      <w:r>
        <w:rPr/>
        <w:t>earnings</w:t>
      </w:r>
      <w:r>
        <w:rPr>
          <w:spacing w:val="-3"/>
        </w:rPr>
        <w:t> </w:t>
      </w:r>
      <w:r>
        <w:rPr>
          <w:spacing w:val="-2"/>
        </w:rPr>
        <w:t>management,</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10848">
            <wp:simplePos x="0" y="0"/>
            <wp:positionH relativeFrom="page">
              <wp:posOffset>1095451</wp:posOffset>
            </wp:positionH>
            <wp:positionV relativeFrom="paragraph">
              <wp:posOffset>1850770</wp:posOffset>
            </wp:positionV>
            <wp:extent cx="5106847" cy="5238115"/>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5" cstate="print"/>
                    <a:stretch>
                      <a:fillRect/>
                    </a:stretch>
                  </pic:blipFill>
                  <pic:spPr>
                    <a:xfrm>
                      <a:off x="0" y="0"/>
                      <a:ext cx="5106847" cy="5238115"/>
                    </a:xfrm>
                    <a:prstGeom prst="rect">
                      <a:avLst/>
                    </a:prstGeom>
                  </pic:spPr>
                </pic:pic>
              </a:graphicData>
            </a:graphic>
          </wp:anchor>
        </w:drawing>
      </w:r>
      <w:r>
        <w:rPr/>
        <w:t>institutional ownership improved the quality of financial reporting quality while managerial, family</w:t>
      </w:r>
      <w:r>
        <w:rPr>
          <w:spacing w:val="-6"/>
        </w:rPr>
        <w:t> </w:t>
      </w:r>
      <w:r>
        <w:rPr/>
        <w:t>and</w:t>
      </w:r>
      <w:r>
        <w:rPr>
          <w:spacing w:val="-7"/>
        </w:rPr>
        <w:t> </w:t>
      </w:r>
      <w:r>
        <w:rPr/>
        <w:t>foreign</w:t>
      </w:r>
      <w:r>
        <w:rPr>
          <w:spacing w:val="-7"/>
        </w:rPr>
        <w:t> </w:t>
      </w:r>
      <w:r>
        <w:rPr/>
        <w:t>ownership</w:t>
      </w:r>
      <w:r>
        <w:rPr>
          <w:spacing w:val="-7"/>
        </w:rPr>
        <w:t> </w:t>
      </w:r>
      <w:r>
        <w:rPr/>
        <w:t>did</w:t>
      </w:r>
      <w:r>
        <w:rPr>
          <w:spacing w:val="-7"/>
        </w:rPr>
        <w:t> </w:t>
      </w:r>
      <w:r>
        <w:rPr/>
        <w:t>not</w:t>
      </w:r>
      <w:r>
        <w:rPr>
          <w:spacing w:val="-7"/>
        </w:rPr>
        <w:t> </w:t>
      </w:r>
      <w:r>
        <w:rPr/>
        <w:t>improve</w:t>
      </w:r>
      <w:r>
        <w:rPr>
          <w:spacing w:val="-9"/>
        </w:rPr>
        <w:t> </w:t>
      </w:r>
      <w:r>
        <w:rPr/>
        <w:t>the</w:t>
      </w:r>
      <w:r>
        <w:rPr>
          <w:spacing w:val="-5"/>
        </w:rPr>
        <w:t> </w:t>
      </w:r>
      <w:r>
        <w:rPr/>
        <w:t>quality</w:t>
      </w:r>
      <w:r>
        <w:rPr>
          <w:spacing w:val="-7"/>
        </w:rPr>
        <w:t> </w:t>
      </w:r>
      <w:r>
        <w:rPr/>
        <w:t>of</w:t>
      </w:r>
      <w:r>
        <w:rPr>
          <w:spacing w:val="-8"/>
        </w:rPr>
        <w:t> </w:t>
      </w:r>
      <w:r>
        <w:rPr/>
        <w:t>financial</w:t>
      </w:r>
      <w:r>
        <w:rPr>
          <w:spacing w:val="-7"/>
        </w:rPr>
        <w:t> </w:t>
      </w:r>
      <w:r>
        <w:rPr/>
        <w:t>reporting.</w:t>
      </w:r>
      <w:r>
        <w:rPr>
          <w:spacing w:val="-7"/>
        </w:rPr>
        <w:t> </w:t>
      </w:r>
      <w:r>
        <w:rPr/>
        <w:t>For</w:t>
      </w:r>
      <w:r>
        <w:rPr>
          <w:spacing w:val="-8"/>
        </w:rPr>
        <w:t> </w:t>
      </w:r>
      <w:r>
        <w:rPr/>
        <w:t>indicators on real earnings management, institutional and foreign ownership were seen to decrease the quality of financial reporting quality</w:t>
      </w:r>
      <w:r>
        <w:rPr>
          <w:spacing w:val="-1"/>
        </w:rPr>
        <w:t> </w:t>
      </w:r>
      <w:r>
        <w:rPr/>
        <w:t>while managerial and family ownership had no effect on the</w:t>
      </w:r>
      <w:r>
        <w:rPr>
          <w:spacing w:val="-1"/>
        </w:rPr>
        <w:t> </w:t>
      </w:r>
      <w:r>
        <w:rPr/>
        <w:t>quality of</w:t>
      </w:r>
      <w:r>
        <w:rPr>
          <w:spacing w:val="-1"/>
        </w:rPr>
        <w:t> </w:t>
      </w:r>
      <w:r>
        <w:rPr/>
        <w:t>financial reporting. The</w:t>
      </w:r>
      <w:r>
        <w:rPr>
          <w:spacing w:val="-2"/>
        </w:rPr>
        <w:t> </w:t>
      </w:r>
      <w:r>
        <w:rPr/>
        <w:t>comparison of</w:t>
      </w:r>
      <w:r>
        <w:rPr>
          <w:spacing w:val="-1"/>
        </w:rPr>
        <w:t> </w:t>
      </w:r>
      <w:r>
        <w:rPr/>
        <w:t>different measures of</w:t>
      </w:r>
      <w:r>
        <w:rPr>
          <w:spacing w:val="-1"/>
        </w:rPr>
        <w:t> </w:t>
      </w:r>
      <w:r>
        <w:rPr/>
        <w:t>financial reporting quality was remarkable.</w:t>
      </w:r>
    </w:p>
    <w:p>
      <w:pPr>
        <w:pStyle w:val="BodyText"/>
        <w:spacing w:line="480" w:lineRule="auto" w:before="1"/>
        <w:ind w:left="940" w:right="1434"/>
        <w:jc w:val="both"/>
      </w:pPr>
      <w:r>
        <w:rPr/>
        <w:t>Latif, Latif and Abdullah (2017) examined the impact of institutional ownership on earnings quality for the listed firms of the Pakistan Stock Exchange. Two hundred (200) non-financial listed</w:t>
      </w:r>
      <w:r>
        <w:rPr>
          <w:spacing w:val="-5"/>
        </w:rPr>
        <w:t> </w:t>
      </w:r>
      <w:r>
        <w:rPr/>
        <w:t>firms</w:t>
      </w:r>
      <w:r>
        <w:rPr>
          <w:spacing w:val="-4"/>
        </w:rPr>
        <w:t> </w:t>
      </w:r>
      <w:r>
        <w:rPr/>
        <w:t>were</w:t>
      </w:r>
      <w:r>
        <w:rPr>
          <w:spacing w:val="-4"/>
        </w:rPr>
        <w:t> </w:t>
      </w:r>
      <w:r>
        <w:rPr/>
        <w:t>sampled</w:t>
      </w:r>
      <w:r>
        <w:rPr>
          <w:spacing w:val="-5"/>
        </w:rPr>
        <w:t> </w:t>
      </w:r>
      <w:r>
        <w:rPr/>
        <w:t>from</w:t>
      </w:r>
      <w:r>
        <w:rPr>
          <w:spacing w:val="-4"/>
        </w:rPr>
        <w:t> </w:t>
      </w:r>
      <w:r>
        <w:rPr/>
        <w:t>a</w:t>
      </w:r>
      <w:r>
        <w:rPr>
          <w:spacing w:val="-6"/>
        </w:rPr>
        <w:t> </w:t>
      </w:r>
      <w:r>
        <w:rPr/>
        <w:t>population</w:t>
      </w:r>
      <w:r>
        <w:rPr>
          <w:spacing w:val="-5"/>
        </w:rPr>
        <w:t> </w:t>
      </w:r>
      <w:r>
        <w:rPr/>
        <w:t>of</w:t>
      </w:r>
      <w:r>
        <w:rPr>
          <w:spacing w:val="-6"/>
        </w:rPr>
        <w:t> </w:t>
      </w:r>
      <w:r>
        <w:rPr/>
        <w:t>441</w:t>
      </w:r>
      <w:r>
        <w:rPr>
          <w:spacing w:val="-5"/>
        </w:rPr>
        <w:t> </w:t>
      </w:r>
      <w:r>
        <w:rPr/>
        <w:t>firms</w:t>
      </w:r>
      <w:r>
        <w:rPr>
          <w:spacing w:val="-4"/>
        </w:rPr>
        <w:t> </w:t>
      </w:r>
      <w:r>
        <w:rPr/>
        <w:t>for</w:t>
      </w:r>
      <w:r>
        <w:rPr>
          <w:spacing w:val="-6"/>
        </w:rPr>
        <w:t> </w:t>
      </w:r>
      <w:r>
        <w:rPr/>
        <w:t>the</w:t>
      </w:r>
      <w:r>
        <w:rPr>
          <w:spacing w:val="-3"/>
        </w:rPr>
        <w:t> </w:t>
      </w:r>
      <w:r>
        <w:rPr/>
        <w:t>period</w:t>
      </w:r>
      <w:r>
        <w:rPr>
          <w:spacing w:val="-5"/>
        </w:rPr>
        <w:t> </w:t>
      </w:r>
      <w:r>
        <w:rPr/>
        <w:t>2002</w:t>
      </w:r>
      <w:r>
        <w:rPr>
          <w:spacing w:val="-2"/>
        </w:rPr>
        <w:t> </w:t>
      </w:r>
      <w:r>
        <w:rPr/>
        <w:t>-</w:t>
      </w:r>
      <w:r>
        <w:rPr>
          <w:spacing w:val="-6"/>
        </w:rPr>
        <w:t> </w:t>
      </w:r>
      <w:r>
        <w:rPr/>
        <w:t>2014.</w:t>
      </w:r>
      <w:r>
        <w:rPr>
          <w:spacing w:val="-5"/>
        </w:rPr>
        <w:t> </w:t>
      </w:r>
      <w:r>
        <w:rPr/>
        <w:t>Earnings quality</w:t>
      </w:r>
      <w:r>
        <w:rPr>
          <w:spacing w:val="-13"/>
        </w:rPr>
        <w:t> </w:t>
      </w:r>
      <w:r>
        <w:rPr/>
        <w:t>was</w:t>
      </w:r>
      <w:r>
        <w:rPr>
          <w:spacing w:val="-13"/>
        </w:rPr>
        <w:t> </w:t>
      </w:r>
      <w:r>
        <w:rPr/>
        <w:t>measured</w:t>
      </w:r>
      <w:r>
        <w:rPr>
          <w:spacing w:val="-9"/>
        </w:rPr>
        <w:t> </w:t>
      </w:r>
      <w:r>
        <w:rPr/>
        <w:t>with</w:t>
      </w:r>
      <w:r>
        <w:rPr>
          <w:spacing w:val="-13"/>
        </w:rPr>
        <w:t> </w:t>
      </w:r>
      <w:r>
        <w:rPr/>
        <w:t>the</w:t>
      </w:r>
      <w:r>
        <w:rPr>
          <w:spacing w:val="-13"/>
        </w:rPr>
        <w:t> </w:t>
      </w:r>
      <w:r>
        <w:rPr/>
        <w:t>conceptual</w:t>
      </w:r>
      <w:r>
        <w:rPr>
          <w:spacing w:val="-11"/>
        </w:rPr>
        <w:t> </w:t>
      </w:r>
      <w:r>
        <w:rPr/>
        <w:t>framework</w:t>
      </w:r>
      <w:r>
        <w:rPr>
          <w:spacing w:val="-14"/>
        </w:rPr>
        <w:t> </w:t>
      </w:r>
      <w:r>
        <w:rPr/>
        <w:t>of</w:t>
      </w:r>
      <w:r>
        <w:rPr>
          <w:spacing w:val="-11"/>
        </w:rPr>
        <w:t> </w:t>
      </w:r>
      <w:r>
        <w:rPr/>
        <w:t>financial</w:t>
      </w:r>
      <w:r>
        <w:rPr>
          <w:spacing w:val="-11"/>
        </w:rPr>
        <w:t> </w:t>
      </w:r>
      <w:r>
        <w:rPr/>
        <w:t>Accounting</w:t>
      </w:r>
      <w:r>
        <w:rPr>
          <w:spacing w:val="-13"/>
        </w:rPr>
        <w:t> </w:t>
      </w:r>
      <w:r>
        <w:rPr/>
        <w:t>Standards</w:t>
      </w:r>
      <w:r>
        <w:rPr>
          <w:spacing w:val="-14"/>
        </w:rPr>
        <w:t> </w:t>
      </w:r>
      <w:r>
        <w:rPr/>
        <w:t>Board (FASB, 1980) using predictive value, neutrality, timeliness and representational faithfulness dimensions.</w:t>
      </w:r>
      <w:r>
        <w:rPr>
          <w:spacing w:val="-15"/>
        </w:rPr>
        <w:t> </w:t>
      </w:r>
      <w:r>
        <w:rPr/>
        <w:t>The</w:t>
      </w:r>
      <w:r>
        <w:rPr>
          <w:spacing w:val="-15"/>
        </w:rPr>
        <w:t> </w:t>
      </w:r>
      <w:r>
        <w:rPr/>
        <w:t>result</w:t>
      </w:r>
      <w:r>
        <w:rPr>
          <w:spacing w:val="-15"/>
        </w:rPr>
        <w:t> </w:t>
      </w:r>
      <w:r>
        <w:rPr/>
        <w:t>showed</w:t>
      </w:r>
      <w:r>
        <w:rPr>
          <w:spacing w:val="-15"/>
        </w:rPr>
        <w:t> </w:t>
      </w:r>
      <w:r>
        <w:rPr/>
        <w:t>that</w:t>
      </w:r>
      <w:r>
        <w:rPr>
          <w:spacing w:val="-15"/>
        </w:rPr>
        <w:t> </w:t>
      </w:r>
      <w:r>
        <w:rPr/>
        <w:t>institutional</w:t>
      </w:r>
      <w:r>
        <w:rPr>
          <w:spacing w:val="-15"/>
        </w:rPr>
        <w:t> </w:t>
      </w:r>
      <w:r>
        <w:rPr/>
        <w:t>ownership</w:t>
      </w:r>
      <w:r>
        <w:rPr>
          <w:spacing w:val="-15"/>
        </w:rPr>
        <w:t> </w:t>
      </w:r>
      <w:r>
        <w:rPr/>
        <w:t>was</w:t>
      </w:r>
      <w:r>
        <w:rPr>
          <w:spacing w:val="-15"/>
        </w:rPr>
        <w:t> </w:t>
      </w:r>
      <w:r>
        <w:rPr/>
        <w:t>positively</w:t>
      </w:r>
      <w:r>
        <w:rPr>
          <w:spacing w:val="-15"/>
        </w:rPr>
        <w:t> </w:t>
      </w:r>
      <w:r>
        <w:rPr/>
        <w:t>related</w:t>
      </w:r>
      <w:r>
        <w:rPr>
          <w:spacing w:val="-15"/>
        </w:rPr>
        <w:t> </w:t>
      </w:r>
      <w:r>
        <w:rPr/>
        <w:t>with</w:t>
      </w:r>
      <w:r>
        <w:rPr>
          <w:spacing w:val="-15"/>
        </w:rPr>
        <w:t> </w:t>
      </w:r>
      <w:r>
        <w:rPr/>
        <w:t>earnings quality. Uwuigbe, Erin, Uwuigbe, Igbinoba and Jafaru (2017) examined the impact of ownership</w:t>
      </w:r>
      <w:r>
        <w:rPr>
          <w:spacing w:val="-5"/>
        </w:rPr>
        <w:t> </w:t>
      </w:r>
      <w:r>
        <w:rPr/>
        <w:t>structure</w:t>
      </w:r>
      <w:r>
        <w:rPr>
          <w:spacing w:val="-6"/>
        </w:rPr>
        <w:t> </w:t>
      </w:r>
      <w:r>
        <w:rPr/>
        <w:t>on</w:t>
      </w:r>
      <w:r>
        <w:rPr>
          <w:spacing w:val="-5"/>
        </w:rPr>
        <w:t> </w:t>
      </w:r>
      <w:r>
        <w:rPr/>
        <w:t>financial</w:t>
      </w:r>
      <w:r>
        <w:rPr>
          <w:spacing w:val="-5"/>
        </w:rPr>
        <w:t> </w:t>
      </w:r>
      <w:r>
        <w:rPr/>
        <w:t>disclosure</w:t>
      </w:r>
      <w:r>
        <w:rPr>
          <w:spacing w:val="-4"/>
        </w:rPr>
        <w:t> </w:t>
      </w:r>
      <w:r>
        <w:rPr/>
        <w:t>quality.</w:t>
      </w:r>
      <w:r>
        <w:rPr>
          <w:spacing w:val="-4"/>
        </w:rPr>
        <w:t> </w:t>
      </w:r>
      <w:r>
        <w:rPr/>
        <w:t>The</w:t>
      </w:r>
      <w:r>
        <w:rPr>
          <w:spacing w:val="-6"/>
        </w:rPr>
        <w:t> </w:t>
      </w:r>
      <w:r>
        <w:rPr/>
        <w:t>sample</w:t>
      </w:r>
      <w:r>
        <w:rPr>
          <w:spacing w:val="-3"/>
        </w:rPr>
        <w:t> </w:t>
      </w:r>
      <w:r>
        <w:rPr/>
        <w:t>consisted</w:t>
      </w:r>
      <w:r>
        <w:rPr>
          <w:spacing w:val="-4"/>
        </w:rPr>
        <w:t> </w:t>
      </w:r>
      <w:r>
        <w:rPr/>
        <w:t>of</w:t>
      </w:r>
      <w:r>
        <w:rPr>
          <w:spacing w:val="-3"/>
        </w:rPr>
        <w:t> </w:t>
      </w:r>
      <w:r>
        <w:rPr/>
        <w:t>75</w:t>
      </w:r>
      <w:r>
        <w:rPr>
          <w:spacing w:val="-5"/>
        </w:rPr>
        <w:t> </w:t>
      </w:r>
      <w:r>
        <w:rPr/>
        <w:t>firms</w:t>
      </w:r>
      <w:r>
        <w:rPr>
          <w:spacing w:val="-4"/>
        </w:rPr>
        <w:t> </w:t>
      </w:r>
      <w:r>
        <w:rPr/>
        <w:t>listed</w:t>
      </w:r>
      <w:r>
        <w:rPr>
          <w:spacing w:val="-4"/>
        </w:rPr>
        <w:t> </w:t>
      </w:r>
      <w:r>
        <w:rPr/>
        <w:t>on the Nigerian Stock Exchange during the period 2011 - 2015. Financial disclosure quality was modeled</w:t>
      </w:r>
      <w:r>
        <w:rPr>
          <w:spacing w:val="-6"/>
        </w:rPr>
        <w:t> </w:t>
      </w:r>
      <w:r>
        <w:rPr/>
        <w:t>using</w:t>
      </w:r>
      <w:r>
        <w:rPr>
          <w:spacing w:val="-5"/>
        </w:rPr>
        <w:t> </w:t>
      </w:r>
      <w:r>
        <w:rPr/>
        <w:t>accounting</w:t>
      </w:r>
      <w:r>
        <w:rPr>
          <w:spacing w:val="-6"/>
        </w:rPr>
        <w:t> </w:t>
      </w:r>
      <w:r>
        <w:rPr/>
        <w:t>measure,</w:t>
      </w:r>
      <w:r>
        <w:rPr>
          <w:spacing w:val="-6"/>
        </w:rPr>
        <w:t> </w:t>
      </w:r>
      <w:r>
        <w:rPr/>
        <w:t>Kothari</w:t>
      </w:r>
      <w:r>
        <w:rPr>
          <w:spacing w:val="-6"/>
        </w:rPr>
        <w:t> </w:t>
      </w:r>
      <w:r>
        <w:rPr/>
        <w:t>model</w:t>
      </w:r>
      <w:r>
        <w:rPr>
          <w:spacing w:val="-5"/>
        </w:rPr>
        <w:t> </w:t>
      </w:r>
      <w:r>
        <w:rPr/>
        <w:t>and</w:t>
      </w:r>
      <w:r>
        <w:rPr>
          <w:spacing w:val="-6"/>
        </w:rPr>
        <w:t> </w:t>
      </w:r>
      <w:r>
        <w:rPr/>
        <w:t>market</w:t>
      </w:r>
      <w:r>
        <w:rPr>
          <w:spacing w:val="-5"/>
        </w:rPr>
        <w:t> </w:t>
      </w:r>
      <w:r>
        <w:rPr/>
        <w:t>based</w:t>
      </w:r>
      <w:r>
        <w:rPr>
          <w:spacing w:val="-6"/>
        </w:rPr>
        <w:t> </w:t>
      </w:r>
      <w:r>
        <w:rPr/>
        <w:t>measure.</w:t>
      </w:r>
      <w:r>
        <w:rPr>
          <w:spacing w:val="-6"/>
        </w:rPr>
        <w:t> </w:t>
      </w:r>
      <w:r>
        <w:rPr/>
        <w:t>The</w:t>
      </w:r>
      <w:r>
        <w:rPr>
          <w:spacing w:val="-7"/>
        </w:rPr>
        <w:t> </w:t>
      </w:r>
      <w:r>
        <w:rPr/>
        <w:t>study</w:t>
      </w:r>
      <w:r>
        <w:rPr>
          <w:spacing w:val="-5"/>
        </w:rPr>
        <w:t> </w:t>
      </w:r>
      <w:r>
        <w:rPr/>
        <w:t>used foreign</w:t>
      </w:r>
      <w:r>
        <w:rPr>
          <w:spacing w:val="-1"/>
        </w:rPr>
        <w:t> </w:t>
      </w:r>
      <w:r>
        <w:rPr/>
        <w:t>ownership,</w:t>
      </w:r>
      <w:r>
        <w:rPr>
          <w:spacing w:val="-1"/>
        </w:rPr>
        <w:t> </w:t>
      </w:r>
      <w:r>
        <w:rPr/>
        <w:t>managerial</w:t>
      </w:r>
      <w:r>
        <w:rPr>
          <w:spacing w:val="-1"/>
        </w:rPr>
        <w:t> </w:t>
      </w:r>
      <w:r>
        <w:rPr/>
        <w:t>ownership</w:t>
      </w:r>
      <w:r>
        <w:rPr>
          <w:spacing w:val="-1"/>
        </w:rPr>
        <w:t> </w:t>
      </w:r>
      <w:r>
        <w:rPr/>
        <w:t>and</w:t>
      </w:r>
      <w:r>
        <w:rPr>
          <w:spacing w:val="-1"/>
        </w:rPr>
        <w:t> </w:t>
      </w:r>
      <w:r>
        <w:rPr/>
        <w:t>institutional</w:t>
      </w:r>
      <w:r>
        <w:rPr>
          <w:spacing w:val="-1"/>
        </w:rPr>
        <w:t> </w:t>
      </w:r>
      <w:r>
        <w:rPr/>
        <w:t>ownership</w:t>
      </w:r>
      <w:r>
        <w:rPr>
          <w:spacing w:val="-1"/>
        </w:rPr>
        <w:t> </w:t>
      </w:r>
      <w:r>
        <w:rPr/>
        <w:t>as</w:t>
      </w:r>
      <w:r>
        <w:rPr>
          <w:spacing w:val="-1"/>
        </w:rPr>
        <w:t> </w:t>
      </w:r>
      <w:r>
        <w:rPr/>
        <w:t>ownership</w:t>
      </w:r>
      <w:r>
        <w:rPr>
          <w:spacing w:val="-1"/>
        </w:rPr>
        <w:t> </w:t>
      </w:r>
      <w:r>
        <w:rPr/>
        <w:t>attributes. The</w:t>
      </w:r>
      <w:r>
        <w:rPr>
          <w:spacing w:val="-7"/>
        </w:rPr>
        <w:t> </w:t>
      </w:r>
      <w:r>
        <w:rPr/>
        <w:t>data</w:t>
      </w:r>
      <w:r>
        <w:rPr>
          <w:spacing w:val="-6"/>
        </w:rPr>
        <w:t> </w:t>
      </w:r>
      <w:r>
        <w:rPr/>
        <w:t>were</w:t>
      </w:r>
      <w:r>
        <w:rPr>
          <w:spacing w:val="-6"/>
        </w:rPr>
        <w:t> </w:t>
      </w:r>
      <w:r>
        <w:rPr/>
        <w:t>obtained</w:t>
      </w:r>
      <w:r>
        <w:rPr>
          <w:spacing w:val="-6"/>
        </w:rPr>
        <w:t> </w:t>
      </w:r>
      <w:r>
        <w:rPr/>
        <w:t>from</w:t>
      </w:r>
      <w:r>
        <w:rPr>
          <w:spacing w:val="-5"/>
        </w:rPr>
        <w:t> </w:t>
      </w:r>
      <w:r>
        <w:rPr/>
        <w:t>annual</w:t>
      </w:r>
      <w:r>
        <w:rPr>
          <w:spacing w:val="-5"/>
        </w:rPr>
        <w:t> </w:t>
      </w:r>
      <w:r>
        <w:rPr/>
        <w:t>reports</w:t>
      </w:r>
      <w:r>
        <w:rPr>
          <w:spacing w:val="-6"/>
        </w:rPr>
        <w:t> </w:t>
      </w:r>
      <w:r>
        <w:rPr/>
        <w:t>for</w:t>
      </w:r>
      <w:r>
        <w:rPr>
          <w:spacing w:val="-7"/>
        </w:rPr>
        <w:t> </w:t>
      </w:r>
      <w:r>
        <w:rPr/>
        <w:t>the</w:t>
      </w:r>
      <w:r>
        <w:rPr>
          <w:spacing w:val="-6"/>
        </w:rPr>
        <w:t> </w:t>
      </w:r>
      <w:r>
        <w:rPr/>
        <w:t>period</w:t>
      </w:r>
      <w:r>
        <w:rPr>
          <w:spacing w:val="-6"/>
        </w:rPr>
        <w:t> </w:t>
      </w:r>
      <w:r>
        <w:rPr/>
        <w:t>2011</w:t>
      </w:r>
      <w:r>
        <w:rPr>
          <w:spacing w:val="-4"/>
        </w:rPr>
        <w:t> </w:t>
      </w:r>
      <w:r>
        <w:rPr/>
        <w:t>-</w:t>
      </w:r>
      <w:r>
        <w:rPr>
          <w:spacing w:val="-7"/>
        </w:rPr>
        <w:t> </w:t>
      </w:r>
      <w:r>
        <w:rPr/>
        <w:t>2015.</w:t>
      </w:r>
      <w:r>
        <w:rPr>
          <w:spacing w:val="-6"/>
        </w:rPr>
        <w:t> </w:t>
      </w:r>
      <w:r>
        <w:rPr/>
        <w:t>The</w:t>
      </w:r>
      <w:r>
        <w:rPr>
          <w:spacing w:val="-9"/>
        </w:rPr>
        <w:t> </w:t>
      </w:r>
      <w:r>
        <w:rPr/>
        <w:t>Generalized</w:t>
      </w:r>
      <w:r>
        <w:rPr>
          <w:spacing w:val="-6"/>
        </w:rPr>
        <w:t> </w:t>
      </w:r>
      <w:r>
        <w:rPr/>
        <w:t>Least Square (GLS) was used to estimate the parameters of the model. The findings revealed a significant relationship among institutional investors, managerial ownership and quality of financial disclosure. Amos, Ibrahim, Nasidi, and Ibrahim (2016) examined the impact of institutional</w:t>
      </w:r>
      <w:r>
        <w:rPr>
          <w:spacing w:val="-8"/>
        </w:rPr>
        <w:t> </w:t>
      </w:r>
      <w:r>
        <w:rPr/>
        <w:t>ownership</w:t>
      </w:r>
      <w:r>
        <w:rPr>
          <w:spacing w:val="-6"/>
        </w:rPr>
        <w:t> </w:t>
      </w:r>
      <w:r>
        <w:rPr/>
        <w:t>on</w:t>
      </w:r>
      <w:r>
        <w:rPr>
          <w:spacing w:val="-6"/>
        </w:rPr>
        <w:t> </w:t>
      </w:r>
      <w:r>
        <w:rPr/>
        <w:t>earnings</w:t>
      </w:r>
      <w:r>
        <w:rPr>
          <w:spacing w:val="-6"/>
        </w:rPr>
        <w:t> </w:t>
      </w:r>
      <w:r>
        <w:rPr/>
        <w:t>quality.</w:t>
      </w:r>
      <w:r>
        <w:rPr>
          <w:spacing w:val="-5"/>
        </w:rPr>
        <w:t> </w:t>
      </w:r>
      <w:r>
        <w:rPr/>
        <w:t>The</w:t>
      </w:r>
      <w:r>
        <w:rPr>
          <w:spacing w:val="-7"/>
        </w:rPr>
        <w:t> </w:t>
      </w:r>
      <w:r>
        <w:rPr/>
        <w:t>sample</w:t>
      </w:r>
      <w:r>
        <w:rPr>
          <w:spacing w:val="-7"/>
        </w:rPr>
        <w:t> </w:t>
      </w:r>
      <w:r>
        <w:rPr/>
        <w:t>consisted</w:t>
      </w:r>
      <w:r>
        <w:rPr>
          <w:spacing w:val="-6"/>
        </w:rPr>
        <w:t> </w:t>
      </w:r>
      <w:r>
        <w:rPr/>
        <w:t>of</w:t>
      </w:r>
      <w:r>
        <w:rPr>
          <w:spacing w:val="-7"/>
        </w:rPr>
        <w:t> </w:t>
      </w:r>
      <w:r>
        <w:rPr/>
        <w:t>listed</w:t>
      </w:r>
      <w:r>
        <w:rPr>
          <w:spacing w:val="-9"/>
        </w:rPr>
        <w:t> </w:t>
      </w:r>
      <w:r>
        <w:rPr/>
        <w:t>food/beverages</w:t>
      </w:r>
      <w:r>
        <w:rPr>
          <w:spacing w:val="-6"/>
        </w:rPr>
        <w:t> </w:t>
      </w:r>
      <w:r>
        <w:rPr/>
        <w:t>and tobacco firms in Nigeria from 2005-2013. The data were obtained from annual reports. Panel data</w:t>
      </w:r>
      <w:r>
        <w:rPr>
          <w:spacing w:val="-11"/>
        </w:rPr>
        <w:t> </w:t>
      </w:r>
      <w:r>
        <w:rPr/>
        <w:t>regression</w:t>
      </w:r>
      <w:r>
        <w:rPr>
          <w:spacing w:val="-11"/>
        </w:rPr>
        <w:t> </w:t>
      </w:r>
      <w:r>
        <w:rPr/>
        <w:t>technique</w:t>
      </w:r>
      <w:r>
        <w:rPr>
          <w:spacing w:val="-9"/>
        </w:rPr>
        <w:t> </w:t>
      </w:r>
      <w:r>
        <w:rPr/>
        <w:t>was</w:t>
      </w:r>
      <w:r>
        <w:rPr>
          <w:spacing w:val="-10"/>
        </w:rPr>
        <w:t> </w:t>
      </w:r>
      <w:r>
        <w:rPr/>
        <w:t>used</w:t>
      </w:r>
      <w:r>
        <w:rPr>
          <w:spacing w:val="-11"/>
        </w:rPr>
        <w:t> </w:t>
      </w:r>
      <w:r>
        <w:rPr/>
        <w:t>to</w:t>
      </w:r>
      <w:r>
        <w:rPr>
          <w:spacing w:val="-10"/>
        </w:rPr>
        <w:t> </w:t>
      </w:r>
      <w:r>
        <w:rPr/>
        <w:t>estimate</w:t>
      </w:r>
      <w:r>
        <w:rPr>
          <w:spacing w:val="-12"/>
        </w:rPr>
        <w:t> </w:t>
      </w:r>
      <w:r>
        <w:rPr/>
        <w:t>the</w:t>
      </w:r>
      <w:r>
        <w:rPr>
          <w:spacing w:val="-14"/>
        </w:rPr>
        <w:t> </w:t>
      </w:r>
      <w:r>
        <w:rPr/>
        <w:t>data.</w:t>
      </w:r>
      <w:r>
        <w:rPr>
          <w:spacing w:val="-9"/>
        </w:rPr>
        <w:t> </w:t>
      </w:r>
      <w:r>
        <w:rPr/>
        <w:t>The</w:t>
      </w:r>
      <w:r>
        <w:rPr>
          <w:spacing w:val="-12"/>
        </w:rPr>
        <w:t> </w:t>
      </w:r>
      <w:r>
        <w:rPr/>
        <w:t>findings</w:t>
      </w:r>
      <w:r>
        <w:rPr>
          <w:spacing w:val="-10"/>
        </w:rPr>
        <w:t> </w:t>
      </w:r>
      <w:r>
        <w:rPr/>
        <w:t>revealed</w:t>
      </w:r>
      <w:r>
        <w:rPr>
          <w:spacing w:val="-9"/>
        </w:rPr>
        <w:t> </w:t>
      </w:r>
      <w:r>
        <w:rPr/>
        <w:t>that</w:t>
      </w:r>
      <w:r>
        <w:rPr>
          <w:spacing w:val="-11"/>
        </w:rPr>
        <w:t> </w:t>
      </w:r>
      <w:r>
        <w:rPr/>
        <w:t>institutional ownership had a significant relationship with earnings quality.</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11360">
            <wp:simplePos x="0" y="0"/>
            <wp:positionH relativeFrom="page">
              <wp:posOffset>1095451</wp:posOffset>
            </wp:positionH>
            <wp:positionV relativeFrom="paragraph">
              <wp:posOffset>1850770</wp:posOffset>
            </wp:positionV>
            <wp:extent cx="5106847" cy="5238115"/>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5" cstate="print"/>
                    <a:stretch>
                      <a:fillRect/>
                    </a:stretch>
                  </pic:blipFill>
                  <pic:spPr>
                    <a:xfrm>
                      <a:off x="0" y="0"/>
                      <a:ext cx="5106847" cy="5238115"/>
                    </a:xfrm>
                    <a:prstGeom prst="rect">
                      <a:avLst/>
                    </a:prstGeom>
                  </pic:spPr>
                </pic:pic>
              </a:graphicData>
            </a:graphic>
          </wp:anchor>
        </w:drawing>
      </w:r>
      <w:r>
        <w:rPr/>
        <w:t>Abdulhadi (2016) investigated the relationship between ownership structure and earnings management</w:t>
      </w:r>
      <w:r>
        <w:rPr>
          <w:spacing w:val="-10"/>
        </w:rPr>
        <w:t> </w:t>
      </w:r>
      <w:r>
        <w:rPr/>
        <w:t>of</w:t>
      </w:r>
      <w:r>
        <w:rPr>
          <w:spacing w:val="-10"/>
        </w:rPr>
        <w:t> </w:t>
      </w:r>
      <w:r>
        <w:rPr/>
        <w:t>listed</w:t>
      </w:r>
      <w:r>
        <w:rPr>
          <w:spacing w:val="-10"/>
        </w:rPr>
        <w:t> </w:t>
      </w:r>
      <w:r>
        <w:rPr/>
        <w:t>banks</w:t>
      </w:r>
      <w:r>
        <w:rPr>
          <w:spacing w:val="-9"/>
        </w:rPr>
        <w:t> </w:t>
      </w:r>
      <w:r>
        <w:rPr/>
        <w:t>in</w:t>
      </w:r>
      <w:r>
        <w:rPr>
          <w:spacing w:val="-9"/>
        </w:rPr>
        <w:t> </w:t>
      </w:r>
      <w:r>
        <w:rPr/>
        <w:t>Nigeria.</w:t>
      </w:r>
      <w:r>
        <w:rPr>
          <w:spacing w:val="-8"/>
        </w:rPr>
        <w:t> </w:t>
      </w:r>
      <w:r>
        <w:rPr/>
        <w:t>The</w:t>
      </w:r>
      <w:r>
        <w:rPr>
          <w:spacing w:val="-9"/>
        </w:rPr>
        <w:t> </w:t>
      </w:r>
      <w:r>
        <w:rPr/>
        <w:t>sample</w:t>
      </w:r>
      <w:r>
        <w:rPr>
          <w:spacing w:val="-8"/>
        </w:rPr>
        <w:t> </w:t>
      </w:r>
      <w:r>
        <w:rPr/>
        <w:t>size</w:t>
      </w:r>
      <w:r>
        <w:rPr>
          <w:spacing w:val="-8"/>
        </w:rPr>
        <w:t> </w:t>
      </w:r>
      <w:r>
        <w:rPr/>
        <w:t>consisted</w:t>
      </w:r>
      <w:r>
        <w:rPr>
          <w:spacing w:val="-10"/>
        </w:rPr>
        <w:t> </w:t>
      </w:r>
      <w:r>
        <w:rPr/>
        <w:t>of</w:t>
      </w:r>
      <w:r>
        <w:rPr>
          <w:spacing w:val="-8"/>
        </w:rPr>
        <w:t> </w:t>
      </w:r>
      <w:r>
        <w:rPr/>
        <w:t>six</w:t>
      </w:r>
      <w:r>
        <w:rPr>
          <w:spacing w:val="-9"/>
        </w:rPr>
        <w:t> </w:t>
      </w:r>
      <w:r>
        <w:rPr/>
        <w:t>(6)</w:t>
      </w:r>
      <w:r>
        <w:rPr>
          <w:spacing w:val="-7"/>
        </w:rPr>
        <w:t> </w:t>
      </w:r>
      <w:r>
        <w:rPr/>
        <w:t>banks</w:t>
      </w:r>
      <w:r>
        <w:rPr>
          <w:spacing w:val="-9"/>
        </w:rPr>
        <w:t> </w:t>
      </w:r>
      <w:r>
        <w:rPr/>
        <w:t>listed</w:t>
      </w:r>
      <w:r>
        <w:rPr>
          <w:spacing w:val="-8"/>
        </w:rPr>
        <w:t> </w:t>
      </w:r>
      <w:r>
        <w:rPr/>
        <w:t>on</w:t>
      </w:r>
      <w:r>
        <w:rPr>
          <w:spacing w:val="-10"/>
        </w:rPr>
        <w:t> </w:t>
      </w:r>
      <w:r>
        <w:rPr/>
        <w:t>the Nigerian</w:t>
      </w:r>
      <w:r>
        <w:rPr>
          <w:spacing w:val="-13"/>
        </w:rPr>
        <w:t> </w:t>
      </w:r>
      <w:r>
        <w:rPr/>
        <w:t>Stock</w:t>
      </w:r>
      <w:r>
        <w:rPr>
          <w:spacing w:val="-14"/>
        </w:rPr>
        <w:t> </w:t>
      </w:r>
      <w:r>
        <w:rPr/>
        <w:t>Exchange</w:t>
      </w:r>
      <w:r>
        <w:rPr>
          <w:spacing w:val="-12"/>
        </w:rPr>
        <w:t> </w:t>
      </w:r>
      <w:r>
        <w:rPr/>
        <w:t>during</w:t>
      </w:r>
      <w:r>
        <w:rPr>
          <w:spacing w:val="-13"/>
        </w:rPr>
        <w:t> </w:t>
      </w:r>
      <w:r>
        <w:rPr/>
        <w:t>the</w:t>
      </w:r>
      <w:r>
        <w:rPr>
          <w:spacing w:val="-14"/>
        </w:rPr>
        <w:t> </w:t>
      </w:r>
      <w:r>
        <w:rPr/>
        <w:t>period</w:t>
      </w:r>
      <w:r>
        <w:rPr>
          <w:spacing w:val="-13"/>
        </w:rPr>
        <w:t> </w:t>
      </w:r>
      <w:r>
        <w:rPr/>
        <w:t>2009</w:t>
      </w:r>
      <w:r>
        <w:rPr>
          <w:spacing w:val="-13"/>
        </w:rPr>
        <w:t> </w:t>
      </w:r>
      <w:r>
        <w:rPr/>
        <w:t>to</w:t>
      </w:r>
      <w:r>
        <w:rPr>
          <w:spacing w:val="-15"/>
        </w:rPr>
        <w:t> </w:t>
      </w:r>
      <w:r>
        <w:rPr/>
        <w:t>2014.</w:t>
      </w:r>
      <w:r>
        <w:rPr>
          <w:spacing w:val="-13"/>
        </w:rPr>
        <w:t> </w:t>
      </w:r>
      <w:r>
        <w:rPr/>
        <w:t>The</w:t>
      </w:r>
      <w:r>
        <w:rPr>
          <w:spacing w:val="-14"/>
        </w:rPr>
        <w:t> </w:t>
      </w:r>
      <w:r>
        <w:rPr/>
        <w:t>measures</w:t>
      </w:r>
      <w:r>
        <w:rPr>
          <w:spacing w:val="-13"/>
        </w:rPr>
        <w:t> </w:t>
      </w:r>
      <w:r>
        <w:rPr/>
        <w:t>of</w:t>
      </w:r>
      <w:r>
        <w:rPr>
          <w:spacing w:val="-14"/>
        </w:rPr>
        <w:t> </w:t>
      </w:r>
      <w:r>
        <w:rPr/>
        <w:t>ownership</w:t>
      </w:r>
      <w:r>
        <w:rPr>
          <w:spacing w:val="-13"/>
        </w:rPr>
        <w:t> </w:t>
      </w:r>
      <w:r>
        <w:rPr/>
        <w:t>structure included managerial, institutional and ownership concentration while earnings management was</w:t>
      </w:r>
      <w:r>
        <w:rPr>
          <w:spacing w:val="-7"/>
        </w:rPr>
        <w:t> </w:t>
      </w:r>
      <w:r>
        <w:rPr/>
        <w:t>measured</w:t>
      </w:r>
      <w:r>
        <w:rPr>
          <w:spacing w:val="-8"/>
        </w:rPr>
        <w:t> </w:t>
      </w:r>
      <w:r>
        <w:rPr/>
        <w:t>with</w:t>
      </w:r>
      <w:r>
        <w:rPr>
          <w:spacing w:val="-7"/>
        </w:rPr>
        <w:t> </w:t>
      </w:r>
      <w:r>
        <w:rPr/>
        <w:t>the</w:t>
      </w:r>
      <w:r>
        <w:rPr>
          <w:spacing w:val="-8"/>
        </w:rPr>
        <w:t> </w:t>
      </w:r>
      <w:r>
        <w:rPr/>
        <w:t>modified</w:t>
      </w:r>
      <w:r>
        <w:rPr>
          <w:spacing w:val="-7"/>
        </w:rPr>
        <w:t> </w:t>
      </w:r>
      <w:r>
        <w:rPr/>
        <w:t>Jones</w:t>
      </w:r>
      <w:r>
        <w:rPr>
          <w:spacing w:val="-8"/>
        </w:rPr>
        <w:t> </w:t>
      </w:r>
      <w:r>
        <w:rPr/>
        <w:t>model.</w:t>
      </w:r>
      <w:r>
        <w:rPr>
          <w:spacing w:val="-7"/>
        </w:rPr>
        <w:t> </w:t>
      </w:r>
      <w:r>
        <w:rPr/>
        <w:t>The</w:t>
      </w:r>
      <w:r>
        <w:rPr>
          <w:spacing w:val="-7"/>
        </w:rPr>
        <w:t> </w:t>
      </w:r>
      <w:r>
        <w:rPr/>
        <w:t>sample</w:t>
      </w:r>
      <w:r>
        <w:rPr>
          <w:spacing w:val="-8"/>
        </w:rPr>
        <w:t> </w:t>
      </w:r>
      <w:r>
        <w:rPr/>
        <w:t>size</w:t>
      </w:r>
      <w:r>
        <w:rPr>
          <w:spacing w:val="-8"/>
        </w:rPr>
        <w:t> </w:t>
      </w:r>
      <w:r>
        <w:rPr/>
        <w:t>was</w:t>
      </w:r>
      <w:r>
        <w:rPr>
          <w:spacing w:val="-7"/>
        </w:rPr>
        <w:t> </w:t>
      </w:r>
      <w:r>
        <w:rPr/>
        <w:t>drawn</w:t>
      </w:r>
      <w:r>
        <w:rPr>
          <w:spacing w:val="-8"/>
        </w:rPr>
        <w:t> </w:t>
      </w:r>
      <w:r>
        <w:rPr/>
        <w:t>from</w:t>
      </w:r>
      <w:r>
        <w:rPr>
          <w:spacing w:val="-8"/>
        </w:rPr>
        <w:t> </w:t>
      </w:r>
      <w:r>
        <w:rPr/>
        <w:t>the</w:t>
      </w:r>
      <w:r>
        <w:rPr>
          <w:spacing w:val="-8"/>
        </w:rPr>
        <w:t> </w:t>
      </w:r>
      <w:r>
        <w:rPr/>
        <w:t>population using the simple random sampling technique. Multivariate regression based on ordinary least square (OLS) assumption was used to estimate data. The findings revealed that institutional ownership</w:t>
      </w:r>
      <w:r>
        <w:rPr>
          <w:spacing w:val="-4"/>
        </w:rPr>
        <w:t> </w:t>
      </w:r>
      <w:r>
        <w:rPr/>
        <w:t>exhibited</w:t>
      </w:r>
      <w:r>
        <w:rPr>
          <w:spacing w:val="-4"/>
        </w:rPr>
        <w:t> </w:t>
      </w:r>
      <w:r>
        <w:rPr/>
        <w:t>no</w:t>
      </w:r>
      <w:r>
        <w:rPr>
          <w:spacing w:val="-4"/>
        </w:rPr>
        <w:t> </w:t>
      </w:r>
      <w:r>
        <w:rPr/>
        <w:t>significant</w:t>
      </w:r>
      <w:r>
        <w:rPr>
          <w:spacing w:val="-4"/>
        </w:rPr>
        <w:t> </w:t>
      </w:r>
      <w:r>
        <w:rPr/>
        <w:t>impact</w:t>
      </w:r>
      <w:r>
        <w:rPr>
          <w:spacing w:val="-4"/>
        </w:rPr>
        <w:t> </w:t>
      </w:r>
      <w:r>
        <w:rPr/>
        <w:t>on</w:t>
      </w:r>
      <w:r>
        <w:rPr>
          <w:spacing w:val="-4"/>
        </w:rPr>
        <w:t> </w:t>
      </w:r>
      <w:r>
        <w:rPr/>
        <w:t>earnings</w:t>
      </w:r>
      <w:r>
        <w:rPr>
          <w:spacing w:val="-4"/>
        </w:rPr>
        <w:t> </w:t>
      </w:r>
      <w:r>
        <w:rPr/>
        <w:t>management.</w:t>
      </w:r>
      <w:r>
        <w:rPr>
          <w:spacing w:val="-4"/>
        </w:rPr>
        <w:t> </w:t>
      </w:r>
      <w:r>
        <w:rPr/>
        <w:t>Baba</w:t>
      </w:r>
      <w:r>
        <w:rPr>
          <w:spacing w:val="-5"/>
        </w:rPr>
        <w:t> </w:t>
      </w:r>
      <w:r>
        <w:rPr/>
        <w:t>(2016)</w:t>
      </w:r>
      <w:r>
        <w:rPr>
          <w:spacing w:val="-1"/>
        </w:rPr>
        <w:t> </w:t>
      </w:r>
      <w:r>
        <w:rPr/>
        <w:t>investigated the</w:t>
      </w:r>
      <w:r>
        <w:rPr>
          <w:spacing w:val="-10"/>
        </w:rPr>
        <w:t> </w:t>
      </w:r>
      <w:r>
        <w:rPr/>
        <w:t>impact</w:t>
      </w:r>
      <w:r>
        <w:rPr>
          <w:spacing w:val="-9"/>
        </w:rPr>
        <w:t> </w:t>
      </w:r>
      <w:r>
        <w:rPr/>
        <w:t>of</w:t>
      </w:r>
      <w:r>
        <w:rPr>
          <w:spacing w:val="-10"/>
        </w:rPr>
        <w:t> </w:t>
      </w:r>
      <w:r>
        <w:rPr/>
        <w:t>ownership</w:t>
      </w:r>
      <w:r>
        <w:rPr>
          <w:spacing w:val="-10"/>
        </w:rPr>
        <w:t> </w:t>
      </w:r>
      <w:r>
        <w:rPr/>
        <w:t>structure</w:t>
      </w:r>
      <w:r>
        <w:rPr>
          <w:spacing w:val="-11"/>
        </w:rPr>
        <w:t> </w:t>
      </w:r>
      <w:r>
        <w:rPr/>
        <w:t>on</w:t>
      </w:r>
      <w:r>
        <w:rPr>
          <w:spacing w:val="-10"/>
        </w:rPr>
        <w:t> </w:t>
      </w:r>
      <w:r>
        <w:rPr/>
        <w:t>earnings</w:t>
      </w:r>
      <w:r>
        <w:rPr>
          <w:spacing w:val="-10"/>
        </w:rPr>
        <w:t> </w:t>
      </w:r>
      <w:r>
        <w:rPr/>
        <w:t>quality</w:t>
      </w:r>
      <w:r>
        <w:rPr>
          <w:spacing w:val="-9"/>
        </w:rPr>
        <w:t> </w:t>
      </w:r>
      <w:r>
        <w:rPr/>
        <w:t>of</w:t>
      </w:r>
      <w:r>
        <w:rPr>
          <w:spacing w:val="-10"/>
        </w:rPr>
        <w:t> </w:t>
      </w:r>
      <w:r>
        <w:rPr/>
        <w:t>listed</w:t>
      </w:r>
      <w:r>
        <w:rPr>
          <w:spacing w:val="-10"/>
        </w:rPr>
        <w:t> </w:t>
      </w:r>
      <w:r>
        <w:rPr/>
        <w:t>insurance</w:t>
      </w:r>
      <w:r>
        <w:rPr>
          <w:spacing w:val="-8"/>
        </w:rPr>
        <w:t> </w:t>
      </w:r>
      <w:r>
        <w:rPr/>
        <w:t>companies</w:t>
      </w:r>
      <w:r>
        <w:rPr>
          <w:spacing w:val="-9"/>
        </w:rPr>
        <w:t> </w:t>
      </w:r>
      <w:r>
        <w:rPr/>
        <w:t>in</w:t>
      </w:r>
      <w:r>
        <w:rPr>
          <w:spacing w:val="-9"/>
        </w:rPr>
        <w:t> </w:t>
      </w:r>
      <w:r>
        <w:rPr/>
        <w:t>Nigeria. Ownership structure was proxy for institutional ownership, managerial ownership and ownership concentration while Kothari et al. (2005) performance adjusted discretionary accrual</w:t>
      </w:r>
      <w:r>
        <w:rPr>
          <w:spacing w:val="-12"/>
        </w:rPr>
        <w:t> </w:t>
      </w:r>
      <w:r>
        <w:rPr/>
        <w:t>model</w:t>
      </w:r>
      <w:r>
        <w:rPr>
          <w:spacing w:val="-12"/>
        </w:rPr>
        <w:t> </w:t>
      </w:r>
      <w:r>
        <w:rPr/>
        <w:t>was</w:t>
      </w:r>
      <w:r>
        <w:rPr>
          <w:spacing w:val="-12"/>
        </w:rPr>
        <w:t> </w:t>
      </w:r>
      <w:r>
        <w:rPr/>
        <w:t>used</w:t>
      </w:r>
      <w:r>
        <w:rPr>
          <w:spacing w:val="-10"/>
        </w:rPr>
        <w:t> </w:t>
      </w:r>
      <w:r>
        <w:rPr/>
        <w:t>to</w:t>
      </w:r>
      <w:r>
        <w:rPr>
          <w:spacing w:val="-12"/>
        </w:rPr>
        <w:t> </w:t>
      </w:r>
      <w:r>
        <w:rPr/>
        <w:t>determine</w:t>
      </w:r>
      <w:r>
        <w:rPr>
          <w:spacing w:val="-11"/>
        </w:rPr>
        <w:t> </w:t>
      </w:r>
      <w:r>
        <w:rPr/>
        <w:t>earnings</w:t>
      </w:r>
      <w:r>
        <w:rPr>
          <w:spacing w:val="-12"/>
        </w:rPr>
        <w:t> </w:t>
      </w:r>
      <w:r>
        <w:rPr/>
        <w:t>quality.</w:t>
      </w:r>
      <w:r>
        <w:rPr>
          <w:spacing w:val="-8"/>
        </w:rPr>
        <w:t> </w:t>
      </w:r>
      <w:r>
        <w:rPr/>
        <w:t>The</w:t>
      </w:r>
      <w:r>
        <w:rPr>
          <w:spacing w:val="-13"/>
        </w:rPr>
        <w:t> </w:t>
      </w:r>
      <w:r>
        <w:rPr/>
        <w:t>data</w:t>
      </w:r>
      <w:r>
        <w:rPr>
          <w:spacing w:val="-10"/>
        </w:rPr>
        <w:t> </w:t>
      </w:r>
      <w:r>
        <w:rPr/>
        <w:t>were</w:t>
      </w:r>
      <w:r>
        <w:rPr>
          <w:spacing w:val="-13"/>
        </w:rPr>
        <w:t> </w:t>
      </w:r>
      <w:r>
        <w:rPr/>
        <w:t>extracted</w:t>
      </w:r>
      <w:r>
        <w:rPr>
          <w:spacing w:val="-13"/>
        </w:rPr>
        <w:t> </w:t>
      </w:r>
      <w:r>
        <w:rPr/>
        <w:t>from</w:t>
      </w:r>
      <w:r>
        <w:rPr>
          <w:spacing w:val="-12"/>
        </w:rPr>
        <w:t> </w:t>
      </w:r>
      <w:r>
        <w:rPr/>
        <w:t>the</w:t>
      </w:r>
      <w:r>
        <w:rPr>
          <w:spacing w:val="-10"/>
        </w:rPr>
        <w:t> </w:t>
      </w:r>
      <w:r>
        <w:rPr/>
        <w:t>annual reports and accounts of the insurance companies over the period 2008 to 2013. The GLS estimation</w:t>
      </w:r>
      <w:r>
        <w:rPr>
          <w:spacing w:val="-11"/>
        </w:rPr>
        <w:t> </w:t>
      </w:r>
      <w:r>
        <w:rPr/>
        <w:t>technique</w:t>
      </w:r>
      <w:r>
        <w:rPr>
          <w:spacing w:val="-12"/>
        </w:rPr>
        <w:t> </w:t>
      </w:r>
      <w:r>
        <w:rPr/>
        <w:t>was</w:t>
      </w:r>
      <w:r>
        <w:rPr>
          <w:spacing w:val="-9"/>
        </w:rPr>
        <w:t> </w:t>
      </w:r>
      <w:r>
        <w:rPr/>
        <w:t>used</w:t>
      </w:r>
      <w:r>
        <w:rPr>
          <w:spacing w:val="-12"/>
        </w:rPr>
        <w:t> </w:t>
      </w:r>
      <w:r>
        <w:rPr/>
        <w:t>to</w:t>
      </w:r>
      <w:r>
        <w:rPr>
          <w:spacing w:val="-11"/>
        </w:rPr>
        <w:t> </w:t>
      </w:r>
      <w:r>
        <w:rPr/>
        <w:t>analyse</w:t>
      </w:r>
      <w:r>
        <w:rPr>
          <w:spacing w:val="-12"/>
        </w:rPr>
        <w:t> </w:t>
      </w:r>
      <w:r>
        <w:rPr/>
        <w:t>the</w:t>
      </w:r>
      <w:r>
        <w:rPr>
          <w:spacing w:val="-12"/>
        </w:rPr>
        <w:t> </w:t>
      </w:r>
      <w:r>
        <w:rPr/>
        <w:t>relationship</w:t>
      </w:r>
      <w:r>
        <w:rPr>
          <w:spacing w:val="-12"/>
        </w:rPr>
        <w:t> </w:t>
      </w:r>
      <w:r>
        <w:rPr/>
        <w:t>between</w:t>
      </w:r>
      <w:r>
        <w:rPr>
          <w:spacing w:val="-12"/>
        </w:rPr>
        <w:t> </w:t>
      </w:r>
      <w:r>
        <w:rPr/>
        <w:t>dependent</w:t>
      </w:r>
      <w:r>
        <w:rPr>
          <w:spacing w:val="-11"/>
        </w:rPr>
        <w:t> </w:t>
      </w:r>
      <w:r>
        <w:rPr/>
        <w:t>variable</w:t>
      </w:r>
      <w:r>
        <w:rPr>
          <w:spacing w:val="-12"/>
        </w:rPr>
        <w:t> </w:t>
      </w:r>
      <w:r>
        <w:rPr/>
        <w:t>earnings quality and the independent variables. The findings revealed that institutional ownership inversely influenced earnings quality. Adebiyi and Olowookere (2016) examined the relationship between corporate ownership structure and financial reporting quality among deposit money banks in Nigeria. Ownership structure variables were institutional, managerial ownership and foreign ownership. Discretionary accrual was used to measure financial reporting</w:t>
      </w:r>
      <w:r>
        <w:rPr>
          <w:spacing w:val="-15"/>
        </w:rPr>
        <w:t> </w:t>
      </w:r>
      <w:r>
        <w:rPr/>
        <w:t>quality.</w:t>
      </w:r>
      <w:r>
        <w:rPr>
          <w:spacing w:val="-15"/>
        </w:rPr>
        <w:t> </w:t>
      </w:r>
      <w:r>
        <w:rPr/>
        <w:t>The</w:t>
      </w:r>
      <w:r>
        <w:rPr>
          <w:spacing w:val="-15"/>
        </w:rPr>
        <w:t> </w:t>
      </w:r>
      <w:r>
        <w:rPr/>
        <w:t>population</w:t>
      </w:r>
      <w:r>
        <w:rPr>
          <w:spacing w:val="-15"/>
        </w:rPr>
        <w:t> </w:t>
      </w:r>
      <w:r>
        <w:rPr/>
        <w:t>of</w:t>
      </w:r>
      <w:r>
        <w:rPr>
          <w:spacing w:val="-15"/>
        </w:rPr>
        <w:t> </w:t>
      </w:r>
      <w:r>
        <w:rPr/>
        <w:t>the</w:t>
      </w:r>
      <w:r>
        <w:rPr>
          <w:spacing w:val="-15"/>
        </w:rPr>
        <w:t> </w:t>
      </w:r>
      <w:r>
        <w:rPr/>
        <w:t>study</w:t>
      </w:r>
      <w:r>
        <w:rPr>
          <w:spacing w:val="-15"/>
        </w:rPr>
        <w:t> </w:t>
      </w:r>
      <w:r>
        <w:rPr/>
        <w:t>was</w:t>
      </w:r>
      <w:r>
        <w:rPr>
          <w:spacing w:val="-15"/>
        </w:rPr>
        <w:t> </w:t>
      </w:r>
      <w:r>
        <w:rPr/>
        <w:t>twenty</w:t>
      </w:r>
      <w:r>
        <w:rPr>
          <w:spacing w:val="-15"/>
        </w:rPr>
        <w:t> </w:t>
      </w:r>
      <w:r>
        <w:rPr/>
        <w:t>listed</w:t>
      </w:r>
      <w:r>
        <w:rPr>
          <w:spacing w:val="-15"/>
        </w:rPr>
        <w:t> </w:t>
      </w:r>
      <w:r>
        <w:rPr/>
        <w:t>deposit</w:t>
      </w:r>
      <w:r>
        <w:rPr>
          <w:spacing w:val="-15"/>
        </w:rPr>
        <w:t> </w:t>
      </w:r>
      <w:r>
        <w:rPr/>
        <w:t>money</w:t>
      </w:r>
      <w:r>
        <w:rPr>
          <w:spacing w:val="-15"/>
        </w:rPr>
        <w:t> </w:t>
      </w:r>
      <w:r>
        <w:rPr/>
        <w:t>banks</w:t>
      </w:r>
      <w:r>
        <w:rPr>
          <w:spacing w:val="-15"/>
        </w:rPr>
        <w:t> </w:t>
      </w:r>
      <w:r>
        <w:rPr/>
        <w:t>in</w:t>
      </w:r>
      <w:r>
        <w:rPr>
          <w:spacing w:val="-15"/>
        </w:rPr>
        <w:t> </w:t>
      </w:r>
      <w:r>
        <w:rPr/>
        <w:t>Nigeria out of which fifteen (15) banks were sampled during the period 2005 to 2013. Using the OLS estimation technique, the findings revealed that institutional ownership exhibited inverse relationship with financial reporting quality.</w:t>
      </w:r>
    </w:p>
    <w:p>
      <w:pPr>
        <w:pStyle w:val="BodyText"/>
        <w:spacing w:line="480" w:lineRule="auto" w:before="3"/>
        <w:ind w:left="940" w:right="1440"/>
        <w:jc w:val="both"/>
      </w:pPr>
      <w:r>
        <w:rPr/>
        <w:t>Bukar, Garba, Mustapha and Karaye (2016) examined the impact of institutional ownership structure</w:t>
      </w:r>
      <w:r>
        <w:rPr>
          <w:spacing w:val="9"/>
        </w:rPr>
        <w:t> </w:t>
      </w:r>
      <w:r>
        <w:rPr/>
        <w:t>on</w:t>
      </w:r>
      <w:r>
        <w:rPr>
          <w:spacing w:val="16"/>
        </w:rPr>
        <w:t> </w:t>
      </w:r>
      <w:r>
        <w:rPr/>
        <w:t>earnings</w:t>
      </w:r>
      <w:r>
        <w:rPr>
          <w:spacing w:val="14"/>
        </w:rPr>
        <w:t> </w:t>
      </w:r>
      <w:r>
        <w:rPr/>
        <w:t>quality</w:t>
      </w:r>
      <w:r>
        <w:rPr>
          <w:spacing w:val="13"/>
        </w:rPr>
        <w:t> </w:t>
      </w:r>
      <w:r>
        <w:rPr/>
        <w:t>of</w:t>
      </w:r>
      <w:r>
        <w:rPr>
          <w:spacing w:val="13"/>
        </w:rPr>
        <w:t> </w:t>
      </w:r>
      <w:r>
        <w:rPr/>
        <w:t>listed</w:t>
      </w:r>
      <w:r>
        <w:rPr>
          <w:spacing w:val="12"/>
        </w:rPr>
        <w:t> </w:t>
      </w:r>
      <w:r>
        <w:rPr/>
        <w:t>food</w:t>
      </w:r>
      <w:r>
        <w:rPr>
          <w:spacing w:val="16"/>
        </w:rPr>
        <w:t> </w:t>
      </w:r>
      <w:r>
        <w:rPr/>
        <w:t>and</w:t>
      </w:r>
      <w:r>
        <w:rPr>
          <w:spacing w:val="13"/>
        </w:rPr>
        <w:t> </w:t>
      </w:r>
      <w:r>
        <w:rPr/>
        <w:t>tobacco</w:t>
      </w:r>
      <w:r>
        <w:rPr>
          <w:spacing w:val="15"/>
        </w:rPr>
        <w:t> </w:t>
      </w:r>
      <w:r>
        <w:rPr/>
        <w:t>firms</w:t>
      </w:r>
      <w:r>
        <w:rPr>
          <w:spacing w:val="14"/>
        </w:rPr>
        <w:t> </w:t>
      </w:r>
      <w:r>
        <w:rPr/>
        <w:t>in</w:t>
      </w:r>
      <w:r>
        <w:rPr>
          <w:spacing w:val="13"/>
        </w:rPr>
        <w:t> </w:t>
      </w:r>
      <w:r>
        <w:rPr/>
        <w:t>Nigeria.</w:t>
      </w:r>
      <w:r>
        <w:rPr>
          <w:spacing w:val="16"/>
        </w:rPr>
        <w:t> </w:t>
      </w:r>
      <w:r>
        <w:rPr/>
        <w:t>A</w:t>
      </w:r>
      <w:r>
        <w:rPr>
          <w:spacing w:val="12"/>
        </w:rPr>
        <w:t> </w:t>
      </w:r>
      <w:r>
        <w:rPr/>
        <w:t>total</w:t>
      </w:r>
      <w:r>
        <w:rPr>
          <w:spacing w:val="14"/>
        </w:rPr>
        <w:t> </w:t>
      </w:r>
      <w:r>
        <w:rPr/>
        <w:t>of</w:t>
      </w:r>
      <w:r>
        <w:rPr>
          <w:spacing w:val="12"/>
        </w:rPr>
        <w:t> </w:t>
      </w:r>
      <w:r>
        <w:rPr/>
        <w:t>16</w:t>
      </w:r>
      <w:r>
        <w:rPr>
          <w:spacing w:val="14"/>
        </w:rPr>
        <w:t> </w:t>
      </w:r>
      <w:r>
        <w:rPr>
          <w:spacing w:val="-2"/>
        </w:rPr>
        <w:t>firms</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711872">
            <wp:simplePos x="0" y="0"/>
            <wp:positionH relativeFrom="page">
              <wp:posOffset>1095451</wp:posOffset>
            </wp:positionH>
            <wp:positionV relativeFrom="paragraph">
              <wp:posOffset>1850770</wp:posOffset>
            </wp:positionV>
            <wp:extent cx="5106847" cy="5238115"/>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5" cstate="print"/>
                    <a:stretch>
                      <a:fillRect/>
                    </a:stretch>
                  </pic:blipFill>
                  <pic:spPr>
                    <a:xfrm>
                      <a:off x="0" y="0"/>
                      <a:ext cx="5106847" cy="5238115"/>
                    </a:xfrm>
                    <a:prstGeom prst="rect">
                      <a:avLst/>
                    </a:prstGeom>
                  </pic:spPr>
                </pic:pic>
              </a:graphicData>
            </a:graphic>
          </wp:anchor>
        </w:drawing>
      </w:r>
      <w:r>
        <w:rPr/>
        <w:t>listed</w:t>
      </w:r>
      <w:r>
        <w:rPr>
          <w:spacing w:val="-4"/>
        </w:rPr>
        <w:t> </w:t>
      </w:r>
      <w:r>
        <w:rPr/>
        <w:t>on</w:t>
      </w:r>
      <w:r>
        <w:rPr>
          <w:spacing w:val="-4"/>
        </w:rPr>
        <w:t> </w:t>
      </w:r>
      <w:r>
        <w:rPr/>
        <w:t>the</w:t>
      </w:r>
      <w:r>
        <w:rPr>
          <w:spacing w:val="-4"/>
        </w:rPr>
        <w:t> </w:t>
      </w:r>
      <w:r>
        <w:rPr/>
        <w:t>Nigerian</w:t>
      </w:r>
      <w:r>
        <w:rPr>
          <w:spacing w:val="-2"/>
        </w:rPr>
        <w:t> </w:t>
      </w:r>
      <w:r>
        <w:rPr/>
        <w:t>Stock</w:t>
      </w:r>
      <w:r>
        <w:rPr>
          <w:spacing w:val="-4"/>
        </w:rPr>
        <w:t> </w:t>
      </w:r>
      <w:r>
        <w:rPr/>
        <w:t>Exchange</w:t>
      </w:r>
      <w:r>
        <w:rPr>
          <w:spacing w:val="-3"/>
        </w:rPr>
        <w:t> </w:t>
      </w:r>
      <w:r>
        <w:rPr/>
        <w:t>for</w:t>
      </w:r>
      <w:r>
        <w:rPr>
          <w:spacing w:val="-3"/>
        </w:rPr>
        <w:t> </w:t>
      </w:r>
      <w:r>
        <w:rPr/>
        <w:t>the</w:t>
      </w:r>
      <w:r>
        <w:rPr>
          <w:spacing w:val="-4"/>
        </w:rPr>
        <w:t> </w:t>
      </w:r>
      <w:r>
        <w:rPr/>
        <w:t>period</w:t>
      </w:r>
      <w:r>
        <w:rPr>
          <w:spacing w:val="-4"/>
        </w:rPr>
        <w:t> </w:t>
      </w:r>
      <w:r>
        <w:rPr/>
        <w:t>2005-2013</w:t>
      </w:r>
      <w:r>
        <w:rPr>
          <w:spacing w:val="-4"/>
        </w:rPr>
        <w:t> </w:t>
      </w:r>
      <w:r>
        <w:rPr/>
        <w:t>were</w:t>
      </w:r>
      <w:r>
        <w:rPr>
          <w:spacing w:val="-5"/>
        </w:rPr>
        <w:t> </w:t>
      </w:r>
      <w:r>
        <w:rPr/>
        <w:t>used.</w:t>
      </w:r>
      <w:r>
        <w:rPr>
          <w:spacing w:val="-1"/>
        </w:rPr>
        <w:t> </w:t>
      </w:r>
      <w:r>
        <w:rPr/>
        <w:t>The</w:t>
      </w:r>
      <w:r>
        <w:rPr>
          <w:spacing w:val="-3"/>
        </w:rPr>
        <w:t> </w:t>
      </w:r>
      <w:r>
        <w:rPr/>
        <w:t>findings</w:t>
      </w:r>
      <w:r>
        <w:rPr>
          <w:spacing w:val="-4"/>
        </w:rPr>
        <w:t> </w:t>
      </w:r>
      <w:r>
        <w:rPr/>
        <w:t>from the study showed that a significant positive relationship existed between institutional ownership</w:t>
      </w:r>
      <w:r>
        <w:rPr>
          <w:spacing w:val="-1"/>
        </w:rPr>
        <w:t> </w:t>
      </w:r>
      <w:r>
        <w:rPr/>
        <w:t>and</w:t>
      </w:r>
      <w:r>
        <w:rPr>
          <w:spacing w:val="-1"/>
        </w:rPr>
        <w:t> </w:t>
      </w:r>
      <w:r>
        <w:rPr/>
        <w:t>earnings</w:t>
      </w:r>
      <w:r>
        <w:rPr>
          <w:spacing w:val="-1"/>
        </w:rPr>
        <w:t> </w:t>
      </w:r>
      <w:r>
        <w:rPr/>
        <w:t>quality.</w:t>
      </w:r>
      <w:r>
        <w:rPr>
          <w:spacing w:val="-1"/>
        </w:rPr>
        <w:t> </w:t>
      </w:r>
      <w:r>
        <w:rPr/>
        <w:t>The</w:t>
      </w:r>
      <w:r>
        <w:rPr>
          <w:spacing w:val="-3"/>
        </w:rPr>
        <w:t> </w:t>
      </w:r>
      <w:r>
        <w:rPr/>
        <w:t>studies by</w:t>
      </w:r>
      <w:r>
        <w:rPr>
          <w:spacing w:val="-1"/>
        </w:rPr>
        <w:t> </w:t>
      </w:r>
      <w:r>
        <w:rPr/>
        <w:t>Adebiyi</w:t>
      </w:r>
      <w:r>
        <w:rPr>
          <w:spacing w:val="-1"/>
        </w:rPr>
        <w:t> </w:t>
      </w:r>
      <w:r>
        <w:rPr/>
        <w:t>and</w:t>
      </w:r>
      <w:r>
        <w:rPr>
          <w:spacing w:val="-1"/>
        </w:rPr>
        <w:t> </w:t>
      </w:r>
      <w:r>
        <w:rPr/>
        <w:t>Olowookere</w:t>
      </w:r>
      <w:r>
        <w:rPr>
          <w:spacing w:val="-3"/>
        </w:rPr>
        <w:t> </w:t>
      </w:r>
      <w:r>
        <w:rPr/>
        <w:t>(2016)</w:t>
      </w:r>
      <w:r>
        <w:rPr>
          <w:spacing w:val="-2"/>
        </w:rPr>
        <w:t> </w:t>
      </w:r>
      <w:r>
        <w:rPr/>
        <w:t>and</w:t>
      </w:r>
      <w:r>
        <w:rPr>
          <w:spacing w:val="-1"/>
        </w:rPr>
        <w:t> </w:t>
      </w:r>
      <w:r>
        <w:rPr/>
        <w:t>Teshima and</w:t>
      </w:r>
      <w:r>
        <w:rPr>
          <w:spacing w:val="-6"/>
        </w:rPr>
        <w:t> </w:t>
      </w:r>
      <w:r>
        <w:rPr/>
        <w:t>Shuto</w:t>
      </w:r>
      <w:r>
        <w:rPr>
          <w:spacing w:val="-5"/>
        </w:rPr>
        <w:t> </w:t>
      </w:r>
      <w:r>
        <w:rPr/>
        <w:t>(2008)</w:t>
      </w:r>
      <w:r>
        <w:rPr>
          <w:spacing w:val="-7"/>
        </w:rPr>
        <w:t> </w:t>
      </w:r>
      <w:r>
        <w:rPr/>
        <w:t>found</w:t>
      </w:r>
      <w:r>
        <w:rPr>
          <w:spacing w:val="-6"/>
        </w:rPr>
        <w:t> </w:t>
      </w:r>
      <w:r>
        <w:rPr/>
        <w:t>that</w:t>
      </w:r>
      <w:r>
        <w:rPr>
          <w:spacing w:val="-5"/>
        </w:rPr>
        <w:t> </w:t>
      </w:r>
      <w:r>
        <w:rPr/>
        <w:t>companies</w:t>
      </w:r>
      <w:r>
        <w:rPr>
          <w:spacing w:val="-6"/>
        </w:rPr>
        <w:t> </w:t>
      </w:r>
      <w:r>
        <w:rPr/>
        <w:t>with</w:t>
      </w:r>
      <w:r>
        <w:rPr>
          <w:spacing w:val="-5"/>
        </w:rPr>
        <w:t> </w:t>
      </w:r>
      <w:r>
        <w:rPr/>
        <w:t>high</w:t>
      </w:r>
      <w:r>
        <w:rPr>
          <w:spacing w:val="-8"/>
        </w:rPr>
        <w:t> </w:t>
      </w:r>
      <w:r>
        <w:rPr/>
        <w:t>institutional</w:t>
      </w:r>
      <w:r>
        <w:rPr>
          <w:spacing w:val="-8"/>
        </w:rPr>
        <w:t> </w:t>
      </w:r>
      <w:r>
        <w:rPr/>
        <w:t>investors</w:t>
      </w:r>
      <w:r>
        <w:rPr>
          <w:spacing w:val="-6"/>
        </w:rPr>
        <w:t> </w:t>
      </w:r>
      <w:r>
        <w:rPr/>
        <w:t>produced</w:t>
      </w:r>
      <w:r>
        <w:rPr>
          <w:spacing w:val="-6"/>
        </w:rPr>
        <w:t> </w:t>
      </w:r>
      <w:r>
        <w:rPr/>
        <w:t>high</w:t>
      </w:r>
      <w:r>
        <w:rPr>
          <w:spacing w:val="-5"/>
        </w:rPr>
        <w:t> </w:t>
      </w:r>
      <w:r>
        <w:rPr/>
        <w:t>quality financial disclosure compared with companies with low institutional ownership. Ali, Trabelsi and Summa (2014) investigated the relationship between disclosure quality and ownership structure</w:t>
      </w:r>
      <w:r>
        <w:rPr>
          <w:spacing w:val="-4"/>
        </w:rPr>
        <w:t> </w:t>
      </w:r>
      <w:r>
        <w:rPr/>
        <w:t>from</w:t>
      </w:r>
      <w:r>
        <w:rPr>
          <w:spacing w:val="-2"/>
        </w:rPr>
        <w:t> </w:t>
      </w:r>
      <w:r>
        <w:rPr/>
        <w:t>the</w:t>
      </w:r>
      <w:r>
        <w:rPr>
          <w:spacing w:val="-1"/>
        </w:rPr>
        <w:t> </w:t>
      </w:r>
      <w:r>
        <w:rPr/>
        <w:t>French</w:t>
      </w:r>
      <w:r>
        <w:rPr>
          <w:spacing w:val="-1"/>
        </w:rPr>
        <w:t> </w:t>
      </w:r>
      <w:r>
        <w:rPr/>
        <w:t>stock</w:t>
      </w:r>
      <w:r>
        <w:rPr>
          <w:spacing w:val="-2"/>
        </w:rPr>
        <w:t> </w:t>
      </w:r>
      <w:r>
        <w:rPr/>
        <w:t>market.</w:t>
      </w:r>
      <w:r>
        <w:rPr>
          <w:spacing w:val="-1"/>
        </w:rPr>
        <w:t> </w:t>
      </w:r>
      <w:r>
        <w:rPr/>
        <w:t>The</w:t>
      </w:r>
      <w:r>
        <w:rPr>
          <w:spacing w:val="-4"/>
        </w:rPr>
        <w:t> </w:t>
      </w:r>
      <w:r>
        <w:rPr/>
        <w:t>study</w:t>
      </w:r>
      <w:r>
        <w:rPr>
          <w:spacing w:val="-1"/>
        </w:rPr>
        <w:t> </w:t>
      </w:r>
      <w:r>
        <w:rPr/>
        <w:t>sampled</w:t>
      </w:r>
      <w:r>
        <w:rPr>
          <w:spacing w:val="-2"/>
        </w:rPr>
        <w:t> </w:t>
      </w:r>
      <w:r>
        <w:rPr/>
        <w:t>86</w:t>
      </w:r>
      <w:r>
        <w:rPr>
          <w:spacing w:val="-2"/>
        </w:rPr>
        <w:t> </w:t>
      </w:r>
      <w:r>
        <w:rPr/>
        <w:t>French</w:t>
      </w:r>
      <w:r>
        <w:rPr>
          <w:spacing w:val="-1"/>
        </w:rPr>
        <w:t> </w:t>
      </w:r>
      <w:r>
        <w:rPr/>
        <w:t>companies</w:t>
      </w:r>
      <w:r>
        <w:rPr>
          <w:spacing w:val="-2"/>
        </w:rPr>
        <w:t> </w:t>
      </w:r>
      <w:r>
        <w:rPr/>
        <w:t>listed</w:t>
      </w:r>
      <w:r>
        <w:rPr>
          <w:spacing w:val="-2"/>
        </w:rPr>
        <w:t> </w:t>
      </w:r>
      <w:r>
        <w:rPr/>
        <w:t>on</w:t>
      </w:r>
      <w:r>
        <w:rPr>
          <w:spacing w:val="-2"/>
        </w:rPr>
        <w:t> </w:t>
      </w:r>
      <w:r>
        <w:rPr/>
        <w:t>the French</w:t>
      </w:r>
      <w:r>
        <w:rPr>
          <w:spacing w:val="-8"/>
        </w:rPr>
        <w:t> </w:t>
      </w:r>
      <w:r>
        <w:rPr/>
        <w:t>Stock</w:t>
      </w:r>
      <w:r>
        <w:rPr>
          <w:spacing w:val="-9"/>
        </w:rPr>
        <w:t> </w:t>
      </w:r>
      <w:r>
        <w:rPr/>
        <w:t>Market.</w:t>
      </w:r>
      <w:r>
        <w:rPr>
          <w:spacing w:val="-7"/>
        </w:rPr>
        <w:t> </w:t>
      </w:r>
      <w:r>
        <w:rPr/>
        <w:t>The</w:t>
      </w:r>
      <w:r>
        <w:rPr>
          <w:spacing w:val="-9"/>
        </w:rPr>
        <w:t> </w:t>
      </w:r>
      <w:r>
        <w:rPr/>
        <w:t>findings</w:t>
      </w:r>
      <w:r>
        <w:rPr>
          <w:spacing w:val="-8"/>
        </w:rPr>
        <w:t> </w:t>
      </w:r>
      <w:r>
        <w:rPr/>
        <w:t>showed</w:t>
      </w:r>
      <w:r>
        <w:rPr>
          <w:spacing w:val="-8"/>
        </w:rPr>
        <w:t> </w:t>
      </w:r>
      <w:r>
        <w:rPr/>
        <w:t>that</w:t>
      </w:r>
      <w:r>
        <w:rPr>
          <w:spacing w:val="-8"/>
        </w:rPr>
        <w:t> </w:t>
      </w:r>
      <w:r>
        <w:rPr/>
        <w:t>French</w:t>
      </w:r>
      <w:r>
        <w:rPr>
          <w:spacing w:val="-8"/>
        </w:rPr>
        <w:t> </w:t>
      </w:r>
      <w:r>
        <w:rPr/>
        <w:t>listed</w:t>
      </w:r>
      <w:r>
        <w:rPr>
          <w:spacing w:val="-9"/>
        </w:rPr>
        <w:t> </w:t>
      </w:r>
      <w:r>
        <w:rPr/>
        <w:t>firms</w:t>
      </w:r>
      <w:r>
        <w:rPr>
          <w:spacing w:val="-8"/>
        </w:rPr>
        <w:t> </w:t>
      </w:r>
      <w:r>
        <w:rPr/>
        <w:t>produced</w:t>
      </w:r>
      <w:r>
        <w:rPr>
          <w:spacing w:val="-6"/>
        </w:rPr>
        <w:t> </w:t>
      </w:r>
      <w:r>
        <w:rPr/>
        <w:t>a</w:t>
      </w:r>
      <w:r>
        <w:rPr>
          <w:spacing w:val="-9"/>
        </w:rPr>
        <w:t> </w:t>
      </w:r>
      <w:r>
        <w:rPr/>
        <w:t>high</w:t>
      </w:r>
      <w:r>
        <w:rPr>
          <w:spacing w:val="-8"/>
        </w:rPr>
        <w:t> </w:t>
      </w:r>
      <w:r>
        <w:rPr/>
        <w:t>disclosure quality due to the presence of large institutional investors in corporate organisations. Ayadi and</w:t>
      </w:r>
      <w:r>
        <w:rPr>
          <w:spacing w:val="-8"/>
        </w:rPr>
        <w:t> </w:t>
      </w:r>
      <w:r>
        <w:rPr/>
        <w:t>Boujelbene</w:t>
      </w:r>
      <w:r>
        <w:rPr>
          <w:spacing w:val="-7"/>
        </w:rPr>
        <w:t> </w:t>
      </w:r>
      <w:r>
        <w:rPr/>
        <w:t>(2014)</w:t>
      </w:r>
      <w:r>
        <w:rPr>
          <w:spacing w:val="-7"/>
        </w:rPr>
        <w:t> </w:t>
      </w:r>
      <w:r>
        <w:rPr/>
        <w:t>investigated</w:t>
      </w:r>
      <w:r>
        <w:rPr>
          <w:spacing w:val="-9"/>
        </w:rPr>
        <w:t> </w:t>
      </w:r>
      <w:r>
        <w:rPr/>
        <w:t>the</w:t>
      </w:r>
      <w:r>
        <w:rPr>
          <w:spacing w:val="-6"/>
        </w:rPr>
        <w:t> </w:t>
      </w:r>
      <w:r>
        <w:rPr/>
        <w:t>relationship</w:t>
      </w:r>
      <w:r>
        <w:rPr>
          <w:spacing w:val="-8"/>
        </w:rPr>
        <w:t> </w:t>
      </w:r>
      <w:r>
        <w:rPr/>
        <w:t>between</w:t>
      </w:r>
      <w:r>
        <w:rPr>
          <w:spacing w:val="-8"/>
        </w:rPr>
        <w:t> </w:t>
      </w:r>
      <w:r>
        <w:rPr/>
        <w:t>ownership</w:t>
      </w:r>
      <w:r>
        <w:rPr>
          <w:spacing w:val="-8"/>
        </w:rPr>
        <w:t> </w:t>
      </w:r>
      <w:r>
        <w:rPr/>
        <w:t>structure</w:t>
      </w:r>
      <w:r>
        <w:rPr>
          <w:spacing w:val="-7"/>
        </w:rPr>
        <w:t> </w:t>
      </w:r>
      <w:r>
        <w:rPr/>
        <w:t>and</w:t>
      </w:r>
      <w:r>
        <w:rPr>
          <w:spacing w:val="-8"/>
        </w:rPr>
        <w:t> </w:t>
      </w:r>
      <w:r>
        <w:rPr/>
        <w:t>earnings quality. Earnings quality was a proxy for earnings management (Kothari, 2005) and informativeness (regressing stock return on accounting data) while ownership structure was a proxy</w:t>
      </w:r>
      <w:r>
        <w:rPr>
          <w:spacing w:val="-9"/>
        </w:rPr>
        <w:t> </w:t>
      </w:r>
      <w:r>
        <w:rPr/>
        <w:t>for</w:t>
      </w:r>
      <w:r>
        <w:rPr>
          <w:spacing w:val="-7"/>
        </w:rPr>
        <w:t> </w:t>
      </w:r>
      <w:r>
        <w:rPr/>
        <w:t>institutional,</w:t>
      </w:r>
      <w:r>
        <w:rPr>
          <w:spacing w:val="-8"/>
        </w:rPr>
        <w:t> </w:t>
      </w:r>
      <w:r>
        <w:rPr/>
        <w:t>managerial</w:t>
      </w:r>
      <w:r>
        <w:rPr>
          <w:spacing w:val="-8"/>
        </w:rPr>
        <w:t> </w:t>
      </w:r>
      <w:r>
        <w:rPr/>
        <w:t>ownership</w:t>
      </w:r>
      <w:r>
        <w:rPr>
          <w:spacing w:val="-8"/>
        </w:rPr>
        <w:t> </w:t>
      </w:r>
      <w:r>
        <w:rPr/>
        <w:t>and</w:t>
      </w:r>
      <w:r>
        <w:rPr>
          <w:spacing w:val="-4"/>
        </w:rPr>
        <w:t> </w:t>
      </w:r>
      <w:r>
        <w:rPr/>
        <w:t>ownership</w:t>
      </w:r>
      <w:r>
        <w:rPr>
          <w:spacing w:val="-8"/>
        </w:rPr>
        <w:t> </w:t>
      </w:r>
      <w:r>
        <w:rPr/>
        <w:t>concentration.</w:t>
      </w:r>
      <w:r>
        <w:rPr>
          <w:spacing w:val="-8"/>
        </w:rPr>
        <w:t> </w:t>
      </w:r>
      <w:r>
        <w:rPr/>
        <w:t>The</w:t>
      </w:r>
      <w:r>
        <w:rPr>
          <w:spacing w:val="-9"/>
        </w:rPr>
        <w:t> </w:t>
      </w:r>
      <w:r>
        <w:rPr/>
        <w:t>study</w:t>
      </w:r>
      <w:r>
        <w:rPr>
          <w:spacing w:val="-5"/>
        </w:rPr>
        <w:t> </w:t>
      </w:r>
      <w:r>
        <w:rPr/>
        <w:t>focused on a sample of 117 French companies belonging to the SBF 250 index for the period 2003- 2011. The results showed that institutional ownership exhibited a positive impact on earnings informativeness. Lawal and Mohammad (2014) investigated the effect of ownership structure on</w:t>
      </w:r>
      <w:r>
        <w:rPr>
          <w:spacing w:val="-15"/>
        </w:rPr>
        <w:t> </w:t>
      </w:r>
      <w:r>
        <w:rPr/>
        <w:t>informativeness</w:t>
      </w:r>
      <w:r>
        <w:rPr>
          <w:spacing w:val="-15"/>
        </w:rPr>
        <w:t> </w:t>
      </w:r>
      <w:r>
        <w:rPr/>
        <w:t>of</w:t>
      </w:r>
      <w:r>
        <w:rPr>
          <w:spacing w:val="-15"/>
        </w:rPr>
        <w:t> </w:t>
      </w:r>
      <w:r>
        <w:rPr/>
        <w:t>accounting</w:t>
      </w:r>
      <w:r>
        <w:rPr>
          <w:spacing w:val="-15"/>
        </w:rPr>
        <w:t> </w:t>
      </w:r>
      <w:r>
        <w:rPr/>
        <w:t>earnings</w:t>
      </w:r>
      <w:r>
        <w:rPr>
          <w:spacing w:val="-15"/>
        </w:rPr>
        <w:t> </w:t>
      </w:r>
      <w:r>
        <w:rPr/>
        <w:t>of</w:t>
      </w:r>
      <w:r>
        <w:rPr>
          <w:spacing w:val="-15"/>
        </w:rPr>
        <w:t> </w:t>
      </w:r>
      <w:r>
        <w:rPr/>
        <w:t>listed</w:t>
      </w:r>
      <w:r>
        <w:rPr>
          <w:spacing w:val="-15"/>
        </w:rPr>
        <w:t> </w:t>
      </w:r>
      <w:r>
        <w:rPr/>
        <w:t>deposit</w:t>
      </w:r>
      <w:r>
        <w:rPr>
          <w:spacing w:val="-15"/>
        </w:rPr>
        <w:t> </w:t>
      </w:r>
      <w:r>
        <w:rPr/>
        <w:t>money</w:t>
      </w:r>
      <w:r>
        <w:rPr>
          <w:spacing w:val="-15"/>
        </w:rPr>
        <w:t> </w:t>
      </w:r>
      <w:r>
        <w:rPr/>
        <w:t>banks</w:t>
      </w:r>
      <w:r>
        <w:rPr>
          <w:spacing w:val="-15"/>
        </w:rPr>
        <w:t> </w:t>
      </w:r>
      <w:r>
        <w:rPr/>
        <w:t>in</w:t>
      </w:r>
      <w:r>
        <w:rPr>
          <w:spacing w:val="-15"/>
        </w:rPr>
        <w:t> </w:t>
      </w:r>
      <w:r>
        <w:rPr/>
        <w:t>Nigeria.</w:t>
      </w:r>
      <w:r>
        <w:rPr>
          <w:spacing w:val="-15"/>
        </w:rPr>
        <w:t> </w:t>
      </w:r>
      <w:r>
        <w:rPr/>
        <w:t>Ownership structure was measured by institutional, managerial and ownership concentration while informativeness</w:t>
      </w:r>
      <w:r>
        <w:rPr>
          <w:spacing w:val="-7"/>
        </w:rPr>
        <w:t> </w:t>
      </w:r>
      <w:r>
        <w:rPr/>
        <w:t>of</w:t>
      </w:r>
      <w:r>
        <w:rPr>
          <w:spacing w:val="-6"/>
        </w:rPr>
        <w:t> </w:t>
      </w:r>
      <w:r>
        <w:rPr/>
        <w:t>earnings</w:t>
      </w:r>
      <w:r>
        <w:rPr>
          <w:spacing w:val="-7"/>
        </w:rPr>
        <w:t> </w:t>
      </w:r>
      <w:r>
        <w:rPr/>
        <w:t>was</w:t>
      </w:r>
      <w:r>
        <w:rPr>
          <w:spacing w:val="-6"/>
        </w:rPr>
        <w:t> </w:t>
      </w:r>
      <w:r>
        <w:rPr/>
        <w:t>a</w:t>
      </w:r>
      <w:r>
        <w:rPr>
          <w:spacing w:val="-6"/>
        </w:rPr>
        <w:t> </w:t>
      </w:r>
      <w:r>
        <w:rPr/>
        <w:t>proxy</w:t>
      </w:r>
      <w:r>
        <w:rPr>
          <w:spacing w:val="-6"/>
        </w:rPr>
        <w:t> </w:t>
      </w:r>
      <w:r>
        <w:rPr/>
        <w:t>for</w:t>
      </w:r>
      <w:r>
        <w:rPr>
          <w:spacing w:val="-6"/>
        </w:rPr>
        <w:t> </w:t>
      </w:r>
      <w:r>
        <w:rPr/>
        <w:t>Fan</w:t>
      </w:r>
      <w:r>
        <w:rPr>
          <w:spacing w:val="-5"/>
        </w:rPr>
        <w:t> </w:t>
      </w:r>
      <w:r>
        <w:rPr/>
        <w:t>and</w:t>
      </w:r>
      <w:r>
        <w:rPr>
          <w:spacing w:val="-7"/>
        </w:rPr>
        <w:t> </w:t>
      </w:r>
      <w:r>
        <w:rPr/>
        <w:t>Wong</w:t>
      </w:r>
      <w:r>
        <w:rPr>
          <w:spacing w:val="-7"/>
        </w:rPr>
        <w:t> </w:t>
      </w:r>
      <w:r>
        <w:rPr/>
        <w:t>(2002)</w:t>
      </w:r>
      <w:r>
        <w:rPr>
          <w:spacing w:val="-8"/>
        </w:rPr>
        <w:t> </w:t>
      </w:r>
      <w:r>
        <w:rPr/>
        <w:t>model.</w:t>
      </w:r>
      <w:r>
        <w:rPr>
          <w:spacing w:val="-7"/>
        </w:rPr>
        <w:t> </w:t>
      </w:r>
      <w:r>
        <w:rPr/>
        <w:t>Purposive</w:t>
      </w:r>
      <w:r>
        <w:rPr>
          <w:spacing w:val="-8"/>
        </w:rPr>
        <w:t> </w:t>
      </w:r>
      <w:r>
        <w:rPr/>
        <w:t>sampling technique</w:t>
      </w:r>
      <w:r>
        <w:rPr>
          <w:spacing w:val="-8"/>
        </w:rPr>
        <w:t> </w:t>
      </w:r>
      <w:r>
        <w:rPr/>
        <w:t>was</w:t>
      </w:r>
      <w:r>
        <w:rPr>
          <w:spacing w:val="-5"/>
        </w:rPr>
        <w:t> </w:t>
      </w:r>
      <w:r>
        <w:rPr/>
        <w:t>applied</w:t>
      </w:r>
      <w:r>
        <w:rPr>
          <w:spacing w:val="-7"/>
        </w:rPr>
        <w:t> </w:t>
      </w:r>
      <w:r>
        <w:rPr/>
        <w:t>to</w:t>
      </w:r>
      <w:r>
        <w:rPr>
          <w:spacing w:val="-7"/>
        </w:rPr>
        <w:t> </w:t>
      </w:r>
      <w:r>
        <w:rPr/>
        <w:t>filter</w:t>
      </w:r>
      <w:r>
        <w:rPr>
          <w:spacing w:val="-8"/>
        </w:rPr>
        <w:t> </w:t>
      </w:r>
      <w:r>
        <w:rPr/>
        <w:t>out</w:t>
      </w:r>
      <w:r>
        <w:rPr>
          <w:spacing w:val="-6"/>
        </w:rPr>
        <w:t> </w:t>
      </w:r>
      <w:r>
        <w:rPr/>
        <w:t>some</w:t>
      </w:r>
      <w:r>
        <w:rPr>
          <w:spacing w:val="-7"/>
        </w:rPr>
        <w:t> </w:t>
      </w:r>
      <w:r>
        <w:rPr/>
        <w:t>banks</w:t>
      </w:r>
      <w:r>
        <w:rPr>
          <w:spacing w:val="-7"/>
        </w:rPr>
        <w:t> </w:t>
      </w:r>
      <w:r>
        <w:rPr/>
        <w:t>which</w:t>
      </w:r>
      <w:r>
        <w:rPr>
          <w:spacing w:val="-7"/>
        </w:rPr>
        <w:t> </w:t>
      </w:r>
      <w:r>
        <w:rPr/>
        <w:t>resulted</w:t>
      </w:r>
      <w:r>
        <w:rPr>
          <w:spacing w:val="-7"/>
        </w:rPr>
        <w:t> </w:t>
      </w:r>
      <w:r>
        <w:rPr/>
        <w:t>to</w:t>
      </w:r>
      <w:r>
        <w:rPr>
          <w:spacing w:val="-7"/>
        </w:rPr>
        <w:t> </w:t>
      </w:r>
      <w:r>
        <w:rPr/>
        <w:t>a</w:t>
      </w:r>
      <w:r>
        <w:rPr>
          <w:spacing w:val="-8"/>
        </w:rPr>
        <w:t> </w:t>
      </w:r>
      <w:r>
        <w:rPr/>
        <w:t>sample</w:t>
      </w:r>
      <w:r>
        <w:rPr>
          <w:spacing w:val="-8"/>
        </w:rPr>
        <w:t> </w:t>
      </w:r>
      <w:r>
        <w:rPr/>
        <w:t>size</w:t>
      </w:r>
      <w:r>
        <w:rPr>
          <w:spacing w:val="-8"/>
        </w:rPr>
        <w:t> </w:t>
      </w:r>
      <w:r>
        <w:rPr/>
        <w:t>of</w:t>
      </w:r>
      <w:r>
        <w:rPr>
          <w:spacing w:val="-8"/>
        </w:rPr>
        <w:t> </w:t>
      </w:r>
      <w:r>
        <w:rPr/>
        <w:t>ten</w:t>
      </w:r>
      <w:r>
        <w:rPr>
          <w:spacing w:val="-8"/>
        </w:rPr>
        <w:t> </w:t>
      </w:r>
      <w:r>
        <w:rPr/>
        <w:t>(10)</w:t>
      </w:r>
      <w:r>
        <w:rPr>
          <w:spacing w:val="-8"/>
        </w:rPr>
        <w:t> </w:t>
      </w:r>
      <w:r>
        <w:rPr/>
        <w:t>from a</w:t>
      </w:r>
      <w:r>
        <w:rPr>
          <w:spacing w:val="-7"/>
        </w:rPr>
        <w:t> </w:t>
      </w:r>
      <w:r>
        <w:rPr/>
        <w:t>population</w:t>
      </w:r>
      <w:r>
        <w:rPr>
          <w:spacing w:val="-6"/>
        </w:rPr>
        <w:t> </w:t>
      </w:r>
      <w:r>
        <w:rPr/>
        <w:t>of</w:t>
      </w:r>
      <w:r>
        <w:rPr>
          <w:spacing w:val="-7"/>
        </w:rPr>
        <w:t> </w:t>
      </w:r>
      <w:r>
        <w:rPr/>
        <w:t>seventeen</w:t>
      </w:r>
      <w:r>
        <w:rPr>
          <w:spacing w:val="-4"/>
        </w:rPr>
        <w:t> </w:t>
      </w:r>
      <w:r>
        <w:rPr/>
        <w:t>(17).</w:t>
      </w:r>
      <w:r>
        <w:rPr>
          <w:spacing w:val="-7"/>
        </w:rPr>
        <w:t> </w:t>
      </w:r>
      <w:r>
        <w:rPr/>
        <w:t>Secondary</w:t>
      </w:r>
      <w:r>
        <w:rPr>
          <w:spacing w:val="-7"/>
        </w:rPr>
        <w:t> </w:t>
      </w:r>
      <w:r>
        <w:rPr/>
        <w:t>source</w:t>
      </w:r>
      <w:r>
        <w:rPr>
          <w:spacing w:val="-7"/>
        </w:rPr>
        <w:t> </w:t>
      </w:r>
      <w:r>
        <w:rPr/>
        <w:t>of</w:t>
      </w:r>
      <w:r>
        <w:rPr>
          <w:spacing w:val="-7"/>
        </w:rPr>
        <w:t> </w:t>
      </w:r>
      <w:r>
        <w:rPr/>
        <w:t>data</w:t>
      </w:r>
      <w:r>
        <w:rPr>
          <w:spacing w:val="-7"/>
        </w:rPr>
        <w:t> </w:t>
      </w:r>
      <w:r>
        <w:rPr/>
        <w:t>was</w:t>
      </w:r>
      <w:r>
        <w:rPr>
          <w:spacing w:val="-6"/>
        </w:rPr>
        <w:t> </w:t>
      </w:r>
      <w:r>
        <w:rPr/>
        <w:t>used</w:t>
      </w:r>
      <w:r>
        <w:rPr>
          <w:spacing w:val="-4"/>
        </w:rPr>
        <w:t> </w:t>
      </w:r>
      <w:r>
        <w:rPr/>
        <w:t>and</w:t>
      </w:r>
      <w:r>
        <w:rPr>
          <w:spacing w:val="-6"/>
        </w:rPr>
        <w:t> </w:t>
      </w:r>
      <w:r>
        <w:rPr/>
        <w:t>the</w:t>
      </w:r>
      <w:r>
        <w:rPr>
          <w:spacing w:val="-7"/>
        </w:rPr>
        <w:t> </w:t>
      </w:r>
      <w:r>
        <w:rPr/>
        <w:t>period</w:t>
      </w:r>
      <w:r>
        <w:rPr>
          <w:spacing w:val="-7"/>
        </w:rPr>
        <w:t> </w:t>
      </w:r>
      <w:r>
        <w:rPr/>
        <w:t>of</w:t>
      </w:r>
      <w:r>
        <w:rPr>
          <w:spacing w:val="-7"/>
        </w:rPr>
        <w:t> </w:t>
      </w:r>
      <w:r>
        <w:rPr/>
        <w:t>study</w:t>
      </w:r>
      <w:r>
        <w:rPr>
          <w:spacing w:val="-6"/>
        </w:rPr>
        <w:t> </w:t>
      </w:r>
      <w:r>
        <w:rPr/>
        <w:t>was from 2006-2012. Pooled regression model was adopted to analyse the data. The findings revealed that institutional ownership exhibited no significant impact on informativeness of accounting earnings.</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712384">
            <wp:simplePos x="0" y="0"/>
            <wp:positionH relativeFrom="page">
              <wp:posOffset>1095451</wp:posOffset>
            </wp:positionH>
            <wp:positionV relativeFrom="paragraph">
              <wp:posOffset>1850770</wp:posOffset>
            </wp:positionV>
            <wp:extent cx="5106847" cy="523811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5" cstate="print"/>
                    <a:stretch>
                      <a:fillRect/>
                    </a:stretch>
                  </pic:blipFill>
                  <pic:spPr>
                    <a:xfrm>
                      <a:off x="0" y="0"/>
                      <a:ext cx="5106847" cy="5238115"/>
                    </a:xfrm>
                    <a:prstGeom prst="rect">
                      <a:avLst/>
                    </a:prstGeom>
                  </pic:spPr>
                </pic:pic>
              </a:graphicData>
            </a:graphic>
          </wp:anchor>
        </w:drawing>
      </w:r>
      <w:r>
        <w:rPr/>
        <w:t>Muhammad (2014) examined the effect of Ownership structure on informativeness of accounting</w:t>
      </w:r>
      <w:r>
        <w:rPr>
          <w:spacing w:val="-14"/>
        </w:rPr>
        <w:t> </w:t>
      </w:r>
      <w:r>
        <w:rPr/>
        <w:t>earnings</w:t>
      </w:r>
      <w:r>
        <w:rPr>
          <w:spacing w:val="-14"/>
        </w:rPr>
        <w:t> </w:t>
      </w:r>
      <w:r>
        <w:rPr/>
        <w:t>of</w:t>
      </w:r>
      <w:r>
        <w:rPr>
          <w:spacing w:val="-15"/>
        </w:rPr>
        <w:t> </w:t>
      </w:r>
      <w:r>
        <w:rPr/>
        <w:t>listed</w:t>
      </w:r>
      <w:r>
        <w:rPr>
          <w:spacing w:val="-13"/>
        </w:rPr>
        <w:t> </w:t>
      </w:r>
      <w:r>
        <w:rPr/>
        <w:t>deposit</w:t>
      </w:r>
      <w:r>
        <w:rPr>
          <w:spacing w:val="-14"/>
        </w:rPr>
        <w:t> </w:t>
      </w:r>
      <w:r>
        <w:rPr/>
        <w:t>money</w:t>
      </w:r>
      <w:r>
        <w:rPr>
          <w:spacing w:val="-14"/>
        </w:rPr>
        <w:t> </w:t>
      </w:r>
      <w:r>
        <w:rPr/>
        <w:t>banks</w:t>
      </w:r>
      <w:r>
        <w:rPr>
          <w:spacing w:val="-12"/>
        </w:rPr>
        <w:t> </w:t>
      </w:r>
      <w:r>
        <w:rPr/>
        <w:t>in</w:t>
      </w:r>
      <w:r>
        <w:rPr>
          <w:spacing w:val="-14"/>
        </w:rPr>
        <w:t> </w:t>
      </w:r>
      <w:r>
        <w:rPr/>
        <w:t>Nigeria.</w:t>
      </w:r>
      <w:r>
        <w:rPr>
          <w:spacing w:val="-12"/>
        </w:rPr>
        <w:t> </w:t>
      </w:r>
      <w:r>
        <w:rPr/>
        <w:t>Ownership</w:t>
      </w:r>
      <w:r>
        <w:rPr>
          <w:spacing w:val="-14"/>
        </w:rPr>
        <w:t> </w:t>
      </w:r>
      <w:r>
        <w:rPr/>
        <w:t>structure</w:t>
      </w:r>
      <w:r>
        <w:rPr>
          <w:spacing w:val="-14"/>
        </w:rPr>
        <w:t> </w:t>
      </w:r>
      <w:r>
        <w:rPr/>
        <w:t>was</w:t>
      </w:r>
      <w:r>
        <w:rPr>
          <w:spacing w:val="-14"/>
        </w:rPr>
        <w:t> </w:t>
      </w:r>
      <w:r>
        <w:rPr/>
        <w:t>a</w:t>
      </w:r>
      <w:r>
        <w:rPr>
          <w:spacing w:val="-13"/>
        </w:rPr>
        <w:t> </w:t>
      </w:r>
      <w:r>
        <w:rPr/>
        <w:t>proxy for</w:t>
      </w:r>
      <w:r>
        <w:rPr>
          <w:spacing w:val="-15"/>
        </w:rPr>
        <w:t> </w:t>
      </w:r>
      <w:r>
        <w:rPr/>
        <w:t>institutional,</w:t>
      </w:r>
      <w:r>
        <w:rPr>
          <w:spacing w:val="-15"/>
        </w:rPr>
        <w:t> </w:t>
      </w:r>
      <w:r>
        <w:rPr/>
        <w:t>managerial</w:t>
      </w:r>
      <w:r>
        <w:rPr>
          <w:spacing w:val="-15"/>
        </w:rPr>
        <w:t> </w:t>
      </w:r>
      <w:r>
        <w:rPr/>
        <w:t>and</w:t>
      </w:r>
      <w:r>
        <w:rPr>
          <w:spacing w:val="-15"/>
        </w:rPr>
        <w:t> </w:t>
      </w:r>
      <w:r>
        <w:rPr/>
        <w:t>ownership</w:t>
      </w:r>
      <w:r>
        <w:rPr>
          <w:spacing w:val="-15"/>
        </w:rPr>
        <w:t> </w:t>
      </w:r>
      <w:r>
        <w:rPr/>
        <w:t>concentration</w:t>
      </w:r>
      <w:r>
        <w:rPr>
          <w:spacing w:val="-15"/>
        </w:rPr>
        <w:t> </w:t>
      </w:r>
      <w:r>
        <w:rPr/>
        <w:t>while</w:t>
      </w:r>
      <w:r>
        <w:rPr>
          <w:spacing w:val="-15"/>
        </w:rPr>
        <w:t> </w:t>
      </w:r>
      <w:r>
        <w:rPr/>
        <w:t>Informativeness</w:t>
      </w:r>
      <w:r>
        <w:rPr>
          <w:spacing w:val="-15"/>
        </w:rPr>
        <w:t> </w:t>
      </w:r>
      <w:r>
        <w:rPr/>
        <w:t>of</w:t>
      </w:r>
      <w:r>
        <w:rPr>
          <w:spacing w:val="-15"/>
        </w:rPr>
        <w:t> </w:t>
      </w:r>
      <w:r>
        <w:rPr/>
        <w:t>Accounting Earnings is proxy using Fan and Wong (2002) model. The study used a purposive stratified sampling technique to filter out banks that did not satisfy the criteria set out for inclusion thereby arriving at the sample size of ten (10) listed deposit money banks in Nigeria out of twenty one (21). The secondary data source used was extracted from the annual reports and accounts of the sampled banks from 2006-2012. Multiple regression, fixed and random effect analyses</w:t>
      </w:r>
      <w:r>
        <w:rPr>
          <w:spacing w:val="-15"/>
        </w:rPr>
        <w:t> </w:t>
      </w:r>
      <w:r>
        <w:rPr/>
        <w:t>were</w:t>
      </w:r>
      <w:r>
        <w:rPr>
          <w:spacing w:val="-15"/>
        </w:rPr>
        <w:t> </w:t>
      </w:r>
      <w:r>
        <w:rPr/>
        <w:t>adopted</w:t>
      </w:r>
      <w:r>
        <w:rPr>
          <w:spacing w:val="-15"/>
        </w:rPr>
        <w:t> </w:t>
      </w:r>
      <w:r>
        <w:rPr/>
        <w:t>in</w:t>
      </w:r>
      <w:r>
        <w:rPr>
          <w:spacing w:val="-15"/>
        </w:rPr>
        <w:t> </w:t>
      </w:r>
      <w:r>
        <w:rPr/>
        <w:t>the</w:t>
      </w:r>
      <w:r>
        <w:rPr>
          <w:spacing w:val="-15"/>
        </w:rPr>
        <w:t> </w:t>
      </w:r>
      <w:r>
        <w:rPr/>
        <w:t>study.</w:t>
      </w:r>
      <w:r>
        <w:rPr>
          <w:spacing w:val="-15"/>
        </w:rPr>
        <w:t> </w:t>
      </w:r>
      <w:r>
        <w:rPr/>
        <w:t>The</w:t>
      </w:r>
      <w:r>
        <w:rPr>
          <w:spacing w:val="-15"/>
        </w:rPr>
        <w:t> </w:t>
      </w:r>
      <w:r>
        <w:rPr/>
        <w:t>findings</w:t>
      </w:r>
      <w:r>
        <w:rPr>
          <w:spacing w:val="-15"/>
        </w:rPr>
        <w:t> </w:t>
      </w:r>
      <w:r>
        <w:rPr/>
        <w:t>revealed</w:t>
      </w:r>
      <w:r>
        <w:rPr>
          <w:spacing w:val="-15"/>
        </w:rPr>
        <w:t> </w:t>
      </w:r>
      <w:r>
        <w:rPr/>
        <w:t>that</w:t>
      </w:r>
      <w:r>
        <w:rPr>
          <w:spacing w:val="-15"/>
        </w:rPr>
        <w:t> </w:t>
      </w:r>
      <w:r>
        <w:rPr/>
        <w:t>institutional</w:t>
      </w:r>
      <w:r>
        <w:rPr>
          <w:spacing w:val="-15"/>
        </w:rPr>
        <w:t> </w:t>
      </w:r>
      <w:r>
        <w:rPr/>
        <w:t>ownership</w:t>
      </w:r>
      <w:r>
        <w:rPr>
          <w:spacing w:val="-15"/>
        </w:rPr>
        <w:t> </w:t>
      </w:r>
      <w:r>
        <w:rPr/>
        <w:t>exhibited a significant positive impact on earnings informativeness. Khan Chand, and Patel (2013) examined the impact of ownership structure on the voluntary corporate disclosure of firms in Fiji, South Pacific. Ownership structure was a proxy for institutional ownership. The study examined 14 companies listed on the South Pacific Stock Exchange for the year 2009-2010. The findings showed that there was an inverse relationship between institutional ownership structure and voluntary corporate disclosure.</w:t>
      </w:r>
      <w:r>
        <w:rPr>
          <w:spacing w:val="40"/>
        </w:rPr>
        <w:t> </w:t>
      </w:r>
      <w:r>
        <w:rPr/>
        <w:t>The study by Juhmani (2013) investigated the impact of ownership structure on corporate voluntary disclosure with evidence from Bahrain. Ownership</w:t>
      </w:r>
      <w:r>
        <w:rPr>
          <w:spacing w:val="-11"/>
        </w:rPr>
        <w:t> </w:t>
      </w:r>
      <w:r>
        <w:rPr/>
        <w:t>structure</w:t>
      </w:r>
      <w:r>
        <w:rPr>
          <w:spacing w:val="-12"/>
        </w:rPr>
        <w:t> </w:t>
      </w:r>
      <w:r>
        <w:rPr/>
        <w:t>was</w:t>
      </w:r>
      <w:r>
        <w:rPr>
          <w:spacing w:val="-9"/>
        </w:rPr>
        <w:t> </w:t>
      </w:r>
      <w:r>
        <w:rPr/>
        <w:t>measured</w:t>
      </w:r>
      <w:r>
        <w:rPr>
          <w:spacing w:val="-11"/>
        </w:rPr>
        <w:t> </w:t>
      </w:r>
      <w:r>
        <w:rPr/>
        <w:t>through</w:t>
      </w:r>
      <w:r>
        <w:rPr>
          <w:spacing w:val="-11"/>
        </w:rPr>
        <w:t> </w:t>
      </w:r>
      <w:r>
        <w:rPr/>
        <w:t>managerial</w:t>
      </w:r>
      <w:r>
        <w:rPr>
          <w:spacing w:val="-10"/>
        </w:rPr>
        <w:t> </w:t>
      </w:r>
      <w:r>
        <w:rPr/>
        <w:t>ownership,</w:t>
      </w:r>
      <w:r>
        <w:rPr>
          <w:spacing w:val="-11"/>
        </w:rPr>
        <w:t> </w:t>
      </w:r>
      <w:r>
        <w:rPr/>
        <w:t>government</w:t>
      </w:r>
      <w:r>
        <w:rPr>
          <w:spacing w:val="-10"/>
        </w:rPr>
        <w:t> </w:t>
      </w:r>
      <w:r>
        <w:rPr/>
        <w:t>ownership</w:t>
      </w:r>
      <w:r>
        <w:rPr>
          <w:spacing w:val="-11"/>
        </w:rPr>
        <w:t> </w:t>
      </w:r>
      <w:r>
        <w:rPr/>
        <w:t>and block holder ownership. The sample consisted of 41 listed companies on the Bahrain Stock Exchange.</w:t>
      </w:r>
      <w:r>
        <w:rPr>
          <w:spacing w:val="-2"/>
        </w:rPr>
        <w:t> </w:t>
      </w:r>
      <w:r>
        <w:rPr/>
        <w:t>The</w:t>
      </w:r>
      <w:r>
        <w:rPr>
          <w:spacing w:val="-3"/>
        </w:rPr>
        <w:t> </w:t>
      </w:r>
      <w:r>
        <w:rPr/>
        <w:t>findings</w:t>
      </w:r>
      <w:r>
        <w:rPr>
          <w:spacing w:val="-2"/>
        </w:rPr>
        <w:t> </w:t>
      </w:r>
      <w:r>
        <w:rPr/>
        <w:t>showed</w:t>
      </w:r>
      <w:r>
        <w:rPr>
          <w:spacing w:val="-2"/>
        </w:rPr>
        <w:t> </w:t>
      </w:r>
      <w:r>
        <w:rPr/>
        <w:t>that block</w:t>
      </w:r>
      <w:r>
        <w:rPr>
          <w:spacing w:val="-2"/>
        </w:rPr>
        <w:t> </w:t>
      </w:r>
      <w:r>
        <w:rPr/>
        <w:t>holder</w:t>
      </w:r>
      <w:r>
        <w:rPr>
          <w:spacing w:val="-3"/>
        </w:rPr>
        <w:t> </w:t>
      </w:r>
      <w:r>
        <w:rPr/>
        <w:t>ownership</w:t>
      </w:r>
      <w:r>
        <w:rPr>
          <w:spacing w:val="-2"/>
        </w:rPr>
        <w:t> </w:t>
      </w:r>
      <w:r>
        <w:rPr/>
        <w:t>exhibited</w:t>
      </w:r>
      <w:r>
        <w:rPr>
          <w:spacing w:val="-2"/>
        </w:rPr>
        <w:t> </w:t>
      </w:r>
      <w:r>
        <w:rPr/>
        <w:t>an inverse</w:t>
      </w:r>
      <w:r>
        <w:rPr>
          <w:spacing w:val="-2"/>
        </w:rPr>
        <w:t> </w:t>
      </w:r>
      <w:r>
        <w:rPr/>
        <w:t>relationship with corporate voluntary disclosure. Shehu and Abubakar (2012) examined the impact of institutional investors on discretionary accruals in Nigerian manufacturing companies. A secondary source of data was used. Twenty most active quoted firms on the Nigerian Stock Exchange were selected for the period 2008-2010. The modified Jones model was the proxy for earnings management while four dimensions of institutional ownership (institutional shareholding,</w:t>
      </w:r>
      <w:r>
        <w:rPr>
          <w:spacing w:val="29"/>
        </w:rPr>
        <w:t> </w:t>
      </w:r>
      <w:r>
        <w:rPr/>
        <w:t>number</w:t>
      </w:r>
      <w:r>
        <w:rPr>
          <w:spacing w:val="29"/>
        </w:rPr>
        <w:t> </w:t>
      </w:r>
      <w:r>
        <w:rPr/>
        <w:t>of</w:t>
      </w:r>
      <w:r>
        <w:rPr>
          <w:spacing w:val="31"/>
        </w:rPr>
        <w:t> </w:t>
      </w:r>
      <w:r>
        <w:rPr/>
        <w:t>institutional</w:t>
      </w:r>
      <w:r>
        <w:rPr>
          <w:spacing w:val="29"/>
        </w:rPr>
        <w:t> </w:t>
      </w:r>
      <w:r>
        <w:rPr/>
        <w:t>investors,</w:t>
      </w:r>
      <w:r>
        <w:rPr>
          <w:spacing w:val="29"/>
        </w:rPr>
        <w:t> </w:t>
      </w:r>
      <w:r>
        <w:rPr/>
        <w:t>number</w:t>
      </w:r>
      <w:r>
        <w:rPr>
          <w:spacing w:val="29"/>
        </w:rPr>
        <w:t> </w:t>
      </w:r>
      <w:r>
        <w:rPr/>
        <w:t>of</w:t>
      </w:r>
      <w:r>
        <w:rPr>
          <w:spacing w:val="29"/>
        </w:rPr>
        <w:t> </w:t>
      </w:r>
      <w:r>
        <w:rPr/>
        <w:t>36</w:t>
      </w:r>
      <w:r>
        <w:rPr>
          <w:spacing w:val="30"/>
        </w:rPr>
        <w:t> </w:t>
      </w:r>
      <w:r>
        <w:rPr/>
        <w:t>institutional</w:t>
      </w:r>
      <w:r>
        <w:rPr>
          <w:spacing w:val="30"/>
        </w:rPr>
        <w:t> </w:t>
      </w:r>
      <w:r>
        <w:rPr/>
        <w:t>investors</w:t>
      </w:r>
      <w:r>
        <w:rPr>
          <w:spacing w:val="30"/>
        </w:rPr>
        <w:t> </w:t>
      </w:r>
      <w:r>
        <w:rPr/>
        <w:t>on</w:t>
      </w:r>
      <w:r>
        <w:rPr>
          <w:spacing w:val="30"/>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t>board, and institutional presence</w:t>
      </w:r>
      <w:r>
        <w:rPr>
          <w:spacing w:val="-1"/>
        </w:rPr>
        <w:t> </w:t>
      </w:r>
      <w:r>
        <w:rPr/>
        <w:t>on the</w:t>
      </w:r>
      <w:r>
        <w:rPr>
          <w:spacing w:val="-1"/>
        </w:rPr>
        <w:t> </w:t>
      </w:r>
      <w:r>
        <w:rPr/>
        <w:t>board) were</w:t>
      </w:r>
      <w:r>
        <w:rPr>
          <w:spacing w:val="-2"/>
        </w:rPr>
        <w:t> </w:t>
      </w:r>
      <w:r>
        <w:rPr/>
        <w:t>the independent variables.</w:t>
      </w:r>
      <w:r>
        <w:rPr>
          <w:spacing w:val="-1"/>
        </w:rPr>
        <w:t> </w:t>
      </w:r>
      <w:r>
        <w:rPr/>
        <w:t>The technique of</w:t>
      </w:r>
      <w:r>
        <w:rPr>
          <w:spacing w:val="-11"/>
        </w:rPr>
        <w:t> </w:t>
      </w:r>
      <w:r>
        <w:rPr/>
        <w:t>data</w:t>
      </w:r>
      <w:r>
        <w:rPr>
          <w:spacing w:val="-11"/>
        </w:rPr>
        <w:t> </w:t>
      </w:r>
      <w:r>
        <w:rPr/>
        <w:t>analysis</w:t>
      </w:r>
      <w:r>
        <w:rPr>
          <w:spacing w:val="-10"/>
        </w:rPr>
        <w:t> </w:t>
      </w:r>
      <w:r>
        <w:rPr/>
        <w:t>was</w:t>
      </w:r>
      <w:r>
        <w:rPr>
          <w:spacing w:val="-10"/>
        </w:rPr>
        <w:t> </w:t>
      </w:r>
      <w:r>
        <w:rPr/>
        <w:t>OLS</w:t>
      </w:r>
      <w:r>
        <w:rPr>
          <w:spacing w:val="-9"/>
        </w:rPr>
        <w:t> </w:t>
      </w:r>
      <w:r>
        <w:rPr/>
        <w:t>multiple</w:t>
      </w:r>
      <w:r>
        <w:rPr>
          <w:spacing w:val="-11"/>
        </w:rPr>
        <w:t> </w:t>
      </w:r>
      <w:r>
        <w:rPr/>
        <w:t>regression.</w:t>
      </w:r>
      <w:r>
        <w:rPr>
          <w:spacing w:val="-9"/>
        </w:rPr>
        <w:t> </w:t>
      </w:r>
      <w:r>
        <w:rPr/>
        <w:t>The</w:t>
      </w:r>
      <w:r>
        <w:rPr>
          <w:spacing w:val="-10"/>
        </w:rPr>
        <w:t> </w:t>
      </w:r>
      <w:r>
        <w:rPr/>
        <w:t>findings</w:t>
      </w:r>
      <w:r>
        <w:rPr>
          <w:spacing w:val="-10"/>
        </w:rPr>
        <w:t> </w:t>
      </w:r>
      <w:r>
        <w:rPr/>
        <w:t>revealed</w:t>
      </w:r>
      <w:r>
        <w:rPr>
          <w:spacing w:val="-10"/>
        </w:rPr>
        <w:t> </w:t>
      </w:r>
      <w:r>
        <w:rPr/>
        <w:t>that</w:t>
      </w:r>
      <w:r>
        <w:rPr>
          <w:spacing w:val="-10"/>
        </w:rPr>
        <w:t> </w:t>
      </w:r>
      <w:r>
        <w:rPr/>
        <w:t>institutional</w:t>
      </w:r>
      <w:r>
        <w:rPr>
          <w:spacing w:val="-10"/>
        </w:rPr>
        <w:t> </w:t>
      </w:r>
      <w:r>
        <w:rPr/>
        <w:t>investors had a strong and positive impact on earnings management.</w:t>
      </w:r>
    </w:p>
    <w:p>
      <w:pPr>
        <w:pStyle w:val="BodyText"/>
        <w:spacing w:line="480" w:lineRule="auto"/>
        <w:ind w:left="940" w:right="1433"/>
        <w:jc w:val="both"/>
      </w:pPr>
      <w:r>
        <w:rPr/>
        <w:drawing>
          <wp:anchor distT="0" distB="0" distL="0" distR="0" allowOverlap="1" layoutInCell="1" locked="0" behindDoc="1" simplePos="0" relativeHeight="477712896">
            <wp:simplePos x="0" y="0"/>
            <wp:positionH relativeFrom="page">
              <wp:posOffset>1095451</wp:posOffset>
            </wp:positionH>
            <wp:positionV relativeFrom="paragraph">
              <wp:posOffset>760565</wp:posOffset>
            </wp:positionV>
            <wp:extent cx="5106847" cy="5238115"/>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5" cstate="print"/>
                    <a:stretch>
                      <a:fillRect/>
                    </a:stretch>
                  </pic:blipFill>
                  <pic:spPr>
                    <a:xfrm>
                      <a:off x="0" y="0"/>
                      <a:ext cx="5106847" cy="5238115"/>
                    </a:xfrm>
                    <a:prstGeom prst="rect">
                      <a:avLst/>
                    </a:prstGeom>
                  </pic:spPr>
                </pic:pic>
              </a:graphicData>
            </a:graphic>
          </wp:anchor>
        </w:drawing>
      </w:r>
      <w:r>
        <w:rPr/>
        <w:t>Alves</w:t>
      </w:r>
      <w:r>
        <w:rPr>
          <w:spacing w:val="-10"/>
        </w:rPr>
        <w:t> </w:t>
      </w:r>
      <w:r>
        <w:rPr/>
        <w:t>(2012)</w:t>
      </w:r>
      <w:r>
        <w:rPr>
          <w:spacing w:val="-11"/>
        </w:rPr>
        <w:t> </w:t>
      </w:r>
      <w:r>
        <w:rPr/>
        <w:t>examined</w:t>
      </w:r>
      <w:r>
        <w:rPr>
          <w:spacing w:val="-11"/>
        </w:rPr>
        <w:t> </w:t>
      </w:r>
      <w:r>
        <w:rPr/>
        <w:t>the</w:t>
      </w:r>
      <w:r>
        <w:rPr>
          <w:spacing w:val="-12"/>
        </w:rPr>
        <w:t> </w:t>
      </w:r>
      <w:r>
        <w:rPr/>
        <w:t>relationship</w:t>
      </w:r>
      <w:r>
        <w:rPr>
          <w:spacing w:val="-10"/>
        </w:rPr>
        <w:t> </w:t>
      </w:r>
      <w:r>
        <w:rPr/>
        <w:t>between</w:t>
      </w:r>
      <w:r>
        <w:rPr>
          <w:spacing w:val="-8"/>
        </w:rPr>
        <w:t> </w:t>
      </w:r>
      <w:r>
        <w:rPr/>
        <w:t>corporate</w:t>
      </w:r>
      <w:r>
        <w:rPr>
          <w:spacing w:val="-11"/>
        </w:rPr>
        <w:t> </w:t>
      </w:r>
      <w:r>
        <w:rPr/>
        <w:t>ownership</w:t>
      </w:r>
      <w:r>
        <w:rPr>
          <w:spacing w:val="-11"/>
        </w:rPr>
        <w:t> </w:t>
      </w:r>
      <w:r>
        <w:rPr/>
        <w:t>structure</w:t>
      </w:r>
      <w:r>
        <w:rPr>
          <w:spacing w:val="-12"/>
        </w:rPr>
        <w:t> </w:t>
      </w:r>
      <w:r>
        <w:rPr/>
        <w:t>in</w:t>
      </w:r>
      <w:r>
        <w:rPr>
          <w:spacing w:val="-10"/>
        </w:rPr>
        <w:t> </w:t>
      </w:r>
      <w:r>
        <w:rPr/>
        <w:t>Portugal</w:t>
      </w:r>
      <w:r>
        <w:rPr>
          <w:spacing w:val="-10"/>
        </w:rPr>
        <w:t> </w:t>
      </w:r>
      <w:r>
        <w:rPr/>
        <w:t>and Firm ownership structure was measured with three variables: institutional, managerial and ownership concentration while earnings management was a proxy for discretionary accruals. Using a sample of 34 non-financial listed Portuguese firms from 2002 to 2007, the results showed that earnings management was positively and significantly related to institutional ownership.</w:t>
      </w:r>
      <w:r>
        <w:rPr>
          <w:spacing w:val="-4"/>
        </w:rPr>
        <w:t> </w:t>
      </w:r>
      <w:r>
        <w:rPr/>
        <w:t>Al-Zyoud</w:t>
      </w:r>
      <w:r>
        <w:rPr>
          <w:spacing w:val="-4"/>
        </w:rPr>
        <w:t> </w:t>
      </w:r>
      <w:r>
        <w:rPr/>
        <w:t>(2012)</w:t>
      </w:r>
      <w:r>
        <w:rPr>
          <w:spacing w:val="-4"/>
        </w:rPr>
        <w:t> </w:t>
      </w:r>
      <w:r>
        <w:rPr/>
        <w:t>investigated</w:t>
      </w:r>
      <w:r>
        <w:rPr>
          <w:spacing w:val="-4"/>
        </w:rPr>
        <w:t> </w:t>
      </w:r>
      <w:r>
        <w:rPr/>
        <w:t>the</w:t>
      </w:r>
      <w:r>
        <w:rPr>
          <w:spacing w:val="-5"/>
        </w:rPr>
        <w:t> </w:t>
      </w:r>
      <w:r>
        <w:rPr/>
        <w:t>extent</w:t>
      </w:r>
      <w:r>
        <w:rPr>
          <w:spacing w:val="-4"/>
        </w:rPr>
        <w:t> </w:t>
      </w:r>
      <w:r>
        <w:rPr/>
        <w:t>of</w:t>
      </w:r>
      <w:r>
        <w:rPr>
          <w:spacing w:val="-4"/>
        </w:rPr>
        <w:t> </w:t>
      </w:r>
      <w:r>
        <w:rPr/>
        <w:t>opportunistic</w:t>
      </w:r>
      <w:r>
        <w:rPr>
          <w:spacing w:val="-5"/>
        </w:rPr>
        <w:t> </w:t>
      </w:r>
      <w:r>
        <w:rPr/>
        <w:t>earnings</w:t>
      </w:r>
      <w:r>
        <w:rPr>
          <w:spacing w:val="-4"/>
        </w:rPr>
        <w:t> </w:t>
      </w:r>
      <w:r>
        <w:rPr/>
        <w:t>management</w:t>
      </w:r>
      <w:r>
        <w:rPr>
          <w:spacing w:val="-4"/>
        </w:rPr>
        <w:t> </w:t>
      </w:r>
      <w:r>
        <w:rPr/>
        <w:t>on chairman independence and ownership structure. Earnings management was a proxy for discretionary accruals while ownership structure by institutional and managerial ownership. The</w:t>
      </w:r>
      <w:r>
        <w:rPr>
          <w:spacing w:val="-6"/>
        </w:rPr>
        <w:t> </w:t>
      </w:r>
      <w:r>
        <w:rPr/>
        <w:t>population</w:t>
      </w:r>
      <w:r>
        <w:rPr>
          <w:spacing w:val="-5"/>
        </w:rPr>
        <w:t> </w:t>
      </w:r>
      <w:r>
        <w:rPr/>
        <w:t>of</w:t>
      </w:r>
      <w:r>
        <w:rPr>
          <w:spacing w:val="-6"/>
        </w:rPr>
        <w:t> </w:t>
      </w:r>
      <w:r>
        <w:rPr/>
        <w:t>the</w:t>
      </w:r>
      <w:r>
        <w:rPr>
          <w:spacing w:val="-5"/>
        </w:rPr>
        <w:t> </w:t>
      </w:r>
      <w:r>
        <w:rPr/>
        <w:t>study</w:t>
      </w:r>
      <w:r>
        <w:rPr>
          <w:spacing w:val="-4"/>
        </w:rPr>
        <w:t> </w:t>
      </w:r>
      <w:r>
        <w:rPr/>
        <w:t>included</w:t>
      </w:r>
      <w:r>
        <w:rPr>
          <w:spacing w:val="-5"/>
        </w:rPr>
        <w:t> </w:t>
      </w:r>
      <w:r>
        <w:rPr/>
        <w:t>the</w:t>
      </w:r>
      <w:r>
        <w:rPr>
          <w:spacing w:val="-5"/>
        </w:rPr>
        <w:t> </w:t>
      </w:r>
      <w:r>
        <w:rPr/>
        <w:t>largest</w:t>
      </w:r>
      <w:r>
        <w:rPr>
          <w:spacing w:val="-4"/>
        </w:rPr>
        <w:t> </w:t>
      </w:r>
      <w:r>
        <w:rPr/>
        <w:t>250</w:t>
      </w:r>
      <w:r>
        <w:rPr>
          <w:spacing w:val="-5"/>
        </w:rPr>
        <w:t> </w:t>
      </w:r>
      <w:r>
        <w:rPr/>
        <w:t>companies</w:t>
      </w:r>
      <w:r>
        <w:rPr>
          <w:spacing w:val="-5"/>
        </w:rPr>
        <w:t> </w:t>
      </w:r>
      <w:r>
        <w:rPr/>
        <w:t>by</w:t>
      </w:r>
      <w:r>
        <w:rPr>
          <w:spacing w:val="-5"/>
        </w:rPr>
        <w:t> </w:t>
      </w:r>
      <w:r>
        <w:rPr/>
        <w:t>market</w:t>
      </w:r>
      <w:r>
        <w:rPr>
          <w:spacing w:val="-4"/>
        </w:rPr>
        <w:t> </w:t>
      </w:r>
      <w:r>
        <w:rPr/>
        <w:t>capitalization</w:t>
      </w:r>
      <w:r>
        <w:rPr>
          <w:spacing w:val="-5"/>
        </w:rPr>
        <w:t> </w:t>
      </w:r>
      <w:r>
        <w:rPr/>
        <w:t>listed on the London Stock Exchange (LSE) as at 2005 out of which 91 of them were sampled excluding financial sectors and companies working in regulated and mining industries. The findings showed that institutional investors’ ownership was negatively significant to earnings management. Idris (2012) examined the impact of ownership structure and external audit on accruals</w:t>
      </w:r>
      <w:r>
        <w:rPr>
          <w:spacing w:val="-15"/>
        </w:rPr>
        <w:t> </w:t>
      </w:r>
      <w:r>
        <w:rPr/>
        <w:t>and</w:t>
      </w:r>
      <w:r>
        <w:rPr>
          <w:spacing w:val="-15"/>
        </w:rPr>
        <w:t> </w:t>
      </w:r>
      <w:r>
        <w:rPr/>
        <w:t>real</w:t>
      </w:r>
      <w:r>
        <w:rPr>
          <w:spacing w:val="-15"/>
        </w:rPr>
        <w:t> </w:t>
      </w:r>
      <w:r>
        <w:rPr/>
        <w:t>earnings</w:t>
      </w:r>
      <w:r>
        <w:rPr>
          <w:spacing w:val="-15"/>
        </w:rPr>
        <w:t> </w:t>
      </w:r>
      <w:r>
        <w:rPr/>
        <w:t>management</w:t>
      </w:r>
      <w:r>
        <w:rPr>
          <w:spacing w:val="-15"/>
        </w:rPr>
        <w:t> </w:t>
      </w:r>
      <w:r>
        <w:rPr/>
        <w:t>in</w:t>
      </w:r>
      <w:r>
        <w:rPr>
          <w:spacing w:val="-15"/>
        </w:rPr>
        <w:t> </w:t>
      </w:r>
      <w:r>
        <w:rPr/>
        <w:t>Jordan.</w:t>
      </w:r>
      <w:r>
        <w:rPr>
          <w:spacing w:val="-15"/>
        </w:rPr>
        <w:t> </w:t>
      </w:r>
      <w:r>
        <w:rPr/>
        <w:t>Four</w:t>
      </w:r>
      <w:r>
        <w:rPr>
          <w:spacing w:val="-15"/>
        </w:rPr>
        <w:t> </w:t>
      </w:r>
      <w:r>
        <w:rPr/>
        <w:t>measures</w:t>
      </w:r>
      <w:r>
        <w:rPr>
          <w:spacing w:val="-15"/>
        </w:rPr>
        <w:t> </w:t>
      </w:r>
      <w:r>
        <w:rPr/>
        <w:t>of</w:t>
      </w:r>
      <w:r>
        <w:rPr>
          <w:spacing w:val="-15"/>
        </w:rPr>
        <w:t> </w:t>
      </w:r>
      <w:r>
        <w:rPr/>
        <w:t>earnings</w:t>
      </w:r>
      <w:r>
        <w:rPr>
          <w:spacing w:val="-15"/>
        </w:rPr>
        <w:t> </w:t>
      </w:r>
      <w:r>
        <w:rPr/>
        <w:t>management</w:t>
      </w:r>
      <w:r>
        <w:rPr>
          <w:spacing w:val="-15"/>
        </w:rPr>
        <w:t> </w:t>
      </w:r>
      <w:r>
        <w:rPr/>
        <w:t>were estimated through the models of Kothari et al (2005) and Rowchowdury (2006). The independent variables were classified into three categories; ownership structure (ownership concentration, controlling shareholders (managerial), institutional ownership and foreign ownership), external audit quality (audit size) and control variables which include board size, leverage, growth, and firm size. The population of the study included all manufacturing firms listed on the Amman Stock Exchange from 2005-2008, pooled cross-sectional multiple regression analyses were conducted using ordinary least squares method to estimate the empirical</w:t>
      </w:r>
      <w:r>
        <w:rPr>
          <w:spacing w:val="35"/>
        </w:rPr>
        <w:t> </w:t>
      </w:r>
      <w:r>
        <w:rPr/>
        <w:t>models.</w:t>
      </w:r>
      <w:r>
        <w:rPr>
          <w:spacing w:val="38"/>
        </w:rPr>
        <w:t> </w:t>
      </w:r>
      <w:r>
        <w:rPr/>
        <w:t>Secondary</w:t>
      </w:r>
      <w:r>
        <w:rPr>
          <w:spacing w:val="37"/>
        </w:rPr>
        <w:t> </w:t>
      </w:r>
      <w:r>
        <w:rPr/>
        <w:t>data</w:t>
      </w:r>
      <w:r>
        <w:rPr>
          <w:spacing w:val="37"/>
        </w:rPr>
        <w:t> </w:t>
      </w:r>
      <w:r>
        <w:rPr/>
        <w:t>were</w:t>
      </w:r>
      <w:r>
        <w:rPr>
          <w:spacing w:val="37"/>
        </w:rPr>
        <w:t> </w:t>
      </w:r>
      <w:r>
        <w:rPr/>
        <w:t>used</w:t>
      </w:r>
      <w:r>
        <w:rPr>
          <w:spacing w:val="38"/>
        </w:rPr>
        <w:t> </w:t>
      </w:r>
      <w:r>
        <w:rPr/>
        <w:t>to</w:t>
      </w:r>
      <w:r>
        <w:rPr>
          <w:spacing w:val="41"/>
        </w:rPr>
        <w:t> </w:t>
      </w:r>
      <w:r>
        <w:rPr/>
        <w:t>test</w:t>
      </w:r>
      <w:r>
        <w:rPr>
          <w:spacing w:val="38"/>
        </w:rPr>
        <w:t> </w:t>
      </w:r>
      <w:r>
        <w:rPr/>
        <w:t>the</w:t>
      </w:r>
      <w:r>
        <w:rPr>
          <w:spacing w:val="37"/>
        </w:rPr>
        <w:t> </w:t>
      </w:r>
      <w:r>
        <w:rPr/>
        <w:t>research</w:t>
      </w:r>
      <w:r>
        <w:rPr>
          <w:spacing w:val="38"/>
        </w:rPr>
        <w:t> </w:t>
      </w:r>
      <w:r>
        <w:rPr/>
        <w:t>hypothesis.</w:t>
      </w:r>
      <w:r>
        <w:rPr>
          <w:spacing w:val="42"/>
        </w:rPr>
        <w:t> </w:t>
      </w:r>
      <w:r>
        <w:rPr/>
        <w:t>The</w:t>
      </w:r>
      <w:r>
        <w:rPr>
          <w:spacing w:val="36"/>
        </w:rPr>
        <w:t> </w:t>
      </w:r>
      <w:r>
        <w:rPr>
          <w:spacing w:val="-2"/>
        </w:rPr>
        <w:t>findings</w:t>
      </w:r>
    </w:p>
    <w:p>
      <w:pPr>
        <w:spacing w:after="0" w:line="480" w:lineRule="auto"/>
        <w:jc w:val="both"/>
        <w:sectPr>
          <w:pgSz w:w="11910" w:h="16840"/>
          <w:pgMar w:header="0" w:footer="971" w:top="1360" w:bottom="1160" w:left="500" w:right="0"/>
        </w:sectPr>
      </w:pPr>
    </w:p>
    <w:p>
      <w:pPr>
        <w:pStyle w:val="BodyText"/>
        <w:spacing w:line="480" w:lineRule="auto" w:before="61"/>
        <w:ind w:left="940" w:right="1439"/>
        <w:jc w:val="both"/>
      </w:pPr>
      <w:r>
        <w:rPr/>
        <w:t>suggested that institutional ownership appeared to negatively affect abnormal discretion </w:t>
      </w:r>
      <w:r>
        <w:rPr>
          <w:spacing w:val="-2"/>
        </w:rPr>
        <w:t>expenses.</w:t>
      </w:r>
    </w:p>
    <w:p>
      <w:pPr>
        <w:pStyle w:val="BodyText"/>
        <w:spacing w:line="480" w:lineRule="auto"/>
        <w:ind w:left="940" w:right="1434"/>
        <w:jc w:val="both"/>
      </w:pPr>
      <w:r>
        <w:rPr/>
        <w:drawing>
          <wp:anchor distT="0" distB="0" distL="0" distR="0" allowOverlap="1" layoutInCell="1" locked="0" behindDoc="1" simplePos="0" relativeHeight="477713408">
            <wp:simplePos x="0" y="0"/>
            <wp:positionH relativeFrom="page">
              <wp:posOffset>1095451</wp:posOffset>
            </wp:positionH>
            <wp:positionV relativeFrom="paragraph">
              <wp:posOffset>1111055</wp:posOffset>
            </wp:positionV>
            <wp:extent cx="5106847" cy="5238115"/>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 cstate="print"/>
                    <a:stretch>
                      <a:fillRect/>
                    </a:stretch>
                  </pic:blipFill>
                  <pic:spPr>
                    <a:xfrm>
                      <a:off x="0" y="0"/>
                      <a:ext cx="5106847" cy="5238115"/>
                    </a:xfrm>
                    <a:prstGeom prst="rect">
                      <a:avLst/>
                    </a:prstGeom>
                  </pic:spPr>
                </pic:pic>
              </a:graphicData>
            </a:graphic>
          </wp:anchor>
        </w:drawing>
      </w:r>
      <w:r>
        <w:rPr/>
        <w:t>Moradi and Nezami (2011) examined the relation between ownership centralization and institutional</w:t>
      </w:r>
      <w:r>
        <w:rPr>
          <w:spacing w:val="-1"/>
        </w:rPr>
        <w:t> </w:t>
      </w:r>
      <w:r>
        <w:rPr/>
        <w:t>ownership</w:t>
      </w:r>
      <w:r>
        <w:rPr>
          <w:spacing w:val="-1"/>
        </w:rPr>
        <w:t> </w:t>
      </w:r>
      <w:r>
        <w:rPr/>
        <w:t>with</w:t>
      </w:r>
      <w:r>
        <w:rPr>
          <w:spacing w:val="-1"/>
        </w:rPr>
        <w:t> </w:t>
      </w:r>
      <w:r>
        <w:rPr/>
        <w:t>earning</w:t>
      </w:r>
      <w:r>
        <w:rPr>
          <w:spacing w:val="-2"/>
        </w:rPr>
        <w:t> </w:t>
      </w:r>
      <w:r>
        <w:rPr/>
        <w:t>quality. The</w:t>
      </w:r>
      <w:r>
        <w:rPr>
          <w:spacing w:val="-3"/>
        </w:rPr>
        <w:t> </w:t>
      </w:r>
      <w:r>
        <w:rPr/>
        <w:t>research</w:t>
      </w:r>
      <w:r>
        <w:rPr>
          <w:spacing w:val="-1"/>
        </w:rPr>
        <w:t> </w:t>
      </w:r>
      <w:r>
        <w:rPr/>
        <w:t>sample</w:t>
      </w:r>
      <w:r>
        <w:rPr>
          <w:spacing w:val="-2"/>
        </w:rPr>
        <w:t> </w:t>
      </w:r>
      <w:r>
        <w:rPr/>
        <w:t>consisted of</w:t>
      </w:r>
      <w:r>
        <w:rPr>
          <w:spacing w:val="-2"/>
        </w:rPr>
        <w:t> </w:t>
      </w:r>
      <w:r>
        <w:rPr/>
        <w:t>the</w:t>
      </w:r>
      <w:r>
        <w:rPr>
          <w:spacing w:val="-2"/>
        </w:rPr>
        <w:t> </w:t>
      </w:r>
      <w:r>
        <w:rPr/>
        <w:t>listed</w:t>
      </w:r>
      <w:r>
        <w:rPr>
          <w:spacing w:val="-2"/>
        </w:rPr>
        <w:t> </w:t>
      </w:r>
      <w:r>
        <w:rPr/>
        <w:t>firms on the Tehran Stock Exchange from 2006-2010. The independent variables in the study was ownership</w:t>
      </w:r>
      <w:r>
        <w:rPr>
          <w:spacing w:val="-3"/>
        </w:rPr>
        <w:t> </w:t>
      </w:r>
      <w:r>
        <w:rPr/>
        <w:t>centralization</w:t>
      </w:r>
      <w:r>
        <w:rPr>
          <w:spacing w:val="-1"/>
        </w:rPr>
        <w:t> </w:t>
      </w:r>
      <w:r>
        <w:rPr/>
        <w:t>and</w:t>
      </w:r>
      <w:r>
        <w:rPr>
          <w:spacing w:val="-3"/>
        </w:rPr>
        <w:t> </w:t>
      </w:r>
      <w:r>
        <w:rPr/>
        <w:t>institutional</w:t>
      </w:r>
      <w:r>
        <w:rPr>
          <w:spacing w:val="-3"/>
        </w:rPr>
        <w:t> </w:t>
      </w:r>
      <w:r>
        <w:rPr/>
        <w:t>ownership. The</w:t>
      </w:r>
      <w:r>
        <w:rPr>
          <w:spacing w:val="-5"/>
        </w:rPr>
        <w:t> </w:t>
      </w:r>
      <w:r>
        <w:rPr/>
        <w:t>dependent</w:t>
      </w:r>
      <w:r>
        <w:rPr>
          <w:spacing w:val="-3"/>
        </w:rPr>
        <w:t> </w:t>
      </w:r>
      <w:r>
        <w:rPr/>
        <w:t>variables</w:t>
      </w:r>
      <w:r>
        <w:rPr>
          <w:spacing w:val="-3"/>
        </w:rPr>
        <w:t> </w:t>
      </w:r>
      <w:r>
        <w:rPr/>
        <w:t>(the</w:t>
      </w:r>
      <w:r>
        <w:rPr>
          <w:spacing w:val="-2"/>
        </w:rPr>
        <w:t> </w:t>
      </w:r>
      <w:r>
        <w:rPr/>
        <w:t>six</w:t>
      </w:r>
      <w:r>
        <w:rPr>
          <w:spacing w:val="-3"/>
        </w:rPr>
        <w:t> </w:t>
      </w:r>
      <w:r>
        <w:rPr/>
        <w:t>criteria for evaluating the earning quality) were; operating cash ratio to operating earnings, accruals volume, persistent growth rate of earning, gross earnings ratio, earning persistence, and receivable</w:t>
      </w:r>
      <w:r>
        <w:rPr>
          <w:spacing w:val="-9"/>
        </w:rPr>
        <w:t> </w:t>
      </w:r>
      <w:r>
        <w:rPr/>
        <w:t>accounts</w:t>
      </w:r>
      <w:r>
        <w:rPr>
          <w:spacing w:val="-8"/>
        </w:rPr>
        <w:t> </w:t>
      </w:r>
      <w:r>
        <w:rPr/>
        <w:t>quality.</w:t>
      </w:r>
      <w:r>
        <w:rPr>
          <w:spacing w:val="-8"/>
        </w:rPr>
        <w:t> </w:t>
      </w:r>
      <w:r>
        <w:rPr/>
        <w:t>Linear</w:t>
      </w:r>
      <w:r>
        <w:rPr>
          <w:spacing w:val="-9"/>
        </w:rPr>
        <w:t> </w:t>
      </w:r>
      <w:r>
        <w:rPr/>
        <w:t>regression</w:t>
      </w:r>
      <w:r>
        <w:rPr>
          <w:spacing w:val="-8"/>
        </w:rPr>
        <w:t> </w:t>
      </w:r>
      <w:r>
        <w:rPr/>
        <w:t>and</w:t>
      </w:r>
      <w:r>
        <w:rPr>
          <w:spacing w:val="-8"/>
        </w:rPr>
        <w:t> </w:t>
      </w:r>
      <w:r>
        <w:rPr/>
        <w:t>correlation</w:t>
      </w:r>
      <w:r>
        <w:rPr>
          <w:spacing w:val="-8"/>
        </w:rPr>
        <w:t> </w:t>
      </w:r>
      <w:r>
        <w:rPr/>
        <w:t>analysis,</w:t>
      </w:r>
      <w:r>
        <w:rPr>
          <w:spacing w:val="-8"/>
        </w:rPr>
        <w:t> </w:t>
      </w:r>
      <w:r>
        <w:rPr/>
        <w:t>Fisher</w:t>
      </w:r>
      <w:r>
        <w:rPr>
          <w:spacing w:val="-9"/>
        </w:rPr>
        <w:t> </w:t>
      </w:r>
      <w:r>
        <w:rPr/>
        <w:t>test</w:t>
      </w:r>
      <w:r>
        <w:rPr>
          <w:spacing w:val="-8"/>
        </w:rPr>
        <w:t> </w:t>
      </w:r>
      <w:r>
        <w:rPr/>
        <w:t>and</w:t>
      </w:r>
      <w:r>
        <w:rPr>
          <w:spacing w:val="-8"/>
        </w:rPr>
        <w:t> </w:t>
      </w:r>
      <w:r>
        <w:rPr/>
        <w:t>t-testate were used to examine the research hypotheses. The results showed that there was a positive relation between institutional ownership and earnings quality index, but it was not so significant.</w:t>
      </w:r>
      <w:r>
        <w:rPr>
          <w:spacing w:val="-1"/>
        </w:rPr>
        <w:t> </w:t>
      </w:r>
      <w:r>
        <w:rPr/>
        <w:t>The</w:t>
      </w:r>
      <w:r>
        <w:rPr>
          <w:spacing w:val="-3"/>
        </w:rPr>
        <w:t> </w:t>
      </w:r>
      <w:r>
        <w:rPr/>
        <w:t>result could</w:t>
      </w:r>
      <w:r>
        <w:rPr>
          <w:spacing w:val="-1"/>
        </w:rPr>
        <w:t> </w:t>
      </w:r>
      <w:r>
        <w:rPr/>
        <w:t>have</w:t>
      </w:r>
      <w:r>
        <w:rPr>
          <w:spacing w:val="-2"/>
        </w:rPr>
        <w:t> </w:t>
      </w:r>
      <w:r>
        <w:rPr/>
        <w:t>been because</w:t>
      </w:r>
      <w:r>
        <w:rPr>
          <w:spacing w:val="-2"/>
        </w:rPr>
        <w:t> </w:t>
      </w:r>
      <w:r>
        <w:rPr/>
        <w:t>of a</w:t>
      </w:r>
      <w:r>
        <w:rPr>
          <w:spacing w:val="-2"/>
        </w:rPr>
        <w:t> </w:t>
      </w:r>
      <w:r>
        <w:rPr/>
        <w:t>short-term</w:t>
      </w:r>
      <w:r>
        <w:rPr>
          <w:spacing w:val="-1"/>
        </w:rPr>
        <w:t> </w:t>
      </w:r>
      <w:r>
        <w:rPr/>
        <w:t>view</w:t>
      </w:r>
      <w:r>
        <w:rPr>
          <w:spacing w:val="-2"/>
        </w:rPr>
        <w:t> </w:t>
      </w:r>
      <w:r>
        <w:rPr/>
        <w:t>of</w:t>
      </w:r>
      <w:r>
        <w:rPr>
          <w:spacing w:val="-1"/>
        </w:rPr>
        <w:t> </w:t>
      </w:r>
      <w:r>
        <w:rPr/>
        <w:t>institutional</w:t>
      </w:r>
      <w:r>
        <w:rPr>
          <w:spacing w:val="-1"/>
        </w:rPr>
        <w:t> </w:t>
      </w:r>
      <w:r>
        <w:rPr/>
        <w:t>investors. The</w:t>
      </w:r>
      <w:r>
        <w:rPr>
          <w:spacing w:val="-5"/>
        </w:rPr>
        <w:t> </w:t>
      </w:r>
      <w:r>
        <w:rPr/>
        <w:t>study</w:t>
      </w:r>
      <w:r>
        <w:rPr>
          <w:spacing w:val="-3"/>
        </w:rPr>
        <w:t> </w:t>
      </w:r>
      <w:r>
        <w:rPr/>
        <w:t>by</w:t>
      </w:r>
      <w:r>
        <w:rPr>
          <w:spacing w:val="-3"/>
        </w:rPr>
        <w:t> </w:t>
      </w:r>
      <w:r>
        <w:rPr/>
        <w:t>Hadani</w:t>
      </w:r>
      <w:r>
        <w:rPr>
          <w:spacing w:val="-3"/>
        </w:rPr>
        <w:t> </w:t>
      </w:r>
      <w:r>
        <w:rPr/>
        <w:t>et</w:t>
      </w:r>
      <w:r>
        <w:rPr>
          <w:spacing w:val="-3"/>
        </w:rPr>
        <w:t> </w:t>
      </w:r>
      <w:r>
        <w:rPr/>
        <w:t>al.</w:t>
      </w:r>
      <w:r>
        <w:rPr>
          <w:spacing w:val="-3"/>
        </w:rPr>
        <w:t> </w:t>
      </w:r>
      <w:r>
        <w:rPr/>
        <w:t>(2011)</w:t>
      </w:r>
      <w:r>
        <w:rPr>
          <w:spacing w:val="-4"/>
        </w:rPr>
        <w:t> </w:t>
      </w:r>
      <w:r>
        <w:rPr/>
        <w:t>examined</w:t>
      </w:r>
      <w:r>
        <w:rPr>
          <w:spacing w:val="-3"/>
        </w:rPr>
        <w:t> </w:t>
      </w:r>
      <w:r>
        <w:rPr/>
        <w:t>institutional</w:t>
      </w:r>
      <w:r>
        <w:rPr>
          <w:spacing w:val="-3"/>
        </w:rPr>
        <w:t> </w:t>
      </w:r>
      <w:r>
        <w:rPr/>
        <w:t>investors,</w:t>
      </w:r>
      <w:r>
        <w:rPr>
          <w:spacing w:val="-3"/>
        </w:rPr>
        <w:t> </w:t>
      </w:r>
      <w:r>
        <w:rPr/>
        <w:t>shareholders</w:t>
      </w:r>
      <w:r>
        <w:rPr>
          <w:spacing w:val="-3"/>
        </w:rPr>
        <w:t> </w:t>
      </w:r>
      <w:r>
        <w:rPr/>
        <w:t>activism,</w:t>
      </w:r>
      <w:r>
        <w:rPr>
          <w:spacing w:val="-3"/>
        </w:rPr>
        <w:t> </w:t>
      </w:r>
      <w:r>
        <w:rPr/>
        <w:t>and earnings management. The study found that institutional ownership was inversely related to earnings management, which indicated that institutional owners were better positioned to constrain the practice of earnings management with their ability to gauge firm performance against the long-term fundamentals of a firm. Al-Fayoumi, Abuzayed and Alexander (2010) examined</w:t>
      </w:r>
      <w:r>
        <w:rPr>
          <w:spacing w:val="-11"/>
        </w:rPr>
        <w:t> </w:t>
      </w:r>
      <w:r>
        <w:rPr/>
        <w:t>the</w:t>
      </w:r>
      <w:r>
        <w:rPr>
          <w:spacing w:val="-11"/>
        </w:rPr>
        <w:t> </w:t>
      </w:r>
      <w:r>
        <w:rPr/>
        <w:t>relationship</w:t>
      </w:r>
      <w:r>
        <w:rPr>
          <w:spacing w:val="-11"/>
        </w:rPr>
        <w:t> </w:t>
      </w:r>
      <w:r>
        <w:rPr/>
        <w:t>between</w:t>
      </w:r>
      <w:r>
        <w:rPr>
          <w:spacing w:val="-11"/>
        </w:rPr>
        <w:t> </w:t>
      </w:r>
      <w:r>
        <w:rPr/>
        <w:t>earnings</w:t>
      </w:r>
      <w:r>
        <w:rPr>
          <w:spacing w:val="-11"/>
        </w:rPr>
        <w:t> </w:t>
      </w:r>
      <w:r>
        <w:rPr/>
        <w:t>management</w:t>
      </w:r>
      <w:r>
        <w:rPr>
          <w:spacing w:val="-11"/>
        </w:rPr>
        <w:t> </w:t>
      </w:r>
      <w:r>
        <w:rPr/>
        <w:t>and</w:t>
      </w:r>
      <w:r>
        <w:rPr>
          <w:spacing w:val="-11"/>
        </w:rPr>
        <w:t> </w:t>
      </w:r>
      <w:r>
        <w:rPr/>
        <w:t>ownership</w:t>
      </w:r>
      <w:r>
        <w:rPr>
          <w:spacing w:val="-11"/>
        </w:rPr>
        <w:t> </w:t>
      </w:r>
      <w:r>
        <w:rPr/>
        <w:t>structure</w:t>
      </w:r>
      <w:r>
        <w:rPr>
          <w:spacing w:val="-12"/>
        </w:rPr>
        <w:t> </w:t>
      </w:r>
      <w:r>
        <w:rPr/>
        <w:t>for</w:t>
      </w:r>
      <w:r>
        <w:rPr>
          <w:spacing w:val="-12"/>
        </w:rPr>
        <w:t> </w:t>
      </w:r>
      <w:r>
        <w:rPr/>
        <w:t>a</w:t>
      </w:r>
      <w:r>
        <w:rPr>
          <w:spacing w:val="-12"/>
        </w:rPr>
        <w:t> </w:t>
      </w:r>
      <w:r>
        <w:rPr/>
        <w:t>sample of Jordanian industrial firms during the period 2001-2005. The data were obtained from the annual reports of the sampled firms on the Amman Stock 28 Exchange (ASE) data base. Earnings management was measured by discretionary accruals. The three types of ownership studied were insiders (managerial), institutions and block-holders. Using the Generalized Method of Moment (GMM), the results indicated that institutional ownership negatively affected earnings management.</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713920">
            <wp:simplePos x="0" y="0"/>
            <wp:positionH relativeFrom="page">
              <wp:posOffset>1095451</wp:posOffset>
            </wp:positionH>
            <wp:positionV relativeFrom="paragraph">
              <wp:posOffset>1850770</wp:posOffset>
            </wp:positionV>
            <wp:extent cx="5106847" cy="523811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5" cstate="print"/>
                    <a:stretch>
                      <a:fillRect/>
                    </a:stretch>
                  </pic:blipFill>
                  <pic:spPr>
                    <a:xfrm>
                      <a:off x="0" y="0"/>
                      <a:ext cx="5106847" cy="5238115"/>
                    </a:xfrm>
                    <a:prstGeom prst="rect">
                      <a:avLst/>
                    </a:prstGeom>
                  </pic:spPr>
                </pic:pic>
              </a:graphicData>
            </a:graphic>
          </wp:anchor>
        </w:drawing>
      </w:r>
      <w:r>
        <w:rPr/>
        <w:t>Yang, Chun and Ramadili (2009) examined the role of outside directors and institutional shareholders in constraining earnings management activities. A sample of 613 firms from construction, industrial products and consumer products sectors was selected from the main board of bursa Malaysia. The time period covered for the study was from year 2001 to year 2003. Modified Jones Model with cross sectional approach was employed in the study. The findings showed that the magnitude of earnings management in Malaysian listed firms had approximately 16% of</w:t>
      </w:r>
      <w:r>
        <w:rPr>
          <w:spacing w:val="-1"/>
        </w:rPr>
        <w:t> </w:t>
      </w:r>
      <w:r>
        <w:rPr/>
        <w:t>prior</w:t>
      </w:r>
      <w:r>
        <w:rPr>
          <w:spacing w:val="-1"/>
        </w:rPr>
        <w:t> </w:t>
      </w:r>
      <w:r>
        <w:rPr/>
        <w:t>year</w:t>
      </w:r>
      <w:r>
        <w:rPr>
          <w:spacing w:val="-1"/>
        </w:rPr>
        <w:t> </w:t>
      </w:r>
      <w:r>
        <w:rPr/>
        <w:t>total assets. Most firms managed the earnings upward rather than downwards. No relationship was observed between the degree of earnings manipulation and institutional shareholders. However, there was weak evidence to show that outside directors had some effect in curbing the earnings management in the construction sector. The study by</w:t>
      </w:r>
      <w:r>
        <w:rPr>
          <w:spacing w:val="-1"/>
        </w:rPr>
        <w:t> </w:t>
      </w:r>
      <w:r>
        <w:rPr/>
        <w:t>Jiang</w:t>
      </w:r>
      <w:r>
        <w:rPr>
          <w:spacing w:val="-4"/>
        </w:rPr>
        <w:t> </w:t>
      </w:r>
      <w:r>
        <w:rPr/>
        <w:t>and</w:t>
      </w:r>
      <w:r>
        <w:rPr>
          <w:spacing w:val="-1"/>
        </w:rPr>
        <w:t> </w:t>
      </w:r>
      <w:r>
        <w:rPr/>
        <w:t>Habib</w:t>
      </w:r>
      <w:r>
        <w:rPr>
          <w:spacing w:val="-1"/>
        </w:rPr>
        <w:t> </w:t>
      </w:r>
      <w:r>
        <w:rPr/>
        <w:t>(2009)</w:t>
      </w:r>
      <w:r>
        <w:rPr>
          <w:spacing w:val="-2"/>
        </w:rPr>
        <w:t> </w:t>
      </w:r>
      <w:r>
        <w:rPr/>
        <w:t>examined</w:t>
      </w:r>
      <w:r>
        <w:rPr>
          <w:spacing w:val="-1"/>
        </w:rPr>
        <w:t> </w:t>
      </w:r>
      <w:r>
        <w:rPr/>
        <w:t>the</w:t>
      </w:r>
      <w:r>
        <w:rPr>
          <w:spacing w:val="-2"/>
        </w:rPr>
        <w:t> </w:t>
      </w:r>
      <w:r>
        <w:rPr/>
        <w:t>association</w:t>
      </w:r>
      <w:r>
        <w:rPr>
          <w:spacing w:val="-1"/>
        </w:rPr>
        <w:t> </w:t>
      </w:r>
      <w:r>
        <w:rPr/>
        <w:t>between</w:t>
      </w:r>
      <w:r>
        <w:rPr>
          <w:spacing w:val="-1"/>
        </w:rPr>
        <w:t> </w:t>
      </w:r>
      <w:r>
        <w:rPr/>
        <w:t>corporate</w:t>
      </w:r>
      <w:r>
        <w:rPr>
          <w:spacing w:val="-2"/>
        </w:rPr>
        <w:t> </w:t>
      </w:r>
      <w:r>
        <w:rPr/>
        <w:t>governance</w:t>
      </w:r>
      <w:r>
        <w:rPr>
          <w:spacing w:val="-2"/>
        </w:rPr>
        <w:t> </w:t>
      </w:r>
      <w:r>
        <w:rPr/>
        <w:t>and earnings</w:t>
      </w:r>
      <w:r>
        <w:rPr>
          <w:spacing w:val="-6"/>
        </w:rPr>
        <w:t> </w:t>
      </w:r>
      <w:r>
        <w:rPr/>
        <w:t>quality.</w:t>
      </w:r>
      <w:r>
        <w:rPr>
          <w:spacing w:val="-6"/>
        </w:rPr>
        <w:t> </w:t>
      </w:r>
      <w:r>
        <w:rPr/>
        <w:t>The</w:t>
      </w:r>
      <w:r>
        <w:rPr>
          <w:spacing w:val="-7"/>
        </w:rPr>
        <w:t> </w:t>
      </w:r>
      <w:r>
        <w:rPr/>
        <w:t>study</w:t>
      </w:r>
      <w:r>
        <w:rPr>
          <w:spacing w:val="-6"/>
        </w:rPr>
        <w:t> </w:t>
      </w:r>
      <w:r>
        <w:rPr/>
        <w:t>found</w:t>
      </w:r>
      <w:r>
        <w:rPr>
          <w:spacing w:val="-7"/>
        </w:rPr>
        <w:t> </w:t>
      </w:r>
      <w:r>
        <w:rPr/>
        <w:t>that</w:t>
      </w:r>
      <w:r>
        <w:rPr>
          <w:spacing w:val="-6"/>
        </w:rPr>
        <w:t> </w:t>
      </w:r>
      <w:r>
        <w:rPr/>
        <w:t>the</w:t>
      </w:r>
      <w:r>
        <w:rPr>
          <w:spacing w:val="-6"/>
        </w:rPr>
        <w:t> </w:t>
      </w:r>
      <w:r>
        <w:rPr/>
        <w:t>firms</w:t>
      </w:r>
      <w:r>
        <w:rPr>
          <w:spacing w:val="-8"/>
        </w:rPr>
        <w:t> </w:t>
      </w:r>
      <w:r>
        <w:rPr/>
        <w:t>with</w:t>
      </w:r>
      <w:r>
        <w:rPr>
          <w:spacing w:val="-6"/>
        </w:rPr>
        <w:t> </w:t>
      </w:r>
      <w:r>
        <w:rPr/>
        <w:t>financial-controlled</w:t>
      </w:r>
      <w:r>
        <w:rPr>
          <w:spacing w:val="-6"/>
        </w:rPr>
        <w:t> </w:t>
      </w:r>
      <w:r>
        <w:rPr/>
        <w:t>ownership</w:t>
      </w:r>
      <w:r>
        <w:rPr>
          <w:spacing w:val="-6"/>
        </w:rPr>
        <w:t> </w:t>
      </w:r>
      <w:r>
        <w:rPr/>
        <w:t>structures disclosed significantly less (more) at high (low) ownership concentration levels, suggesting that the expropriation phenomenon was likely to dominate efficient monitoring by increasing institutional</w:t>
      </w:r>
      <w:r>
        <w:rPr>
          <w:spacing w:val="-7"/>
        </w:rPr>
        <w:t> </w:t>
      </w:r>
      <w:r>
        <w:rPr/>
        <w:t>ownership.</w:t>
      </w:r>
      <w:r>
        <w:rPr>
          <w:spacing w:val="-7"/>
        </w:rPr>
        <w:t> </w:t>
      </w:r>
      <w:r>
        <w:rPr/>
        <w:t>The</w:t>
      </w:r>
      <w:r>
        <w:rPr>
          <w:spacing w:val="-8"/>
        </w:rPr>
        <w:t> </w:t>
      </w:r>
      <w:r>
        <w:rPr/>
        <w:t>studies</w:t>
      </w:r>
      <w:r>
        <w:rPr>
          <w:spacing w:val="-7"/>
        </w:rPr>
        <w:t> </w:t>
      </w:r>
      <w:r>
        <w:rPr/>
        <w:t>by</w:t>
      </w:r>
      <w:r>
        <w:rPr>
          <w:spacing w:val="-6"/>
        </w:rPr>
        <w:t> </w:t>
      </w:r>
      <w:r>
        <w:rPr/>
        <w:t>Koh</w:t>
      </w:r>
      <w:r>
        <w:rPr>
          <w:spacing w:val="-5"/>
        </w:rPr>
        <w:t> </w:t>
      </w:r>
      <w:r>
        <w:rPr/>
        <w:t>(2007)</w:t>
      </w:r>
      <w:r>
        <w:rPr>
          <w:spacing w:val="-8"/>
        </w:rPr>
        <w:t> </w:t>
      </w:r>
      <w:r>
        <w:rPr/>
        <w:t>and</w:t>
      </w:r>
      <w:r>
        <w:rPr>
          <w:spacing w:val="-7"/>
        </w:rPr>
        <w:t> </w:t>
      </w:r>
      <w:r>
        <w:rPr/>
        <w:t>Park</w:t>
      </w:r>
      <w:r>
        <w:rPr>
          <w:spacing w:val="-6"/>
        </w:rPr>
        <w:t> </w:t>
      </w:r>
      <w:r>
        <w:rPr/>
        <w:t>and</w:t>
      </w:r>
      <w:r>
        <w:rPr>
          <w:spacing w:val="-7"/>
        </w:rPr>
        <w:t> </w:t>
      </w:r>
      <w:r>
        <w:rPr/>
        <w:t>Shin</w:t>
      </w:r>
      <w:r>
        <w:rPr>
          <w:spacing w:val="-7"/>
        </w:rPr>
        <w:t> </w:t>
      </w:r>
      <w:r>
        <w:rPr/>
        <w:t>(2004)</w:t>
      </w:r>
      <w:r>
        <w:rPr>
          <w:spacing w:val="-8"/>
        </w:rPr>
        <w:t> </w:t>
      </w:r>
      <w:r>
        <w:rPr/>
        <w:t>found</w:t>
      </w:r>
      <w:r>
        <w:rPr>
          <w:spacing w:val="-8"/>
        </w:rPr>
        <w:t> </w:t>
      </w:r>
      <w:r>
        <w:rPr/>
        <w:t>that</w:t>
      </w:r>
      <w:r>
        <w:rPr>
          <w:spacing w:val="-5"/>
        </w:rPr>
        <w:t> </w:t>
      </w:r>
      <w:r>
        <w:rPr/>
        <w:t>active institutional</w:t>
      </w:r>
      <w:r>
        <w:rPr>
          <w:spacing w:val="-12"/>
        </w:rPr>
        <w:t> </w:t>
      </w:r>
      <w:r>
        <w:rPr/>
        <w:t>investors</w:t>
      </w:r>
      <w:r>
        <w:rPr>
          <w:spacing w:val="-11"/>
        </w:rPr>
        <w:t> </w:t>
      </w:r>
      <w:r>
        <w:rPr/>
        <w:t>were</w:t>
      </w:r>
      <w:r>
        <w:rPr>
          <w:spacing w:val="-14"/>
        </w:rPr>
        <w:t> </w:t>
      </w:r>
      <w:r>
        <w:rPr/>
        <w:t>more</w:t>
      </w:r>
      <w:r>
        <w:rPr>
          <w:spacing w:val="-11"/>
        </w:rPr>
        <w:t> </w:t>
      </w:r>
      <w:r>
        <w:rPr/>
        <w:t>likely</w:t>
      </w:r>
      <w:r>
        <w:rPr>
          <w:spacing w:val="-12"/>
        </w:rPr>
        <w:t> </w:t>
      </w:r>
      <w:r>
        <w:rPr/>
        <w:t>to</w:t>
      </w:r>
      <w:r>
        <w:rPr>
          <w:spacing w:val="-12"/>
        </w:rPr>
        <w:t> </w:t>
      </w:r>
      <w:r>
        <w:rPr/>
        <w:t>effectively</w:t>
      </w:r>
      <w:r>
        <w:rPr>
          <w:spacing w:val="-12"/>
        </w:rPr>
        <w:t> </w:t>
      </w:r>
      <w:r>
        <w:rPr/>
        <w:t>constrain</w:t>
      </w:r>
      <w:r>
        <w:rPr>
          <w:spacing w:val="-12"/>
        </w:rPr>
        <w:t> </w:t>
      </w:r>
      <w:r>
        <w:rPr/>
        <w:t>unethical</w:t>
      </w:r>
      <w:r>
        <w:rPr>
          <w:spacing w:val="-12"/>
        </w:rPr>
        <w:t> </w:t>
      </w:r>
      <w:r>
        <w:rPr/>
        <w:t>behaviour</w:t>
      </w:r>
      <w:r>
        <w:rPr>
          <w:spacing w:val="-13"/>
        </w:rPr>
        <w:t> </w:t>
      </w:r>
      <w:r>
        <w:rPr/>
        <w:t>of</w:t>
      </w:r>
      <w:r>
        <w:rPr>
          <w:spacing w:val="-10"/>
        </w:rPr>
        <w:t> </w:t>
      </w:r>
      <w:r>
        <w:rPr/>
        <w:t>earnings management</w:t>
      </w:r>
      <w:r>
        <w:rPr>
          <w:spacing w:val="-2"/>
        </w:rPr>
        <w:t> </w:t>
      </w:r>
      <w:r>
        <w:rPr/>
        <w:t>and</w:t>
      </w:r>
      <w:r>
        <w:rPr>
          <w:spacing w:val="-5"/>
        </w:rPr>
        <w:t> </w:t>
      </w:r>
      <w:r>
        <w:rPr/>
        <w:t>enhance</w:t>
      </w:r>
      <w:r>
        <w:rPr>
          <w:spacing w:val="-6"/>
        </w:rPr>
        <w:t> </w:t>
      </w:r>
      <w:r>
        <w:rPr/>
        <w:t>the</w:t>
      </w:r>
      <w:r>
        <w:rPr>
          <w:spacing w:val="-5"/>
        </w:rPr>
        <w:t> </w:t>
      </w:r>
      <w:r>
        <w:rPr/>
        <w:t>credibility</w:t>
      </w:r>
      <w:r>
        <w:rPr>
          <w:spacing w:val="-4"/>
        </w:rPr>
        <w:t> </w:t>
      </w:r>
      <w:r>
        <w:rPr/>
        <w:t>and</w:t>
      </w:r>
      <w:r>
        <w:rPr>
          <w:spacing w:val="-5"/>
        </w:rPr>
        <w:t> </w:t>
      </w:r>
      <w:r>
        <w:rPr/>
        <w:t>reliability</w:t>
      </w:r>
      <w:r>
        <w:rPr>
          <w:spacing w:val="-5"/>
        </w:rPr>
        <w:t> </w:t>
      </w:r>
      <w:r>
        <w:rPr/>
        <w:t>of</w:t>
      </w:r>
      <w:r>
        <w:rPr>
          <w:spacing w:val="-6"/>
        </w:rPr>
        <w:t> </w:t>
      </w:r>
      <w:r>
        <w:rPr/>
        <w:t>financial</w:t>
      </w:r>
      <w:r>
        <w:rPr>
          <w:spacing w:val="-5"/>
        </w:rPr>
        <w:t> </w:t>
      </w:r>
      <w:r>
        <w:rPr/>
        <w:t>reporting.</w:t>
      </w:r>
      <w:r>
        <w:rPr>
          <w:spacing w:val="40"/>
        </w:rPr>
        <w:t> </w:t>
      </w:r>
      <w:r>
        <w:rPr/>
        <w:t>The</w:t>
      </w:r>
      <w:r>
        <w:rPr>
          <w:spacing w:val="-4"/>
        </w:rPr>
        <w:t> </w:t>
      </w:r>
      <w:r>
        <w:rPr/>
        <w:t>reason was that institutional investors were capable monitors (Velury &amp; Jenkins, 2006). In tandem with this notion, earnings informativeness studies provide evidence of an association between informative earnings numbers and high equity ownership by institutional investors (Jung &amp; Kown,</w:t>
      </w:r>
      <w:r>
        <w:rPr>
          <w:spacing w:val="-15"/>
        </w:rPr>
        <w:t> </w:t>
      </w:r>
      <w:r>
        <w:rPr/>
        <w:t>2002;</w:t>
      </w:r>
      <w:r>
        <w:rPr>
          <w:spacing w:val="-15"/>
        </w:rPr>
        <w:t> </w:t>
      </w:r>
      <w:r>
        <w:rPr/>
        <w:t>Korczak</w:t>
      </w:r>
      <w:r>
        <w:rPr>
          <w:spacing w:val="-15"/>
        </w:rPr>
        <w:t> </w:t>
      </w:r>
      <w:r>
        <w:rPr/>
        <w:t>&amp;Korczak,</w:t>
      </w:r>
      <w:r>
        <w:rPr>
          <w:spacing w:val="-15"/>
        </w:rPr>
        <w:t> </w:t>
      </w:r>
      <w:r>
        <w:rPr/>
        <w:t>2009;</w:t>
      </w:r>
      <w:r>
        <w:rPr>
          <w:spacing w:val="-15"/>
        </w:rPr>
        <w:t> </w:t>
      </w:r>
      <w:r>
        <w:rPr/>
        <w:t>Sarikhani</w:t>
      </w:r>
      <w:r>
        <w:rPr>
          <w:spacing w:val="-15"/>
        </w:rPr>
        <w:t> </w:t>
      </w:r>
      <w:r>
        <w:rPr/>
        <w:t>&amp;</w:t>
      </w:r>
      <w:r>
        <w:rPr>
          <w:spacing w:val="-15"/>
        </w:rPr>
        <w:t> </w:t>
      </w:r>
      <w:r>
        <w:rPr/>
        <w:t>Ebrahimi,</w:t>
      </w:r>
      <w:r>
        <w:rPr>
          <w:spacing w:val="-15"/>
        </w:rPr>
        <w:t> </w:t>
      </w:r>
      <w:r>
        <w:rPr/>
        <w:t>2011;</w:t>
      </w:r>
      <w:r>
        <w:rPr>
          <w:spacing w:val="-15"/>
        </w:rPr>
        <w:t> </w:t>
      </w:r>
      <w:r>
        <w:rPr/>
        <w:t>Velury</w:t>
      </w:r>
      <w:r>
        <w:rPr>
          <w:spacing w:val="-15"/>
        </w:rPr>
        <w:t> </w:t>
      </w:r>
      <w:r>
        <w:rPr/>
        <w:t>&amp;</w:t>
      </w:r>
      <w:r>
        <w:rPr>
          <w:spacing w:val="-15"/>
        </w:rPr>
        <w:t> </w:t>
      </w:r>
      <w:r>
        <w:rPr/>
        <w:t>Jenkins,</w:t>
      </w:r>
      <w:r>
        <w:rPr>
          <w:spacing w:val="-15"/>
        </w:rPr>
        <w:t> </w:t>
      </w:r>
      <w:r>
        <w:rPr/>
        <w:t>2006). The reason they adduced for high reporting quality was that in the active monitoring hypothesis,</w:t>
      </w:r>
      <w:r>
        <w:rPr>
          <w:spacing w:val="-3"/>
        </w:rPr>
        <w:t> </w:t>
      </w:r>
      <w:r>
        <w:rPr/>
        <w:t>institutional</w:t>
      </w:r>
      <w:r>
        <w:rPr>
          <w:spacing w:val="-3"/>
        </w:rPr>
        <w:t> </w:t>
      </w:r>
      <w:r>
        <w:rPr/>
        <w:t>investors</w:t>
      </w:r>
      <w:r>
        <w:rPr>
          <w:spacing w:val="-3"/>
        </w:rPr>
        <w:t> </w:t>
      </w:r>
      <w:r>
        <w:rPr/>
        <w:t>with</w:t>
      </w:r>
      <w:r>
        <w:rPr>
          <w:spacing w:val="-3"/>
        </w:rPr>
        <w:t> </w:t>
      </w:r>
      <w:r>
        <w:rPr/>
        <w:t>large</w:t>
      </w:r>
      <w:r>
        <w:rPr>
          <w:spacing w:val="-4"/>
        </w:rPr>
        <w:t> </w:t>
      </w:r>
      <w:r>
        <w:rPr/>
        <w:t>shareholding</w:t>
      </w:r>
      <w:r>
        <w:rPr>
          <w:spacing w:val="-2"/>
        </w:rPr>
        <w:t> </w:t>
      </w:r>
      <w:r>
        <w:rPr/>
        <w:t>were</w:t>
      </w:r>
      <w:r>
        <w:rPr>
          <w:spacing w:val="-3"/>
        </w:rPr>
        <w:t> </w:t>
      </w:r>
      <w:r>
        <w:rPr/>
        <w:t>viewed as</w:t>
      </w:r>
      <w:r>
        <w:rPr>
          <w:spacing w:val="-3"/>
        </w:rPr>
        <w:t> </w:t>
      </w:r>
      <w:r>
        <w:rPr/>
        <w:t>long-term</w:t>
      </w:r>
      <w:r>
        <w:rPr>
          <w:spacing w:val="-3"/>
        </w:rPr>
        <w:t> </w:t>
      </w:r>
      <w:r>
        <w:rPr/>
        <w:t>investors who had the incentive and motivation to closely monitor and control management activities (Jung</w:t>
      </w:r>
      <w:r>
        <w:rPr>
          <w:spacing w:val="1"/>
        </w:rPr>
        <w:t> </w:t>
      </w:r>
      <w:r>
        <w:rPr/>
        <w:t>&amp;</w:t>
      </w:r>
      <w:r>
        <w:rPr>
          <w:spacing w:val="5"/>
        </w:rPr>
        <w:t> </w:t>
      </w:r>
      <w:r>
        <w:rPr/>
        <w:t>Kwon,</w:t>
      </w:r>
      <w:r>
        <w:rPr>
          <w:spacing w:val="3"/>
        </w:rPr>
        <w:t> </w:t>
      </w:r>
      <w:r>
        <w:rPr/>
        <w:t>2002).</w:t>
      </w:r>
      <w:r>
        <w:rPr>
          <w:spacing w:val="9"/>
        </w:rPr>
        <w:t> </w:t>
      </w:r>
      <w:r>
        <w:rPr/>
        <w:t>In</w:t>
      </w:r>
      <w:r>
        <w:rPr>
          <w:spacing w:val="6"/>
        </w:rPr>
        <w:t> </w:t>
      </w:r>
      <w:r>
        <w:rPr/>
        <w:t>addition,</w:t>
      </w:r>
      <w:r>
        <w:rPr>
          <w:spacing w:val="4"/>
        </w:rPr>
        <w:t> </w:t>
      </w:r>
      <w:r>
        <w:rPr/>
        <w:t>those</w:t>
      </w:r>
      <w:r>
        <w:rPr>
          <w:spacing w:val="3"/>
        </w:rPr>
        <w:t> </w:t>
      </w:r>
      <w:r>
        <w:rPr/>
        <w:t>investors</w:t>
      </w:r>
      <w:r>
        <w:rPr>
          <w:spacing w:val="5"/>
        </w:rPr>
        <w:t> </w:t>
      </w:r>
      <w:r>
        <w:rPr/>
        <w:t>were</w:t>
      </w:r>
      <w:r>
        <w:rPr>
          <w:spacing w:val="5"/>
        </w:rPr>
        <w:t> </w:t>
      </w:r>
      <w:r>
        <w:rPr/>
        <w:t>capable</w:t>
      </w:r>
      <w:r>
        <w:rPr>
          <w:spacing w:val="4"/>
        </w:rPr>
        <w:t> </w:t>
      </w:r>
      <w:r>
        <w:rPr/>
        <w:t>of</w:t>
      </w:r>
      <w:r>
        <w:rPr>
          <w:spacing w:val="2"/>
        </w:rPr>
        <w:t> </w:t>
      </w:r>
      <w:r>
        <w:rPr/>
        <w:t>gathering</w:t>
      </w:r>
      <w:r>
        <w:rPr>
          <w:spacing w:val="4"/>
        </w:rPr>
        <w:t> </w:t>
      </w:r>
      <w:r>
        <w:rPr/>
        <w:t>and</w:t>
      </w:r>
      <w:r>
        <w:rPr>
          <w:spacing w:val="4"/>
        </w:rPr>
        <w:t> </w:t>
      </w:r>
      <w:r>
        <w:rPr>
          <w:spacing w:val="-2"/>
        </w:rPr>
        <w:t>interpreting</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financial statements and detecting deliberate misstatements by top managers (Chung, Firth &amp; Kim, 2005; Velury &amp; Jenkins, 2006).</w:t>
      </w:r>
    </w:p>
    <w:p>
      <w:pPr>
        <w:pStyle w:val="BodyText"/>
        <w:spacing w:line="480" w:lineRule="auto"/>
        <w:ind w:left="940" w:right="1435"/>
        <w:jc w:val="both"/>
      </w:pPr>
      <w:r>
        <w:rPr/>
        <w:drawing>
          <wp:anchor distT="0" distB="0" distL="0" distR="0" allowOverlap="1" layoutInCell="1" locked="0" behindDoc="1" simplePos="0" relativeHeight="477714432">
            <wp:simplePos x="0" y="0"/>
            <wp:positionH relativeFrom="page">
              <wp:posOffset>1095451</wp:posOffset>
            </wp:positionH>
            <wp:positionV relativeFrom="paragraph">
              <wp:posOffset>1111055</wp:posOffset>
            </wp:positionV>
            <wp:extent cx="5106847" cy="5238115"/>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7"/>
        </w:rPr>
        <w:t> </w:t>
      </w:r>
      <w:r>
        <w:rPr/>
        <w:t>study</w:t>
      </w:r>
      <w:r>
        <w:rPr>
          <w:spacing w:val="-5"/>
        </w:rPr>
        <w:t> </w:t>
      </w:r>
      <w:r>
        <w:rPr/>
        <w:t>by</w:t>
      </w:r>
      <w:r>
        <w:rPr>
          <w:spacing w:val="-6"/>
        </w:rPr>
        <w:t> </w:t>
      </w:r>
      <w:r>
        <w:rPr/>
        <w:t>Koh</w:t>
      </w:r>
      <w:r>
        <w:rPr>
          <w:spacing w:val="-6"/>
        </w:rPr>
        <w:t> </w:t>
      </w:r>
      <w:r>
        <w:rPr/>
        <w:t>(2007)</w:t>
      </w:r>
      <w:r>
        <w:rPr>
          <w:spacing w:val="-7"/>
        </w:rPr>
        <w:t> </w:t>
      </w:r>
      <w:r>
        <w:rPr/>
        <w:t>found</w:t>
      </w:r>
      <w:r>
        <w:rPr>
          <w:spacing w:val="-7"/>
        </w:rPr>
        <w:t> </w:t>
      </w:r>
      <w:r>
        <w:rPr/>
        <w:t>that</w:t>
      </w:r>
      <w:r>
        <w:rPr>
          <w:spacing w:val="-6"/>
        </w:rPr>
        <w:t> </w:t>
      </w:r>
      <w:r>
        <w:rPr/>
        <w:t>long-term</w:t>
      </w:r>
      <w:r>
        <w:rPr>
          <w:spacing w:val="-5"/>
        </w:rPr>
        <w:t> </w:t>
      </w:r>
      <w:r>
        <w:rPr/>
        <w:t>institutions</w:t>
      </w:r>
      <w:r>
        <w:rPr>
          <w:spacing w:val="-8"/>
        </w:rPr>
        <w:t> </w:t>
      </w:r>
      <w:r>
        <w:rPr/>
        <w:t>monitored</w:t>
      </w:r>
      <w:r>
        <w:rPr>
          <w:spacing w:val="-6"/>
        </w:rPr>
        <w:t> </w:t>
      </w:r>
      <w:r>
        <w:rPr/>
        <w:t>the</w:t>
      </w:r>
      <w:r>
        <w:rPr>
          <w:spacing w:val="-6"/>
        </w:rPr>
        <w:t> </w:t>
      </w:r>
      <w:r>
        <w:rPr/>
        <w:t>opportunistic</w:t>
      </w:r>
      <w:r>
        <w:rPr>
          <w:spacing w:val="-6"/>
        </w:rPr>
        <w:t> </w:t>
      </w:r>
      <w:r>
        <w:rPr/>
        <w:t>actions of managers in firms with the motivation for manipulating earnings to meet or beat earnings benchmarks. They opined that other than institutional ownership, managerial ownership was considered an important device of ownership structure for mitigating the conflict between managers and</w:t>
      </w:r>
      <w:r>
        <w:rPr>
          <w:spacing w:val="-1"/>
        </w:rPr>
        <w:t> </w:t>
      </w:r>
      <w:r>
        <w:rPr/>
        <w:t>shareholders.</w:t>
      </w:r>
      <w:r>
        <w:rPr>
          <w:spacing w:val="-1"/>
        </w:rPr>
        <w:t> </w:t>
      </w:r>
      <w:r>
        <w:rPr/>
        <w:t>Having</w:t>
      </w:r>
      <w:r>
        <w:rPr>
          <w:spacing w:val="-1"/>
        </w:rPr>
        <w:t> </w:t>
      </w:r>
      <w:r>
        <w:rPr/>
        <w:t>firm</w:t>
      </w:r>
      <w:r>
        <w:rPr>
          <w:spacing w:val="-1"/>
        </w:rPr>
        <w:t> </w:t>
      </w:r>
      <w:r>
        <w:rPr/>
        <w:t>managers</w:t>
      </w:r>
      <w:r>
        <w:rPr>
          <w:spacing w:val="-1"/>
        </w:rPr>
        <w:t> </w:t>
      </w:r>
      <w:r>
        <w:rPr/>
        <w:t>who</w:t>
      </w:r>
      <w:r>
        <w:rPr>
          <w:spacing w:val="-1"/>
        </w:rPr>
        <w:t> </w:t>
      </w:r>
      <w:r>
        <w:rPr/>
        <w:t>had</w:t>
      </w:r>
      <w:r>
        <w:rPr>
          <w:spacing w:val="-1"/>
        </w:rPr>
        <w:t> </w:t>
      </w:r>
      <w:r>
        <w:rPr/>
        <w:t>a large</w:t>
      </w:r>
      <w:r>
        <w:rPr>
          <w:spacing w:val="-1"/>
        </w:rPr>
        <w:t> </w:t>
      </w:r>
      <w:r>
        <w:rPr/>
        <w:t>stake</w:t>
      </w:r>
      <w:r>
        <w:rPr>
          <w:spacing w:val="-2"/>
        </w:rPr>
        <w:t> </w:t>
      </w:r>
      <w:r>
        <w:rPr/>
        <w:t>of</w:t>
      </w:r>
      <w:r>
        <w:rPr>
          <w:spacing w:val="-1"/>
        </w:rPr>
        <w:t> </w:t>
      </w:r>
      <w:r>
        <w:rPr/>
        <w:t>equity</w:t>
      </w:r>
      <w:r>
        <w:rPr>
          <w:spacing w:val="-1"/>
        </w:rPr>
        <w:t> </w:t>
      </w:r>
      <w:r>
        <w:rPr/>
        <w:t>ownership would diminish the managers-shareholders moral hazard problem and reduce the probability of</w:t>
      </w:r>
      <w:r>
        <w:rPr>
          <w:spacing w:val="-8"/>
        </w:rPr>
        <w:t> </w:t>
      </w:r>
      <w:r>
        <w:rPr/>
        <w:t>managers</w:t>
      </w:r>
      <w:r>
        <w:rPr>
          <w:spacing w:val="-8"/>
        </w:rPr>
        <w:t> </w:t>
      </w:r>
      <w:r>
        <w:rPr/>
        <w:t>engaging</w:t>
      </w:r>
      <w:r>
        <w:rPr>
          <w:spacing w:val="-7"/>
        </w:rPr>
        <w:t> </w:t>
      </w:r>
      <w:r>
        <w:rPr/>
        <w:t>in</w:t>
      </w:r>
      <w:r>
        <w:rPr>
          <w:spacing w:val="-7"/>
        </w:rPr>
        <w:t> </w:t>
      </w:r>
      <w:r>
        <w:rPr/>
        <w:t>non-optimal</w:t>
      </w:r>
      <w:r>
        <w:rPr>
          <w:spacing w:val="-7"/>
        </w:rPr>
        <w:t> </w:t>
      </w:r>
      <w:r>
        <w:rPr/>
        <w:t>activities</w:t>
      </w:r>
      <w:r>
        <w:rPr>
          <w:spacing w:val="-8"/>
        </w:rPr>
        <w:t> </w:t>
      </w:r>
      <w:r>
        <w:rPr/>
        <w:t>(Jensen</w:t>
      </w:r>
      <w:r>
        <w:rPr>
          <w:spacing w:val="-7"/>
        </w:rPr>
        <w:t> </w:t>
      </w:r>
      <w:r>
        <w:rPr/>
        <w:t>&amp;</w:t>
      </w:r>
      <w:r>
        <w:rPr>
          <w:spacing w:val="-7"/>
        </w:rPr>
        <w:t> </w:t>
      </w:r>
      <w:r>
        <w:rPr/>
        <w:t>Meckling,</w:t>
      </w:r>
      <w:r>
        <w:rPr>
          <w:spacing w:val="-7"/>
        </w:rPr>
        <w:t> </w:t>
      </w:r>
      <w:r>
        <w:rPr/>
        <w:t>1976).</w:t>
      </w:r>
      <w:r>
        <w:rPr>
          <w:spacing w:val="-6"/>
        </w:rPr>
        <w:t> </w:t>
      </w:r>
      <w:r>
        <w:rPr/>
        <w:t>The</w:t>
      </w:r>
      <w:r>
        <w:rPr>
          <w:spacing w:val="-8"/>
        </w:rPr>
        <w:t> </w:t>
      </w:r>
      <w:r>
        <w:rPr/>
        <w:t>study</w:t>
      </w:r>
      <w:r>
        <w:rPr>
          <w:spacing w:val="-5"/>
        </w:rPr>
        <w:t> </w:t>
      </w:r>
      <w:r>
        <w:rPr/>
        <w:t>by</w:t>
      </w:r>
      <w:r>
        <w:rPr>
          <w:spacing w:val="-7"/>
        </w:rPr>
        <w:t> </w:t>
      </w:r>
      <w:r>
        <w:rPr/>
        <w:t>Park and Shin (2004) posited that the presence of financial intermediaries and active institutional shareholders</w:t>
      </w:r>
      <w:r>
        <w:rPr>
          <w:spacing w:val="-6"/>
        </w:rPr>
        <w:t> </w:t>
      </w:r>
      <w:r>
        <w:rPr/>
        <w:t>on</w:t>
      </w:r>
      <w:r>
        <w:rPr>
          <w:spacing w:val="-7"/>
        </w:rPr>
        <w:t> </w:t>
      </w:r>
      <w:r>
        <w:rPr/>
        <w:t>the</w:t>
      </w:r>
      <w:r>
        <w:rPr>
          <w:spacing w:val="-8"/>
        </w:rPr>
        <w:t> </w:t>
      </w:r>
      <w:r>
        <w:rPr/>
        <w:t>board</w:t>
      </w:r>
      <w:r>
        <w:rPr>
          <w:spacing w:val="-7"/>
        </w:rPr>
        <w:t> </w:t>
      </w:r>
      <w:r>
        <w:rPr/>
        <w:t>of</w:t>
      </w:r>
      <w:r>
        <w:rPr>
          <w:spacing w:val="-8"/>
        </w:rPr>
        <w:t> </w:t>
      </w:r>
      <w:r>
        <w:rPr/>
        <w:t>directors</w:t>
      </w:r>
      <w:r>
        <w:rPr>
          <w:spacing w:val="-7"/>
        </w:rPr>
        <w:t> </w:t>
      </w:r>
      <w:r>
        <w:rPr/>
        <w:t>reduce</w:t>
      </w:r>
      <w:r>
        <w:rPr>
          <w:spacing w:val="-7"/>
        </w:rPr>
        <w:t> </w:t>
      </w:r>
      <w:r>
        <w:rPr/>
        <w:t>the</w:t>
      </w:r>
      <w:r>
        <w:rPr>
          <w:spacing w:val="-6"/>
        </w:rPr>
        <w:t> </w:t>
      </w:r>
      <w:r>
        <w:rPr/>
        <w:t>probability</w:t>
      </w:r>
      <w:r>
        <w:rPr>
          <w:spacing w:val="-7"/>
        </w:rPr>
        <w:t> </w:t>
      </w:r>
      <w:r>
        <w:rPr/>
        <w:t>of</w:t>
      </w:r>
      <w:r>
        <w:rPr>
          <w:spacing w:val="-8"/>
        </w:rPr>
        <w:t> </w:t>
      </w:r>
      <w:r>
        <w:rPr/>
        <w:t>engaging</w:t>
      </w:r>
      <w:r>
        <w:rPr>
          <w:spacing w:val="-7"/>
        </w:rPr>
        <w:t> </w:t>
      </w:r>
      <w:r>
        <w:rPr/>
        <w:t>in</w:t>
      </w:r>
      <w:r>
        <w:rPr>
          <w:spacing w:val="-7"/>
        </w:rPr>
        <w:t> </w:t>
      </w:r>
      <w:r>
        <w:rPr/>
        <w:t>income-increasing discretionary accruals by controlling shareholders when unmanaged earnings were below the target. The</w:t>
      </w:r>
      <w:r>
        <w:rPr>
          <w:spacing w:val="-2"/>
        </w:rPr>
        <w:t> </w:t>
      </w:r>
      <w:r>
        <w:rPr/>
        <w:t>study by Han (2004)</w:t>
      </w:r>
      <w:r>
        <w:rPr>
          <w:spacing w:val="-1"/>
        </w:rPr>
        <w:t> </w:t>
      </w:r>
      <w:r>
        <w:rPr/>
        <w:t>examined the</w:t>
      </w:r>
      <w:r>
        <w:rPr>
          <w:spacing w:val="-1"/>
        </w:rPr>
        <w:t> </w:t>
      </w:r>
      <w:r>
        <w:rPr/>
        <w:t>impact of</w:t>
      </w:r>
      <w:r>
        <w:rPr>
          <w:spacing w:val="-1"/>
        </w:rPr>
        <w:t> </w:t>
      </w:r>
      <w:r>
        <w:rPr/>
        <w:t>ownership structure</w:t>
      </w:r>
      <w:r>
        <w:rPr>
          <w:spacing w:val="-1"/>
        </w:rPr>
        <w:t> </w:t>
      </w:r>
      <w:r>
        <w:rPr/>
        <w:t>on the</w:t>
      </w:r>
      <w:r>
        <w:rPr>
          <w:spacing w:val="-1"/>
        </w:rPr>
        <w:t> </w:t>
      </w:r>
      <w:r>
        <w:rPr/>
        <w:t>quality of financial</w:t>
      </w:r>
      <w:r>
        <w:rPr>
          <w:spacing w:val="-15"/>
        </w:rPr>
        <w:t> </w:t>
      </w:r>
      <w:r>
        <w:rPr/>
        <w:t>reporting</w:t>
      </w:r>
      <w:r>
        <w:rPr>
          <w:spacing w:val="-14"/>
        </w:rPr>
        <w:t> </w:t>
      </w:r>
      <w:r>
        <w:rPr/>
        <w:t>in</w:t>
      </w:r>
      <w:r>
        <w:rPr>
          <w:spacing w:val="-14"/>
        </w:rPr>
        <w:t> </w:t>
      </w:r>
      <w:r>
        <w:rPr/>
        <w:t>the</w:t>
      </w:r>
      <w:r>
        <w:rPr>
          <w:spacing w:val="-11"/>
        </w:rPr>
        <w:t> </w:t>
      </w:r>
      <w:r>
        <w:rPr/>
        <w:t>US.</w:t>
      </w:r>
      <w:r>
        <w:rPr>
          <w:spacing w:val="-14"/>
        </w:rPr>
        <w:t> </w:t>
      </w:r>
      <w:r>
        <w:rPr/>
        <w:t>The</w:t>
      </w:r>
      <w:r>
        <w:rPr>
          <w:spacing w:val="-15"/>
        </w:rPr>
        <w:t> </w:t>
      </w:r>
      <w:r>
        <w:rPr/>
        <w:t>study</w:t>
      </w:r>
      <w:r>
        <w:rPr>
          <w:spacing w:val="-14"/>
        </w:rPr>
        <w:t> </w:t>
      </w:r>
      <w:r>
        <w:rPr/>
        <w:t>proxy</w:t>
      </w:r>
      <w:r>
        <w:rPr>
          <w:spacing w:val="-12"/>
        </w:rPr>
        <w:t> </w:t>
      </w:r>
      <w:r>
        <w:rPr/>
        <w:t>used</w:t>
      </w:r>
      <w:r>
        <w:rPr>
          <w:spacing w:val="-12"/>
        </w:rPr>
        <w:t> </w:t>
      </w:r>
      <w:r>
        <w:rPr/>
        <w:t>for</w:t>
      </w:r>
      <w:r>
        <w:rPr>
          <w:spacing w:val="-15"/>
        </w:rPr>
        <w:t> </w:t>
      </w:r>
      <w:r>
        <w:rPr/>
        <w:t>ownership</w:t>
      </w:r>
      <w:r>
        <w:rPr>
          <w:spacing w:val="-14"/>
        </w:rPr>
        <w:t> </w:t>
      </w:r>
      <w:r>
        <w:rPr/>
        <w:t>structure</w:t>
      </w:r>
      <w:r>
        <w:rPr>
          <w:spacing w:val="-14"/>
        </w:rPr>
        <w:t> </w:t>
      </w:r>
      <w:r>
        <w:rPr/>
        <w:t>through</w:t>
      </w:r>
      <w:r>
        <w:rPr>
          <w:spacing w:val="-15"/>
        </w:rPr>
        <w:t> </w:t>
      </w:r>
      <w:r>
        <w:rPr/>
        <w:t>managerial and</w:t>
      </w:r>
      <w:r>
        <w:rPr>
          <w:spacing w:val="-8"/>
        </w:rPr>
        <w:t> </w:t>
      </w:r>
      <w:r>
        <w:rPr/>
        <w:t>institutional</w:t>
      </w:r>
      <w:r>
        <w:rPr>
          <w:spacing w:val="-8"/>
        </w:rPr>
        <w:t> </w:t>
      </w:r>
      <w:r>
        <w:rPr/>
        <w:t>ownership.</w:t>
      </w:r>
      <w:r>
        <w:rPr>
          <w:spacing w:val="-8"/>
        </w:rPr>
        <w:t> </w:t>
      </w:r>
      <w:r>
        <w:rPr/>
        <w:t>Findings</w:t>
      </w:r>
      <w:r>
        <w:rPr>
          <w:spacing w:val="-8"/>
        </w:rPr>
        <w:t> </w:t>
      </w:r>
      <w:r>
        <w:rPr/>
        <w:t>revealed</w:t>
      </w:r>
      <w:r>
        <w:rPr>
          <w:spacing w:val="-7"/>
        </w:rPr>
        <w:t> </w:t>
      </w:r>
      <w:r>
        <w:rPr/>
        <w:t>that</w:t>
      </w:r>
      <w:r>
        <w:rPr>
          <w:spacing w:val="-7"/>
        </w:rPr>
        <w:t> </w:t>
      </w:r>
      <w:r>
        <w:rPr/>
        <w:t>institutional</w:t>
      </w:r>
      <w:r>
        <w:rPr>
          <w:spacing w:val="-8"/>
        </w:rPr>
        <w:t> </w:t>
      </w:r>
      <w:r>
        <w:rPr/>
        <w:t>ownership</w:t>
      </w:r>
      <w:r>
        <w:rPr>
          <w:spacing w:val="-8"/>
        </w:rPr>
        <w:t> </w:t>
      </w:r>
      <w:r>
        <w:rPr/>
        <w:t>exhibited</w:t>
      </w:r>
      <w:r>
        <w:rPr>
          <w:spacing w:val="-9"/>
        </w:rPr>
        <w:t> </w:t>
      </w:r>
      <w:r>
        <w:rPr/>
        <w:t>a</w:t>
      </w:r>
      <w:r>
        <w:rPr>
          <w:spacing w:val="-8"/>
        </w:rPr>
        <w:t> </w:t>
      </w:r>
      <w:r>
        <w:rPr/>
        <w:t>positive relationship with the quality of financial reporting. The study by Velury, Reisch and Reilly (2003) examined the impact of institutional ownership on the selection of industry specialist auditors in relation to financial reporting transparency. The findings from the study showed that</w:t>
      </w:r>
      <w:r>
        <w:rPr>
          <w:spacing w:val="-8"/>
        </w:rPr>
        <w:t> </w:t>
      </w:r>
      <w:r>
        <w:rPr/>
        <w:t>institutional</w:t>
      </w:r>
      <w:r>
        <w:rPr>
          <w:spacing w:val="-8"/>
        </w:rPr>
        <w:t> </w:t>
      </w:r>
      <w:r>
        <w:rPr/>
        <w:t>ownership</w:t>
      </w:r>
      <w:r>
        <w:rPr>
          <w:spacing w:val="-7"/>
        </w:rPr>
        <w:t> </w:t>
      </w:r>
      <w:r>
        <w:rPr/>
        <w:t>was</w:t>
      </w:r>
      <w:r>
        <w:rPr>
          <w:spacing w:val="-8"/>
        </w:rPr>
        <w:t> </w:t>
      </w:r>
      <w:r>
        <w:rPr/>
        <w:t>positively</w:t>
      </w:r>
      <w:r>
        <w:rPr>
          <w:spacing w:val="-8"/>
        </w:rPr>
        <w:t> </w:t>
      </w:r>
      <w:r>
        <w:rPr/>
        <w:t>associated</w:t>
      </w:r>
      <w:r>
        <w:rPr>
          <w:spacing w:val="-8"/>
        </w:rPr>
        <w:t> </w:t>
      </w:r>
      <w:r>
        <w:rPr/>
        <w:t>with</w:t>
      </w:r>
      <w:r>
        <w:rPr>
          <w:spacing w:val="-7"/>
        </w:rPr>
        <w:t> </w:t>
      </w:r>
      <w:r>
        <w:rPr/>
        <w:t>a</w:t>
      </w:r>
      <w:r>
        <w:rPr>
          <w:spacing w:val="-9"/>
        </w:rPr>
        <w:t> </w:t>
      </w:r>
      <w:r>
        <w:rPr/>
        <w:t>high</w:t>
      </w:r>
      <w:r>
        <w:rPr>
          <w:spacing w:val="-8"/>
        </w:rPr>
        <w:t> </w:t>
      </w:r>
      <w:r>
        <w:rPr/>
        <w:t>audit</w:t>
      </w:r>
      <w:r>
        <w:rPr>
          <w:spacing w:val="-8"/>
        </w:rPr>
        <w:t> </w:t>
      </w:r>
      <w:r>
        <w:rPr/>
        <w:t>quality</w:t>
      </w:r>
      <w:r>
        <w:rPr>
          <w:spacing w:val="-8"/>
        </w:rPr>
        <w:t> </w:t>
      </w:r>
      <w:r>
        <w:rPr/>
        <w:t>because</w:t>
      </w:r>
      <w:r>
        <w:rPr>
          <w:spacing w:val="-9"/>
        </w:rPr>
        <w:t> </w:t>
      </w:r>
      <w:r>
        <w:rPr/>
        <w:t>of</w:t>
      </w:r>
      <w:r>
        <w:rPr>
          <w:spacing w:val="-9"/>
        </w:rPr>
        <w:t> </w:t>
      </w:r>
      <w:r>
        <w:rPr/>
        <w:t>their bias for transparency in the financial reporting process. The study by Jung and Kown (2002) provided evidence that firm with high stock ownership by institutions experienced earnings numbers of high quality. The study by Boutchcova and Megginson (2000) investigated the relationship between institutional ownership and earnings quality. They sampled 118 companies from 29 countries for the period 1961 to 1995. They employed the modified Ball model</w:t>
      </w:r>
      <w:r>
        <w:rPr>
          <w:spacing w:val="53"/>
        </w:rPr>
        <w:t> </w:t>
      </w:r>
      <w:r>
        <w:rPr/>
        <w:t>(28)</w:t>
      </w:r>
      <w:r>
        <w:rPr>
          <w:spacing w:val="53"/>
        </w:rPr>
        <w:t> </w:t>
      </w:r>
      <w:r>
        <w:rPr/>
        <w:t>for</w:t>
      </w:r>
      <w:r>
        <w:rPr>
          <w:spacing w:val="56"/>
        </w:rPr>
        <w:t> </w:t>
      </w:r>
      <w:r>
        <w:rPr/>
        <w:t>measuring</w:t>
      </w:r>
      <w:r>
        <w:rPr>
          <w:spacing w:val="54"/>
        </w:rPr>
        <w:t> </w:t>
      </w:r>
      <w:r>
        <w:rPr/>
        <w:t>earnings</w:t>
      </w:r>
      <w:r>
        <w:rPr>
          <w:spacing w:val="53"/>
        </w:rPr>
        <w:t> </w:t>
      </w:r>
      <w:r>
        <w:rPr/>
        <w:t>quality.</w:t>
      </w:r>
      <w:r>
        <w:rPr>
          <w:spacing w:val="58"/>
        </w:rPr>
        <w:t> </w:t>
      </w:r>
      <w:r>
        <w:rPr/>
        <w:t>The</w:t>
      </w:r>
      <w:r>
        <w:rPr>
          <w:spacing w:val="54"/>
        </w:rPr>
        <w:t> </w:t>
      </w:r>
      <w:r>
        <w:rPr/>
        <w:t>evidence</w:t>
      </w:r>
      <w:r>
        <w:rPr>
          <w:spacing w:val="54"/>
        </w:rPr>
        <w:t> </w:t>
      </w:r>
      <w:r>
        <w:rPr/>
        <w:t>from</w:t>
      </w:r>
      <w:r>
        <w:rPr>
          <w:spacing w:val="53"/>
        </w:rPr>
        <w:t> </w:t>
      </w:r>
      <w:r>
        <w:rPr/>
        <w:t>the</w:t>
      </w:r>
      <w:r>
        <w:rPr>
          <w:spacing w:val="54"/>
        </w:rPr>
        <w:t> </w:t>
      </w:r>
      <w:r>
        <w:rPr/>
        <w:t>study</w:t>
      </w:r>
      <w:r>
        <w:rPr>
          <w:spacing w:val="54"/>
        </w:rPr>
        <w:t> </w:t>
      </w:r>
      <w:r>
        <w:rPr/>
        <w:t>showed</w:t>
      </w:r>
      <w:r>
        <w:rPr>
          <w:spacing w:val="54"/>
        </w:rPr>
        <w:t> </w:t>
      </w:r>
      <w:r>
        <w:rPr/>
        <w:t>that</w:t>
      </w:r>
      <w:r>
        <w:rPr>
          <w:spacing w:val="54"/>
        </w:rPr>
        <w:t> </w:t>
      </w:r>
      <w:r>
        <w:rPr>
          <w:spacing w:val="-10"/>
        </w:rPr>
        <w:t>a</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significant positive relationship existed between institutional investors and earnings quality. The</w:t>
      </w:r>
      <w:r>
        <w:rPr>
          <w:spacing w:val="-4"/>
        </w:rPr>
        <w:t> </w:t>
      </w:r>
      <w:r>
        <w:rPr/>
        <w:t>study</w:t>
      </w:r>
      <w:r>
        <w:rPr>
          <w:spacing w:val="-3"/>
        </w:rPr>
        <w:t> </w:t>
      </w:r>
      <w:r>
        <w:rPr/>
        <w:t>by</w:t>
      </w:r>
      <w:r>
        <w:rPr>
          <w:spacing w:val="-3"/>
        </w:rPr>
        <w:t> </w:t>
      </w:r>
      <w:r>
        <w:rPr/>
        <w:t>Vafeas</w:t>
      </w:r>
      <w:r>
        <w:rPr>
          <w:spacing w:val="-3"/>
        </w:rPr>
        <w:t> </w:t>
      </w:r>
      <w:r>
        <w:rPr/>
        <w:t>(2000)</w:t>
      </w:r>
      <w:r>
        <w:rPr>
          <w:spacing w:val="-5"/>
        </w:rPr>
        <w:t> </w:t>
      </w:r>
      <w:r>
        <w:rPr/>
        <w:t>concluded</w:t>
      </w:r>
      <w:r>
        <w:rPr>
          <w:spacing w:val="-3"/>
        </w:rPr>
        <w:t> </w:t>
      </w:r>
      <w:r>
        <w:rPr/>
        <w:t>that</w:t>
      </w:r>
      <w:r>
        <w:rPr>
          <w:spacing w:val="-3"/>
        </w:rPr>
        <w:t> </w:t>
      </w:r>
      <w:r>
        <w:rPr/>
        <w:t>firms</w:t>
      </w:r>
      <w:r>
        <w:rPr>
          <w:spacing w:val="-6"/>
        </w:rPr>
        <w:t> </w:t>
      </w:r>
      <w:r>
        <w:rPr/>
        <w:t>which</w:t>
      </w:r>
      <w:r>
        <w:rPr>
          <w:spacing w:val="-2"/>
        </w:rPr>
        <w:t> </w:t>
      </w:r>
      <w:r>
        <w:rPr/>
        <w:t>insiders</w:t>
      </w:r>
      <w:r>
        <w:rPr>
          <w:spacing w:val="-3"/>
        </w:rPr>
        <w:t> </w:t>
      </w:r>
      <w:r>
        <w:rPr/>
        <w:t>owned</w:t>
      </w:r>
      <w:r>
        <w:rPr>
          <w:spacing w:val="-3"/>
        </w:rPr>
        <w:t> </w:t>
      </w:r>
      <w:r>
        <w:rPr/>
        <w:t>a</w:t>
      </w:r>
      <w:r>
        <w:rPr>
          <w:spacing w:val="-4"/>
        </w:rPr>
        <w:t> </w:t>
      </w:r>
      <w:r>
        <w:rPr/>
        <w:t>large</w:t>
      </w:r>
      <w:r>
        <w:rPr>
          <w:spacing w:val="-5"/>
        </w:rPr>
        <w:t> </w:t>
      </w:r>
      <w:r>
        <w:rPr/>
        <w:t>stake</w:t>
      </w:r>
      <w:r>
        <w:rPr>
          <w:spacing w:val="-5"/>
        </w:rPr>
        <w:t> </w:t>
      </w:r>
      <w:r>
        <w:rPr/>
        <w:t>of</w:t>
      </w:r>
      <w:r>
        <w:rPr>
          <w:spacing w:val="-3"/>
        </w:rPr>
        <w:t> </w:t>
      </w:r>
      <w:r>
        <w:rPr/>
        <w:t>shares exhibited a high quality of earnings information.</w:t>
      </w:r>
    </w:p>
    <w:p>
      <w:pPr>
        <w:pStyle w:val="Heading3"/>
        <w:numPr>
          <w:ilvl w:val="2"/>
          <w:numId w:val="23"/>
        </w:numPr>
        <w:tabs>
          <w:tab w:pos="1480" w:val="left" w:leader="none"/>
        </w:tabs>
        <w:spacing w:line="240" w:lineRule="auto" w:before="0" w:after="0"/>
        <w:ind w:left="1480" w:right="0" w:hanging="540"/>
        <w:jc w:val="both"/>
      </w:pPr>
      <w:bookmarkStart w:name="_TOC_250045" w:id="25"/>
      <w:r>
        <w:rPr/>
        <w:t>Managerial</w:t>
      </w:r>
      <w:r>
        <w:rPr>
          <w:spacing w:val="-3"/>
        </w:rPr>
        <w:t> </w:t>
      </w:r>
      <w:r>
        <w:rPr/>
        <w:t>Ownership and</w:t>
      </w:r>
      <w:r>
        <w:rPr>
          <w:spacing w:val="-2"/>
        </w:rPr>
        <w:t> </w:t>
      </w:r>
      <w:r>
        <w:rPr/>
        <w:t>Financial</w:t>
      </w:r>
      <w:r>
        <w:rPr>
          <w:spacing w:val="-3"/>
        </w:rPr>
        <w:t> </w:t>
      </w:r>
      <w:r>
        <w:rPr/>
        <w:t>Reporting</w:t>
      </w:r>
      <w:bookmarkEnd w:id="25"/>
      <w:r>
        <w:rPr>
          <w:spacing w:val="-2"/>
        </w:rPr>
        <w:t> Quality</w:t>
      </w:r>
    </w:p>
    <w:p>
      <w:pPr>
        <w:pStyle w:val="BodyText"/>
        <w:rPr>
          <w:b/>
        </w:rPr>
      </w:pPr>
    </w:p>
    <w:p>
      <w:pPr>
        <w:pStyle w:val="BodyText"/>
        <w:spacing w:line="480" w:lineRule="auto"/>
        <w:ind w:left="940" w:right="1435"/>
      </w:pPr>
      <w:r>
        <w:rPr/>
        <w:drawing>
          <wp:anchor distT="0" distB="0" distL="0" distR="0" allowOverlap="1" layoutInCell="1" locked="0" behindDoc="1" simplePos="0" relativeHeight="477714944">
            <wp:simplePos x="0" y="0"/>
            <wp:positionH relativeFrom="page">
              <wp:posOffset>1095451</wp:posOffset>
            </wp:positionH>
            <wp:positionV relativeFrom="paragraph">
              <wp:posOffset>410075</wp:posOffset>
            </wp:positionV>
            <wp:extent cx="5106847" cy="5238115"/>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5" cstate="print"/>
                    <a:stretch>
                      <a:fillRect/>
                    </a:stretch>
                  </pic:blipFill>
                  <pic:spPr>
                    <a:xfrm>
                      <a:off x="0" y="0"/>
                      <a:ext cx="5106847" cy="5238115"/>
                    </a:xfrm>
                    <a:prstGeom prst="rect">
                      <a:avLst/>
                    </a:prstGeom>
                  </pic:spPr>
                </pic:pic>
              </a:graphicData>
            </a:graphic>
          </wp:anchor>
        </w:drawing>
      </w:r>
      <w:r>
        <w:rPr/>
        <w:t>Ogbonanya, Ekwe and Ihendinihu (2016) investigated the effect of corporate governance and ownership structure on earnings management of Nigerian brewery industries for the period</w:t>
      </w:r>
      <w:r>
        <w:rPr>
          <w:spacing w:val="80"/>
        </w:rPr>
        <w:t> </w:t>
      </w:r>
      <w:r>
        <w:rPr/>
        <w:t>2004-2013.</w:t>
      </w:r>
      <w:r>
        <w:rPr>
          <w:spacing w:val="-2"/>
        </w:rPr>
        <w:t> </w:t>
      </w:r>
      <w:r>
        <w:rPr/>
        <w:t>Multiple</w:t>
      </w:r>
      <w:r>
        <w:rPr>
          <w:spacing w:val="-2"/>
        </w:rPr>
        <w:t> </w:t>
      </w:r>
      <w:r>
        <w:rPr/>
        <w:t>regression</w:t>
      </w:r>
      <w:r>
        <w:rPr>
          <w:spacing w:val="-2"/>
        </w:rPr>
        <w:t> </w:t>
      </w:r>
      <w:r>
        <w:rPr/>
        <w:t>technique</w:t>
      </w:r>
      <w:r>
        <w:rPr>
          <w:spacing w:val="-3"/>
        </w:rPr>
        <w:t> </w:t>
      </w:r>
      <w:r>
        <w:rPr/>
        <w:t>was</w:t>
      </w:r>
      <w:r>
        <w:rPr>
          <w:spacing w:val="-2"/>
        </w:rPr>
        <w:t> </w:t>
      </w:r>
      <w:r>
        <w:rPr/>
        <w:t>used</w:t>
      </w:r>
      <w:r>
        <w:rPr>
          <w:spacing w:val="-2"/>
        </w:rPr>
        <w:t> </w:t>
      </w:r>
      <w:r>
        <w:rPr/>
        <w:t>to</w:t>
      </w:r>
      <w:r>
        <w:rPr>
          <w:spacing w:val="-2"/>
        </w:rPr>
        <w:t> </w:t>
      </w:r>
      <w:r>
        <w:rPr/>
        <w:t>analyse</w:t>
      </w:r>
      <w:r>
        <w:rPr>
          <w:spacing w:val="-3"/>
        </w:rPr>
        <w:t> </w:t>
      </w:r>
      <w:r>
        <w:rPr/>
        <w:t>the</w:t>
      </w:r>
      <w:r>
        <w:rPr>
          <w:spacing w:val="-3"/>
        </w:rPr>
        <w:t> </w:t>
      </w:r>
      <w:r>
        <w:rPr/>
        <w:t>data. The</w:t>
      </w:r>
      <w:r>
        <w:rPr>
          <w:spacing w:val="-3"/>
        </w:rPr>
        <w:t> </w:t>
      </w:r>
      <w:r>
        <w:rPr/>
        <w:t>findings</w:t>
      </w:r>
      <w:r>
        <w:rPr>
          <w:spacing w:val="-2"/>
        </w:rPr>
        <w:t> </w:t>
      </w:r>
      <w:r>
        <w:rPr/>
        <w:t>revealed that</w:t>
      </w:r>
      <w:r>
        <w:rPr>
          <w:spacing w:val="-8"/>
        </w:rPr>
        <w:t> </w:t>
      </w:r>
      <w:r>
        <w:rPr/>
        <w:t>CEO</w:t>
      </w:r>
      <w:r>
        <w:rPr>
          <w:spacing w:val="-9"/>
        </w:rPr>
        <w:t> </w:t>
      </w:r>
      <w:r>
        <w:rPr/>
        <w:t>and</w:t>
      </w:r>
      <w:r>
        <w:rPr>
          <w:spacing w:val="-8"/>
        </w:rPr>
        <w:t> </w:t>
      </w:r>
      <w:r>
        <w:rPr/>
        <w:t>managerial</w:t>
      </w:r>
      <w:r>
        <w:rPr>
          <w:spacing w:val="-6"/>
        </w:rPr>
        <w:t> </w:t>
      </w:r>
      <w:r>
        <w:rPr/>
        <w:t>ownership</w:t>
      </w:r>
      <w:r>
        <w:rPr>
          <w:spacing w:val="-8"/>
        </w:rPr>
        <w:t> </w:t>
      </w:r>
      <w:r>
        <w:rPr/>
        <w:t>had</w:t>
      </w:r>
      <w:r>
        <w:rPr>
          <w:spacing w:val="-8"/>
        </w:rPr>
        <w:t> </w:t>
      </w:r>
      <w:r>
        <w:rPr/>
        <w:t>a</w:t>
      </w:r>
      <w:r>
        <w:rPr>
          <w:spacing w:val="-9"/>
        </w:rPr>
        <w:t> </w:t>
      </w:r>
      <w:r>
        <w:rPr/>
        <w:t>positive</w:t>
      </w:r>
      <w:r>
        <w:rPr>
          <w:spacing w:val="-7"/>
        </w:rPr>
        <w:t> </w:t>
      </w:r>
      <w:r>
        <w:rPr/>
        <w:t>significant</w:t>
      </w:r>
      <w:r>
        <w:rPr>
          <w:spacing w:val="-8"/>
        </w:rPr>
        <w:t> </w:t>
      </w:r>
      <w:r>
        <w:rPr/>
        <w:t>effect</w:t>
      </w:r>
      <w:r>
        <w:rPr>
          <w:spacing w:val="-8"/>
        </w:rPr>
        <w:t> </w:t>
      </w:r>
      <w:r>
        <w:rPr/>
        <w:t>on</w:t>
      </w:r>
      <w:r>
        <w:rPr>
          <w:spacing w:val="-8"/>
        </w:rPr>
        <w:t> </w:t>
      </w:r>
      <w:r>
        <w:rPr/>
        <w:t>earnings</w:t>
      </w:r>
      <w:r>
        <w:rPr>
          <w:spacing w:val="-8"/>
        </w:rPr>
        <w:t> </w:t>
      </w:r>
      <w:r>
        <w:rPr/>
        <w:t>management. There</w:t>
      </w:r>
      <w:r>
        <w:rPr>
          <w:spacing w:val="-9"/>
        </w:rPr>
        <w:t> </w:t>
      </w:r>
      <w:r>
        <w:rPr/>
        <w:t>was</w:t>
      </w:r>
      <w:r>
        <w:rPr>
          <w:spacing w:val="-7"/>
        </w:rPr>
        <w:t> </w:t>
      </w:r>
      <w:r>
        <w:rPr/>
        <w:t>a</w:t>
      </w:r>
      <w:r>
        <w:rPr>
          <w:spacing w:val="-8"/>
        </w:rPr>
        <w:t> </w:t>
      </w:r>
      <w:r>
        <w:rPr/>
        <w:t>wide</w:t>
      </w:r>
      <w:r>
        <w:rPr>
          <w:spacing w:val="-8"/>
        </w:rPr>
        <w:t> </w:t>
      </w:r>
      <w:r>
        <w:rPr/>
        <w:t>gap</w:t>
      </w:r>
      <w:r>
        <w:rPr>
          <w:spacing w:val="-7"/>
        </w:rPr>
        <w:t> </w:t>
      </w:r>
      <w:r>
        <w:rPr/>
        <w:t>in</w:t>
      </w:r>
      <w:r>
        <w:rPr>
          <w:spacing w:val="-7"/>
        </w:rPr>
        <w:t> </w:t>
      </w:r>
      <w:r>
        <w:rPr/>
        <w:t>the</w:t>
      </w:r>
      <w:r>
        <w:rPr>
          <w:spacing w:val="-8"/>
        </w:rPr>
        <w:t> </w:t>
      </w:r>
      <w:r>
        <w:rPr/>
        <w:t>currency</w:t>
      </w:r>
      <w:r>
        <w:rPr>
          <w:spacing w:val="-7"/>
        </w:rPr>
        <w:t> </w:t>
      </w:r>
      <w:r>
        <w:rPr/>
        <w:t>of</w:t>
      </w:r>
      <w:r>
        <w:rPr>
          <w:spacing w:val="-6"/>
        </w:rPr>
        <w:t> </w:t>
      </w:r>
      <w:r>
        <w:rPr/>
        <w:t>research</w:t>
      </w:r>
      <w:r>
        <w:rPr>
          <w:spacing w:val="-5"/>
        </w:rPr>
        <w:t> </w:t>
      </w:r>
      <w:r>
        <w:rPr/>
        <w:t>and</w:t>
      </w:r>
      <w:r>
        <w:rPr>
          <w:spacing w:val="-7"/>
        </w:rPr>
        <w:t> </w:t>
      </w:r>
      <w:r>
        <w:rPr/>
        <w:t>results</w:t>
      </w:r>
      <w:r>
        <w:rPr>
          <w:spacing w:val="-4"/>
        </w:rPr>
        <w:t> </w:t>
      </w:r>
      <w:r>
        <w:rPr/>
        <w:t>which</w:t>
      </w:r>
      <w:r>
        <w:rPr>
          <w:spacing w:val="-7"/>
        </w:rPr>
        <w:t> </w:t>
      </w:r>
      <w:r>
        <w:rPr/>
        <w:t>could</w:t>
      </w:r>
      <w:r>
        <w:rPr>
          <w:spacing w:val="-6"/>
        </w:rPr>
        <w:t> </w:t>
      </w:r>
      <w:r>
        <w:rPr/>
        <w:t>not</w:t>
      </w:r>
      <w:r>
        <w:rPr>
          <w:spacing w:val="-7"/>
        </w:rPr>
        <w:t> </w:t>
      </w:r>
      <w:r>
        <w:rPr/>
        <w:t>be</w:t>
      </w:r>
      <w:r>
        <w:rPr>
          <w:spacing w:val="-8"/>
        </w:rPr>
        <w:t> </w:t>
      </w:r>
      <w:r>
        <w:rPr/>
        <w:t>generalized</w:t>
      </w:r>
      <w:r>
        <w:rPr>
          <w:spacing w:val="-7"/>
        </w:rPr>
        <w:t> </w:t>
      </w:r>
      <w:r>
        <w:rPr/>
        <w:t>to other</w:t>
      </w:r>
      <w:r>
        <w:rPr>
          <w:spacing w:val="40"/>
        </w:rPr>
        <w:t> </w:t>
      </w:r>
      <w:r>
        <w:rPr/>
        <w:t>sectors</w:t>
      </w:r>
      <w:r>
        <w:rPr>
          <w:spacing w:val="40"/>
        </w:rPr>
        <w:t> </w:t>
      </w:r>
      <w:r>
        <w:rPr/>
        <w:t>of</w:t>
      </w:r>
      <w:r>
        <w:rPr>
          <w:spacing w:val="40"/>
        </w:rPr>
        <w:t> </w:t>
      </w:r>
      <w:r>
        <w:rPr/>
        <w:t>the</w:t>
      </w:r>
      <w:r>
        <w:rPr>
          <w:spacing w:val="40"/>
        </w:rPr>
        <w:t> </w:t>
      </w:r>
      <w:r>
        <w:rPr/>
        <w:t>economy.</w:t>
      </w:r>
      <w:r>
        <w:rPr>
          <w:spacing w:val="40"/>
        </w:rPr>
        <w:t> </w:t>
      </w:r>
      <w:r>
        <w:rPr/>
        <w:t>In</w:t>
      </w:r>
      <w:r>
        <w:rPr>
          <w:spacing w:val="40"/>
        </w:rPr>
        <w:t> </w:t>
      </w:r>
      <w:r>
        <w:rPr/>
        <w:t>the</w:t>
      </w:r>
      <w:r>
        <w:rPr>
          <w:spacing w:val="40"/>
        </w:rPr>
        <w:t> </w:t>
      </w:r>
      <w:r>
        <w:rPr/>
        <w:t>abovementioned</w:t>
      </w:r>
      <w:r>
        <w:rPr>
          <w:spacing w:val="40"/>
        </w:rPr>
        <w:t> </w:t>
      </w:r>
      <w:r>
        <w:rPr/>
        <w:t>study</w:t>
      </w:r>
      <w:r>
        <w:rPr>
          <w:spacing w:val="40"/>
        </w:rPr>
        <w:t> </w:t>
      </w:r>
      <w:r>
        <w:rPr/>
        <w:t>by</w:t>
      </w:r>
      <w:r>
        <w:rPr>
          <w:spacing w:val="40"/>
        </w:rPr>
        <w:t> </w:t>
      </w:r>
      <w:r>
        <w:rPr/>
        <w:t>Abdulhadi</w:t>
      </w:r>
      <w:r>
        <w:rPr>
          <w:spacing w:val="40"/>
        </w:rPr>
        <w:t> </w:t>
      </w:r>
      <w:r>
        <w:rPr/>
        <w:t>(2016)</w:t>
      </w:r>
      <w:r>
        <w:rPr>
          <w:spacing w:val="40"/>
        </w:rPr>
        <w:t> </w:t>
      </w:r>
      <w:r>
        <w:rPr/>
        <w:t>on</w:t>
      </w:r>
      <w:r>
        <w:rPr>
          <w:spacing w:val="40"/>
        </w:rPr>
        <w:t> </w:t>
      </w:r>
      <w:r>
        <w:rPr/>
        <w:t>the relationship</w:t>
      </w:r>
      <w:r>
        <w:rPr>
          <w:spacing w:val="-6"/>
        </w:rPr>
        <w:t> </w:t>
      </w:r>
      <w:r>
        <w:rPr/>
        <w:t>between</w:t>
      </w:r>
      <w:r>
        <w:rPr>
          <w:spacing w:val="-7"/>
        </w:rPr>
        <w:t> </w:t>
      </w:r>
      <w:r>
        <w:rPr/>
        <w:t>ownership</w:t>
      </w:r>
      <w:r>
        <w:rPr>
          <w:spacing w:val="-7"/>
        </w:rPr>
        <w:t> </w:t>
      </w:r>
      <w:r>
        <w:rPr/>
        <w:t>structure</w:t>
      </w:r>
      <w:r>
        <w:rPr>
          <w:spacing w:val="-8"/>
        </w:rPr>
        <w:t> </w:t>
      </w:r>
      <w:r>
        <w:rPr/>
        <w:t>and</w:t>
      </w:r>
      <w:r>
        <w:rPr>
          <w:spacing w:val="-7"/>
        </w:rPr>
        <w:t> </w:t>
      </w:r>
      <w:r>
        <w:rPr/>
        <w:t>earnings</w:t>
      </w:r>
      <w:r>
        <w:rPr>
          <w:spacing w:val="-6"/>
        </w:rPr>
        <w:t> </w:t>
      </w:r>
      <w:r>
        <w:rPr/>
        <w:t>management</w:t>
      </w:r>
      <w:r>
        <w:rPr>
          <w:spacing w:val="-7"/>
        </w:rPr>
        <w:t> </w:t>
      </w:r>
      <w:r>
        <w:rPr/>
        <w:t>of</w:t>
      </w:r>
      <w:r>
        <w:rPr>
          <w:spacing w:val="-8"/>
        </w:rPr>
        <w:t> </w:t>
      </w:r>
      <w:r>
        <w:rPr/>
        <w:t>listed</w:t>
      </w:r>
      <w:r>
        <w:rPr>
          <w:spacing w:val="-7"/>
        </w:rPr>
        <w:t> </w:t>
      </w:r>
      <w:r>
        <w:rPr/>
        <w:t>banks</w:t>
      </w:r>
      <w:r>
        <w:rPr>
          <w:spacing w:val="-7"/>
        </w:rPr>
        <w:t> </w:t>
      </w:r>
      <w:r>
        <w:rPr/>
        <w:t>in</w:t>
      </w:r>
      <w:r>
        <w:rPr>
          <w:spacing w:val="-6"/>
        </w:rPr>
        <w:t> </w:t>
      </w:r>
      <w:r>
        <w:rPr/>
        <w:t>Nigeria, the findings revealed that managerial ownership exhibited an inverse relationship on earnings management.</w:t>
      </w:r>
      <w:r>
        <w:rPr>
          <w:spacing w:val="40"/>
        </w:rPr>
        <w:t> </w:t>
      </w:r>
      <w:r>
        <w:rPr/>
        <w:t>In</w:t>
      </w:r>
      <w:r>
        <w:rPr>
          <w:spacing w:val="40"/>
        </w:rPr>
        <w:t> </w:t>
      </w:r>
      <w:r>
        <w:rPr/>
        <w:t>the</w:t>
      </w:r>
      <w:r>
        <w:rPr>
          <w:spacing w:val="40"/>
        </w:rPr>
        <w:t> </w:t>
      </w:r>
      <w:r>
        <w:rPr/>
        <w:t>abovementioned</w:t>
      </w:r>
      <w:r>
        <w:rPr>
          <w:spacing w:val="40"/>
        </w:rPr>
        <w:t> </w:t>
      </w:r>
      <w:r>
        <w:rPr/>
        <w:t>study</w:t>
      </w:r>
      <w:r>
        <w:rPr>
          <w:spacing w:val="40"/>
        </w:rPr>
        <w:t> </w:t>
      </w:r>
      <w:r>
        <w:rPr/>
        <w:t>by</w:t>
      </w:r>
      <w:r>
        <w:rPr>
          <w:spacing w:val="40"/>
        </w:rPr>
        <w:t> </w:t>
      </w:r>
      <w:r>
        <w:rPr/>
        <w:t>Baba</w:t>
      </w:r>
      <w:r>
        <w:rPr>
          <w:spacing w:val="40"/>
        </w:rPr>
        <w:t> </w:t>
      </w:r>
      <w:r>
        <w:rPr/>
        <w:t>(2016)</w:t>
      </w:r>
      <w:r>
        <w:rPr>
          <w:spacing w:val="40"/>
        </w:rPr>
        <w:t> </w:t>
      </w:r>
      <w:r>
        <w:rPr/>
        <w:t>on</w:t>
      </w:r>
      <w:r>
        <w:rPr>
          <w:spacing w:val="40"/>
        </w:rPr>
        <w:t> </w:t>
      </w:r>
      <w:r>
        <w:rPr/>
        <w:t>the</w:t>
      </w:r>
      <w:r>
        <w:rPr>
          <w:spacing w:val="40"/>
        </w:rPr>
        <w:t> </w:t>
      </w:r>
      <w:r>
        <w:rPr/>
        <w:t>impact</w:t>
      </w:r>
      <w:r>
        <w:rPr>
          <w:spacing w:val="40"/>
        </w:rPr>
        <w:t> </w:t>
      </w:r>
      <w:r>
        <w:rPr/>
        <w:t>of</w:t>
      </w:r>
      <w:r>
        <w:rPr>
          <w:spacing w:val="40"/>
        </w:rPr>
        <w:t> </w:t>
      </w:r>
      <w:r>
        <w:rPr/>
        <w:t>ownership structure on earnings quality of listed insurance companies in Nigeria, the findings revealed that managerial ownership inversely influenced earnings quality. The abovementioned study by Adebiyi and Olowookere (2016) examined the relationship between corporate ownership structure and financial reporting quality among deposit money banks in Nigeria. The findings revealed that managerial ownership exhibited a positive relationship with financial reporting quality.</w:t>
      </w:r>
      <w:r>
        <w:rPr>
          <w:spacing w:val="31"/>
        </w:rPr>
        <w:t> </w:t>
      </w:r>
      <w:r>
        <w:rPr/>
        <w:t>In</w:t>
      </w:r>
      <w:r>
        <w:rPr>
          <w:spacing w:val="31"/>
        </w:rPr>
        <w:t> </w:t>
      </w:r>
      <w:r>
        <w:rPr/>
        <w:t>the</w:t>
      </w:r>
      <w:r>
        <w:rPr>
          <w:spacing w:val="30"/>
        </w:rPr>
        <w:t> </w:t>
      </w:r>
      <w:r>
        <w:rPr/>
        <w:t>abovementioned</w:t>
      </w:r>
      <w:r>
        <w:rPr>
          <w:spacing w:val="31"/>
        </w:rPr>
        <w:t> </w:t>
      </w:r>
      <w:r>
        <w:rPr/>
        <w:t>study</w:t>
      </w:r>
      <w:r>
        <w:rPr>
          <w:spacing w:val="33"/>
        </w:rPr>
        <w:t> </w:t>
      </w:r>
      <w:r>
        <w:rPr/>
        <w:t>by</w:t>
      </w:r>
      <w:r>
        <w:rPr>
          <w:spacing w:val="31"/>
        </w:rPr>
        <w:t> </w:t>
      </w:r>
      <w:r>
        <w:rPr/>
        <w:t>Ayadi</w:t>
      </w:r>
      <w:r>
        <w:rPr>
          <w:spacing w:val="34"/>
        </w:rPr>
        <w:t> </w:t>
      </w:r>
      <w:r>
        <w:rPr/>
        <w:t>and</w:t>
      </w:r>
      <w:r>
        <w:rPr>
          <w:spacing w:val="31"/>
        </w:rPr>
        <w:t> </w:t>
      </w:r>
      <w:r>
        <w:rPr/>
        <w:t>Boujelbene</w:t>
      </w:r>
      <w:r>
        <w:rPr>
          <w:spacing w:val="30"/>
        </w:rPr>
        <w:t> </w:t>
      </w:r>
      <w:r>
        <w:rPr/>
        <w:t>(2014)</w:t>
      </w:r>
      <w:r>
        <w:rPr>
          <w:spacing w:val="33"/>
        </w:rPr>
        <w:t> </w:t>
      </w:r>
      <w:r>
        <w:rPr/>
        <w:t>on</w:t>
      </w:r>
      <w:r>
        <w:rPr>
          <w:spacing w:val="31"/>
        </w:rPr>
        <w:t> </w:t>
      </w:r>
      <w:r>
        <w:rPr/>
        <w:t>the</w:t>
      </w:r>
      <w:r>
        <w:rPr>
          <w:spacing w:val="30"/>
        </w:rPr>
        <w:t> </w:t>
      </w:r>
      <w:r>
        <w:rPr/>
        <w:t>relationship between</w:t>
      </w:r>
      <w:r>
        <w:rPr>
          <w:spacing w:val="79"/>
        </w:rPr>
        <w:t> </w:t>
      </w:r>
      <w:r>
        <w:rPr/>
        <w:t>ownership</w:t>
      </w:r>
      <w:r>
        <w:rPr>
          <w:spacing w:val="79"/>
        </w:rPr>
        <w:t> </w:t>
      </w:r>
      <w:r>
        <w:rPr/>
        <w:t>structure</w:t>
      </w:r>
      <w:r>
        <w:rPr>
          <w:spacing w:val="80"/>
        </w:rPr>
        <w:t> </w:t>
      </w:r>
      <w:r>
        <w:rPr/>
        <w:t>and</w:t>
      </w:r>
      <w:r>
        <w:rPr>
          <w:spacing w:val="79"/>
        </w:rPr>
        <w:t> </w:t>
      </w:r>
      <w:r>
        <w:rPr/>
        <w:t>earnings</w:t>
      </w:r>
      <w:r>
        <w:rPr>
          <w:spacing w:val="79"/>
        </w:rPr>
        <w:t> </w:t>
      </w:r>
      <w:r>
        <w:rPr/>
        <w:t>quality,</w:t>
      </w:r>
      <w:r>
        <w:rPr>
          <w:spacing w:val="79"/>
        </w:rPr>
        <w:t> </w:t>
      </w:r>
      <w:r>
        <w:rPr/>
        <w:t>the</w:t>
      </w:r>
      <w:r>
        <w:rPr>
          <w:spacing w:val="78"/>
        </w:rPr>
        <w:t> </w:t>
      </w:r>
      <w:r>
        <w:rPr/>
        <w:t>results</w:t>
      </w:r>
      <w:r>
        <w:rPr>
          <w:spacing w:val="79"/>
        </w:rPr>
        <w:t> </w:t>
      </w:r>
      <w:r>
        <w:rPr/>
        <w:t>showed</w:t>
      </w:r>
      <w:r>
        <w:rPr>
          <w:spacing w:val="79"/>
        </w:rPr>
        <w:t> </w:t>
      </w:r>
      <w:r>
        <w:rPr/>
        <w:t>that</w:t>
      </w:r>
      <w:r>
        <w:rPr>
          <w:spacing w:val="79"/>
        </w:rPr>
        <w:t> </w:t>
      </w:r>
      <w:r>
        <w:rPr/>
        <w:t>managerial ownership</w:t>
      </w:r>
      <w:r>
        <w:rPr>
          <w:spacing w:val="-1"/>
        </w:rPr>
        <w:t> </w:t>
      </w:r>
      <w:r>
        <w:rPr/>
        <w:t>exhibited</w:t>
      </w:r>
      <w:r>
        <w:rPr>
          <w:spacing w:val="-1"/>
        </w:rPr>
        <w:t> </w:t>
      </w:r>
      <w:r>
        <w:rPr/>
        <w:t>a</w:t>
      </w:r>
      <w:r>
        <w:rPr>
          <w:spacing w:val="-1"/>
        </w:rPr>
        <w:t> </w:t>
      </w:r>
      <w:r>
        <w:rPr/>
        <w:t>positive</w:t>
      </w:r>
      <w:r>
        <w:rPr>
          <w:spacing w:val="-2"/>
        </w:rPr>
        <w:t> </w:t>
      </w:r>
      <w:r>
        <w:rPr/>
        <w:t>impact</w:t>
      </w:r>
      <w:r>
        <w:rPr>
          <w:spacing w:val="-1"/>
        </w:rPr>
        <w:t> </w:t>
      </w:r>
      <w:r>
        <w:rPr/>
        <w:t>on</w:t>
      </w:r>
      <w:r>
        <w:rPr>
          <w:spacing w:val="-1"/>
        </w:rPr>
        <w:t> </w:t>
      </w:r>
      <w:r>
        <w:rPr/>
        <w:t>earnings</w:t>
      </w:r>
      <w:r>
        <w:rPr>
          <w:spacing w:val="-4"/>
        </w:rPr>
        <w:t> </w:t>
      </w:r>
      <w:r>
        <w:rPr/>
        <w:t>management.</w:t>
      </w:r>
      <w:r>
        <w:rPr>
          <w:spacing w:val="-1"/>
        </w:rPr>
        <w:t> </w:t>
      </w:r>
      <w:r>
        <w:rPr/>
        <w:t>In</w:t>
      </w:r>
      <w:r>
        <w:rPr>
          <w:spacing w:val="-1"/>
        </w:rPr>
        <w:t> </w:t>
      </w:r>
      <w:r>
        <w:rPr/>
        <w:t>the</w:t>
      </w:r>
      <w:r>
        <w:rPr>
          <w:spacing w:val="-2"/>
        </w:rPr>
        <w:t> </w:t>
      </w:r>
      <w:r>
        <w:rPr/>
        <w:t>abovementioned</w:t>
      </w:r>
      <w:r>
        <w:rPr>
          <w:spacing w:val="-2"/>
        </w:rPr>
        <w:t> </w:t>
      </w:r>
      <w:r>
        <w:rPr/>
        <w:t>study by Lawal and Mohammad (2014) on the effect of ownership structure on informativeness of accounting</w:t>
      </w:r>
      <w:r>
        <w:rPr>
          <w:spacing w:val="40"/>
        </w:rPr>
        <w:t> </w:t>
      </w:r>
      <w:r>
        <w:rPr/>
        <w:t>earnings</w:t>
      </w:r>
      <w:r>
        <w:rPr>
          <w:spacing w:val="40"/>
        </w:rPr>
        <w:t> </w:t>
      </w:r>
      <w:r>
        <w:rPr/>
        <w:t>of</w:t>
      </w:r>
      <w:r>
        <w:rPr>
          <w:spacing w:val="40"/>
        </w:rPr>
        <w:t> </w:t>
      </w:r>
      <w:r>
        <w:rPr/>
        <w:t>listed</w:t>
      </w:r>
      <w:r>
        <w:rPr>
          <w:spacing w:val="40"/>
        </w:rPr>
        <w:t> </w:t>
      </w:r>
      <w:r>
        <w:rPr/>
        <w:t>deposit</w:t>
      </w:r>
      <w:r>
        <w:rPr>
          <w:spacing w:val="40"/>
        </w:rPr>
        <w:t> </w:t>
      </w:r>
      <w:r>
        <w:rPr/>
        <w:t>money</w:t>
      </w:r>
      <w:r>
        <w:rPr>
          <w:spacing w:val="40"/>
        </w:rPr>
        <w:t> </w:t>
      </w:r>
      <w:r>
        <w:rPr/>
        <w:t>banks</w:t>
      </w:r>
      <w:r>
        <w:rPr>
          <w:spacing w:val="40"/>
        </w:rPr>
        <w:t> </w:t>
      </w:r>
      <w:r>
        <w:rPr/>
        <w:t>in</w:t>
      </w:r>
      <w:r>
        <w:rPr>
          <w:spacing w:val="40"/>
        </w:rPr>
        <w:t> </w:t>
      </w:r>
      <w:r>
        <w:rPr/>
        <w:t>Nigeria,</w:t>
      </w:r>
      <w:r>
        <w:rPr>
          <w:spacing w:val="40"/>
        </w:rPr>
        <w:t> </w:t>
      </w:r>
      <w:r>
        <w:rPr/>
        <w:t>the</w:t>
      </w:r>
      <w:r>
        <w:rPr>
          <w:spacing w:val="40"/>
        </w:rPr>
        <w:t> </w:t>
      </w:r>
      <w:r>
        <w:rPr/>
        <w:t>findings</w:t>
      </w:r>
      <w:r>
        <w:rPr>
          <w:spacing w:val="40"/>
        </w:rPr>
        <w:t> </w:t>
      </w:r>
      <w:r>
        <w:rPr/>
        <w:t>revealed</w:t>
      </w:r>
      <w:r>
        <w:rPr>
          <w:spacing w:val="40"/>
        </w:rPr>
        <w:t> </w:t>
      </w:r>
      <w:r>
        <w:rPr/>
        <w:t>that managerial</w:t>
      </w:r>
      <w:r>
        <w:rPr>
          <w:spacing w:val="40"/>
        </w:rPr>
        <w:t> </w:t>
      </w:r>
      <w:r>
        <w:rPr/>
        <w:t>ownership</w:t>
      </w:r>
      <w:r>
        <w:rPr>
          <w:spacing w:val="40"/>
        </w:rPr>
        <w:t> </w:t>
      </w:r>
      <w:r>
        <w:rPr/>
        <w:t>exhibited</w:t>
      </w:r>
      <w:r>
        <w:rPr>
          <w:spacing w:val="40"/>
        </w:rPr>
        <w:t> </w:t>
      </w:r>
      <w:r>
        <w:rPr/>
        <w:t>a</w:t>
      </w:r>
      <w:r>
        <w:rPr>
          <w:spacing w:val="40"/>
        </w:rPr>
        <w:t> </w:t>
      </w:r>
      <w:r>
        <w:rPr/>
        <w:t>significant</w:t>
      </w:r>
      <w:r>
        <w:rPr>
          <w:spacing w:val="40"/>
        </w:rPr>
        <w:t> </w:t>
      </w:r>
      <w:r>
        <w:rPr/>
        <w:t>inverse</w:t>
      </w:r>
      <w:r>
        <w:rPr>
          <w:spacing w:val="40"/>
        </w:rPr>
        <w:t> </w:t>
      </w:r>
      <w:r>
        <w:rPr/>
        <w:t>relationship</w:t>
      </w:r>
      <w:r>
        <w:rPr>
          <w:spacing w:val="40"/>
        </w:rPr>
        <w:t> </w:t>
      </w:r>
      <w:r>
        <w:rPr/>
        <w:t>with</w:t>
      </w:r>
      <w:r>
        <w:rPr>
          <w:spacing w:val="40"/>
        </w:rPr>
        <w:t> </w:t>
      </w:r>
      <w:r>
        <w:rPr/>
        <w:t>informativeness</w:t>
      </w:r>
      <w:r>
        <w:rPr>
          <w:spacing w:val="40"/>
        </w:rPr>
        <w:t> </w:t>
      </w:r>
      <w:r>
        <w:rPr/>
        <w:t>of accounting</w:t>
      </w:r>
      <w:r>
        <w:rPr>
          <w:spacing w:val="29"/>
        </w:rPr>
        <w:t> </w:t>
      </w:r>
      <w:r>
        <w:rPr/>
        <w:t>earnings.</w:t>
      </w:r>
      <w:r>
        <w:rPr>
          <w:spacing w:val="31"/>
        </w:rPr>
        <w:t>  </w:t>
      </w:r>
      <w:r>
        <w:rPr/>
        <w:t>In</w:t>
      </w:r>
      <w:r>
        <w:rPr>
          <w:spacing w:val="32"/>
        </w:rPr>
        <w:t> </w:t>
      </w:r>
      <w:r>
        <w:rPr/>
        <w:t>the</w:t>
      </w:r>
      <w:r>
        <w:rPr>
          <w:spacing w:val="29"/>
        </w:rPr>
        <w:t> </w:t>
      </w:r>
      <w:r>
        <w:rPr/>
        <w:t>abovementioned</w:t>
      </w:r>
      <w:r>
        <w:rPr>
          <w:spacing w:val="29"/>
        </w:rPr>
        <w:t> </w:t>
      </w:r>
      <w:r>
        <w:rPr/>
        <w:t>study</w:t>
      </w:r>
      <w:r>
        <w:rPr>
          <w:spacing w:val="30"/>
        </w:rPr>
        <w:t> </w:t>
      </w:r>
      <w:r>
        <w:rPr/>
        <w:t>by</w:t>
      </w:r>
      <w:r>
        <w:rPr>
          <w:spacing w:val="30"/>
        </w:rPr>
        <w:t> </w:t>
      </w:r>
      <w:r>
        <w:rPr/>
        <w:t>Muhammad</w:t>
      </w:r>
      <w:r>
        <w:rPr>
          <w:spacing w:val="29"/>
        </w:rPr>
        <w:t> </w:t>
      </w:r>
      <w:r>
        <w:rPr/>
        <w:t>(2014)</w:t>
      </w:r>
      <w:r>
        <w:rPr>
          <w:spacing w:val="29"/>
        </w:rPr>
        <w:t> </w:t>
      </w:r>
      <w:r>
        <w:rPr/>
        <w:t>on</w:t>
      </w:r>
      <w:r>
        <w:rPr>
          <w:spacing w:val="29"/>
        </w:rPr>
        <w:t> </w:t>
      </w:r>
      <w:r>
        <w:rPr/>
        <w:t>the</w:t>
      </w:r>
      <w:r>
        <w:rPr>
          <w:spacing w:val="29"/>
        </w:rPr>
        <w:t> </w:t>
      </w:r>
      <w:r>
        <w:rPr/>
        <w:t>effect</w:t>
      </w:r>
      <w:r>
        <w:rPr>
          <w:spacing w:val="31"/>
        </w:rPr>
        <w:t> </w:t>
      </w:r>
      <w:r>
        <w:rPr>
          <w:spacing w:val="-5"/>
        </w:rPr>
        <w:t>of</w:t>
      </w:r>
    </w:p>
    <w:p>
      <w:pPr>
        <w:spacing w:after="0" w:line="480" w:lineRule="auto"/>
        <w:sectPr>
          <w:pgSz w:w="11910" w:h="16840"/>
          <w:pgMar w:header="0" w:footer="971" w:top="1360" w:bottom="1160" w:left="500" w:right="0"/>
        </w:sectPr>
      </w:pPr>
    </w:p>
    <w:p>
      <w:pPr>
        <w:pStyle w:val="BodyText"/>
        <w:spacing w:line="480" w:lineRule="auto" w:before="61"/>
        <w:ind w:left="940" w:right="1438"/>
        <w:jc w:val="both"/>
      </w:pPr>
      <w:r>
        <w:rPr/>
        <w:t>ownership structure on informativeness of accounting earnings of listed deposit money banks in Nigeria, the findings revealed that managerial ownership was negatively and significantly related to earnings informativeness of listed deposit money banks in Nigeria.</w:t>
      </w:r>
    </w:p>
    <w:p>
      <w:pPr>
        <w:pStyle w:val="BodyText"/>
        <w:spacing w:line="480" w:lineRule="auto"/>
        <w:ind w:left="940" w:right="1433"/>
        <w:jc w:val="both"/>
      </w:pPr>
      <w:r>
        <w:rPr/>
        <w:drawing>
          <wp:anchor distT="0" distB="0" distL="0" distR="0" allowOverlap="1" layoutInCell="1" locked="0" behindDoc="1" simplePos="0" relativeHeight="477715456">
            <wp:simplePos x="0" y="0"/>
            <wp:positionH relativeFrom="page">
              <wp:posOffset>1095451</wp:posOffset>
            </wp:positionH>
            <wp:positionV relativeFrom="paragraph">
              <wp:posOffset>760565</wp:posOffset>
            </wp:positionV>
            <wp:extent cx="5106847" cy="5238115"/>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5" cstate="print"/>
                    <a:stretch>
                      <a:fillRect/>
                    </a:stretch>
                  </pic:blipFill>
                  <pic:spPr>
                    <a:xfrm>
                      <a:off x="0" y="0"/>
                      <a:ext cx="5106847" cy="5238115"/>
                    </a:xfrm>
                    <a:prstGeom prst="rect">
                      <a:avLst/>
                    </a:prstGeom>
                  </pic:spPr>
                </pic:pic>
              </a:graphicData>
            </a:graphic>
          </wp:anchor>
        </w:drawing>
      </w:r>
      <w:r>
        <w:rPr/>
        <w:t>Karuntarat</w:t>
      </w:r>
      <w:r>
        <w:rPr>
          <w:spacing w:val="-9"/>
        </w:rPr>
        <w:t> </w:t>
      </w:r>
      <w:r>
        <w:rPr/>
        <w:t>(2013)</w:t>
      </w:r>
      <w:r>
        <w:rPr>
          <w:spacing w:val="-10"/>
        </w:rPr>
        <w:t> </w:t>
      </w:r>
      <w:r>
        <w:rPr/>
        <w:t>examined</w:t>
      </w:r>
      <w:r>
        <w:rPr>
          <w:spacing w:val="-10"/>
        </w:rPr>
        <w:t> </w:t>
      </w:r>
      <w:r>
        <w:rPr/>
        <w:t>the</w:t>
      </w:r>
      <w:r>
        <w:rPr>
          <w:spacing w:val="-10"/>
        </w:rPr>
        <w:t> </w:t>
      </w:r>
      <w:r>
        <w:rPr/>
        <w:t>impact</w:t>
      </w:r>
      <w:r>
        <w:rPr>
          <w:spacing w:val="-9"/>
        </w:rPr>
        <w:t> </w:t>
      </w:r>
      <w:r>
        <w:rPr/>
        <w:t>of</w:t>
      </w:r>
      <w:r>
        <w:rPr>
          <w:spacing w:val="-10"/>
        </w:rPr>
        <w:t> </w:t>
      </w:r>
      <w:r>
        <w:rPr/>
        <w:t>ownership</w:t>
      </w:r>
      <w:r>
        <w:rPr>
          <w:spacing w:val="-9"/>
        </w:rPr>
        <w:t> </w:t>
      </w:r>
      <w:r>
        <w:rPr/>
        <w:t>structure</w:t>
      </w:r>
      <w:r>
        <w:rPr>
          <w:spacing w:val="-8"/>
        </w:rPr>
        <w:t> </w:t>
      </w:r>
      <w:r>
        <w:rPr/>
        <w:t>and</w:t>
      </w:r>
      <w:r>
        <w:rPr>
          <w:spacing w:val="-10"/>
        </w:rPr>
        <w:t> </w:t>
      </w:r>
      <w:r>
        <w:rPr/>
        <w:t>other</w:t>
      </w:r>
      <w:r>
        <w:rPr>
          <w:spacing w:val="-10"/>
        </w:rPr>
        <w:t> </w:t>
      </w:r>
      <w:r>
        <w:rPr/>
        <w:t>corporate</w:t>
      </w:r>
      <w:r>
        <w:rPr>
          <w:spacing w:val="-8"/>
        </w:rPr>
        <w:t> </w:t>
      </w:r>
      <w:r>
        <w:rPr/>
        <w:t>governance mechanisms</w:t>
      </w:r>
      <w:r>
        <w:rPr>
          <w:spacing w:val="-1"/>
        </w:rPr>
        <w:t> </w:t>
      </w:r>
      <w:r>
        <w:rPr/>
        <w:t>on accounting</w:t>
      </w:r>
      <w:r>
        <w:rPr>
          <w:spacing w:val="-1"/>
        </w:rPr>
        <w:t> </w:t>
      </w:r>
      <w:r>
        <w:rPr/>
        <w:t>discretions</w:t>
      </w:r>
      <w:r>
        <w:rPr>
          <w:spacing w:val="-1"/>
        </w:rPr>
        <w:t> </w:t>
      </w:r>
      <w:r>
        <w:rPr/>
        <w:t>with evidence from</w:t>
      </w:r>
      <w:r>
        <w:rPr>
          <w:spacing w:val="-1"/>
        </w:rPr>
        <w:t> </w:t>
      </w:r>
      <w:r>
        <w:rPr/>
        <w:t>Thailand. The ownership</w:t>
      </w:r>
      <w:r>
        <w:rPr>
          <w:spacing w:val="-1"/>
        </w:rPr>
        <w:t> </w:t>
      </w:r>
      <w:r>
        <w:rPr/>
        <w:t>structure variables included managerial, foreign and ownership concentration. For the dependent variable, two common discretionary accrual based models (cross-sectional jones model and modified jones model) and revenue based model by Stubben (2010) were adopted. The study separated the full sample into pre-period (1994–1998) and post -period of the corporate governance</w:t>
      </w:r>
      <w:r>
        <w:rPr>
          <w:spacing w:val="-7"/>
        </w:rPr>
        <w:t> </w:t>
      </w:r>
      <w:r>
        <w:rPr/>
        <w:t>reform</w:t>
      </w:r>
      <w:r>
        <w:rPr>
          <w:spacing w:val="-6"/>
        </w:rPr>
        <w:t> </w:t>
      </w:r>
      <w:r>
        <w:rPr/>
        <w:t>(2000–2007)</w:t>
      </w:r>
      <w:r>
        <w:rPr>
          <w:spacing w:val="-7"/>
        </w:rPr>
        <w:t> </w:t>
      </w:r>
      <w:r>
        <w:rPr/>
        <w:t>and</w:t>
      </w:r>
      <w:r>
        <w:rPr>
          <w:spacing w:val="-6"/>
        </w:rPr>
        <w:t> </w:t>
      </w:r>
      <w:r>
        <w:rPr/>
        <w:t>ran</w:t>
      </w:r>
      <w:r>
        <w:rPr>
          <w:spacing w:val="-6"/>
        </w:rPr>
        <w:t> </w:t>
      </w:r>
      <w:r>
        <w:rPr/>
        <w:t>each</w:t>
      </w:r>
      <w:r>
        <w:rPr>
          <w:spacing w:val="-6"/>
        </w:rPr>
        <w:t> </w:t>
      </w:r>
      <w:r>
        <w:rPr/>
        <w:t>specification</w:t>
      </w:r>
      <w:r>
        <w:rPr>
          <w:spacing w:val="-6"/>
        </w:rPr>
        <w:t> </w:t>
      </w:r>
      <w:r>
        <w:rPr/>
        <w:t>models</w:t>
      </w:r>
      <w:r>
        <w:rPr>
          <w:spacing w:val="-6"/>
        </w:rPr>
        <w:t> </w:t>
      </w:r>
      <w:r>
        <w:rPr/>
        <w:t>for</w:t>
      </w:r>
      <w:r>
        <w:rPr>
          <w:spacing w:val="-7"/>
        </w:rPr>
        <w:t> </w:t>
      </w:r>
      <w:r>
        <w:rPr/>
        <w:t>each</w:t>
      </w:r>
      <w:r>
        <w:rPr>
          <w:spacing w:val="-6"/>
        </w:rPr>
        <w:t> </w:t>
      </w:r>
      <w:r>
        <w:rPr/>
        <w:t>sample</w:t>
      </w:r>
      <w:r>
        <w:rPr>
          <w:spacing w:val="-7"/>
        </w:rPr>
        <w:t> </w:t>
      </w:r>
      <w:r>
        <w:rPr/>
        <w:t>in</w:t>
      </w:r>
      <w:r>
        <w:rPr>
          <w:spacing w:val="-5"/>
        </w:rPr>
        <w:t> </w:t>
      </w:r>
      <w:r>
        <w:rPr/>
        <w:t>order</w:t>
      </w:r>
      <w:r>
        <w:rPr>
          <w:spacing w:val="-7"/>
        </w:rPr>
        <w:t> </w:t>
      </w:r>
      <w:r>
        <w:rPr/>
        <w:t>to examine</w:t>
      </w:r>
      <w:r>
        <w:rPr>
          <w:spacing w:val="-5"/>
        </w:rPr>
        <w:t> </w:t>
      </w:r>
      <w:r>
        <w:rPr/>
        <w:t>the</w:t>
      </w:r>
      <w:r>
        <w:rPr>
          <w:spacing w:val="-2"/>
        </w:rPr>
        <w:t> </w:t>
      </w:r>
      <w:r>
        <w:rPr/>
        <w:t>impact</w:t>
      </w:r>
      <w:r>
        <w:rPr>
          <w:spacing w:val="-3"/>
        </w:rPr>
        <w:t> </w:t>
      </w:r>
      <w:r>
        <w:rPr/>
        <w:t>of</w:t>
      </w:r>
      <w:r>
        <w:rPr>
          <w:spacing w:val="-5"/>
        </w:rPr>
        <w:t> </w:t>
      </w:r>
      <w:r>
        <w:rPr/>
        <w:t>ownership</w:t>
      </w:r>
      <w:r>
        <w:rPr>
          <w:spacing w:val="-4"/>
        </w:rPr>
        <w:t> </w:t>
      </w:r>
      <w:r>
        <w:rPr/>
        <w:t>structure</w:t>
      </w:r>
      <w:r>
        <w:rPr>
          <w:spacing w:val="-6"/>
        </w:rPr>
        <w:t> </w:t>
      </w:r>
      <w:r>
        <w:rPr/>
        <w:t>on</w:t>
      </w:r>
      <w:r>
        <w:rPr>
          <w:spacing w:val="-2"/>
        </w:rPr>
        <w:t> </w:t>
      </w:r>
      <w:r>
        <w:rPr/>
        <w:t>firm</w:t>
      </w:r>
      <w:r>
        <w:rPr>
          <w:spacing w:val="-3"/>
        </w:rPr>
        <w:t> </w:t>
      </w:r>
      <w:r>
        <w:rPr/>
        <w:t>performance</w:t>
      </w:r>
      <w:r>
        <w:rPr>
          <w:spacing w:val="-5"/>
        </w:rPr>
        <w:t> </w:t>
      </w:r>
      <w:r>
        <w:rPr/>
        <w:t>before</w:t>
      </w:r>
      <w:r>
        <w:rPr>
          <w:spacing w:val="-3"/>
        </w:rPr>
        <w:t> </w:t>
      </w:r>
      <w:r>
        <w:rPr/>
        <w:t>and</w:t>
      </w:r>
      <w:r>
        <w:rPr>
          <w:spacing w:val="-4"/>
        </w:rPr>
        <w:t> </w:t>
      </w:r>
      <w:r>
        <w:rPr/>
        <w:t>after</w:t>
      </w:r>
      <w:r>
        <w:rPr>
          <w:spacing w:val="-5"/>
        </w:rPr>
        <w:t> </w:t>
      </w:r>
      <w:r>
        <w:rPr/>
        <w:t>the</w:t>
      </w:r>
      <w:r>
        <w:rPr>
          <w:spacing w:val="-2"/>
        </w:rPr>
        <w:t> </w:t>
      </w:r>
      <w:r>
        <w:rPr/>
        <w:t>corporate governance</w:t>
      </w:r>
      <w:r>
        <w:rPr>
          <w:spacing w:val="-1"/>
        </w:rPr>
        <w:t> </w:t>
      </w:r>
      <w:r>
        <w:rPr/>
        <w:t>reform. Eight (8)</w:t>
      </w:r>
      <w:r>
        <w:rPr>
          <w:spacing w:val="-2"/>
        </w:rPr>
        <w:t> </w:t>
      </w:r>
      <w:r>
        <w:rPr/>
        <w:t>non-financial sectors were</w:t>
      </w:r>
      <w:r>
        <w:rPr>
          <w:spacing w:val="-2"/>
        </w:rPr>
        <w:t> </w:t>
      </w:r>
      <w:r>
        <w:rPr/>
        <w:t>studied. Dummy variables</w:t>
      </w:r>
      <w:r>
        <w:rPr>
          <w:spacing w:val="-1"/>
        </w:rPr>
        <w:t> </w:t>
      </w:r>
      <w:r>
        <w:rPr/>
        <w:t>were</w:t>
      </w:r>
      <w:r>
        <w:rPr>
          <w:spacing w:val="-2"/>
        </w:rPr>
        <w:t> </w:t>
      </w:r>
      <w:r>
        <w:rPr/>
        <w:t>used to test the equality between sets of co-efficient in the pre and post reform periods. The linear regression model was used to test the relationships. The findings showed that there was no significant relationship between managerial ownership and discretionary accruals in both periods but it was negatively related with discretionary revenues. The study by Spinos (2013) examined the relationship between earnings management and managerial ownership. Specifically, the study sought to examine whether the relationship between earnings management</w:t>
      </w:r>
      <w:r>
        <w:rPr>
          <w:spacing w:val="-5"/>
        </w:rPr>
        <w:t> </w:t>
      </w:r>
      <w:r>
        <w:rPr/>
        <w:t>and</w:t>
      </w:r>
      <w:r>
        <w:rPr>
          <w:spacing w:val="-7"/>
        </w:rPr>
        <w:t> </w:t>
      </w:r>
      <w:r>
        <w:rPr/>
        <w:t>managerial</w:t>
      </w:r>
      <w:r>
        <w:rPr>
          <w:spacing w:val="-7"/>
        </w:rPr>
        <w:t> </w:t>
      </w:r>
      <w:r>
        <w:rPr/>
        <w:t>ownership</w:t>
      </w:r>
      <w:r>
        <w:rPr>
          <w:spacing w:val="-5"/>
        </w:rPr>
        <w:t> </w:t>
      </w:r>
      <w:r>
        <w:rPr/>
        <w:t>was</w:t>
      </w:r>
      <w:r>
        <w:rPr>
          <w:spacing w:val="-5"/>
        </w:rPr>
        <w:t> </w:t>
      </w:r>
      <w:r>
        <w:rPr/>
        <w:t>influenced</w:t>
      </w:r>
      <w:r>
        <w:rPr>
          <w:spacing w:val="-7"/>
        </w:rPr>
        <w:t> </w:t>
      </w:r>
      <w:r>
        <w:rPr/>
        <w:t>by</w:t>
      </w:r>
      <w:r>
        <w:rPr>
          <w:spacing w:val="-5"/>
        </w:rPr>
        <w:t> </w:t>
      </w:r>
      <w:r>
        <w:rPr/>
        <w:t>the</w:t>
      </w:r>
      <w:r>
        <w:rPr>
          <w:spacing w:val="-5"/>
        </w:rPr>
        <w:t> </w:t>
      </w:r>
      <w:r>
        <w:rPr/>
        <w:t>financial</w:t>
      </w:r>
      <w:r>
        <w:rPr>
          <w:spacing w:val="-5"/>
        </w:rPr>
        <w:t> </w:t>
      </w:r>
      <w:r>
        <w:rPr/>
        <w:t>crisis</w:t>
      </w:r>
      <w:r>
        <w:rPr>
          <w:spacing w:val="-7"/>
        </w:rPr>
        <w:t> </w:t>
      </w:r>
      <w:r>
        <w:rPr/>
        <w:t>that</w:t>
      </w:r>
      <w:r>
        <w:rPr>
          <w:spacing w:val="-7"/>
        </w:rPr>
        <w:t> </w:t>
      </w:r>
      <w:r>
        <w:rPr/>
        <w:t>hit</w:t>
      </w:r>
      <w:r>
        <w:rPr>
          <w:spacing w:val="-7"/>
        </w:rPr>
        <w:t> </w:t>
      </w:r>
      <w:r>
        <w:rPr/>
        <w:t>the</w:t>
      </w:r>
      <w:r>
        <w:rPr>
          <w:spacing w:val="-5"/>
        </w:rPr>
        <w:t> </w:t>
      </w:r>
      <w:r>
        <w:rPr/>
        <w:t>U.</w:t>
      </w:r>
      <w:r>
        <w:rPr>
          <w:spacing w:val="-8"/>
        </w:rPr>
        <w:t> </w:t>
      </w:r>
      <w:r>
        <w:rPr/>
        <w:t>S. during the period 2006. Earnings management was a proxy for the modified jones accrual model.</w:t>
      </w:r>
      <w:r>
        <w:rPr>
          <w:spacing w:val="40"/>
        </w:rPr>
        <w:t> </w:t>
      </w:r>
      <w:r>
        <w:rPr/>
        <w:t>The sample consisted of 235 firms listed in the S&amp;P 500 index. The study analysed three sub-samples: (i) the complete samples time frame period (2004 to 2009); (ii) pre- economic recession sample (2004-2006); and (iii) post-economic recession sample (2007- 2009).</w:t>
      </w:r>
      <w:r>
        <w:rPr>
          <w:spacing w:val="40"/>
        </w:rPr>
        <w:t> </w:t>
      </w:r>
      <w:r>
        <w:rPr/>
        <w:t>The result showed that for the complete sample, there was no significant relationship between</w:t>
      </w:r>
      <w:r>
        <w:rPr>
          <w:spacing w:val="20"/>
        </w:rPr>
        <w:t> </w:t>
      </w:r>
      <w:r>
        <w:rPr/>
        <w:t>managerial</w:t>
      </w:r>
      <w:r>
        <w:rPr>
          <w:spacing w:val="23"/>
        </w:rPr>
        <w:t> </w:t>
      </w:r>
      <w:r>
        <w:rPr/>
        <w:t>ownership</w:t>
      </w:r>
      <w:r>
        <w:rPr>
          <w:spacing w:val="22"/>
        </w:rPr>
        <w:t> </w:t>
      </w:r>
      <w:r>
        <w:rPr/>
        <w:t>and</w:t>
      </w:r>
      <w:r>
        <w:rPr>
          <w:spacing w:val="22"/>
        </w:rPr>
        <w:t> </w:t>
      </w:r>
      <w:r>
        <w:rPr/>
        <w:t>earnings</w:t>
      </w:r>
      <w:r>
        <w:rPr>
          <w:spacing w:val="23"/>
        </w:rPr>
        <w:t> </w:t>
      </w:r>
      <w:r>
        <w:rPr/>
        <w:t>management.</w:t>
      </w:r>
      <w:r>
        <w:rPr>
          <w:spacing w:val="22"/>
        </w:rPr>
        <w:t> </w:t>
      </w:r>
      <w:r>
        <w:rPr/>
        <w:t>However,</w:t>
      </w:r>
      <w:r>
        <w:rPr>
          <w:spacing w:val="22"/>
        </w:rPr>
        <w:t> </w:t>
      </w:r>
      <w:r>
        <w:rPr/>
        <w:t>the</w:t>
      </w:r>
      <w:r>
        <w:rPr>
          <w:spacing w:val="22"/>
        </w:rPr>
        <w:t> </w:t>
      </w:r>
      <w:r>
        <w:rPr/>
        <w:t>findings</w:t>
      </w:r>
      <w:r>
        <w:rPr>
          <w:spacing w:val="24"/>
        </w:rPr>
        <w:t> </w:t>
      </w:r>
      <w:r>
        <w:rPr>
          <w:spacing w:val="-2"/>
        </w:rPr>
        <w:t>suggested</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that the latter relationship was indeed influenced by the effects of the financial crisis. More specifically, evidence is presented that the level of managerial ownership decreased, thus signaling a change in the use of earnings management.</w:t>
      </w:r>
    </w:p>
    <w:p>
      <w:pPr>
        <w:pStyle w:val="BodyText"/>
        <w:spacing w:line="480" w:lineRule="auto"/>
        <w:ind w:left="940" w:right="1436"/>
        <w:jc w:val="both"/>
      </w:pPr>
      <w:r>
        <w:rPr/>
        <w:drawing>
          <wp:anchor distT="0" distB="0" distL="0" distR="0" allowOverlap="1" layoutInCell="1" locked="0" behindDoc="1" simplePos="0" relativeHeight="477715968">
            <wp:simplePos x="0" y="0"/>
            <wp:positionH relativeFrom="page">
              <wp:posOffset>1095451</wp:posOffset>
            </wp:positionH>
            <wp:positionV relativeFrom="paragraph">
              <wp:posOffset>760565</wp:posOffset>
            </wp:positionV>
            <wp:extent cx="5106847" cy="523811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5" cstate="print"/>
                    <a:stretch>
                      <a:fillRect/>
                    </a:stretch>
                  </pic:blipFill>
                  <pic:spPr>
                    <a:xfrm>
                      <a:off x="0" y="0"/>
                      <a:ext cx="5106847" cy="5238115"/>
                    </a:xfrm>
                    <a:prstGeom prst="rect">
                      <a:avLst/>
                    </a:prstGeom>
                  </pic:spPr>
                </pic:pic>
              </a:graphicData>
            </a:graphic>
          </wp:anchor>
        </w:drawing>
      </w:r>
      <w:r>
        <w:rPr/>
        <w:t>In the abovementioned study by Juhmani (2013) on the impact of ownership structure on corporate voluntary disclosure with evidence from Bahrain, the findings showed that managerial ownership exhibited an inverse relationship with corporate voluntary disclosure. The study by Anthony (2012) investigated the effect of ownership structure on the financial performance of companies listed on Nairobi Stock Exchange. The study was conducted using a sample of 62 listed companies during the period 2009 to 2013. The study found that managerial ownership exhibited an insignificant impact on firm performance. The study by Sandra</w:t>
      </w:r>
      <w:r>
        <w:rPr>
          <w:spacing w:val="-1"/>
        </w:rPr>
        <w:t> </w:t>
      </w:r>
      <w:r>
        <w:rPr/>
        <w:t>(2012)</w:t>
      </w:r>
      <w:r>
        <w:rPr>
          <w:spacing w:val="-1"/>
        </w:rPr>
        <w:t> </w:t>
      </w:r>
      <w:r>
        <w:rPr/>
        <w:t>revealed that managerial ownership exhibited a significant inverse</w:t>
      </w:r>
      <w:r>
        <w:rPr>
          <w:spacing w:val="-1"/>
        </w:rPr>
        <w:t> </w:t>
      </w:r>
      <w:r>
        <w:rPr/>
        <w:t>relationship with earnings management. The negative relationship suggests that the higher managerial ownership, the lower the magnitude</w:t>
      </w:r>
      <w:r>
        <w:rPr>
          <w:spacing w:val="-1"/>
        </w:rPr>
        <w:t> </w:t>
      </w:r>
      <w:r>
        <w:rPr/>
        <w:t>of</w:t>
      </w:r>
      <w:r>
        <w:rPr>
          <w:spacing w:val="-1"/>
        </w:rPr>
        <w:t> </w:t>
      </w:r>
      <w:r>
        <w:rPr/>
        <w:t>discretionary</w:t>
      </w:r>
      <w:r>
        <w:rPr>
          <w:spacing w:val="-1"/>
        </w:rPr>
        <w:t> </w:t>
      </w:r>
      <w:r>
        <w:rPr/>
        <w:t>accounting accruals. That was consistent with the alignment of interest hypothesis. Also, Isenmila and Elijah (2012), in their research, observed that managerial ownership was exhibited a positive significant relationship with reporting</w:t>
      </w:r>
      <w:r>
        <w:rPr>
          <w:spacing w:val="-1"/>
        </w:rPr>
        <w:t> </w:t>
      </w:r>
      <w:r>
        <w:rPr/>
        <w:t>quality.</w:t>
      </w:r>
      <w:r>
        <w:rPr>
          <w:spacing w:val="-1"/>
        </w:rPr>
        <w:t> </w:t>
      </w:r>
      <w:r>
        <w:rPr/>
        <w:t>The</w:t>
      </w:r>
      <w:r>
        <w:rPr>
          <w:spacing w:val="-3"/>
        </w:rPr>
        <w:t> </w:t>
      </w:r>
      <w:r>
        <w:rPr/>
        <w:t>study by</w:t>
      </w:r>
      <w:r>
        <w:rPr>
          <w:spacing w:val="-1"/>
        </w:rPr>
        <w:t> </w:t>
      </w:r>
      <w:r>
        <w:rPr/>
        <w:t>Abd</w:t>
      </w:r>
      <w:r>
        <w:rPr>
          <w:spacing w:val="-2"/>
        </w:rPr>
        <w:t> </w:t>
      </w:r>
      <w:r>
        <w:rPr/>
        <w:t>Al</w:t>
      </w:r>
      <w:r>
        <w:rPr>
          <w:spacing w:val="-1"/>
        </w:rPr>
        <w:t> </w:t>
      </w:r>
      <w:r>
        <w:rPr/>
        <w:t>Nasser</w:t>
      </w:r>
      <w:r>
        <w:rPr>
          <w:spacing w:val="-3"/>
        </w:rPr>
        <w:t> </w:t>
      </w:r>
      <w:r>
        <w:rPr/>
        <w:t>(2012)</w:t>
      </w:r>
      <w:r>
        <w:rPr>
          <w:spacing w:val="-2"/>
        </w:rPr>
        <w:t> </w:t>
      </w:r>
      <w:r>
        <w:rPr/>
        <w:t>documented</w:t>
      </w:r>
      <w:r>
        <w:rPr>
          <w:spacing w:val="-1"/>
        </w:rPr>
        <w:t> </w:t>
      </w:r>
      <w:r>
        <w:rPr/>
        <w:t>that</w:t>
      </w:r>
      <w:r>
        <w:rPr>
          <w:spacing w:val="-1"/>
        </w:rPr>
        <w:t> </w:t>
      </w:r>
      <w:r>
        <w:rPr/>
        <w:t>managerial</w:t>
      </w:r>
      <w:r>
        <w:rPr>
          <w:spacing w:val="-1"/>
        </w:rPr>
        <w:t> </w:t>
      </w:r>
      <w:r>
        <w:rPr/>
        <w:t>ownership had no significant effect on increasing the integrity of the financial reporting. In the abovementioned study by Al-Zyoud (2012) on the extent of opportunistic earnings management on chairman independence and ownership structure, the findings showed that managerial ownership had a negative but marginally insignificant relation with earnings management. In the abovementioned study by Alves (2012) on the relationship between corporate ownership structure and earnings management in Portugal, the results showed that earnings</w:t>
      </w:r>
      <w:r>
        <w:rPr>
          <w:spacing w:val="-7"/>
        </w:rPr>
        <w:t> </w:t>
      </w:r>
      <w:r>
        <w:rPr/>
        <w:t>management</w:t>
      </w:r>
      <w:r>
        <w:rPr>
          <w:spacing w:val="-5"/>
        </w:rPr>
        <w:t> </w:t>
      </w:r>
      <w:r>
        <w:rPr/>
        <w:t>was</w:t>
      </w:r>
      <w:r>
        <w:rPr>
          <w:spacing w:val="-7"/>
        </w:rPr>
        <w:t> </w:t>
      </w:r>
      <w:r>
        <w:rPr/>
        <w:t>negatively</w:t>
      </w:r>
      <w:r>
        <w:rPr>
          <w:spacing w:val="-6"/>
        </w:rPr>
        <w:t> </w:t>
      </w:r>
      <w:r>
        <w:rPr/>
        <w:t>related</w:t>
      </w:r>
      <w:r>
        <w:rPr>
          <w:spacing w:val="-7"/>
        </w:rPr>
        <w:t> </w:t>
      </w:r>
      <w:r>
        <w:rPr/>
        <w:t>to</w:t>
      </w:r>
      <w:r>
        <w:rPr>
          <w:spacing w:val="-6"/>
        </w:rPr>
        <w:t> </w:t>
      </w:r>
      <w:r>
        <w:rPr/>
        <w:t>managerial</w:t>
      </w:r>
      <w:r>
        <w:rPr>
          <w:spacing w:val="-6"/>
        </w:rPr>
        <w:t> </w:t>
      </w:r>
      <w:r>
        <w:rPr/>
        <w:t>ownership.</w:t>
      </w:r>
      <w:r>
        <w:rPr>
          <w:spacing w:val="-7"/>
        </w:rPr>
        <w:t> </w:t>
      </w:r>
      <w:r>
        <w:rPr/>
        <w:t>In</w:t>
      </w:r>
      <w:r>
        <w:rPr>
          <w:spacing w:val="-7"/>
        </w:rPr>
        <w:t> </w:t>
      </w:r>
      <w:r>
        <w:rPr/>
        <w:t>the</w:t>
      </w:r>
      <w:r>
        <w:rPr>
          <w:spacing w:val="-8"/>
        </w:rPr>
        <w:t> </w:t>
      </w:r>
      <w:r>
        <w:rPr/>
        <w:t>abovementioned study</w:t>
      </w:r>
      <w:r>
        <w:rPr>
          <w:spacing w:val="2"/>
        </w:rPr>
        <w:t> </w:t>
      </w:r>
      <w:r>
        <w:rPr/>
        <w:t>by</w:t>
      </w:r>
      <w:r>
        <w:rPr>
          <w:spacing w:val="6"/>
        </w:rPr>
        <w:t> </w:t>
      </w:r>
      <w:r>
        <w:rPr/>
        <w:t>Idris</w:t>
      </w:r>
      <w:r>
        <w:rPr>
          <w:spacing w:val="5"/>
        </w:rPr>
        <w:t> </w:t>
      </w:r>
      <w:r>
        <w:rPr/>
        <w:t>(2012)</w:t>
      </w:r>
      <w:r>
        <w:rPr>
          <w:spacing w:val="5"/>
        </w:rPr>
        <w:t> </w:t>
      </w:r>
      <w:r>
        <w:rPr/>
        <w:t>on</w:t>
      </w:r>
      <w:r>
        <w:rPr>
          <w:spacing w:val="5"/>
        </w:rPr>
        <w:t> </w:t>
      </w:r>
      <w:r>
        <w:rPr/>
        <w:t>the</w:t>
      </w:r>
      <w:r>
        <w:rPr>
          <w:spacing w:val="3"/>
        </w:rPr>
        <w:t> </w:t>
      </w:r>
      <w:r>
        <w:rPr/>
        <w:t>impact</w:t>
      </w:r>
      <w:r>
        <w:rPr>
          <w:spacing w:val="4"/>
        </w:rPr>
        <w:t> </w:t>
      </w:r>
      <w:r>
        <w:rPr/>
        <w:t>of</w:t>
      </w:r>
      <w:r>
        <w:rPr>
          <w:spacing w:val="3"/>
        </w:rPr>
        <w:t> </w:t>
      </w:r>
      <w:r>
        <w:rPr/>
        <w:t>ownership</w:t>
      </w:r>
      <w:r>
        <w:rPr>
          <w:spacing w:val="5"/>
        </w:rPr>
        <w:t> </w:t>
      </w:r>
      <w:r>
        <w:rPr/>
        <w:t>structure</w:t>
      </w:r>
      <w:r>
        <w:rPr>
          <w:spacing w:val="4"/>
        </w:rPr>
        <w:t> </w:t>
      </w:r>
      <w:r>
        <w:rPr/>
        <w:t>and</w:t>
      </w:r>
      <w:r>
        <w:rPr>
          <w:spacing w:val="5"/>
        </w:rPr>
        <w:t> </w:t>
      </w:r>
      <w:r>
        <w:rPr/>
        <w:t>external</w:t>
      </w:r>
      <w:r>
        <w:rPr>
          <w:spacing w:val="6"/>
        </w:rPr>
        <w:t> </w:t>
      </w:r>
      <w:r>
        <w:rPr/>
        <w:t>audit</w:t>
      </w:r>
      <w:r>
        <w:rPr>
          <w:spacing w:val="4"/>
        </w:rPr>
        <w:t> </w:t>
      </w:r>
      <w:r>
        <w:rPr/>
        <w:t>on</w:t>
      </w:r>
      <w:r>
        <w:rPr>
          <w:spacing w:val="3"/>
        </w:rPr>
        <w:t> </w:t>
      </w:r>
      <w:r>
        <w:rPr/>
        <w:t>accruals</w:t>
      </w:r>
      <w:r>
        <w:rPr>
          <w:spacing w:val="7"/>
        </w:rPr>
        <w:t> </w:t>
      </w:r>
      <w:r>
        <w:rPr>
          <w:spacing w:val="-5"/>
        </w:rPr>
        <w:t>and</w:t>
      </w:r>
    </w:p>
    <w:p>
      <w:pPr>
        <w:spacing w:after="0" w:line="480" w:lineRule="auto"/>
        <w:jc w:val="both"/>
        <w:sectPr>
          <w:pgSz w:w="11910" w:h="16840"/>
          <w:pgMar w:header="0" w:footer="971" w:top="1360" w:bottom="1160" w:left="500" w:right="0"/>
        </w:sectPr>
      </w:pPr>
    </w:p>
    <w:p>
      <w:pPr>
        <w:pStyle w:val="BodyText"/>
        <w:spacing w:line="480" w:lineRule="auto" w:before="61"/>
        <w:ind w:left="940" w:right="1440"/>
        <w:jc w:val="both"/>
      </w:pPr>
      <w:r>
        <w:rPr/>
        <w:t>real earnings management in Jordan, the findings suggested that controlling shareholders (managerial ownership) were effective in constraining accrual earnings management.</w:t>
      </w:r>
    </w:p>
    <w:p>
      <w:pPr>
        <w:pStyle w:val="BodyText"/>
        <w:spacing w:line="480" w:lineRule="auto"/>
        <w:ind w:left="940" w:right="1436"/>
        <w:jc w:val="both"/>
      </w:pPr>
      <w:r>
        <w:rPr/>
        <w:drawing>
          <wp:anchor distT="0" distB="0" distL="0" distR="0" allowOverlap="1" layoutInCell="1" locked="0" behindDoc="1" simplePos="0" relativeHeight="477716480">
            <wp:simplePos x="0" y="0"/>
            <wp:positionH relativeFrom="page">
              <wp:posOffset>1095451</wp:posOffset>
            </wp:positionH>
            <wp:positionV relativeFrom="paragraph">
              <wp:posOffset>1111055</wp:posOffset>
            </wp:positionV>
            <wp:extent cx="5106847" cy="5238115"/>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5106847" cy="5238115"/>
                    </a:xfrm>
                    <a:prstGeom prst="rect">
                      <a:avLst/>
                    </a:prstGeom>
                  </pic:spPr>
                </pic:pic>
              </a:graphicData>
            </a:graphic>
          </wp:anchor>
        </w:drawing>
      </w:r>
      <w:r>
        <w:rPr/>
        <w:t>In the abovementioned study by Al-Fayoumi, Abuzayed and Alexander (2010) on the relationship</w:t>
      </w:r>
      <w:r>
        <w:rPr>
          <w:spacing w:val="-3"/>
        </w:rPr>
        <w:t> </w:t>
      </w:r>
      <w:r>
        <w:rPr/>
        <w:t>between</w:t>
      </w:r>
      <w:r>
        <w:rPr>
          <w:spacing w:val="-3"/>
        </w:rPr>
        <w:t> </w:t>
      </w:r>
      <w:r>
        <w:rPr/>
        <w:t>earnings</w:t>
      </w:r>
      <w:r>
        <w:rPr>
          <w:spacing w:val="-3"/>
        </w:rPr>
        <w:t> </w:t>
      </w:r>
      <w:r>
        <w:rPr/>
        <w:t>management</w:t>
      </w:r>
      <w:r>
        <w:rPr>
          <w:spacing w:val="-1"/>
        </w:rPr>
        <w:t> </w:t>
      </w:r>
      <w:r>
        <w:rPr/>
        <w:t>and</w:t>
      </w:r>
      <w:r>
        <w:rPr>
          <w:spacing w:val="-3"/>
        </w:rPr>
        <w:t> </w:t>
      </w:r>
      <w:r>
        <w:rPr/>
        <w:t>ownership</w:t>
      </w:r>
      <w:r>
        <w:rPr>
          <w:spacing w:val="-3"/>
        </w:rPr>
        <w:t> </w:t>
      </w:r>
      <w:r>
        <w:rPr/>
        <w:t>structure</w:t>
      </w:r>
      <w:r>
        <w:rPr>
          <w:spacing w:val="-2"/>
        </w:rPr>
        <w:t> </w:t>
      </w:r>
      <w:r>
        <w:rPr/>
        <w:t>for</w:t>
      </w:r>
      <w:r>
        <w:rPr>
          <w:spacing w:val="-3"/>
        </w:rPr>
        <w:t> </w:t>
      </w:r>
      <w:r>
        <w:rPr/>
        <w:t>a</w:t>
      </w:r>
      <w:r>
        <w:rPr>
          <w:spacing w:val="-4"/>
        </w:rPr>
        <w:t> </w:t>
      </w:r>
      <w:r>
        <w:rPr/>
        <w:t>sample</w:t>
      </w:r>
      <w:r>
        <w:rPr>
          <w:spacing w:val="-4"/>
        </w:rPr>
        <w:t> </w:t>
      </w:r>
      <w:r>
        <w:rPr/>
        <w:t>of</w:t>
      </w:r>
      <w:r>
        <w:rPr>
          <w:spacing w:val="-3"/>
        </w:rPr>
        <w:t> </w:t>
      </w:r>
      <w:r>
        <w:rPr/>
        <w:t>Jordanian industrial firms during the period 2001-2005, the results indicated that insider ownership was significant</w:t>
      </w:r>
      <w:r>
        <w:rPr>
          <w:spacing w:val="-9"/>
        </w:rPr>
        <w:t> </w:t>
      </w:r>
      <w:r>
        <w:rPr/>
        <w:t>and</w:t>
      </w:r>
      <w:r>
        <w:rPr>
          <w:spacing w:val="-9"/>
        </w:rPr>
        <w:t> </w:t>
      </w:r>
      <w:r>
        <w:rPr/>
        <w:t>it</w:t>
      </w:r>
      <w:r>
        <w:rPr>
          <w:spacing w:val="-9"/>
        </w:rPr>
        <w:t> </w:t>
      </w:r>
      <w:r>
        <w:rPr/>
        <w:t>positively</w:t>
      </w:r>
      <w:r>
        <w:rPr>
          <w:spacing w:val="-9"/>
        </w:rPr>
        <w:t> </w:t>
      </w:r>
      <w:r>
        <w:rPr/>
        <w:t>affected</w:t>
      </w:r>
      <w:r>
        <w:rPr>
          <w:spacing w:val="-7"/>
        </w:rPr>
        <w:t> </w:t>
      </w:r>
      <w:r>
        <w:rPr/>
        <w:t>earnings</w:t>
      </w:r>
      <w:r>
        <w:rPr>
          <w:spacing w:val="-9"/>
        </w:rPr>
        <w:t> </w:t>
      </w:r>
      <w:r>
        <w:rPr/>
        <w:t>management</w:t>
      </w:r>
      <w:r>
        <w:rPr>
          <w:spacing w:val="-9"/>
        </w:rPr>
        <w:t> </w:t>
      </w:r>
      <w:r>
        <w:rPr/>
        <w:t>while</w:t>
      </w:r>
      <w:r>
        <w:rPr>
          <w:spacing w:val="-10"/>
        </w:rPr>
        <w:t> </w:t>
      </w:r>
      <w:r>
        <w:rPr/>
        <w:t>the</w:t>
      </w:r>
      <w:r>
        <w:rPr>
          <w:spacing w:val="-9"/>
        </w:rPr>
        <w:t> </w:t>
      </w:r>
      <w:r>
        <w:rPr/>
        <w:t>result</w:t>
      </w:r>
      <w:r>
        <w:rPr>
          <w:spacing w:val="-7"/>
        </w:rPr>
        <w:t> </w:t>
      </w:r>
      <w:r>
        <w:rPr/>
        <w:t>was</w:t>
      </w:r>
      <w:r>
        <w:rPr>
          <w:spacing w:val="-9"/>
        </w:rPr>
        <w:t> </w:t>
      </w:r>
      <w:r>
        <w:rPr/>
        <w:t>consistent</w:t>
      </w:r>
      <w:r>
        <w:rPr>
          <w:spacing w:val="-9"/>
        </w:rPr>
        <w:t> </w:t>
      </w:r>
      <w:r>
        <w:rPr/>
        <w:t>with the entrenchment hypothesis which stated that insider ownership can become ineffective in aligning</w:t>
      </w:r>
      <w:r>
        <w:rPr>
          <w:spacing w:val="-8"/>
        </w:rPr>
        <w:t> </w:t>
      </w:r>
      <w:r>
        <w:rPr/>
        <w:t>insiders</w:t>
      </w:r>
      <w:r>
        <w:rPr>
          <w:spacing w:val="-9"/>
        </w:rPr>
        <w:t> </w:t>
      </w:r>
      <w:r>
        <w:rPr/>
        <w:t>to</w:t>
      </w:r>
      <w:r>
        <w:rPr>
          <w:spacing w:val="-8"/>
        </w:rPr>
        <w:t> </w:t>
      </w:r>
      <w:r>
        <w:rPr/>
        <w:t>take</w:t>
      </w:r>
      <w:r>
        <w:rPr>
          <w:spacing w:val="-7"/>
        </w:rPr>
        <w:t> </w:t>
      </w:r>
      <w:r>
        <w:rPr/>
        <w:t>value-maximizing</w:t>
      </w:r>
      <w:r>
        <w:rPr>
          <w:spacing w:val="-8"/>
        </w:rPr>
        <w:t> </w:t>
      </w:r>
      <w:r>
        <w:rPr/>
        <w:t>decisions.</w:t>
      </w:r>
      <w:r>
        <w:rPr>
          <w:spacing w:val="-6"/>
        </w:rPr>
        <w:t> </w:t>
      </w:r>
      <w:r>
        <w:rPr/>
        <w:t>In</w:t>
      </w:r>
      <w:r>
        <w:rPr>
          <w:spacing w:val="-8"/>
        </w:rPr>
        <w:t> </w:t>
      </w:r>
      <w:r>
        <w:rPr/>
        <w:t>the</w:t>
      </w:r>
      <w:r>
        <w:rPr>
          <w:spacing w:val="-7"/>
        </w:rPr>
        <w:t> </w:t>
      </w:r>
      <w:r>
        <w:rPr/>
        <w:t>abovementioned</w:t>
      </w:r>
      <w:r>
        <w:rPr>
          <w:spacing w:val="-8"/>
        </w:rPr>
        <w:t> </w:t>
      </w:r>
      <w:r>
        <w:rPr/>
        <w:t>study</w:t>
      </w:r>
      <w:r>
        <w:rPr>
          <w:spacing w:val="-6"/>
        </w:rPr>
        <w:t> </w:t>
      </w:r>
      <w:r>
        <w:rPr/>
        <w:t>by</w:t>
      </w:r>
      <w:r>
        <w:rPr>
          <w:spacing w:val="-6"/>
        </w:rPr>
        <w:t> </w:t>
      </w:r>
      <w:r>
        <w:rPr/>
        <w:t>Yang</w:t>
      </w:r>
      <w:r>
        <w:rPr>
          <w:spacing w:val="-6"/>
        </w:rPr>
        <w:t> </w:t>
      </w:r>
      <w:r>
        <w:rPr/>
        <w:t>et al.</w:t>
      </w:r>
      <w:r>
        <w:rPr>
          <w:spacing w:val="-15"/>
        </w:rPr>
        <w:t> </w:t>
      </w:r>
      <w:r>
        <w:rPr/>
        <w:t>(2009)</w:t>
      </w:r>
      <w:r>
        <w:rPr>
          <w:spacing w:val="-15"/>
        </w:rPr>
        <w:t> </w:t>
      </w:r>
      <w:r>
        <w:rPr/>
        <w:t>on</w:t>
      </w:r>
      <w:r>
        <w:rPr>
          <w:spacing w:val="-15"/>
        </w:rPr>
        <w:t> </w:t>
      </w:r>
      <w:r>
        <w:rPr/>
        <w:t>the</w:t>
      </w:r>
      <w:r>
        <w:rPr>
          <w:spacing w:val="-15"/>
        </w:rPr>
        <w:t> </w:t>
      </w:r>
      <w:r>
        <w:rPr/>
        <w:t>role</w:t>
      </w:r>
      <w:r>
        <w:rPr>
          <w:spacing w:val="-15"/>
        </w:rPr>
        <w:t> </w:t>
      </w:r>
      <w:r>
        <w:rPr/>
        <w:t>of</w:t>
      </w:r>
      <w:r>
        <w:rPr>
          <w:spacing w:val="-15"/>
        </w:rPr>
        <w:t> </w:t>
      </w:r>
      <w:r>
        <w:rPr/>
        <w:t>outside</w:t>
      </w:r>
      <w:r>
        <w:rPr>
          <w:spacing w:val="-15"/>
        </w:rPr>
        <w:t> </w:t>
      </w:r>
      <w:r>
        <w:rPr/>
        <w:t>directors</w:t>
      </w:r>
      <w:r>
        <w:rPr>
          <w:spacing w:val="-15"/>
        </w:rPr>
        <w:t> </w:t>
      </w:r>
      <w:r>
        <w:rPr/>
        <w:t>and</w:t>
      </w:r>
      <w:r>
        <w:rPr>
          <w:spacing w:val="-14"/>
        </w:rPr>
        <w:t> </w:t>
      </w:r>
      <w:r>
        <w:rPr/>
        <w:t>institutional</w:t>
      </w:r>
      <w:r>
        <w:rPr>
          <w:spacing w:val="-15"/>
        </w:rPr>
        <w:t> </w:t>
      </w:r>
      <w:r>
        <w:rPr/>
        <w:t>shareholders</w:t>
      </w:r>
      <w:r>
        <w:rPr>
          <w:spacing w:val="-14"/>
        </w:rPr>
        <w:t> </w:t>
      </w:r>
      <w:r>
        <w:rPr/>
        <w:t>in</w:t>
      </w:r>
      <w:r>
        <w:rPr>
          <w:spacing w:val="-15"/>
        </w:rPr>
        <w:t> </w:t>
      </w:r>
      <w:r>
        <w:rPr/>
        <w:t>constraining</w:t>
      </w:r>
      <w:r>
        <w:rPr>
          <w:spacing w:val="-14"/>
        </w:rPr>
        <w:t> </w:t>
      </w:r>
      <w:r>
        <w:rPr/>
        <w:t>earnings management activities, no relationship was observed between the degree of earnings manipulation</w:t>
      </w:r>
      <w:r>
        <w:rPr>
          <w:spacing w:val="-2"/>
        </w:rPr>
        <w:t> </w:t>
      </w:r>
      <w:r>
        <w:rPr/>
        <w:t>and</w:t>
      </w:r>
      <w:r>
        <w:rPr>
          <w:spacing w:val="-2"/>
        </w:rPr>
        <w:t> </w:t>
      </w:r>
      <w:r>
        <w:rPr/>
        <w:t>outside</w:t>
      </w:r>
      <w:r>
        <w:rPr>
          <w:spacing w:val="-3"/>
        </w:rPr>
        <w:t> </w:t>
      </w:r>
      <w:r>
        <w:rPr/>
        <w:t>directors’</w:t>
      </w:r>
      <w:r>
        <w:rPr>
          <w:spacing w:val="-3"/>
        </w:rPr>
        <w:t> </w:t>
      </w:r>
      <w:r>
        <w:rPr/>
        <w:t>shareholders. However,</w:t>
      </w:r>
      <w:r>
        <w:rPr>
          <w:spacing w:val="-3"/>
        </w:rPr>
        <w:t> </w:t>
      </w:r>
      <w:r>
        <w:rPr/>
        <w:t>there was</w:t>
      </w:r>
      <w:r>
        <w:rPr>
          <w:spacing w:val="-2"/>
        </w:rPr>
        <w:t> </w:t>
      </w:r>
      <w:r>
        <w:rPr/>
        <w:t>weak</w:t>
      </w:r>
      <w:r>
        <w:rPr>
          <w:spacing w:val="-2"/>
        </w:rPr>
        <w:t> </w:t>
      </w:r>
      <w:r>
        <w:rPr/>
        <w:t>evidence</w:t>
      </w:r>
      <w:r>
        <w:rPr>
          <w:spacing w:val="-3"/>
        </w:rPr>
        <w:t> </w:t>
      </w:r>
      <w:r>
        <w:rPr/>
        <w:t>to show that outside</w:t>
      </w:r>
      <w:r>
        <w:rPr>
          <w:spacing w:val="-1"/>
        </w:rPr>
        <w:t> </w:t>
      </w:r>
      <w:r>
        <w:rPr/>
        <w:t>directors had some</w:t>
      </w:r>
      <w:r>
        <w:rPr>
          <w:spacing w:val="-1"/>
        </w:rPr>
        <w:t> </w:t>
      </w:r>
      <w:r>
        <w:rPr/>
        <w:t>effect in curbing</w:t>
      </w:r>
      <w:r>
        <w:rPr>
          <w:spacing w:val="-1"/>
        </w:rPr>
        <w:t> </w:t>
      </w:r>
      <w:r>
        <w:rPr/>
        <w:t>the</w:t>
      </w:r>
      <w:r>
        <w:rPr>
          <w:spacing w:val="-1"/>
        </w:rPr>
        <w:t> </w:t>
      </w:r>
      <w:r>
        <w:rPr/>
        <w:t>earnings management in the</w:t>
      </w:r>
      <w:r>
        <w:rPr>
          <w:spacing w:val="-1"/>
        </w:rPr>
        <w:t> </w:t>
      </w:r>
      <w:r>
        <w:rPr/>
        <w:t>construction sector. The study by Salsiah, Norman and Hassan (2008) indicated that the quality of accounting</w:t>
      </w:r>
      <w:r>
        <w:rPr>
          <w:spacing w:val="-15"/>
        </w:rPr>
        <w:t> </w:t>
      </w:r>
      <w:r>
        <w:rPr/>
        <w:t>information</w:t>
      </w:r>
      <w:r>
        <w:rPr>
          <w:spacing w:val="-15"/>
        </w:rPr>
        <w:t> </w:t>
      </w:r>
      <w:r>
        <w:rPr/>
        <w:t>(measured</w:t>
      </w:r>
      <w:r>
        <w:rPr>
          <w:spacing w:val="-15"/>
        </w:rPr>
        <w:t> </w:t>
      </w:r>
      <w:r>
        <w:rPr/>
        <w:t>by</w:t>
      </w:r>
      <w:r>
        <w:rPr>
          <w:spacing w:val="-15"/>
        </w:rPr>
        <w:t> </w:t>
      </w:r>
      <w:r>
        <w:rPr/>
        <w:t>the</w:t>
      </w:r>
      <w:r>
        <w:rPr>
          <w:spacing w:val="-15"/>
        </w:rPr>
        <w:t> </w:t>
      </w:r>
      <w:r>
        <w:rPr/>
        <w:t>earnings</w:t>
      </w:r>
      <w:r>
        <w:rPr>
          <w:spacing w:val="-15"/>
        </w:rPr>
        <w:t> </w:t>
      </w:r>
      <w:r>
        <w:rPr/>
        <w:t>response</w:t>
      </w:r>
      <w:r>
        <w:rPr>
          <w:spacing w:val="-15"/>
        </w:rPr>
        <w:t> </w:t>
      </w:r>
      <w:r>
        <w:rPr/>
        <w:t>coefficients)</w:t>
      </w:r>
      <w:r>
        <w:rPr>
          <w:spacing w:val="-15"/>
        </w:rPr>
        <w:t> </w:t>
      </w:r>
      <w:r>
        <w:rPr/>
        <w:t>was</w:t>
      </w:r>
      <w:r>
        <w:rPr>
          <w:spacing w:val="-15"/>
        </w:rPr>
        <w:t> </w:t>
      </w:r>
      <w:r>
        <w:rPr/>
        <w:t>positively</w:t>
      </w:r>
      <w:r>
        <w:rPr>
          <w:spacing w:val="-15"/>
        </w:rPr>
        <w:t> </w:t>
      </w:r>
      <w:r>
        <w:rPr/>
        <w:t>related to managerial ownership while the magnitude of discretionary accruals was inversely related to accounting quality. Their results confirmed that the quality of the accounting information increased as managerial ownership increased. It confirmed the convergence of interest hypothesis. The</w:t>
      </w:r>
      <w:r>
        <w:rPr>
          <w:spacing w:val="-2"/>
        </w:rPr>
        <w:t> </w:t>
      </w:r>
      <w:r>
        <w:rPr/>
        <w:t>study by Zhao, Davis, and Zhou (2008)</w:t>
      </w:r>
      <w:r>
        <w:rPr>
          <w:spacing w:val="-1"/>
        </w:rPr>
        <w:t> </w:t>
      </w:r>
      <w:r>
        <w:rPr/>
        <w:t>found</w:t>
      </w:r>
      <w:r>
        <w:rPr>
          <w:spacing w:val="-1"/>
        </w:rPr>
        <w:t> </w:t>
      </w:r>
      <w:r>
        <w:rPr/>
        <w:t>that the</w:t>
      </w:r>
      <w:r>
        <w:rPr>
          <w:spacing w:val="-1"/>
        </w:rPr>
        <w:t> </w:t>
      </w:r>
      <w:r>
        <w:rPr/>
        <w:t>likelihood of</w:t>
      </w:r>
      <w:r>
        <w:rPr>
          <w:spacing w:val="-1"/>
        </w:rPr>
        <w:t> </w:t>
      </w:r>
      <w:r>
        <w:rPr/>
        <w:t>reporting informative</w:t>
      </w:r>
      <w:r>
        <w:rPr>
          <w:spacing w:val="-2"/>
        </w:rPr>
        <w:t> </w:t>
      </w:r>
      <w:r>
        <w:rPr/>
        <w:t>earnings</w:t>
      </w:r>
      <w:r>
        <w:rPr>
          <w:spacing w:val="-1"/>
        </w:rPr>
        <w:t> </w:t>
      </w:r>
      <w:r>
        <w:rPr/>
        <w:t>numbers</w:t>
      </w:r>
      <w:r>
        <w:rPr>
          <w:spacing w:val="-1"/>
        </w:rPr>
        <w:t> </w:t>
      </w:r>
      <w:r>
        <w:rPr/>
        <w:t>increased with</w:t>
      </w:r>
      <w:r>
        <w:rPr>
          <w:spacing w:val="-1"/>
        </w:rPr>
        <w:t> </w:t>
      </w:r>
      <w:r>
        <w:rPr/>
        <w:t>high</w:t>
      </w:r>
      <w:r>
        <w:rPr>
          <w:spacing w:val="-1"/>
        </w:rPr>
        <w:t> </w:t>
      </w:r>
      <w:r>
        <w:rPr/>
        <w:t>managerial</w:t>
      </w:r>
      <w:r>
        <w:rPr>
          <w:spacing w:val="-1"/>
        </w:rPr>
        <w:t> </w:t>
      </w:r>
      <w:r>
        <w:rPr/>
        <w:t>ownership of</w:t>
      </w:r>
      <w:r>
        <w:rPr>
          <w:spacing w:val="-2"/>
        </w:rPr>
        <w:t> </w:t>
      </w:r>
      <w:r>
        <w:rPr/>
        <w:t>equity.</w:t>
      </w:r>
      <w:r>
        <w:rPr>
          <w:spacing w:val="-1"/>
        </w:rPr>
        <w:t> </w:t>
      </w:r>
      <w:r>
        <w:rPr/>
        <w:t>The</w:t>
      </w:r>
      <w:r>
        <w:rPr>
          <w:spacing w:val="-3"/>
        </w:rPr>
        <w:t> </w:t>
      </w:r>
      <w:r>
        <w:rPr/>
        <w:t>study by Teshima and Shuto (2008) found that the relationship between managerial ownership and discretionary</w:t>
      </w:r>
      <w:r>
        <w:rPr>
          <w:spacing w:val="-4"/>
        </w:rPr>
        <w:t> </w:t>
      </w:r>
      <w:r>
        <w:rPr/>
        <w:t>accruals</w:t>
      </w:r>
      <w:r>
        <w:rPr>
          <w:spacing w:val="-6"/>
        </w:rPr>
        <w:t> </w:t>
      </w:r>
      <w:r>
        <w:rPr/>
        <w:t>of</w:t>
      </w:r>
      <w:r>
        <w:rPr>
          <w:spacing w:val="-4"/>
        </w:rPr>
        <w:t> </w:t>
      </w:r>
      <w:r>
        <w:rPr/>
        <w:t>Japanese</w:t>
      </w:r>
      <w:r>
        <w:rPr>
          <w:spacing w:val="-5"/>
        </w:rPr>
        <w:t> </w:t>
      </w:r>
      <w:r>
        <w:rPr/>
        <w:t>firms</w:t>
      </w:r>
      <w:r>
        <w:rPr>
          <w:spacing w:val="-4"/>
        </w:rPr>
        <w:t> </w:t>
      </w:r>
      <w:r>
        <w:rPr/>
        <w:t>was</w:t>
      </w:r>
      <w:r>
        <w:rPr>
          <w:spacing w:val="-4"/>
        </w:rPr>
        <w:t> </w:t>
      </w:r>
      <w:r>
        <w:rPr/>
        <w:t>non</w:t>
      </w:r>
      <w:r>
        <w:rPr>
          <w:spacing w:val="-4"/>
        </w:rPr>
        <w:t> </w:t>
      </w:r>
      <w:r>
        <w:rPr/>
        <w:t>monotonic</w:t>
      </w:r>
      <w:r>
        <w:rPr>
          <w:spacing w:val="-7"/>
        </w:rPr>
        <w:t> </w:t>
      </w:r>
      <w:r>
        <w:rPr/>
        <w:t>(both</w:t>
      </w:r>
      <w:r>
        <w:rPr>
          <w:spacing w:val="-7"/>
        </w:rPr>
        <w:t> </w:t>
      </w:r>
      <w:r>
        <w:rPr/>
        <w:t>convergence</w:t>
      </w:r>
      <w:r>
        <w:rPr>
          <w:spacing w:val="-8"/>
        </w:rPr>
        <w:t> </w:t>
      </w:r>
      <w:r>
        <w:rPr/>
        <w:t>of</w:t>
      </w:r>
      <w:r>
        <w:rPr>
          <w:spacing w:val="-8"/>
        </w:rPr>
        <w:t> </w:t>
      </w:r>
      <w:r>
        <w:rPr/>
        <w:t>interest</w:t>
      </w:r>
      <w:r>
        <w:rPr>
          <w:spacing w:val="-4"/>
        </w:rPr>
        <w:t> </w:t>
      </w:r>
      <w:r>
        <w:rPr/>
        <w:t>and entrenchment effects). The study by LaFond and Roychowdhury (2008) examined the effect of managerial ownership on the conservatism of accounting as measured by the asymmetric timeliness</w:t>
      </w:r>
      <w:r>
        <w:rPr>
          <w:spacing w:val="20"/>
        </w:rPr>
        <w:t> </w:t>
      </w:r>
      <w:r>
        <w:rPr/>
        <w:t>of</w:t>
      </w:r>
      <w:r>
        <w:rPr>
          <w:spacing w:val="23"/>
        </w:rPr>
        <w:t> </w:t>
      </w:r>
      <w:r>
        <w:rPr/>
        <w:t>earnings.</w:t>
      </w:r>
      <w:r>
        <w:rPr>
          <w:spacing w:val="26"/>
        </w:rPr>
        <w:t> </w:t>
      </w:r>
      <w:r>
        <w:rPr/>
        <w:t>They</w:t>
      </w:r>
      <w:r>
        <w:rPr>
          <w:spacing w:val="22"/>
        </w:rPr>
        <w:t> </w:t>
      </w:r>
      <w:r>
        <w:rPr/>
        <w:t>posited</w:t>
      </w:r>
      <w:r>
        <w:rPr>
          <w:spacing w:val="24"/>
        </w:rPr>
        <w:t> </w:t>
      </w:r>
      <w:r>
        <w:rPr/>
        <w:t>that</w:t>
      </w:r>
      <w:r>
        <w:rPr>
          <w:spacing w:val="23"/>
        </w:rPr>
        <w:t> </w:t>
      </w:r>
      <w:r>
        <w:rPr/>
        <w:t>as</w:t>
      </w:r>
      <w:r>
        <w:rPr>
          <w:spacing w:val="25"/>
        </w:rPr>
        <w:t> </w:t>
      </w:r>
      <w:r>
        <w:rPr/>
        <w:t>the</w:t>
      </w:r>
      <w:r>
        <w:rPr>
          <w:spacing w:val="25"/>
        </w:rPr>
        <w:t> </w:t>
      </w:r>
      <w:r>
        <w:rPr/>
        <w:t>managerial</w:t>
      </w:r>
      <w:r>
        <w:rPr>
          <w:spacing w:val="24"/>
        </w:rPr>
        <w:t> </w:t>
      </w:r>
      <w:r>
        <w:rPr/>
        <w:t>ownership</w:t>
      </w:r>
      <w:r>
        <w:rPr>
          <w:spacing w:val="22"/>
        </w:rPr>
        <w:t> </w:t>
      </w:r>
      <w:r>
        <w:rPr/>
        <w:t>decreased,</w:t>
      </w:r>
      <w:r>
        <w:rPr>
          <w:spacing w:val="23"/>
        </w:rPr>
        <w:t> </w:t>
      </w:r>
      <w:r>
        <w:rPr/>
        <w:t>there</w:t>
      </w:r>
      <w:r>
        <w:rPr>
          <w:spacing w:val="25"/>
        </w:rPr>
        <w:t> </w:t>
      </w:r>
      <w:r>
        <w:rPr>
          <w:spacing w:val="-5"/>
        </w:rPr>
        <w:t>was</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t>greater</w:t>
      </w:r>
      <w:r>
        <w:rPr>
          <w:spacing w:val="-11"/>
        </w:rPr>
        <w:t> </w:t>
      </w:r>
      <w:r>
        <w:rPr/>
        <w:t>asymmetric</w:t>
      </w:r>
      <w:r>
        <w:rPr>
          <w:spacing w:val="-11"/>
        </w:rPr>
        <w:t> </w:t>
      </w:r>
      <w:r>
        <w:rPr/>
        <w:t>timeliness</w:t>
      </w:r>
      <w:r>
        <w:rPr>
          <w:spacing w:val="-10"/>
        </w:rPr>
        <w:t> </w:t>
      </w:r>
      <w:r>
        <w:rPr/>
        <w:t>of</w:t>
      </w:r>
      <w:r>
        <w:rPr>
          <w:spacing w:val="-11"/>
        </w:rPr>
        <w:t> </w:t>
      </w:r>
      <w:r>
        <w:rPr/>
        <w:t>earnings</w:t>
      </w:r>
      <w:r>
        <w:rPr>
          <w:spacing w:val="-11"/>
        </w:rPr>
        <w:t> </w:t>
      </w:r>
      <w:r>
        <w:rPr/>
        <w:t>(a</w:t>
      </w:r>
      <w:r>
        <w:rPr>
          <w:spacing w:val="-12"/>
        </w:rPr>
        <w:t> </w:t>
      </w:r>
      <w:r>
        <w:rPr/>
        <w:t>higher</w:t>
      </w:r>
      <w:r>
        <w:rPr>
          <w:spacing w:val="-9"/>
        </w:rPr>
        <w:t> </w:t>
      </w:r>
      <w:r>
        <w:rPr/>
        <w:t>demand</w:t>
      </w:r>
      <w:r>
        <w:rPr>
          <w:spacing w:val="-11"/>
        </w:rPr>
        <w:t> </w:t>
      </w:r>
      <w:r>
        <w:rPr/>
        <w:t>for</w:t>
      </w:r>
      <w:r>
        <w:rPr>
          <w:spacing w:val="-10"/>
        </w:rPr>
        <w:t> </w:t>
      </w:r>
      <w:r>
        <w:rPr/>
        <w:t>accounting</w:t>
      </w:r>
      <w:r>
        <w:rPr>
          <w:spacing w:val="-11"/>
        </w:rPr>
        <w:t> </w:t>
      </w:r>
      <w:r>
        <w:rPr/>
        <w:t>conservatism).</w:t>
      </w:r>
      <w:r>
        <w:rPr>
          <w:spacing w:val="-11"/>
        </w:rPr>
        <w:t> </w:t>
      </w:r>
      <w:r>
        <w:rPr/>
        <w:t>The result was consistent with the convergence of interest effect on managerial ownership.</w:t>
      </w:r>
    </w:p>
    <w:p>
      <w:pPr>
        <w:pStyle w:val="BodyText"/>
        <w:spacing w:line="480" w:lineRule="auto"/>
        <w:ind w:left="940" w:right="1436"/>
        <w:jc w:val="both"/>
      </w:pPr>
      <w:r>
        <w:rPr/>
        <w:drawing>
          <wp:anchor distT="0" distB="0" distL="0" distR="0" allowOverlap="1" layoutInCell="1" locked="0" behindDoc="1" simplePos="0" relativeHeight="477716992">
            <wp:simplePos x="0" y="0"/>
            <wp:positionH relativeFrom="page">
              <wp:posOffset>1095451</wp:posOffset>
            </wp:positionH>
            <wp:positionV relativeFrom="paragraph">
              <wp:posOffset>1111055</wp:posOffset>
            </wp:positionV>
            <wp:extent cx="5106847" cy="5238115"/>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5" cstate="print"/>
                    <a:stretch>
                      <a:fillRect/>
                    </a:stretch>
                  </pic:blipFill>
                  <pic:spPr>
                    <a:xfrm>
                      <a:off x="0" y="0"/>
                      <a:ext cx="5106847" cy="5238115"/>
                    </a:xfrm>
                    <a:prstGeom prst="rect">
                      <a:avLst/>
                    </a:prstGeom>
                  </pic:spPr>
                </pic:pic>
              </a:graphicData>
            </a:graphic>
          </wp:anchor>
        </w:drawing>
      </w:r>
      <w:r>
        <w:rPr/>
        <w:t>The study by Salsiah et al. (2008) examined the association between the level of managerial ownership</w:t>
      </w:r>
      <w:r>
        <w:rPr>
          <w:spacing w:val="-14"/>
        </w:rPr>
        <w:t> </w:t>
      </w:r>
      <w:r>
        <w:rPr/>
        <w:t>and</w:t>
      </w:r>
      <w:r>
        <w:rPr>
          <w:spacing w:val="-14"/>
        </w:rPr>
        <w:t> </w:t>
      </w:r>
      <w:r>
        <w:rPr/>
        <w:t>earnings</w:t>
      </w:r>
      <w:r>
        <w:rPr>
          <w:spacing w:val="-12"/>
        </w:rPr>
        <w:t> </w:t>
      </w:r>
      <w:r>
        <w:rPr/>
        <w:t>management</w:t>
      </w:r>
      <w:r>
        <w:rPr>
          <w:spacing w:val="-14"/>
        </w:rPr>
        <w:t> </w:t>
      </w:r>
      <w:r>
        <w:rPr/>
        <w:t>activities.</w:t>
      </w:r>
      <w:r>
        <w:rPr>
          <w:spacing w:val="-14"/>
        </w:rPr>
        <w:t> </w:t>
      </w:r>
      <w:r>
        <w:rPr/>
        <w:t>Their</w:t>
      </w:r>
      <w:r>
        <w:rPr>
          <w:spacing w:val="-14"/>
        </w:rPr>
        <w:t> </w:t>
      </w:r>
      <w:r>
        <w:rPr/>
        <w:t>result</w:t>
      </w:r>
      <w:r>
        <w:rPr>
          <w:spacing w:val="-13"/>
        </w:rPr>
        <w:t> </w:t>
      </w:r>
      <w:r>
        <w:rPr/>
        <w:t>showed</w:t>
      </w:r>
      <w:r>
        <w:rPr>
          <w:spacing w:val="-14"/>
        </w:rPr>
        <w:t> </w:t>
      </w:r>
      <w:r>
        <w:rPr/>
        <w:t>that</w:t>
      </w:r>
      <w:r>
        <w:rPr>
          <w:spacing w:val="-14"/>
        </w:rPr>
        <w:t> </w:t>
      </w:r>
      <w:r>
        <w:rPr/>
        <w:t>managerial</w:t>
      </w:r>
      <w:r>
        <w:rPr>
          <w:spacing w:val="-14"/>
        </w:rPr>
        <w:t> </w:t>
      </w:r>
      <w:r>
        <w:rPr/>
        <w:t>ownership was inversely associated with the magnitude of accounting accruals. Juan and Emma (2007) examined</w:t>
      </w:r>
      <w:r>
        <w:rPr>
          <w:spacing w:val="-4"/>
        </w:rPr>
        <w:t> </w:t>
      </w:r>
      <w:r>
        <w:rPr/>
        <w:t>the</w:t>
      </w:r>
      <w:r>
        <w:rPr>
          <w:spacing w:val="-4"/>
        </w:rPr>
        <w:t> </w:t>
      </w:r>
      <w:r>
        <w:rPr/>
        <w:t>ownership</w:t>
      </w:r>
      <w:r>
        <w:rPr>
          <w:spacing w:val="-4"/>
        </w:rPr>
        <w:t> </w:t>
      </w:r>
      <w:r>
        <w:rPr/>
        <w:t>structure,</w:t>
      </w:r>
      <w:r>
        <w:rPr>
          <w:spacing w:val="-4"/>
        </w:rPr>
        <w:t> </w:t>
      </w:r>
      <w:r>
        <w:rPr/>
        <w:t>discretionary</w:t>
      </w:r>
      <w:r>
        <w:rPr>
          <w:spacing w:val="-4"/>
        </w:rPr>
        <w:t> </w:t>
      </w:r>
      <w:r>
        <w:rPr/>
        <w:t>accruals</w:t>
      </w:r>
      <w:r>
        <w:rPr>
          <w:spacing w:val="-4"/>
        </w:rPr>
        <w:t> </w:t>
      </w:r>
      <w:r>
        <w:rPr/>
        <w:t>and</w:t>
      </w:r>
      <w:r>
        <w:rPr>
          <w:spacing w:val="-4"/>
        </w:rPr>
        <w:t> </w:t>
      </w:r>
      <w:r>
        <w:rPr/>
        <w:t>the</w:t>
      </w:r>
      <w:r>
        <w:rPr>
          <w:spacing w:val="-5"/>
        </w:rPr>
        <w:t> </w:t>
      </w:r>
      <w:r>
        <w:rPr/>
        <w:t>informative</w:t>
      </w:r>
      <w:r>
        <w:rPr>
          <w:spacing w:val="-5"/>
        </w:rPr>
        <w:t> </w:t>
      </w:r>
      <w:r>
        <w:rPr/>
        <w:t>of</w:t>
      </w:r>
      <w:r>
        <w:rPr>
          <w:spacing w:val="-4"/>
        </w:rPr>
        <w:t> </w:t>
      </w:r>
      <w:r>
        <w:rPr/>
        <w:t>earnings.</w:t>
      </w:r>
      <w:r>
        <w:rPr>
          <w:spacing w:val="-4"/>
        </w:rPr>
        <w:t> </w:t>
      </w:r>
      <w:r>
        <w:rPr/>
        <w:t>The study consisted of a sample of Spanish non-financial companies listed on the Madrid Stock Exchange</w:t>
      </w:r>
      <w:r>
        <w:rPr>
          <w:spacing w:val="-15"/>
        </w:rPr>
        <w:t> </w:t>
      </w:r>
      <w:r>
        <w:rPr/>
        <w:t>during</w:t>
      </w:r>
      <w:r>
        <w:rPr>
          <w:spacing w:val="-15"/>
        </w:rPr>
        <w:t> </w:t>
      </w:r>
      <w:r>
        <w:rPr/>
        <w:t>the</w:t>
      </w:r>
      <w:r>
        <w:rPr>
          <w:spacing w:val="-15"/>
        </w:rPr>
        <w:t> </w:t>
      </w:r>
      <w:r>
        <w:rPr/>
        <w:t>period</w:t>
      </w:r>
      <w:r>
        <w:rPr>
          <w:spacing w:val="-15"/>
        </w:rPr>
        <w:t> </w:t>
      </w:r>
      <w:r>
        <w:rPr/>
        <w:t>1999</w:t>
      </w:r>
      <w:r>
        <w:rPr>
          <w:spacing w:val="-15"/>
        </w:rPr>
        <w:t> </w:t>
      </w:r>
      <w:r>
        <w:rPr/>
        <w:t>to</w:t>
      </w:r>
      <w:r>
        <w:rPr>
          <w:spacing w:val="-15"/>
        </w:rPr>
        <w:t> </w:t>
      </w:r>
      <w:r>
        <w:rPr/>
        <w:t>2002.</w:t>
      </w:r>
      <w:r>
        <w:rPr>
          <w:spacing w:val="-15"/>
        </w:rPr>
        <w:t> </w:t>
      </w:r>
      <w:r>
        <w:rPr/>
        <w:t>The</w:t>
      </w:r>
      <w:r>
        <w:rPr>
          <w:spacing w:val="-15"/>
        </w:rPr>
        <w:t> </w:t>
      </w:r>
      <w:r>
        <w:rPr/>
        <w:t>study</w:t>
      </w:r>
      <w:r>
        <w:rPr>
          <w:spacing w:val="-15"/>
        </w:rPr>
        <w:t> </w:t>
      </w:r>
      <w:r>
        <w:rPr/>
        <w:t>used</w:t>
      </w:r>
      <w:r>
        <w:rPr>
          <w:spacing w:val="-15"/>
        </w:rPr>
        <w:t> </w:t>
      </w:r>
      <w:r>
        <w:rPr/>
        <w:t>panel</w:t>
      </w:r>
      <w:r>
        <w:rPr>
          <w:spacing w:val="-15"/>
        </w:rPr>
        <w:t> </w:t>
      </w:r>
      <w:r>
        <w:rPr/>
        <w:t>estimation</w:t>
      </w:r>
      <w:r>
        <w:rPr>
          <w:spacing w:val="-15"/>
        </w:rPr>
        <w:t> </w:t>
      </w:r>
      <w:r>
        <w:rPr/>
        <w:t>technique</w:t>
      </w:r>
      <w:r>
        <w:rPr>
          <w:spacing w:val="-15"/>
        </w:rPr>
        <w:t> </w:t>
      </w:r>
      <w:r>
        <w:rPr/>
        <w:t>and</w:t>
      </w:r>
      <w:r>
        <w:rPr>
          <w:spacing w:val="-15"/>
        </w:rPr>
        <w:t> </w:t>
      </w:r>
      <w:r>
        <w:rPr/>
        <w:t>found a non-linear relationship between insider ownership and discretionary accruals, and between insider ownership and earnings explanatory power for returns. The study found that the informativeness was higher in the intervals of convergence of interests than in those of the managerial entrenchment. Consequently, if the interests of the managers were aligned with those of the shareholders, the accounting income would be of a higher quality since the managers would be less likely to manipulate their financial statements. Hafiza and Susela (2005), in their study, did not find any significant association between managerial ownership and earnings quality. In the</w:t>
      </w:r>
      <w:r>
        <w:rPr>
          <w:spacing w:val="-1"/>
        </w:rPr>
        <w:t> </w:t>
      </w:r>
      <w:r>
        <w:rPr/>
        <w:t>abovementioned</w:t>
      </w:r>
      <w:r>
        <w:rPr>
          <w:spacing w:val="-1"/>
        </w:rPr>
        <w:t> </w:t>
      </w:r>
      <w:r>
        <w:rPr/>
        <w:t>study by Han (2004)</w:t>
      </w:r>
      <w:r>
        <w:rPr>
          <w:spacing w:val="-1"/>
        </w:rPr>
        <w:t> </w:t>
      </w:r>
      <w:r>
        <w:rPr/>
        <w:t>on the</w:t>
      </w:r>
      <w:r>
        <w:rPr>
          <w:spacing w:val="-1"/>
        </w:rPr>
        <w:t> </w:t>
      </w:r>
      <w:r>
        <w:rPr/>
        <w:t>impact of</w:t>
      </w:r>
      <w:r>
        <w:rPr>
          <w:spacing w:val="-1"/>
        </w:rPr>
        <w:t> </w:t>
      </w:r>
      <w:r>
        <w:rPr/>
        <w:t>ownership structure on the quality of financial reporting in the US, the findings revealed that managerial ownership exhibited an inverse relationship with the quality of financial reporting. The study by</w:t>
      </w:r>
      <w:r>
        <w:rPr>
          <w:spacing w:val="-6"/>
        </w:rPr>
        <w:t> </w:t>
      </w:r>
      <w:r>
        <w:rPr/>
        <w:t>Koh</w:t>
      </w:r>
      <w:r>
        <w:rPr>
          <w:spacing w:val="-6"/>
        </w:rPr>
        <w:t> </w:t>
      </w:r>
      <w:r>
        <w:rPr/>
        <w:t>(2003)</w:t>
      </w:r>
      <w:r>
        <w:rPr>
          <w:spacing w:val="-7"/>
        </w:rPr>
        <w:t> </w:t>
      </w:r>
      <w:r>
        <w:rPr/>
        <w:t>examined</w:t>
      </w:r>
      <w:r>
        <w:rPr>
          <w:spacing w:val="-4"/>
        </w:rPr>
        <w:t> </w:t>
      </w:r>
      <w:r>
        <w:rPr/>
        <w:t>the</w:t>
      </w:r>
      <w:r>
        <w:rPr>
          <w:spacing w:val="-6"/>
        </w:rPr>
        <w:t> </w:t>
      </w:r>
      <w:r>
        <w:rPr/>
        <w:t>association</w:t>
      </w:r>
      <w:r>
        <w:rPr>
          <w:spacing w:val="-6"/>
        </w:rPr>
        <w:t> </w:t>
      </w:r>
      <w:r>
        <w:rPr/>
        <w:t>between</w:t>
      </w:r>
      <w:r>
        <w:rPr>
          <w:spacing w:val="-3"/>
        </w:rPr>
        <w:t> </w:t>
      </w:r>
      <w:r>
        <w:rPr/>
        <w:t>managerial</w:t>
      </w:r>
      <w:r>
        <w:rPr>
          <w:spacing w:val="-3"/>
        </w:rPr>
        <w:t> </w:t>
      </w:r>
      <w:r>
        <w:rPr/>
        <w:t>ownership</w:t>
      </w:r>
      <w:r>
        <w:rPr>
          <w:spacing w:val="-4"/>
        </w:rPr>
        <w:t> </w:t>
      </w:r>
      <w:r>
        <w:rPr/>
        <w:t>and</w:t>
      </w:r>
      <w:r>
        <w:rPr>
          <w:spacing w:val="-6"/>
        </w:rPr>
        <w:t> </w:t>
      </w:r>
      <w:r>
        <w:rPr/>
        <w:t>Australian</w:t>
      </w:r>
      <w:r>
        <w:rPr>
          <w:spacing w:val="-3"/>
        </w:rPr>
        <w:t> </w:t>
      </w:r>
      <w:r>
        <w:rPr/>
        <w:t>firms’ aggressive earnings management practice. The study tested only income-increasing accruals using</w:t>
      </w:r>
      <w:r>
        <w:rPr>
          <w:spacing w:val="-4"/>
        </w:rPr>
        <w:t> </w:t>
      </w:r>
      <w:r>
        <w:rPr/>
        <w:t>a</w:t>
      </w:r>
      <w:r>
        <w:rPr>
          <w:spacing w:val="-6"/>
        </w:rPr>
        <w:t> </w:t>
      </w:r>
      <w:r>
        <w:rPr/>
        <w:t>sample</w:t>
      </w:r>
      <w:r>
        <w:rPr>
          <w:spacing w:val="-6"/>
        </w:rPr>
        <w:t> </w:t>
      </w:r>
      <w:r>
        <w:rPr/>
        <w:t>of</w:t>
      </w:r>
      <w:r>
        <w:rPr>
          <w:spacing w:val="-6"/>
        </w:rPr>
        <w:t> </w:t>
      </w:r>
      <w:r>
        <w:rPr/>
        <w:t>107</w:t>
      </w:r>
      <w:r>
        <w:rPr>
          <w:spacing w:val="-2"/>
        </w:rPr>
        <w:t> </w:t>
      </w:r>
      <w:r>
        <w:rPr/>
        <w:t>firm</w:t>
      </w:r>
      <w:r>
        <w:rPr>
          <w:spacing w:val="-4"/>
        </w:rPr>
        <w:t> </w:t>
      </w:r>
      <w:r>
        <w:rPr/>
        <w:t>year</w:t>
      </w:r>
      <w:r>
        <w:rPr>
          <w:spacing w:val="-6"/>
        </w:rPr>
        <w:t> </w:t>
      </w:r>
      <w:r>
        <w:rPr/>
        <w:t>observations</w:t>
      </w:r>
      <w:r>
        <w:rPr>
          <w:spacing w:val="-5"/>
        </w:rPr>
        <w:t> </w:t>
      </w:r>
      <w:r>
        <w:rPr/>
        <w:t>during</w:t>
      </w:r>
      <w:r>
        <w:rPr>
          <w:spacing w:val="-5"/>
        </w:rPr>
        <w:t> </w:t>
      </w:r>
      <w:r>
        <w:rPr/>
        <w:t>the</w:t>
      </w:r>
      <w:r>
        <w:rPr>
          <w:spacing w:val="-5"/>
        </w:rPr>
        <w:t> </w:t>
      </w:r>
      <w:r>
        <w:rPr/>
        <w:t>period</w:t>
      </w:r>
      <w:r>
        <w:rPr>
          <w:spacing w:val="-5"/>
        </w:rPr>
        <w:t> </w:t>
      </w:r>
      <w:r>
        <w:rPr/>
        <w:t>1993</w:t>
      </w:r>
      <w:r>
        <w:rPr>
          <w:spacing w:val="-5"/>
        </w:rPr>
        <w:t> </w:t>
      </w:r>
      <w:r>
        <w:rPr/>
        <w:t>to</w:t>
      </w:r>
      <w:r>
        <w:rPr>
          <w:spacing w:val="-4"/>
        </w:rPr>
        <w:t> </w:t>
      </w:r>
      <w:r>
        <w:rPr/>
        <w:t>1997.</w:t>
      </w:r>
      <w:r>
        <w:rPr>
          <w:spacing w:val="-5"/>
        </w:rPr>
        <w:t> </w:t>
      </w:r>
      <w:r>
        <w:rPr/>
        <w:t>The</w:t>
      </w:r>
      <w:r>
        <w:rPr>
          <w:spacing w:val="-6"/>
        </w:rPr>
        <w:t> </w:t>
      </w:r>
      <w:r>
        <w:rPr/>
        <w:t>study</w:t>
      </w:r>
      <w:r>
        <w:rPr>
          <w:spacing w:val="-4"/>
        </w:rPr>
        <w:t> </w:t>
      </w:r>
      <w:r>
        <w:rPr/>
        <w:t>found a positive association between managerial ownership and income-decreasing accruals which was consistent with the view that high managerial ownership encouraged managerial accrual discretion. The study by Gul and Wah (2002) examined the effect of the convergence of the interests</w:t>
      </w:r>
      <w:r>
        <w:rPr>
          <w:spacing w:val="-15"/>
        </w:rPr>
        <w:t> </w:t>
      </w:r>
      <w:r>
        <w:rPr/>
        <w:t>and</w:t>
      </w:r>
      <w:r>
        <w:rPr>
          <w:spacing w:val="-13"/>
        </w:rPr>
        <w:t> </w:t>
      </w:r>
      <w:r>
        <w:rPr/>
        <w:t>the</w:t>
      </w:r>
      <w:r>
        <w:rPr>
          <w:spacing w:val="-12"/>
        </w:rPr>
        <w:t> </w:t>
      </w:r>
      <w:r>
        <w:rPr/>
        <w:t>managerial</w:t>
      </w:r>
      <w:r>
        <w:rPr>
          <w:spacing w:val="-13"/>
        </w:rPr>
        <w:t> </w:t>
      </w:r>
      <w:r>
        <w:rPr/>
        <w:t>entrenchment</w:t>
      </w:r>
      <w:r>
        <w:rPr>
          <w:spacing w:val="-13"/>
        </w:rPr>
        <w:t> </w:t>
      </w:r>
      <w:r>
        <w:rPr/>
        <w:t>on</w:t>
      </w:r>
      <w:r>
        <w:rPr>
          <w:spacing w:val="-12"/>
        </w:rPr>
        <w:t> </w:t>
      </w:r>
      <w:r>
        <w:rPr/>
        <w:t>the</w:t>
      </w:r>
      <w:r>
        <w:rPr>
          <w:spacing w:val="-12"/>
        </w:rPr>
        <w:t> </w:t>
      </w:r>
      <w:r>
        <w:rPr/>
        <w:t>accounting</w:t>
      </w:r>
      <w:r>
        <w:rPr>
          <w:spacing w:val="-13"/>
        </w:rPr>
        <w:t> </w:t>
      </w:r>
      <w:r>
        <w:rPr/>
        <w:t>informativeness</w:t>
      </w:r>
      <w:r>
        <w:rPr>
          <w:spacing w:val="-13"/>
        </w:rPr>
        <w:t> </w:t>
      </w:r>
      <w:r>
        <w:rPr/>
        <w:t>by</w:t>
      </w:r>
      <w:r>
        <w:rPr>
          <w:spacing w:val="-13"/>
        </w:rPr>
        <w:t> </w:t>
      </w:r>
      <w:r>
        <w:rPr/>
        <w:t>comparing</w:t>
      </w:r>
      <w:r>
        <w:rPr>
          <w:spacing w:val="-12"/>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17504">
            <wp:simplePos x="0" y="0"/>
            <wp:positionH relativeFrom="page">
              <wp:posOffset>1095451</wp:posOffset>
            </wp:positionH>
            <wp:positionV relativeFrom="paragraph">
              <wp:posOffset>1850770</wp:posOffset>
            </wp:positionV>
            <wp:extent cx="5106847" cy="5238115"/>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5106847" cy="5238115"/>
                    </a:xfrm>
                    <a:prstGeom prst="rect">
                      <a:avLst/>
                    </a:prstGeom>
                  </pic:spPr>
                </pic:pic>
              </a:graphicData>
            </a:graphic>
          </wp:anchor>
        </w:drawing>
      </w:r>
      <w:r>
        <w:rPr/>
        <w:t>intervals of managerial ownership. Warfield et al. (1995) examined the relation between ownership structure and the stock price informativeness of earnings. In a diffuse ownership context, they documented that more managerial ownership was associated with greater earnings informativeness. They argued that an increase in managerial ownership reduced the conflicts of interest between owners and managers and thus the need for accounting-based managerial constraints. They posited that informativeness of earnings increased because managers had less need to manage earnings in order to alleviate constraints.</w:t>
      </w:r>
    </w:p>
    <w:p>
      <w:pPr>
        <w:pStyle w:val="BodyText"/>
      </w:pPr>
    </w:p>
    <w:p>
      <w:pPr>
        <w:pStyle w:val="BodyText"/>
        <w:spacing w:before="1"/>
      </w:pPr>
    </w:p>
    <w:p>
      <w:pPr>
        <w:pStyle w:val="Heading3"/>
        <w:numPr>
          <w:ilvl w:val="2"/>
          <w:numId w:val="23"/>
        </w:numPr>
        <w:tabs>
          <w:tab w:pos="1480" w:val="left" w:leader="none"/>
        </w:tabs>
        <w:spacing w:line="240" w:lineRule="auto" w:before="0" w:after="0"/>
        <w:ind w:left="1480" w:right="0" w:hanging="540"/>
        <w:jc w:val="left"/>
      </w:pPr>
      <w:bookmarkStart w:name="_TOC_250044" w:id="26"/>
      <w:r>
        <w:rPr/>
        <w:t>Foreign</w:t>
      </w:r>
      <w:r>
        <w:rPr>
          <w:spacing w:val="-4"/>
        </w:rPr>
        <w:t> </w:t>
      </w:r>
      <w:r>
        <w:rPr/>
        <w:t>Ownership and</w:t>
      </w:r>
      <w:r>
        <w:rPr>
          <w:spacing w:val="-3"/>
        </w:rPr>
        <w:t> </w:t>
      </w:r>
      <w:r>
        <w:rPr/>
        <w:t>Financial</w:t>
      </w:r>
      <w:r>
        <w:rPr>
          <w:spacing w:val="-2"/>
        </w:rPr>
        <w:t> </w:t>
      </w:r>
      <w:r>
        <w:rPr/>
        <w:t>Reporting</w:t>
      </w:r>
      <w:bookmarkEnd w:id="26"/>
      <w:r>
        <w:rPr>
          <w:spacing w:val="-2"/>
        </w:rPr>
        <w:t> Quality</w:t>
      </w:r>
    </w:p>
    <w:p>
      <w:pPr>
        <w:pStyle w:val="BodyText"/>
        <w:rPr>
          <w:b/>
        </w:rPr>
      </w:pPr>
    </w:p>
    <w:p>
      <w:pPr>
        <w:pStyle w:val="BodyText"/>
        <w:spacing w:line="480" w:lineRule="auto"/>
        <w:ind w:left="940" w:right="1435"/>
        <w:jc w:val="both"/>
      </w:pPr>
      <w:r>
        <w:rPr/>
        <w:t>The abovementioned study by Adebiyi and Olowookere (2016) examined the relationship between corporate ownership structure and financial reporting quality among deposit money banks in Nigeria, and the findings revealed that foreign ownership exhibited an inverse relationship with financial reporting quality. Laith (2015) examined the relationship between ownership structure and earnings quality. The population was 76 companies out of which 48 were</w:t>
      </w:r>
      <w:r>
        <w:rPr>
          <w:spacing w:val="-11"/>
        </w:rPr>
        <w:t> </w:t>
      </w:r>
      <w:r>
        <w:rPr/>
        <w:t>sampled</w:t>
      </w:r>
      <w:r>
        <w:rPr>
          <w:spacing w:val="-10"/>
        </w:rPr>
        <w:t> </w:t>
      </w:r>
      <w:r>
        <w:rPr/>
        <w:t>during</w:t>
      </w:r>
      <w:r>
        <w:rPr>
          <w:spacing w:val="-10"/>
        </w:rPr>
        <w:t> </w:t>
      </w:r>
      <w:r>
        <w:rPr/>
        <w:t>the</w:t>
      </w:r>
      <w:r>
        <w:rPr>
          <w:spacing w:val="-8"/>
        </w:rPr>
        <w:t> </w:t>
      </w:r>
      <w:r>
        <w:rPr/>
        <w:t>period</w:t>
      </w:r>
      <w:r>
        <w:rPr>
          <w:spacing w:val="-10"/>
        </w:rPr>
        <w:t> </w:t>
      </w:r>
      <w:r>
        <w:rPr/>
        <w:t>2009</w:t>
      </w:r>
      <w:r>
        <w:rPr>
          <w:spacing w:val="-10"/>
        </w:rPr>
        <w:t> </w:t>
      </w:r>
      <w:r>
        <w:rPr/>
        <w:t>to</w:t>
      </w:r>
      <w:r>
        <w:rPr>
          <w:spacing w:val="-9"/>
        </w:rPr>
        <w:t> </w:t>
      </w:r>
      <w:r>
        <w:rPr/>
        <w:t>2013.</w:t>
      </w:r>
      <w:r>
        <w:rPr>
          <w:spacing w:val="-10"/>
        </w:rPr>
        <w:t> </w:t>
      </w:r>
      <w:r>
        <w:rPr/>
        <w:t>The</w:t>
      </w:r>
      <w:r>
        <w:rPr>
          <w:spacing w:val="-9"/>
        </w:rPr>
        <w:t> </w:t>
      </w:r>
      <w:r>
        <w:rPr/>
        <w:t>ownership</w:t>
      </w:r>
      <w:r>
        <w:rPr>
          <w:spacing w:val="-10"/>
        </w:rPr>
        <w:t> </w:t>
      </w:r>
      <w:r>
        <w:rPr/>
        <w:t>variables</w:t>
      </w:r>
      <w:r>
        <w:rPr>
          <w:spacing w:val="-10"/>
        </w:rPr>
        <w:t> </w:t>
      </w:r>
      <w:r>
        <w:rPr/>
        <w:t>were</w:t>
      </w:r>
      <w:r>
        <w:rPr>
          <w:spacing w:val="-11"/>
        </w:rPr>
        <w:t> </w:t>
      </w:r>
      <w:r>
        <w:rPr/>
        <w:t>family</w:t>
      </w:r>
      <w:r>
        <w:rPr>
          <w:spacing w:val="-9"/>
        </w:rPr>
        <w:t> </w:t>
      </w:r>
      <w:r>
        <w:rPr/>
        <w:t>ownership and foreign ownership. Logistic regression was used to estimate data. The findings showed a positive relationship between foreign ownership and the quality of earnings in Jordanian companies</w:t>
      </w:r>
      <w:r>
        <w:rPr>
          <w:spacing w:val="-10"/>
        </w:rPr>
        <w:t> </w:t>
      </w:r>
      <w:r>
        <w:rPr/>
        <w:t>which</w:t>
      </w:r>
      <w:r>
        <w:rPr>
          <w:spacing w:val="-11"/>
        </w:rPr>
        <w:t> </w:t>
      </w:r>
      <w:r>
        <w:rPr/>
        <w:t>could</w:t>
      </w:r>
      <w:r>
        <w:rPr>
          <w:spacing w:val="-10"/>
        </w:rPr>
        <w:t> </w:t>
      </w:r>
      <w:r>
        <w:rPr/>
        <w:t>be</w:t>
      </w:r>
      <w:r>
        <w:rPr>
          <w:spacing w:val="-12"/>
        </w:rPr>
        <w:t> </w:t>
      </w:r>
      <w:r>
        <w:rPr/>
        <w:t>interpreted</w:t>
      </w:r>
      <w:r>
        <w:rPr>
          <w:spacing w:val="-11"/>
        </w:rPr>
        <w:t> </w:t>
      </w:r>
      <w:r>
        <w:rPr/>
        <w:t>that</w:t>
      </w:r>
      <w:r>
        <w:rPr>
          <w:spacing w:val="-11"/>
        </w:rPr>
        <w:t> </w:t>
      </w:r>
      <w:r>
        <w:rPr/>
        <w:t>companies</w:t>
      </w:r>
      <w:r>
        <w:rPr>
          <w:spacing w:val="-11"/>
        </w:rPr>
        <w:t> </w:t>
      </w:r>
      <w:r>
        <w:rPr/>
        <w:t>with</w:t>
      </w:r>
      <w:r>
        <w:rPr>
          <w:spacing w:val="-9"/>
        </w:rPr>
        <w:t> </w:t>
      </w:r>
      <w:r>
        <w:rPr/>
        <w:t>higher</w:t>
      </w:r>
      <w:r>
        <w:rPr>
          <w:spacing w:val="-12"/>
        </w:rPr>
        <w:t> </w:t>
      </w:r>
      <w:r>
        <w:rPr/>
        <w:t>institutional</w:t>
      </w:r>
      <w:r>
        <w:rPr>
          <w:spacing w:val="-10"/>
        </w:rPr>
        <w:t> </w:t>
      </w:r>
      <w:r>
        <w:rPr/>
        <w:t>ownership</w:t>
      </w:r>
      <w:r>
        <w:rPr>
          <w:spacing w:val="-11"/>
        </w:rPr>
        <w:t> </w:t>
      </w:r>
      <w:r>
        <w:rPr/>
        <w:t>were better in controlling the management’s action and earnings quality. Ben-Nasr et al. (</w:t>
      </w:r>
      <w:hyperlink r:id="rId8">
        <w:r>
          <w:rPr/>
          <w:t>2015</w:t>
        </w:r>
      </w:hyperlink>
      <w:r>
        <w:rPr/>
        <w:t>) examined the influence of foreign shareholders on the quality of earnings using a sample of firms from 45 countries. The authors concluded that the greater level of international shareholdings</w:t>
      </w:r>
      <w:r>
        <w:rPr>
          <w:spacing w:val="-10"/>
        </w:rPr>
        <w:t> </w:t>
      </w:r>
      <w:r>
        <w:rPr/>
        <w:t>correlated</w:t>
      </w:r>
      <w:r>
        <w:rPr>
          <w:spacing w:val="-8"/>
        </w:rPr>
        <w:t> </w:t>
      </w:r>
      <w:r>
        <w:rPr/>
        <w:t>with</w:t>
      </w:r>
      <w:r>
        <w:rPr>
          <w:spacing w:val="-10"/>
        </w:rPr>
        <w:t> </w:t>
      </w:r>
      <w:r>
        <w:rPr/>
        <w:t>better</w:t>
      </w:r>
      <w:r>
        <w:rPr>
          <w:spacing w:val="-11"/>
        </w:rPr>
        <w:t> </w:t>
      </w:r>
      <w:r>
        <w:rPr/>
        <w:t>earnings</w:t>
      </w:r>
      <w:r>
        <w:rPr>
          <w:spacing w:val="-11"/>
        </w:rPr>
        <w:t> </w:t>
      </w:r>
      <w:r>
        <w:rPr/>
        <w:t>disclosure.</w:t>
      </w:r>
      <w:r>
        <w:rPr>
          <w:spacing w:val="-11"/>
        </w:rPr>
        <w:t> </w:t>
      </w:r>
      <w:r>
        <w:rPr/>
        <w:t>Likewise,</w:t>
      </w:r>
      <w:r>
        <w:rPr>
          <w:spacing w:val="-8"/>
        </w:rPr>
        <w:t> </w:t>
      </w:r>
      <w:r>
        <w:rPr/>
        <w:t>Guo</w:t>
      </w:r>
      <w:r>
        <w:rPr>
          <w:spacing w:val="-11"/>
        </w:rPr>
        <w:t> </w:t>
      </w:r>
      <w:r>
        <w:rPr/>
        <w:t>et</w:t>
      </w:r>
      <w:r>
        <w:rPr>
          <w:spacing w:val="-10"/>
        </w:rPr>
        <w:t> </w:t>
      </w:r>
      <w:r>
        <w:rPr/>
        <w:t>al.</w:t>
      </w:r>
      <w:r>
        <w:rPr>
          <w:spacing w:val="-10"/>
        </w:rPr>
        <w:t> </w:t>
      </w:r>
      <w:r>
        <w:rPr/>
        <w:t>(</w:t>
      </w:r>
      <w:hyperlink r:id="rId8">
        <w:r>
          <w:rPr/>
          <w:t>2015</w:t>
        </w:r>
      </w:hyperlink>
      <w:r>
        <w:rPr/>
        <w:t>)</w:t>
      </w:r>
      <w:r>
        <w:rPr>
          <w:spacing w:val="-11"/>
        </w:rPr>
        <w:t> </w:t>
      </w:r>
      <w:r>
        <w:rPr/>
        <w:t>examined foreign investors’ influence on earnings management using a unique set of foreign ownership dataset</w:t>
      </w:r>
      <w:r>
        <w:rPr>
          <w:spacing w:val="-10"/>
        </w:rPr>
        <w:t> </w:t>
      </w:r>
      <w:r>
        <w:rPr/>
        <w:t>of</w:t>
      </w:r>
      <w:r>
        <w:rPr>
          <w:spacing w:val="-11"/>
        </w:rPr>
        <w:t> </w:t>
      </w:r>
      <w:r>
        <w:rPr/>
        <w:t>listed</w:t>
      </w:r>
      <w:r>
        <w:rPr>
          <w:spacing w:val="-11"/>
        </w:rPr>
        <w:t> </w:t>
      </w:r>
      <w:r>
        <w:rPr/>
        <w:t>Japanese</w:t>
      </w:r>
      <w:r>
        <w:rPr>
          <w:spacing w:val="-9"/>
        </w:rPr>
        <w:t> </w:t>
      </w:r>
      <w:r>
        <w:rPr/>
        <w:t>firms.</w:t>
      </w:r>
      <w:r>
        <w:rPr>
          <w:spacing w:val="-10"/>
        </w:rPr>
        <w:t> </w:t>
      </w:r>
      <w:r>
        <w:rPr/>
        <w:t>The</w:t>
      </w:r>
      <w:r>
        <w:rPr>
          <w:spacing w:val="-12"/>
        </w:rPr>
        <w:t> </w:t>
      </w:r>
      <w:r>
        <w:rPr/>
        <w:t>study</w:t>
      </w:r>
      <w:r>
        <w:rPr>
          <w:spacing w:val="-10"/>
        </w:rPr>
        <w:t> </w:t>
      </w:r>
      <w:r>
        <w:rPr/>
        <w:t>found</w:t>
      </w:r>
      <w:r>
        <w:rPr>
          <w:spacing w:val="-11"/>
        </w:rPr>
        <w:t> </w:t>
      </w:r>
      <w:r>
        <w:rPr/>
        <w:t>that</w:t>
      </w:r>
      <w:r>
        <w:rPr>
          <w:spacing w:val="-10"/>
        </w:rPr>
        <w:t> </w:t>
      </w:r>
      <w:r>
        <w:rPr/>
        <w:t>foreign</w:t>
      </w:r>
      <w:r>
        <w:rPr>
          <w:spacing w:val="-10"/>
        </w:rPr>
        <w:t> </w:t>
      </w:r>
      <w:r>
        <w:rPr/>
        <w:t>ownership</w:t>
      </w:r>
      <w:r>
        <w:rPr>
          <w:spacing w:val="-10"/>
        </w:rPr>
        <w:t> </w:t>
      </w:r>
      <w:r>
        <w:rPr/>
        <w:t>was</w:t>
      </w:r>
      <w:r>
        <w:rPr>
          <w:spacing w:val="-8"/>
        </w:rPr>
        <w:t> </w:t>
      </w:r>
      <w:r>
        <w:rPr/>
        <w:t>negatively</w:t>
      </w:r>
      <w:r>
        <w:rPr>
          <w:spacing w:val="-10"/>
        </w:rPr>
        <w:t> </w:t>
      </w:r>
      <w:r>
        <w:rPr/>
        <w:t>related to</w:t>
      </w:r>
      <w:r>
        <w:rPr>
          <w:spacing w:val="44"/>
        </w:rPr>
        <w:t> </w:t>
      </w:r>
      <w:r>
        <w:rPr/>
        <w:t>earnings</w:t>
      </w:r>
      <w:r>
        <w:rPr>
          <w:spacing w:val="47"/>
        </w:rPr>
        <w:t> </w:t>
      </w:r>
      <w:r>
        <w:rPr/>
        <w:t>management.</w:t>
      </w:r>
      <w:r>
        <w:rPr>
          <w:spacing w:val="47"/>
        </w:rPr>
        <w:t> </w:t>
      </w:r>
      <w:r>
        <w:rPr/>
        <w:t>In</w:t>
      </w:r>
      <w:r>
        <w:rPr>
          <w:spacing w:val="45"/>
        </w:rPr>
        <w:t> </w:t>
      </w:r>
      <w:r>
        <w:rPr/>
        <w:t>other</w:t>
      </w:r>
      <w:r>
        <w:rPr>
          <w:spacing w:val="47"/>
        </w:rPr>
        <w:t> </w:t>
      </w:r>
      <w:r>
        <w:rPr/>
        <w:t>words,</w:t>
      </w:r>
      <w:r>
        <w:rPr>
          <w:spacing w:val="48"/>
        </w:rPr>
        <w:t> </w:t>
      </w:r>
      <w:r>
        <w:rPr/>
        <w:t>foreign</w:t>
      </w:r>
      <w:r>
        <w:rPr>
          <w:spacing w:val="44"/>
        </w:rPr>
        <w:t> </w:t>
      </w:r>
      <w:r>
        <w:rPr/>
        <w:t>investors</w:t>
      </w:r>
      <w:r>
        <w:rPr>
          <w:spacing w:val="45"/>
        </w:rPr>
        <w:t> </w:t>
      </w:r>
      <w:r>
        <w:rPr/>
        <w:t>played</w:t>
      </w:r>
      <w:r>
        <w:rPr>
          <w:spacing w:val="45"/>
        </w:rPr>
        <w:t> </w:t>
      </w:r>
      <w:r>
        <w:rPr/>
        <w:t>the</w:t>
      </w:r>
      <w:r>
        <w:rPr>
          <w:spacing w:val="49"/>
        </w:rPr>
        <w:t> </w:t>
      </w:r>
      <w:r>
        <w:rPr/>
        <w:t>monitoring</w:t>
      </w:r>
      <w:r>
        <w:rPr>
          <w:spacing w:val="45"/>
        </w:rPr>
        <w:t> </w:t>
      </w:r>
      <w:r>
        <w:rPr/>
        <w:t>role</w:t>
      </w:r>
      <w:r>
        <w:rPr>
          <w:spacing w:val="44"/>
        </w:rPr>
        <w:t> </w:t>
      </w:r>
      <w:r>
        <w:rPr>
          <w:spacing w:val="-5"/>
        </w:rPr>
        <w:t>in</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drawing>
          <wp:anchor distT="0" distB="0" distL="0" distR="0" allowOverlap="1" layoutInCell="1" locked="0" behindDoc="1" simplePos="0" relativeHeight="477718016">
            <wp:simplePos x="0" y="0"/>
            <wp:positionH relativeFrom="page">
              <wp:posOffset>1095451</wp:posOffset>
            </wp:positionH>
            <wp:positionV relativeFrom="paragraph">
              <wp:posOffset>1850770</wp:posOffset>
            </wp:positionV>
            <wp:extent cx="5106847" cy="5238115"/>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5" cstate="print"/>
                    <a:stretch>
                      <a:fillRect/>
                    </a:stretch>
                  </pic:blipFill>
                  <pic:spPr>
                    <a:xfrm>
                      <a:off x="0" y="0"/>
                      <a:ext cx="5106847" cy="5238115"/>
                    </a:xfrm>
                    <a:prstGeom prst="rect">
                      <a:avLst/>
                    </a:prstGeom>
                  </pic:spPr>
                </pic:pic>
              </a:graphicData>
            </a:graphic>
          </wp:anchor>
        </w:drawing>
      </w:r>
      <w:r>
        <w:rPr/>
        <w:t>alleviating</w:t>
      </w:r>
      <w:r>
        <w:rPr>
          <w:spacing w:val="-10"/>
        </w:rPr>
        <w:t> </w:t>
      </w:r>
      <w:r>
        <w:rPr/>
        <w:t>the</w:t>
      </w:r>
      <w:r>
        <w:rPr>
          <w:spacing w:val="-11"/>
        </w:rPr>
        <w:t> </w:t>
      </w:r>
      <w:r>
        <w:rPr/>
        <w:t>earnings</w:t>
      </w:r>
      <w:r>
        <w:rPr>
          <w:spacing w:val="-8"/>
        </w:rPr>
        <w:t> </w:t>
      </w:r>
      <w:r>
        <w:rPr/>
        <w:t>management</w:t>
      </w:r>
      <w:r>
        <w:rPr>
          <w:spacing w:val="-8"/>
        </w:rPr>
        <w:t> </w:t>
      </w:r>
      <w:r>
        <w:rPr/>
        <w:t>activities</w:t>
      </w:r>
      <w:r>
        <w:rPr>
          <w:spacing w:val="-11"/>
        </w:rPr>
        <w:t> </w:t>
      </w:r>
      <w:r>
        <w:rPr/>
        <w:t>of</w:t>
      </w:r>
      <w:r>
        <w:rPr>
          <w:spacing w:val="-9"/>
        </w:rPr>
        <w:t> </w:t>
      </w:r>
      <w:r>
        <w:rPr/>
        <w:t>local</w:t>
      </w:r>
      <w:r>
        <w:rPr>
          <w:spacing w:val="-10"/>
        </w:rPr>
        <w:t> </w:t>
      </w:r>
      <w:r>
        <w:rPr/>
        <w:t>firms.</w:t>
      </w:r>
      <w:r>
        <w:rPr>
          <w:spacing w:val="-7"/>
        </w:rPr>
        <w:t> </w:t>
      </w:r>
      <w:r>
        <w:rPr/>
        <w:t>The</w:t>
      </w:r>
      <w:r>
        <w:rPr>
          <w:spacing w:val="-12"/>
        </w:rPr>
        <w:t> </w:t>
      </w:r>
      <w:r>
        <w:rPr/>
        <w:t>study</w:t>
      </w:r>
      <w:r>
        <w:rPr>
          <w:spacing w:val="-9"/>
        </w:rPr>
        <w:t> </w:t>
      </w:r>
      <w:r>
        <w:rPr/>
        <w:t>by</w:t>
      </w:r>
      <w:r>
        <w:rPr>
          <w:spacing w:val="-8"/>
        </w:rPr>
        <w:t> </w:t>
      </w:r>
      <w:r>
        <w:rPr/>
        <w:t>Beuselinck,</w:t>
      </w:r>
      <w:r>
        <w:rPr>
          <w:spacing w:val="-11"/>
        </w:rPr>
        <w:t> </w:t>
      </w:r>
      <w:r>
        <w:rPr/>
        <w:t>Blanco and Garcia-Lara (2013) examined the role of foreign shareholders in disciplining financial reporting</w:t>
      </w:r>
      <w:r>
        <w:rPr>
          <w:spacing w:val="-1"/>
        </w:rPr>
        <w:t> </w:t>
      </w:r>
      <w:r>
        <w:rPr/>
        <w:t>in</w:t>
      </w:r>
      <w:r>
        <w:rPr>
          <w:spacing w:val="-1"/>
        </w:rPr>
        <w:t> </w:t>
      </w:r>
      <w:r>
        <w:rPr/>
        <w:t>poor</w:t>
      </w:r>
      <w:r>
        <w:rPr>
          <w:spacing w:val="-2"/>
        </w:rPr>
        <w:t> </w:t>
      </w:r>
      <w:r>
        <w:rPr/>
        <w:t>institutional</w:t>
      </w:r>
      <w:r>
        <w:rPr>
          <w:spacing w:val="-1"/>
        </w:rPr>
        <w:t> </w:t>
      </w:r>
      <w:r>
        <w:rPr/>
        <w:t>quality</w:t>
      </w:r>
      <w:r>
        <w:rPr>
          <w:spacing w:val="-1"/>
        </w:rPr>
        <w:t> </w:t>
      </w:r>
      <w:r>
        <w:rPr/>
        <w:t>counties. The</w:t>
      </w:r>
      <w:r>
        <w:rPr>
          <w:spacing w:val="-3"/>
        </w:rPr>
        <w:t> </w:t>
      </w:r>
      <w:r>
        <w:rPr/>
        <w:t>findings</w:t>
      </w:r>
      <w:r>
        <w:rPr>
          <w:spacing w:val="-1"/>
        </w:rPr>
        <w:t> </w:t>
      </w:r>
      <w:r>
        <w:rPr/>
        <w:t>from</w:t>
      </w:r>
      <w:r>
        <w:rPr>
          <w:spacing w:val="-1"/>
        </w:rPr>
        <w:t> </w:t>
      </w:r>
      <w:r>
        <w:rPr/>
        <w:t>the</w:t>
      </w:r>
      <w:r>
        <w:rPr>
          <w:spacing w:val="-2"/>
        </w:rPr>
        <w:t> </w:t>
      </w:r>
      <w:r>
        <w:rPr/>
        <w:t>study</w:t>
      </w:r>
      <w:r>
        <w:rPr>
          <w:spacing w:val="-1"/>
        </w:rPr>
        <w:t> </w:t>
      </w:r>
      <w:r>
        <w:rPr/>
        <w:t>showed</w:t>
      </w:r>
      <w:r>
        <w:rPr>
          <w:spacing w:val="-1"/>
        </w:rPr>
        <w:t> </w:t>
      </w:r>
      <w:r>
        <w:rPr/>
        <w:t>a</w:t>
      </w:r>
      <w:r>
        <w:rPr>
          <w:spacing w:val="-2"/>
        </w:rPr>
        <w:t> </w:t>
      </w:r>
      <w:r>
        <w:rPr/>
        <w:t>positive relationship between foreign shareholdings and the quality of financial reporting. They also posited that the implementation of IFRS contributed to a high degree of financial reporting </w:t>
      </w:r>
      <w:r>
        <w:rPr>
          <w:spacing w:val="-2"/>
        </w:rPr>
        <w:t>process.</w:t>
      </w:r>
    </w:p>
    <w:p>
      <w:pPr>
        <w:pStyle w:val="BodyText"/>
        <w:spacing w:line="480" w:lineRule="auto" w:before="1"/>
        <w:ind w:left="940" w:right="1436"/>
        <w:jc w:val="both"/>
      </w:pPr>
      <w:r>
        <w:rPr/>
        <w:t>In the abovementioned study by Karuntarat (2013) on the impact of ownership structure and other corporate governance mechanisms on accounting discretions with evidence from Thailand, the findings showed that foreign ownership was negatively related to discretionary accruals based on the modified Jones model. It was not significant for other accrual based models while it was seen to be positively related to discretionary revenues. Klai and Omri (</w:t>
      </w:r>
      <w:hyperlink r:id="rId8">
        <w:r>
          <w:rPr/>
          <w:t>2011</w:t>
        </w:r>
      </w:hyperlink>
      <w:r>
        <w:rPr/>
        <w:t>) utilized the data set of listed companies on the Tunis Stock Exchange throughout the period from 1997 to 2007, and documented that the increased power of foreigners negatively affected financial reporting quality. Those authors suggested the possible explanation for the negative relationship between those two variables by relying on the information asymmetry hypothesis.</w:t>
      </w:r>
      <w:r>
        <w:rPr>
          <w:spacing w:val="-4"/>
        </w:rPr>
        <w:t> </w:t>
      </w:r>
      <w:r>
        <w:rPr/>
        <w:t>Especially,</w:t>
      </w:r>
      <w:r>
        <w:rPr>
          <w:spacing w:val="-4"/>
        </w:rPr>
        <w:t> </w:t>
      </w:r>
      <w:r>
        <w:rPr/>
        <w:t>they</w:t>
      </w:r>
      <w:r>
        <w:rPr>
          <w:spacing w:val="-4"/>
        </w:rPr>
        <w:t> </w:t>
      </w:r>
      <w:r>
        <w:rPr/>
        <w:t>stated</w:t>
      </w:r>
      <w:r>
        <w:rPr>
          <w:spacing w:val="-4"/>
        </w:rPr>
        <w:t> </w:t>
      </w:r>
      <w:r>
        <w:rPr/>
        <w:t>that</w:t>
      </w:r>
      <w:r>
        <w:rPr>
          <w:spacing w:val="-4"/>
        </w:rPr>
        <w:t> </w:t>
      </w:r>
      <w:r>
        <w:rPr/>
        <w:t>foreign</w:t>
      </w:r>
      <w:r>
        <w:rPr>
          <w:spacing w:val="-4"/>
        </w:rPr>
        <w:t> </w:t>
      </w:r>
      <w:r>
        <w:rPr/>
        <w:t>investors</w:t>
      </w:r>
      <w:r>
        <w:rPr>
          <w:spacing w:val="-4"/>
        </w:rPr>
        <w:t> </w:t>
      </w:r>
      <w:r>
        <w:rPr/>
        <w:t>hardly</w:t>
      </w:r>
      <w:r>
        <w:rPr>
          <w:spacing w:val="-4"/>
        </w:rPr>
        <w:t> </w:t>
      </w:r>
      <w:r>
        <w:rPr/>
        <w:t>controlled</w:t>
      </w:r>
      <w:r>
        <w:rPr>
          <w:spacing w:val="-4"/>
        </w:rPr>
        <w:t> </w:t>
      </w:r>
      <w:r>
        <w:rPr/>
        <w:t>a</w:t>
      </w:r>
      <w:r>
        <w:rPr>
          <w:spacing w:val="-3"/>
        </w:rPr>
        <w:t> </w:t>
      </w:r>
      <w:r>
        <w:rPr/>
        <w:t>firm’s</w:t>
      </w:r>
      <w:r>
        <w:rPr>
          <w:spacing w:val="-5"/>
        </w:rPr>
        <w:t> </w:t>
      </w:r>
      <w:r>
        <w:rPr/>
        <w:t>accounting operation because</w:t>
      </w:r>
      <w:r>
        <w:rPr>
          <w:spacing w:val="-1"/>
        </w:rPr>
        <w:t> </w:t>
      </w:r>
      <w:r>
        <w:rPr/>
        <w:t>they faced information disadvantages due</w:t>
      </w:r>
      <w:r>
        <w:rPr>
          <w:spacing w:val="-1"/>
        </w:rPr>
        <w:t> </w:t>
      </w:r>
      <w:r>
        <w:rPr/>
        <w:t>to geographic distance, language barriers, and cultural differences. An (2009) examined the effect of corporate governance on earnings quality with evidence from Korea. Earnings quality was a proxy for earnings persistence, value relevance, conservatism and accrual quality while ownership structure was measured by (family and foreign ownership), internal governance (outside directors on board and audit committee), and external governance (auditor). Panel data of 509 non-financial Korean firms and a total of 3,054 firm -year observations were used during the period 2000- 2005.</w:t>
      </w:r>
      <w:r>
        <w:rPr>
          <w:spacing w:val="-8"/>
        </w:rPr>
        <w:t> </w:t>
      </w:r>
      <w:r>
        <w:rPr/>
        <w:t>GLS</w:t>
      </w:r>
      <w:r>
        <w:rPr>
          <w:spacing w:val="-8"/>
        </w:rPr>
        <w:t> </w:t>
      </w:r>
      <w:r>
        <w:rPr/>
        <w:t>random</w:t>
      </w:r>
      <w:r>
        <w:rPr>
          <w:spacing w:val="-8"/>
        </w:rPr>
        <w:t> </w:t>
      </w:r>
      <w:r>
        <w:rPr/>
        <w:t>effect</w:t>
      </w:r>
      <w:r>
        <w:rPr>
          <w:spacing w:val="-8"/>
        </w:rPr>
        <w:t> </w:t>
      </w:r>
      <w:r>
        <w:rPr/>
        <w:t>estimation</w:t>
      </w:r>
      <w:r>
        <w:rPr>
          <w:spacing w:val="-8"/>
        </w:rPr>
        <w:t> </w:t>
      </w:r>
      <w:r>
        <w:rPr/>
        <w:t>was</w:t>
      </w:r>
      <w:r>
        <w:rPr>
          <w:spacing w:val="-8"/>
        </w:rPr>
        <w:t> </w:t>
      </w:r>
      <w:r>
        <w:rPr/>
        <w:t>used.</w:t>
      </w:r>
      <w:r>
        <w:rPr>
          <w:spacing w:val="-6"/>
        </w:rPr>
        <w:t> </w:t>
      </w:r>
      <w:r>
        <w:rPr/>
        <w:t>The</w:t>
      </w:r>
      <w:r>
        <w:rPr>
          <w:spacing w:val="-9"/>
        </w:rPr>
        <w:t> </w:t>
      </w:r>
      <w:r>
        <w:rPr/>
        <w:t>results</w:t>
      </w:r>
      <w:r>
        <w:rPr>
          <w:spacing w:val="-8"/>
        </w:rPr>
        <w:t> </w:t>
      </w:r>
      <w:r>
        <w:rPr/>
        <w:t>showed</w:t>
      </w:r>
      <w:r>
        <w:rPr>
          <w:spacing w:val="-8"/>
        </w:rPr>
        <w:t> </w:t>
      </w:r>
      <w:r>
        <w:rPr/>
        <w:t>that</w:t>
      </w:r>
      <w:r>
        <w:rPr>
          <w:spacing w:val="-8"/>
        </w:rPr>
        <w:t> </w:t>
      </w:r>
      <w:r>
        <w:rPr/>
        <w:t>foreign</w:t>
      </w:r>
      <w:r>
        <w:rPr>
          <w:spacing w:val="-8"/>
        </w:rPr>
        <w:t> </w:t>
      </w:r>
      <w:r>
        <w:rPr/>
        <w:t>ownership</w:t>
      </w:r>
      <w:r>
        <w:rPr>
          <w:spacing w:val="-7"/>
        </w:rPr>
        <w:t> </w:t>
      </w:r>
      <w:r>
        <w:rPr/>
        <w:t>was significantly</w:t>
      </w:r>
      <w:r>
        <w:rPr>
          <w:spacing w:val="-8"/>
        </w:rPr>
        <w:t> </w:t>
      </w:r>
      <w:r>
        <w:rPr/>
        <w:t>positive</w:t>
      </w:r>
      <w:r>
        <w:rPr>
          <w:spacing w:val="-7"/>
        </w:rPr>
        <w:t> </w:t>
      </w:r>
      <w:r>
        <w:rPr/>
        <w:t>with</w:t>
      </w:r>
      <w:r>
        <w:rPr>
          <w:spacing w:val="-6"/>
        </w:rPr>
        <w:t> </w:t>
      </w:r>
      <w:r>
        <w:rPr/>
        <w:t>earnings</w:t>
      </w:r>
      <w:r>
        <w:rPr>
          <w:spacing w:val="-5"/>
        </w:rPr>
        <w:t> </w:t>
      </w:r>
      <w:r>
        <w:rPr/>
        <w:t>quality</w:t>
      </w:r>
      <w:r>
        <w:rPr>
          <w:spacing w:val="-6"/>
        </w:rPr>
        <w:t> </w:t>
      </w:r>
      <w:r>
        <w:rPr/>
        <w:t>on</w:t>
      </w:r>
      <w:r>
        <w:rPr>
          <w:spacing w:val="-6"/>
        </w:rPr>
        <w:t> </w:t>
      </w:r>
      <w:r>
        <w:rPr/>
        <w:t>user</w:t>
      </w:r>
      <w:r>
        <w:rPr>
          <w:spacing w:val="-6"/>
        </w:rPr>
        <w:t> </w:t>
      </w:r>
      <w:r>
        <w:rPr/>
        <w:t>needs</w:t>
      </w:r>
      <w:r>
        <w:rPr>
          <w:spacing w:val="-6"/>
        </w:rPr>
        <w:t> </w:t>
      </w:r>
      <w:r>
        <w:rPr/>
        <w:t>but</w:t>
      </w:r>
      <w:r>
        <w:rPr>
          <w:spacing w:val="-6"/>
        </w:rPr>
        <w:t> </w:t>
      </w:r>
      <w:r>
        <w:rPr/>
        <w:t>not</w:t>
      </w:r>
      <w:r>
        <w:rPr>
          <w:spacing w:val="-5"/>
        </w:rPr>
        <w:t> </w:t>
      </w:r>
      <w:r>
        <w:rPr/>
        <w:t>statistically</w:t>
      </w:r>
      <w:r>
        <w:rPr>
          <w:spacing w:val="-6"/>
        </w:rPr>
        <w:t> </w:t>
      </w:r>
      <w:r>
        <w:rPr/>
        <w:t>significant</w:t>
      </w:r>
      <w:r>
        <w:rPr>
          <w:spacing w:val="-6"/>
        </w:rPr>
        <w:t> </w:t>
      </w:r>
      <w:r>
        <w:rPr/>
        <w:t>on</w:t>
      </w:r>
      <w:r>
        <w:rPr>
          <w:spacing w:val="-5"/>
        </w:rPr>
        <w:t> the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t>investor perception measures. Overall, the relationship supported the active monitoring </w:t>
      </w:r>
      <w:r>
        <w:rPr>
          <w:spacing w:val="-2"/>
        </w:rPr>
        <w:t>hypothesis.</w:t>
      </w:r>
    </w:p>
    <w:p>
      <w:pPr>
        <w:pStyle w:val="BodyText"/>
        <w:spacing w:line="480" w:lineRule="auto"/>
        <w:ind w:left="940" w:right="1433"/>
        <w:jc w:val="both"/>
      </w:pPr>
      <w:r>
        <w:rPr/>
        <w:drawing>
          <wp:anchor distT="0" distB="0" distL="0" distR="0" allowOverlap="1" layoutInCell="1" locked="0" behindDoc="1" simplePos="0" relativeHeight="477718528">
            <wp:simplePos x="0" y="0"/>
            <wp:positionH relativeFrom="page">
              <wp:posOffset>1095451</wp:posOffset>
            </wp:positionH>
            <wp:positionV relativeFrom="paragraph">
              <wp:posOffset>1111055</wp:posOffset>
            </wp:positionV>
            <wp:extent cx="5106847" cy="5238115"/>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5" cstate="print"/>
                    <a:stretch>
                      <a:fillRect/>
                    </a:stretch>
                  </pic:blipFill>
                  <pic:spPr>
                    <a:xfrm>
                      <a:off x="0" y="0"/>
                      <a:ext cx="5106847" cy="5238115"/>
                    </a:xfrm>
                    <a:prstGeom prst="rect">
                      <a:avLst/>
                    </a:prstGeom>
                  </pic:spPr>
                </pic:pic>
              </a:graphicData>
            </a:graphic>
          </wp:anchor>
        </w:drawing>
      </w:r>
      <w:r>
        <w:rPr/>
        <w:t>Abor and Biekpe (</w:t>
      </w:r>
      <w:hyperlink r:id="rId8">
        <w:r>
          <w:rPr/>
          <w:t>2007</w:t>
        </w:r>
      </w:hyperlink>
      <w:r>
        <w:rPr/>
        <w:t>) found that foreign investors had a significantly positive influence on the quality of earnings in Ghanaian small and medium enterprises. In the same vein, utilizing the dataset of firms listed on the Istanbul Stock Exchange, Aydin et al. (</w:t>
      </w:r>
      <w:hyperlink r:id="rId8">
        <w:r>
          <w:rPr/>
          <w:t>2007</w:t>
        </w:r>
      </w:hyperlink>
      <w:r>
        <w:rPr/>
        <w:t>) concluded that foreign investors played an important role in improving the financial performance of local firms. The study also provided evidence that foreign stakeholders improved a company’s performance better than domestic owners did. Xiao et al. (</w:t>
      </w:r>
      <w:hyperlink r:id="rId8">
        <w:r>
          <w:rPr/>
          <w:t>2004</w:t>
        </w:r>
      </w:hyperlink>
      <w:r>
        <w:rPr/>
        <w:t>) reported that larger foreign holdings</w:t>
      </w:r>
      <w:r>
        <w:rPr>
          <w:spacing w:val="-1"/>
        </w:rPr>
        <w:t> </w:t>
      </w:r>
      <w:r>
        <w:rPr/>
        <w:t>ratio was</w:t>
      </w:r>
      <w:r>
        <w:rPr>
          <w:spacing w:val="-1"/>
        </w:rPr>
        <w:t> </w:t>
      </w:r>
      <w:r>
        <w:rPr/>
        <w:t>aligned</w:t>
      </w:r>
      <w:r>
        <w:rPr>
          <w:spacing w:val="-1"/>
        </w:rPr>
        <w:t> </w:t>
      </w:r>
      <w:r>
        <w:rPr/>
        <w:t>with a</w:t>
      </w:r>
      <w:r>
        <w:rPr>
          <w:spacing w:val="-2"/>
        </w:rPr>
        <w:t> </w:t>
      </w:r>
      <w:r>
        <w:rPr/>
        <w:t>lower</w:t>
      </w:r>
      <w:r>
        <w:rPr>
          <w:spacing w:val="-2"/>
        </w:rPr>
        <w:t> </w:t>
      </w:r>
      <w:r>
        <w:rPr/>
        <w:t>quality</w:t>
      </w:r>
      <w:r>
        <w:rPr>
          <w:spacing w:val="-1"/>
        </w:rPr>
        <w:t> </w:t>
      </w:r>
      <w:r>
        <w:rPr/>
        <w:t>of</w:t>
      </w:r>
      <w:r>
        <w:rPr>
          <w:spacing w:val="-3"/>
        </w:rPr>
        <w:t> </w:t>
      </w:r>
      <w:r>
        <w:rPr/>
        <w:t>reported</w:t>
      </w:r>
      <w:r>
        <w:rPr>
          <w:spacing w:val="-1"/>
        </w:rPr>
        <w:t> </w:t>
      </w:r>
      <w:r>
        <w:rPr/>
        <w:t>earnings</w:t>
      </w:r>
      <w:r>
        <w:rPr>
          <w:spacing w:val="-1"/>
        </w:rPr>
        <w:t> </w:t>
      </w:r>
      <w:r>
        <w:rPr/>
        <w:t>because</w:t>
      </w:r>
      <w:r>
        <w:rPr>
          <w:spacing w:val="-2"/>
        </w:rPr>
        <w:t> </w:t>
      </w:r>
      <w:r>
        <w:rPr/>
        <w:t>foreign</w:t>
      </w:r>
      <w:r>
        <w:rPr>
          <w:spacing w:val="-1"/>
        </w:rPr>
        <w:t> </w:t>
      </w:r>
      <w:r>
        <w:rPr/>
        <w:t>investors had the constraint of higher information asymmetry in comparison with local owners. The findings could be explained by the informational asymmetry hypothesis. The study by Cheon (2003) examined the relationship between foreign ownership and accounting quality among Korean</w:t>
      </w:r>
      <w:r>
        <w:rPr>
          <w:spacing w:val="-8"/>
        </w:rPr>
        <w:t> </w:t>
      </w:r>
      <w:r>
        <w:rPr/>
        <w:t>firms.</w:t>
      </w:r>
      <w:r>
        <w:rPr>
          <w:spacing w:val="-8"/>
        </w:rPr>
        <w:t> </w:t>
      </w:r>
      <w:r>
        <w:rPr/>
        <w:t>Accounting</w:t>
      </w:r>
      <w:r>
        <w:rPr>
          <w:spacing w:val="-8"/>
        </w:rPr>
        <w:t> </w:t>
      </w:r>
      <w:r>
        <w:rPr/>
        <w:t>quality</w:t>
      </w:r>
      <w:r>
        <w:rPr>
          <w:spacing w:val="-6"/>
        </w:rPr>
        <w:t> </w:t>
      </w:r>
      <w:r>
        <w:rPr/>
        <w:t>was</w:t>
      </w:r>
      <w:r>
        <w:rPr>
          <w:spacing w:val="-8"/>
        </w:rPr>
        <w:t> </w:t>
      </w:r>
      <w:r>
        <w:rPr/>
        <w:t>a</w:t>
      </w:r>
      <w:r>
        <w:rPr>
          <w:spacing w:val="-9"/>
        </w:rPr>
        <w:t> </w:t>
      </w:r>
      <w:r>
        <w:rPr/>
        <w:t>proxy</w:t>
      </w:r>
      <w:r>
        <w:rPr>
          <w:spacing w:val="-9"/>
        </w:rPr>
        <w:t> </w:t>
      </w:r>
      <w:r>
        <w:rPr/>
        <w:t>for</w:t>
      </w:r>
      <w:r>
        <w:rPr>
          <w:spacing w:val="-10"/>
        </w:rPr>
        <w:t> </w:t>
      </w:r>
      <w:r>
        <w:rPr/>
        <w:t>discretionary</w:t>
      </w:r>
      <w:r>
        <w:rPr>
          <w:spacing w:val="-9"/>
        </w:rPr>
        <w:t> </w:t>
      </w:r>
      <w:r>
        <w:rPr/>
        <w:t>accruals.</w:t>
      </w:r>
      <w:r>
        <w:rPr>
          <w:spacing w:val="-8"/>
        </w:rPr>
        <w:t> </w:t>
      </w:r>
      <w:r>
        <w:rPr/>
        <w:t>The</w:t>
      </w:r>
      <w:r>
        <w:rPr>
          <w:spacing w:val="-9"/>
        </w:rPr>
        <w:t> </w:t>
      </w:r>
      <w:r>
        <w:rPr/>
        <w:t>findings</w:t>
      </w:r>
      <w:r>
        <w:rPr>
          <w:spacing w:val="-8"/>
        </w:rPr>
        <w:t> </w:t>
      </w:r>
      <w:r>
        <w:rPr/>
        <w:t>showed a significant positive association between foreign ownership and the earnings response coefficient. The study by Ahn, Shin and Chang (2005) examined the relationship between information asymmetry and foreign ownership. The study found that foreign ownership prefered</w:t>
      </w:r>
      <w:r>
        <w:rPr>
          <w:spacing w:val="-13"/>
        </w:rPr>
        <w:t> </w:t>
      </w:r>
      <w:r>
        <w:rPr/>
        <w:t>firms</w:t>
      </w:r>
      <w:r>
        <w:rPr>
          <w:spacing w:val="-15"/>
        </w:rPr>
        <w:t> </w:t>
      </w:r>
      <w:r>
        <w:rPr/>
        <w:t>with</w:t>
      </w:r>
      <w:r>
        <w:rPr>
          <w:spacing w:val="-15"/>
        </w:rPr>
        <w:t> </w:t>
      </w:r>
      <w:r>
        <w:rPr/>
        <w:t>lower</w:t>
      </w:r>
      <w:r>
        <w:rPr>
          <w:spacing w:val="-14"/>
        </w:rPr>
        <w:t> </w:t>
      </w:r>
      <w:r>
        <w:rPr/>
        <w:t>discretionary</w:t>
      </w:r>
      <w:r>
        <w:rPr>
          <w:spacing w:val="-15"/>
        </w:rPr>
        <w:t> </w:t>
      </w:r>
      <w:r>
        <w:rPr/>
        <w:t>accruals</w:t>
      </w:r>
      <w:r>
        <w:rPr>
          <w:spacing w:val="-12"/>
        </w:rPr>
        <w:t> </w:t>
      </w:r>
      <w:r>
        <w:rPr/>
        <w:t>and</w:t>
      </w:r>
      <w:r>
        <w:rPr>
          <w:spacing w:val="-15"/>
        </w:rPr>
        <w:t> </w:t>
      </w:r>
      <w:r>
        <w:rPr/>
        <w:t>forecast</w:t>
      </w:r>
      <w:r>
        <w:rPr>
          <w:spacing w:val="-12"/>
        </w:rPr>
        <w:t> </w:t>
      </w:r>
      <w:r>
        <w:rPr/>
        <w:t>errors</w:t>
      </w:r>
      <w:r>
        <w:rPr>
          <w:spacing w:val="-14"/>
        </w:rPr>
        <w:t> </w:t>
      </w:r>
      <w:r>
        <w:rPr/>
        <w:t>and</w:t>
      </w:r>
      <w:r>
        <w:rPr>
          <w:spacing w:val="-15"/>
        </w:rPr>
        <w:t> </w:t>
      </w:r>
      <w:r>
        <w:rPr/>
        <w:t>larger</w:t>
      </w:r>
      <w:r>
        <w:rPr>
          <w:spacing w:val="-14"/>
        </w:rPr>
        <w:t> </w:t>
      </w:r>
      <w:r>
        <w:rPr/>
        <w:t>analyst</w:t>
      </w:r>
      <w:r>
        <w:rPr>
          <w:spacing w:val="-15"/>
        </w:rPr>
        <w:t> </w:t>
      </w:r>
      <w:r>
        <w:rPr/>
        <w:t>coverage (number of analysts).</w:t>
      </w:r>
    </w:p>
    <w:p>
      <w:pPr>
        <w:pStyle w:val="Heading3"/>
        <w:numPr>
          <w:ilvl w:val="2"/>
          <w:numId w:val="23"/>
        </w:numPr>
        <w:tabs>
          <w:tab w:pos="1480" w:val="left" w:leader="none"/>
        </w:tabs>
        <w:spacing w:line="240" w:lineRule="auto" w:before="2" w:after="0"/>
        <w:ind w:left="1480" w:right="0" w:hanging="540"/>
        <w:jc w:val="both"/>
      </w:pPr>
      <w:bookmarkStart w:name="_TOC_250043" w:id="27"/>
      <w:r>
        <w:rPr/>
        <w:t>Ownership</w:t>
      </w:r>
      <w:r>
        <w:rPr>
          <w:spacing w:val="-4"/>
        </w:rPr>
        <w:t> </w:t>
      </w:r>
      <w:r>
        <w:rPr/>
        <w:t>Concentration</w:t>
      </w:r>
      <w:r>
        <w:rPr>
          <w:spacing w:val="-1"/>
        </w:rPr>
        <w:t> </w:t>
      </w:r>
      <w:r>
        <w:rPr/>
        <w:t>and</w:t>
      </w:r>
      <w:r>
        <w:rPr>
          <w:spacing w:val="-2"/>
        </w:rPr>
        <w:t> </w:t>
      </w:r>
      <w:r>
        <w:rPr/>
        <w:t>Financial</w:t>
      </w:r>
      <w:r>
        <w:rPr>
          <w:spacing w:val="-5"/>
        </w:rPr>
        <w:t> </w:t>
      </w:r>
      <w:r>
        <w:rPr/>
        <w:t>Reporting</w:t>
      </w:r>
      <w:bookmarkEnd w:id="27"/>
      <w:r>
        <w:rPr>
          <w:spacing w:val="-2"/>
        </w:rPr>
        <w:t> Quality</w:t>
      </w:r>
    </w:p>
    <w:p>
      <w:pPr>
        <w:pStyle w:val="BodyText"/>
        <w:rPr>
          <w:b/>
        </w:rPr>
      </w:pPr>
    </w:p>
    <w:p>
      <w:pPr>
        <w:pStyle w:val="BodyText"/>
        <w:spacing w:line="480" w:lineRule="auto"/>
        <w:ind w:left="940" w:right="1437"/>
        <w:jc w:val="both"/>
      </w:pPr>
      <w:r>
        <w:rPr/>
        <w:t>Pongsaporamat (2016) investigated the relationship between ownership structure and the quality of financial reporting of listed firms on the Stock Exchange in Thailand. The sample consisted</w:t>
      </w:r>
      <w:r>
        <w:rPr>
          <w:spacing w:val="-8"/>
        </w:rPr>
        <w:t> </w:t>
      </w:r>
      <w:r>
        <w:rPr/>
        <w:t>of</w:t>
      </w:r>
      <w:r>
        <w:rPr>
          <w:spacing w:val="-9"/>
        </w:rPr>
        <w:t> </w:t>
      </w:r>
      <w:r>
        <w:rPr/>
        <w:t>all</w:t>
      </w:r>
      <w:r>
        <w:rPr>
          <w:spacing w:val="-8"/>
        </w:rPr>
        <w:t> </w:t>
      </w:r>
      <w:r>
        <w:rPr/>
        <w:t>non-financial</w:t>
      </w:r>
      <w:r>
        <w:rPr>
          <w:spacing w:val="-8"/>
        </w:rPr>
        <w:t> </w:t>
      </w:r>
      <w:r>
        <w:rPr/>
        <w:t>Thai</w:t>
      </w:r>
      <w:r>
        <w:rPr>
          <w:spacing w:val="-8"/>
        </w:rPr>
        <w:t> </w:t>
      </w:r>
      <w:r>
        <w:rPr/>
        <w:t>listed</w:t>
      </w:r>
      <w:r>
        <w:rPr>
          <w:spacing w:val="-9"/>
        </w:rPr>
        <w:t> </w:t>
      </w:r>
      <w:r>
        <w:rPr/>
        <w:t>firms</w:t>
      </w:r>
      <w:r>
        <w:rPr>
          <w:spacing w:val="-8"/>
        </w:rPr>
        <w:t> </w:t>
      </w:r>
      <w:r>
        <w:rPr/>
        <w:t>in</w:t>
      </w:r>
      <w:r>
        <w:rPr>
          <w:spacing w:val="-8"/>
        </w:rPr>
        <w:t> </w:t>
      </w:r>
      <w:r>
        <w:rPr/>
        <w:t>SET</w:t>
      </w:r>
      <w:r>
        <w:rPr>
          <w:spacing w:val="-9"/>
        </w:rPr>
        <w:t> </w:t>
      </w:r>
      <w:r>
        <w:rPr/>
        <w:t>index</w:t>
      </w:r>
      <w:r>
        <w:rPr>
          <w:spacing w:val="-7"/>
        </w:rPr>
        <w:t> </w:t>
      </w:r>
      <w:r>
        <w:rPr/>
        <w:t>in</w:t>
      </w:r>
      <w:r>
        <w:rPr>
          <w:spacing w:val="-8"/>
        </w:rPr>
        <w:t> </w:t>
      </w:r>
      <w:r>
        <w:rPr/>
        <w:t>year</w:t>
      </w:r>
      <w:r>
        <w:rPr>
          <w:spacing w:val="-9"/>
        </w:rPr>
        <w:t> </w:t>
      </w:r>
      <w:r>
        <w:rPr/>
        <w:t>2011.</w:t>
      </w:r>
      <w:r>
        <w:rPr>
          <w:spacing w:val="-8"/>
        </w:rPr>
        <w:t> </w:t>
      </w:r>
      <w:r>
        <w:rPr/>
        <w:t>The</w:t>
      </w:r>
      <w:r>
        <w:rPr>
          <w:spacing w:val="-9"/>
        </w:rPr>
        <w:t> </w:t>
      </w:r>
      <w:r>
        <w:rPr/>
        <w:t>study</w:t>
      </w:r>
      <w:r>
        <w:rPr>
          <w:spacing w:val="-8"/>
        </w:rPr>
        <w:t> </w:t>
      </w:r>
      <w:r>
        <w:rPr/>
        <w:t>employed firms’ accounting restatements to reveal the poor quality of financial reporting. Ownership structure was characterized by ownership concentration, institutional ownership, foreign ownership,</w:t>
      </w:r>
      <w:r>
        <w:rPr>
          <w:spacing w:val="57"/>
        </w:rPr>
        <w:t> </w:t>
      </w:r>
      <w:r>
        <w:rPr/>
        <w:t>government</w:t>
      </w:r>
      <w:r>
        <w:rPr>
          <w:spacing w:val="61"/>
        </w:rPr>
        <w:t> </w:t>
      </w:r>
      <w:r>
        <w:rPr/>
        <w:t>ownership,</w:t>
      </w:r>
      <w:r>
        <w:rPr>
          <w:spacing w:val="58"/>
        </w:rPr>
        <w:t> </w:t>
      </w:r>
      <w:r>
        <w:rPr/>
        <w:t>family</w:t>
      </w:r>
      <w:r>
        <w:rPr>
          <w:spacing w:val="59"/>
        </w:rPr>
        <w:t> </w:t>
      </w:r>
      <w:r>
        <w:rPr/>
        <w:t>ownership</w:t>
      </w:r>
      <w:r>
        <w:rPr>
          <w:spacing w:val="58"/>
        </w:rPr>
        <w:t> </w:t>
      </w:r>
      <w:r>
        <w:rPr/>
        <w:t>and</w:t>
      </w:r>
      <w:r>
        <w:rPr>
          <w:spacing w:val="58"/>
        </w:rPr>
        <w:t> </w:t>
      </w:r>
      <w:r>
        <w:rPr/>
        <w:t>political</w:t>
      </w:r>
      <w:r>
        <w:rPr>
          <w:spacing w:val="61"/>
        </w:rPr>
        <w:t> </w:t>
      </w:r>
      <w:r>
        <w:rPr/>
        <w:t>connected</w:t>
      </w:r>
      <w:r>
        <w:rPr>
          <w:spacing w:val="66"/>
        </w:rPr>
        <w:t> </w:t>
      </w:r>
      <w:r>
        <w:rPr/>
        <w:t>firms.</w:t>
      </w:r>
      <w:r>
        <w:rPr>
          <w:spacing w:val="59"/>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19040">
            <wp:simplePos x="0" y="0"/>
            <wp:positionH relativeFrom="page">
              <wp:posOffset>1095451</wp:posOffset>
            </wp:positionH>
            <wp:positionV relativeFrom="paragraph">
              <wp:posOffset>1850770</wp:posOffset>
            </wp:positionV>
            <wp:extent cx="5106847" cy="5238115"/>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 cstate="print"/>
                    <a:stretch>
                      <a:fillRect/>
                    </a:stretch>
                  </pic:blipFill>
                  <pic:spPr>
                    <a:xfrm>
                      <a:off x="0" y="0"/>
                      <a:ext cx="5106847" cy="5238115"/>
                    </a:xfrm>
                    <a:prstGeom prst="rect">
                      <a:avLst/>
                    </a:prstGeom>
                  </pic:spPr>
                </pic:pic>
              </a:graphicData>
            </a:graphic>
          </wp:anchor>
        </w:drawing>
      </w:r>
      <w:r>
        <w:rPr/>
        <w:t>findings showed that concentrated ownership firms were positively associated with their accounting restatements. Hence, they had a low quality of financial reporting. In the abovementioned study by Abdulhadi (2016) on the relationship between ownership structure and earnings management of listed banks in Nigeria, the findings revealed that ownership concentration exhibited an inverse relationship with earnings management. In the abovementioned study by Baba (2016) on the impact of ownership structure on the earnings quality of listed insurance companies in Nigeria, the findings revealed that ownership concentration inversely influenced earnings quality. In the abovementioned study by Ayadi and Boujelbene (2014) on the relationship between ownership structure and earnings quality, the results showed that ownership concentration exhibited a positive impact on earnings </w:t>
      </w:r>
      <w:r>
        <w:rPr>
          <w:spacing w:val="-2"/>
        </w:rPr>
        <w:t>management.</w:t>
      </w:r>
    </w:p>
    <w:p>
      <w:pPr>
        <w:pStyle w:val="BodyText"/>
        <w:spacing w:line="480" w:lineRule="auto" w:before="1"/>
        <w:ind w:left="940" w:right="1435"/>
        <w:jc w:val="both"/>
      </w:pPr>
      <w:r>
        <w:rPr/>
        <w:t>In the abovementioned study by Lawal and Mohammad (2014) on the effect of ownership structure</w:t>
      </w:r>
      <w:r>
        <w:rPr>
          <w:spacing w:val="-2"/>
        </w:rPr>
        <w:t> </w:t>
      </w:r>
      <w:r>
        <w:rPr/>
        <w:t>on informativeness of</w:t>
      </w:r>
      <w:r>
        <w:rPr>
          <w:spacing w:val="-1"/>
        </w:rPr>
        <w:t> </w:t>
      </w:r>
      <w:r>
        <w:rPr/>
        <w:t>accounting earnings of</w:t>
      </w:r>
      <w:r>
        <w:rPr>
          <w:spacing w:val="-1"/>
        </w:rPr>
        <w:t> </w:t>
      </w:r>
      <w:r>
        <w:rPr/>
        <w:t>listed deposit money banks in Nigeria, the</w:t>
      </w:r>
      <w:r>
        <w:rPr>
          <w:spacing w:val="-9"/>
        </w:rPr>
        <w:t> </w:t>
      </w:r>
      <w:r>
        <w:rPr/>
        <w:t>findings</w:t>
      </w:r>
      <w:r>
        <w:rPr>
          <w:spacing w:val="-8"/>
        </w:rPr>
        <w:t> </w:t>
      </w:r>
      <w:r>
        <w:rPr/>
        <w:t>revealed</w:t>
      </w:r>
      <w:r>
        <w:rPr>
          <w:spacing w:val="-7"/>
        </w:rPr>
        <w:t> </w:t>
      </w:r>
      <w:r>
        <w:rPr/>
        <w:t>that</w:t>
      </w:r>
      <w:r>
        <w:rPr>
          <w:spacing w:val="-6"/>
        </w:rPr>
        <w:t> </w:t>
      </w:r>
      <w:r>
        <w:rPr/>
        <w:t>ownership</w:t>
      </w:r>
      <w:r>
        <w:rPr>
          <w:spacing w:val="-6"/>
        </w:rPr>
        <w:t> </w:t>
      </w:r>
      <w:r>
        <w:rPr/>
        <w:t>concentration</w:t>
      </w:r>
      <w:r>
        <w:rPr>
          <w:spacing w:val="-6"/>
        </w:rPr>
        <w:t> </w:t>
      </w:r>
      <w:r>
        <w:rPr/>
        <w:t>exhibited</w:t>
      </w:r>
      <w:r>
        <w:rPr>
          <w:spacing w:val="-8"/>
        </w:rPr>
        <w:t> </w:t>
      </w:r>
      <w:r>
        <w:rPr/>
        <w:t>a</w:t>
      </w:r>
      <w:r>
        <w:rPr>
          <w:spacing w:val="-7"/>
        </w:rPr>
        <w:t> </w:t>
      </w:r>
      <w:r>
        <w:rPr/>
        <w:t>significant</w:t>
      </w:r>
      <w:r>
        <w:rPr>
          <w:spacing w:val="-8"/>
        </w:rPr>
        <w:t> </w:t>
      </w:r>
      <w:r>
        <w:rPr/>
        <w:t>positive</w:t>
      </w:r>
      <w:r>
        <w:rPr>
          <w:spacing w:val="-9"/>
        </w:rPr>
        <w:t> </w:t>
      </w:r>
      <w:r>
        <w:rPr/>
        <w:t>relationship with informativeness of accounting earnings.</w:t>
      </w:r>
      <w:r>
        <w:rPr>
          <w:spacing w:val="40"/>
        </w:rPr>
        <w:t> </w:t>
      </w:r>
      <w:r>
        <w:rPr/>
        <w:t>In the abovementioned study by Muhammad (2014)</w:t>
      </w:r>
      <w:r>
        <w:rPr>
          <w:spacing w:val="-9"/>
        </w:rPr>
        <w:t> </w:t>
      </w:r>
      <w:r>
        <w:rPr/>
        <w:t>on</w:t>
      </w:r>
      <w:r>
        <w:rPr>
          <w:spacing w:val="-8"/>
        </w:rPr>
        <w:t> </w:t>
      </w:r>
      <w:r>
        <w:rPr/>
        <w:t>the</w:t>
      </w:r>
      <w:r>
        <w:rPr>
          <w:spacing w:val="-9"/>
        </w:rPr>
        <w:t> </w:t>
      </w:r>
      <w:r>
        <w:rPr/>
        <w:t>effect</w:t>
      </w:r>
      <w:r>
        <w:rPr>
          <w:spacing w:val="-8"/>
        </w:rPr>
        <w:t> </w:t>
      </w:r>
      <w:r>
        <w:rPr/>
        <w:t>of</w:t>
      </w:r>
      <w:r>
        <w:rPr>
          <w:spacing w:val="-9"/>
        </w:rPr>
        <w:t> </w:t>
      </w:r>
      <w:r>
        <w:rPr/>
        <w:t>ownership</w:t>
      </w:r>
      <w:r>
        <w:rPr>
          <w:spacing w:val="-8"/>
        </w:rPr>
        <w:t> </w:t>
      </w:r>
      <w:r>
        <w:rPr/>
        <w:t>structure</w:t>
      </w:r>
      <w:r>
        <w:rPr>
          <w:spacing w:val="-9"/>
        </w:rPr>
        <w:t> </w:t>
      </w:r>
      <w:r>
        <w:rPr/>
        <w:t>on</w:t>
      </w:r>
      <w:r>
        <w:rPr>
          <w:spacing w:val="-8"/>
        </w:rPr>
        <w:t> </w:t>
      </w:r>
      <w:r>
        <w:rPr/>
        <w:t>informativeness</w:t>
      </w:r>
      <w:r>
        <w:rPr>
          <w:spacing w:val="-8"/>
        </w:rPr>
        <w:t> </w:t>
      </w:r>
      <w:r>
        <w:rPr/>
        <w:t>of</w:t>
      </w:r>
      <w:r>
        <w:rPr>
          <w:spacing w:val="-8"/>
        </w:rPr>
        <w:t> </w:t>
      </w:r>
      <w:r>
        <w:rPr/>
        <w:t>accounting</w:t>
      </w:r>
      <w:r>
        <w:rPr>
          <w:spacing w:val="-7"/>
        </w:rPr>
        <w:t> </w:t>
      </w:r>
      <w:r>
        <w:rPr/>
        <w:t>earnings</w:t>
      </w:r>
      <w:r>
        <w:rPr>
          <w:spacing w:val="-8"/>
        </w:rPr>
        <w:t> </w:t>
      </w:r>
      <w:r>
        <w:rPr/>
        <w:t>of</w:t>
      </w:r>
      <w:r>
        <w:rPr>
          <w:spacing w:val="-9"/>
        </w:rPr>
        <w:t> </w:t>
      </w:r>
      <w:r>
        <w:rPr/>
        <w:t>listed deposit money banks in</w:t>
      </w:r>
      <w:r>
        <w:rPr>
          <w:spacing w:val="-2"/>
        </w:rPr>
        <w:t> </w:t>
      </w:r>
      <w:r>
        <w:rPr/>
        <w:t>Nigeria, the findings revealed that ownership concentration exhibited a positive significant impact on earnings informativeness of listed deposit money banks in Nigeria. In the abovementioned study by Karuntarat (2013) on the impact of ownership structure</w:t>
      </w:r>
      <w:r>
        <w:rPr>
          <w:spacing w:val="-9"/>
        </w:rPr>
        <w:t> </w:t>
      </w:r>
      <w:r>
        <w:rPr/>
        <w:t>and</w:t>
      </w:r>
      <w:r>
        <w:rPr>
          <w:spacing w:val="-10"/>
        </w:rPr>
        <w:t> </w:t>
      </w:r>
      <w:r>
        <w:rPr/>
        <w:t>other</w:t>
      </w:r>
      <w:r>
        <w:rPr>
          <w:spacing w:val="-10"/>
        </w:rPr>
        <w:t> </w:t>
      </w:r>
      <w:r>
        <w:rPr/>
        <w:t>corporate</w:t>
      </w:r>
      <w:r>
        <w:rPr>
          <w:spacing w:val="-10"/>
        </w:rPr>
        <w:t> </w:t>
      </w:r>
      <w:r>
        <w:rPr/>
        <w:t>governance</w:t>
      </w:r>
      <w:r>
        <w:rPr>
          <w:spacing w:val="-11"/>
        </w:rPr>
        <w:t> </w:t>
      </w:r>
      <w:r>
        <w:rPr/>
        <w:t>mechanisms</w:t>
      </w:r>
      <w:r>
        <w:rPr>
          <w:spacing w:val="-10"/>
        </w:rPr>
        <w:t> </w:t>
      </w:r>
      <w:r>
        <w:rPr/>
        <w:t>on</w:t>
      </w:r>
      <w:r>
        <w:rPr>
          <w:spacing w:val="-10"/>
        </w:rPr>
        <w:t> </w:t>
      </w:r>
      <w:r>
        <w:rPr/>
        <w:t>accounting</w:t>
      </w:r>
      <w:r>
        <w:rPr>
          <w:spacing w:val="-10"/>
        </w:rPr>
        <w:t> </w:t>
      </w:r>
      <w:r>
        <w:rPr/>
        <w:t>discretions</w:t>
      </w:r>
      <w:r>
        <w:rPr>
          <w:spacing w:val="-10"/>
        </w:rPr>
        <w:t> </w:t>
      </w:r>
      <w:r>
        <w:rPr/>
        <w:t>with</w:t>
      </w:r>
      <w:r>
        <w:rPr>
          <w:spacing w:val="-10"/>
        </w:rPr>
        <w:t> </w:t>
      </w:r>
      <w:r>
        <w:rPr/>
        <w:t>evidence from Thailand. The findings showed that ownership concentration was negatively correlated with the discretionary accruals before</w:t>
      </w:r>
      <w:r>
        <w:rPr>
          <w:spacing w:val="-1"/>
        </w:rPr>
        <w:t> </w:t>
      </w:r>
      <w:r>
        <w:rPr/>
        <w:t>the reform but otherwise after the reform. It showed no significant</w:t>
      </w:r>
      <w:r>
        <w:rPr>
          <w:spacing w:val="-15"/>
        </w:rPr>
        <w:t> </w:t>
      </w:r>
      <w:r>
        <w:rPr/>
        <w:t>impact</w:t>
      </w:r>
      <w:r>
        <w:rPr>
          <w:spacing w:val="-15"/>
        </w:rPr>
        <w:t> </w:t>
      </w:r>
      <w:r>
        <w:rPr/>
        <w:t>on</w:t>
      </w:r>
      <w:r>
        <w:rPr>
          <w:spacing w:val="-15"/>
        </w:rPr>
        <w:t> </w:t>
      </w:r>
      <w:r>
        <w:rPr/>
        <w:t>discretionary</w:t>
      </w:r>
      <w:r>
        <w:rPr>
          <w:spacing w:val="-15"/>
        </w:rPr>
        <w:t> </w:t>
      </w:r>
      <w:r>
        <w:rPr/>
        <w:t>revenues</w:t>
      </w:r>
      <w:r>
        <w:rPr>
          <w:spacing w:val="-15"/>
        </w:rPr>
        <w:t> </w:t>
      </w:r>
      <w:r>
        <w:rPr/>
        <w:t>before</w:t>
      </w:r>
      <w:r>
        <w:rPr>
          <w:spacing w:val="-15"/>
        </w:rPr>
        <w:t> </w:t>
      </w:r>
      <w:r>
        <w:rPr/>
        <w:t>the</w:t>
      </w:r>
      <w:r>
        <w:rPr>
          <w:spacing w:val="-15"/>
        </w:rPr>
        <w:t> </w:t>
      </w:r>
      <w:r>
        <w:rPr/>
        <w:t>reform</w:t>
      </w:r>
      <w:r>
        <w:rPr>
          <w:spacing w:val="-15"/>
        </w:rPr>
        <w:t> </w:t>
      </w:r>
      <w:r>
        <w:rPr/>
        <w:t>but</w:t>
      </w:r>
      <w:r>
        <w:rPr>
          <w:spacing w:val="-15"/>
        </w:rPr>
        <w:t> </w:t>
      </w:r>
      <w:r>
        <w:rPr/>
        <w:t>a</w:t>
      </w:r>
      <w:r>
        <w:rPr>
          <w:spacing w:val="-15"/>
        </w:rPr>
        <w:t> </w:t>
      </w:r>
      <w:r>
        <w:rPr/>
        <w:t>negative</w:t>
      </w:r>
      <w:r>
        <w:rPr>
          <w:spacing w:val="-15"/>
        </w:rPr>
        <w:t> </w:t>
      </w:r>
      <w:r>
        <w:rPr/>
        <w:t>significant</w:t>
      </w:r>
      <w:r>
        <w:rPr>
          <w:spacing w:val="-15"/>
        </w:rPr>
        <w:t> </w:t>
      </w:r>
      <w:r>
        <w:rPr/>
        <w:t>impact after the reform. Alexander, Moses and Ransford (2014) examined the effects of ownership structure</w:t>
      </w:r>
      <w:r>
        <w:rPr>
          <w:spacing w:val="-17"/>
        </w:rPr>
        <w:t> </w:t>
      </w:r>
      <w:r>
        <w:rPr/>
        <w:t>on</w:t>
      </w:r>
      <w:r>
        <w:rPr>
          <w:spacing w:val="-12"/>
        </w:rPr>
        <w:t> </w:t>
      </w:r>
      <w:r>
        <w:rPr/>
        <w:t>the</w:t>
      </w:r>
      <w:r>
        <w:rPr>
          <w:spacing w:val="-13"/>
        </w:rPr>
        <w:t> </w:t>
      </w:r>
      <w:r>
        <w:rPr/>
        <w:t>performance</w:t>
      </w:r>
      <w:r>
        <w:rPr>
          <w:spacing w:val="-13"/>
        </w:rPr>
        <w:t> </w:t>
      </w:r>
      <w:r>
        <w:rPr/>
        <w:t>of</w:t>
      </w:r>
      <w:r>
        <w:rPr>
          <w:spacing w:val="-13"/>
        </w:rPr>
        <w:t> </w:t>
      </w:r>
      <w:r>
        <w:rPr/>
        <w:t>listed</w:t>
      </w:r>
      <w:r>
        <w:rPr>
          <w:spacing w:val="-13"/>
        </w:rPr>
        <w:t> </w:t>
      </w:r>
      <w:r>
        <w:rPr/>
        <w:t>companies</w:t>
      </w:r>
      <w:r>
        <w:rPr>
          <w:spacing w:val="-13"/>
        </w:rPr>
        <w:t> </w:t>
      </w:r>
      <w:r>
        <w:rPr/>
        <w:t>on</w:t>
      </w:r>
      <w:r>
        <w:rPr>
          <w:spacing w:val="-12"/>
        </w:rPr>
        <w:t> </w:t>
      </w:r>
      <w:r>
        <w:rPr/>
        <w:t>the</w:t>
      </w:r>
      <w:r>
        <w:rPr>
          <w:spacing w:val="-13"/>
        </w:rPr>
        <w:t> </w:t>
      </w:r>
      <w:r>
        <w:rPr/>
        <w:t>Ghanaian</w:t>
      </w:r>
      <w:r>
        <w:rPr>
          <w:spacing w:val="-12"/>
        </w:rPr>
        <w:t> </w:t>
      </w:r>
      <w:r>
        <w:rPr/>
        <w:t>Stock</w:t>
      </w:r>
      <w:r>
        <w:rPr>
          <w:spacing w:val="-13"/>
        </w:rPr>
        <w:t> </w:t>
      </w:r>
      <w:r>
        <w:rPr/>
        <w:t>Exchange.</w:t>
      </w:r>
      <w:r>
        <w:rPr>
          <w:spacing w:val="-12"/>
        </w:rPr>
        <w:t> </w:t>
      </w:r>
      <w:r>
        <w:rPr/>
        <w:t>With</w:t>
      </w:r>
      <w:r>
        <w:rPr>
          <w:spacing w:val="-12"/>
        </w:rPr>
        <w:t> </w:t>
      </w:r>
      <w:r>
        <w:rPr/>
        <w:t>a</w:t>
      </w:r>
      <w:r>
        <w:rPr>
          <w:spacing w:val="-13"/>
        </w:rPr>
        <w:t> </w:t>
      </w:r>
      <w:r>
        <w:rPr>
          <w:spacing w:val="-4"/>
        </w:rPr>
        <w:t>time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t>frame</w:t>
      </w:r>
      <w:r>
        <w:rPr>
          <w:spacing w:val="-13"/>
        </w:rPr>
        <w:t> </w:t>
      </w:r>
      <w:r>
        <w:rPr/>
        <w:t>period</w:t>
      </w:r>
      <w:r>
        <w:rPr>
          <w:spacing w:val="-12"/>
        </w:rPr>
        <w:t> </w:t>
      </w:r>
      <w:r>
        <w:rPr/>
        <w:t>of</w:t>
      </w:r>
      <w:r>
        <w:rPr>
          <w:spacing w:val="-13"/>
        </w:rPr>
        <w:t> </w:t>
      </w:r>
      <w:r>
        <w:rPr/>
        <w:t>five</w:t>
      </w:r>
      <w:r>
        <w:rPr>
          <w:spacing w:val="-13"/>
        </w:rPr>
        <w:t> </w:t>
      </w:r>
      <w:r>
        <w:rPr/>
        <w:t>(5)</w:t>
      </w:r>
      <w:r>
        <w:rPr>
          <w:spacing w:val="-14"/>
        </w:rPr>
        <w:t> </w:t>
      </w:r>
      <w:r>
        <w:rPr/>
        <w:t>years,</w:t>
      </w:r>
      <w:r>
        <w:rPr>
          <w:spacing w:val="-13"/>
        </w:rPr>
        <w:t> </w:t>
      </w:r>
      <w:r>
        <w:rPr/>
        <w:t>i.e.,</w:t>
      </w:r>
      <w:r>
        <w:rPr>
          <w:spacing w:val="-12"/>
        </w:rPr>
        <w:t> </w:t>
      </w:r>
      <w:r>
        <w:rPr/>
        <w:t>2008</w:t>
      </w:r>
      <w:r>
        <w:rPr>
          <w:spacing w:val="-12"/>
        </w:rPr>
        <w:t> </w:t>
      </w:r>
      <w:r>
        <w:rPr/>
        <w:t>to</w:t>
      </w:r>
      <w:r>
        <w:rPr>
          <w:spacing w:val="-12"/>
        </w:rPr>
        <w:t> </w:t>
      </w:r>
      <w:r>
        <w:rPr/>
        <w:t>2012</w:t>
      </w:r>
      <w:r>
        <w:rPr>
          <w:spacing w:val="-12"/>
        </w:rPr>
        <w:t> </w:t>
      </w:r>
      <w:r>
        <w:rPr/>
        <w:t>and</w:t>
      </w:r>
      <w:r>
        <w:rPr>
          <w:spacing w:val="-12"/>
        </w:rPr>
        <w:t> </w:t>
      </w:r>
      <w:r>
        <w:rPr/>
        <w:t>the</w:t>
      </w:r>
      <w:r>
        <w:rPr>
          <w:spacing w:val="-13"/>
        </w:rPr>
        <w:t> </w:t>
      </w:r>
      <w:r>
        <w:rPr/>
        <w:t>use</w:t>
      </w:r>
      <w:r>
        <w:rPr>
          <w:spacing w:val="-13"/>
        </w:rPr>
        <w:t> </w:t>
      </w:r>
      <w:r>
        <w:rPr/>
        <w:t>of</w:t>
      </w:r>
      <w:r>
        <w:rPr>
          <w:spacing w:val="-13"/>
        </w:rPr>
        <w:t> </w:t>
      </w:r>
      <w:r>
        <w:rPr/>
        <w:t>regression</w:t>
      </w:r>
      <w:r>
        <w:rPr>
          <w:spacing w:val="-12"/>
        </w:rPr>
        <w:t> </w:t>
      </w:r>
      <w:r>
        <w:rPr/>
        <w:t>estimation</w:t>
      </w:r>
      <w:r>
        <w:rPr>
          <w:spacing w:val="-12"/>
        </w:rPr>
        <w:t> </w:t>
      </w:r>
      <w:r>
        <w:rPr/>
        <w:t>technique, the study found that there was a significant inverse relationship between ownership concentration and firm performance.</w:t>
      </w:r>
    </w:p>
    <w:p>
      <w:pPr>
        <w:pStyle w:val="BodyText"/>
        <w:spacing w:line="480" w:lineRule="auto"/>
        <w:ind w:left="940" w:right="1434"/>
        <w:jc w:val="both"/>
      </w:pPr>
      <w:r>
        <w:rPr/>
        <w:drawing>
          <wp:anchor distT="0" distB="0" distL="0" distR="0" allowOverlap="1" layoutInCell="1" locked="0" behindDoc="1" simplePos="0" relativeHeight="477719552">
            <wp:simplePos x="0" y="0"/>
            <wp:positionH relativeFrom="page">
              <wp:posOffset>1095451</wp:posOffset>
            </wp:positionH>
            <wp:positionV relativeFrom="paragraph">
              <wp:posOffset>760565</wp:posOffset>
            </wp:positionV>
            <wp:extent cx="5106847" cy="5238115"/>
            <wp:effectExtent l="0" t="0" r="0" b="0"/>
            <wp:wrapNone/>
            <wp:docPr id="113" name="Image 113"/>
            <wp:cNvGraphicFramePr>
              <a:graphicFrameLocks/>
            </wp:cNvGraphicFramePr>
            <a:graphic>
              <a:graphicData uri="http://schemas.openxmlformats.org/drawingml/2006/picture">
                <pic:pic>
                  <pic:nvPicPr>
                    <pic:cNvPr id="113" name="Image 113"/>
                    <pic:cNvPicPr/>
                  </pic:nvPicPr>
                  <pic:blipFill>
                    <a:blip r:embed="rId5" cstate="print"/>
                    <a:stretch>
                      <a:fillRect/>
                    </a:stretch>
                  </pic:blipFill>
                  <pic:spPr>
                    <a:xfrm>
                      <a:off x="0" y="0"/>
                      <a:ext cx="5106847" cy="5238115"/>
                    </a:xfrm>
                    <a:prstGeom prst="rect">
                      <a:avLst/>
                    </a:prstGeom>
                  </pic:spPr>
                </pic:pic>
              </a:graphicData>
            </a:graphic>
          </wp:anchor>
        </w:drawing>
      </w:r>
      <w:r>
        <w:rPr/>
        <w:t>The study by Redhwan and Kunor (2013) investigated the relationship among governance structure,</w:t>
      </w:r>
      <w:r>
        <w:rPr>
          <w:spacing w:val="-11"/>
        </w:rPr>
        <w:t> </w:t>
      </w:r>
      <w:r>
        <w:rPr/>
        <w:t>ownership</w:t>
      </w:r>
      <w:r>
        <w:rPr>
          <w:spacing w:val="-11"/>
        </w:rPr>
        <w:t> </w:t>
      </w:r>
      <w:r>
        <w:rPr/>
        <w:t>structure</w:t>
      </w:r>
      <w:r>
        <w:rPr>
          <w:spacing w:val="-11"/>
        </w:rPr>
        <w:t> </w:t>
      </w:r>
      <w:r>
        <w:rPr/>
        <w:t>and</w:t>
      </w:r>
      <w:r>
        <w:rPr>
          <w:spacing w:val="-11"/>
        </w:rPr>
        <w:t> </w:t>
      </w:r>
      <w:r>
        <w:rPr/>
        <w:t>earnings</w:t>
      </w:r>
      <w:r>
        <w:rPr>
          <w:spacing w:val="-11"/>
        </w:rPr>
        <w:t> </w:t>
      </w:r>
      <w:r>
        <w:rPr/>
        <w:t>predictability</w:t>
      </w:r>
      <w:r>
        <w:rPr>
          <w:spacing w:val="-10"/>
        </w:rPr>
        <w:t> </w:t>
      </w:r>
      <w:r>
        <w:rPr/>
        <w:t>in</w:t>
      </w:r>
      <w:r>
        <w:rPr>
          <w:spacing w:val="-10"/>
        </w:rPr>
        <w:t> </w:t>
      </w:r>
      <w:r>
        <w:rPr/>
        <w:t>Malaysia.</w:t>
      </w:r>
      <w:r>
        <w:rPr>
          <w:spacing w:val="-11"/>
        </w:rPr>
        <w:t> </w:t>
      </w:r>
      <w:r>
        <w:rPr/>
        <w:t>The</w:t>
      </w:r>
      <w:r>
        <w:rPr>
          <w:spacing w:val="-14"/>
        </w:rPr>
        <w:t> </w:t>
      </w:r>
      <w:r>
        <w:rPr/>
        <w:t>sample</w:t>
      </w:r>
      <w:r>
        <w:rPr>
          <w:spacing w:val="-12"/>
        </w:rPr>
        <w:t> </w:t>
      </w:r>
      <w:r>
        <w:rPr/>
        <w:t>consisted</w:t>
      </w:r>
      <w:r>
        <w:rPr>
          <w:spacing w:val="-11"/>
        </w:rPr>
        <w:t> </w:t>
      </w:r>
      <w:r>
        <w:rPr/>
        <w:t>of 330 firms listed on the Malaysia Stock Exchange. Using the Ordinary Least Square (OLS) estimation technique, the result revealed that concentration ownership exhibited a positive significant impact on earnings predictability. The abovementioned study by Anthony (2012) on the effect of ownership structure on the financial performance of companies listed on the Nairobi Stock Exchange found that concentration ownership exhibited a positive relationship with</w:t>
      </w:r>
      <w:r>
        <w:rPr>
          <w:spacing w:val="-11"/>
        </w:rPr>
        <w:t> </w:t>
      </w:r>
      <w:r>
        <w:rPr/>
        <w:t>firm</w:t>
      </w:r>
      <w:r>
        <w:rPr>
          <w:spacing w:val="-11"/>
        </w:rPr>
        <w:t> </w:t>
      </w:r>
      <w:r>
        <w:rPr/>
        <w:t>performance.</w:t>
      </w:r>
      <w:r>
        <w:rPr>
          <w:spacing w:val="-11"/>
        </w:rPr>
        <w:t> </w:t>
      </w:r>
      <w:r>
        <w:rPr/>
        <w:t>Amador</w:t>
      </w:r>
      <w:r>
        <w:rPr>
          <w:spacing w:val="-13"/>
        </w:rPr>
        <w:t> </w:t>
      </w:r>
      <w:r>
        <w:rPr/>
        <w:t>(2012)</w:t>
      </w:r>
      <w:r>
        <w:rPr>
          <w:spacing w:val="-12"/>
        </w:rPr>
        <w:t> </w:t>
      </w:r>
      <w:r>
        <w:rPr/>
        <w:t>examined</w:t>
      </w:r>
      <w:r>
        <w:rPr>
          <w:spacing w:val="-12"/>
        </w:rPr>
        <w:t> </w:t>
      </w:r>
      <w:r>
        <w:rPr/>
        <w:t>the</w:t>
      </w:r>
      <w:r>
        <w:rPr>
          <w:spacing w:val="-12"/>
        </w:rPr>
        <w:t> </w:t>
      </w:r>
      <w:r>
        <w:rPr/>
        <w:t>relation</w:t>
      </w:r>
      <w:r>
        <w:rPr>
          <w:spacing w:val="-11"/>
        </w:rPr>
        <w:t> </w:t>
      </w:r>
      <w:r>
        <w:rPr/>
        <w:t>between</w:t>
      </w:r>
      <w:r>
        <w:rPr>
          <w:spacing w:val="-12"/>
        </w:rPr>
        <w:t> </w:t>
      </w:r>
      <w:r>
        <w:rPr/>
        <w:t>firms</w:t>
      </w:r>
      <w:r>
        <w:rPr>
          <w:spacing w:val="-9"/>
        </w:rPr>
        <w:t> </w:t>
      </w:r>
      <w:r>
        <w:rPr/>
        <w:t>with</w:t>
      </w:r>
      <w:r>
        <w:rPr>
          <w:spacing w:val="-11"/>
        </w:rPr>
        <w:t> </w:t>
      </w:r>
      <w:r>
        <w:rPr/>
        <w:t>concentrated ownership and earnings quality. The study sought to compare all publicly listed companies in the</w:t>
      </w:r>
      <w:r>
        <w:rPr>
          <w:spacing w:val="-8"/>
        </w:rPr>
        <w:t> </w:t>
      </w:r>
      <w:r>
        <w:rPr/>
        <w:t>Netherlands,</w:t>
      </w:r>
      <w:r>
        <w:rPr>
          <w:spacing w:val="-7"/>
        </w:rPr>
        <w:t> </w:t>
      </w:r>
      <w:r>
        <w:rPr/>
        <w:t>except</w:t>
      </w:r>
      <w:r>
        <w:rPr>
          <w:spacing w:val="-7"/>
        </w:rPr>
        <w:t> </w:t>
      </w:r>
      <w:r>
        <w:rPr/>
        <w:t>for</w:t>
      </w:r>
      <w:r>
        <w:rPr>
          <w:spacing w:val="-8"/>
        </w:rPr>
        <w:t> </w:t>
      </w:r>
      <w:r>
        <w:rPr/>
        <w:t>financial</w:t>
      </w:r>
      <w:r>
        <w:rPr>
          <w:spacing w:val="-5"/>
        </w:rPr>
        <w:t> </w:t>
      </w:r>
      <w:r>
        <w:rPr/>
        <w:t>and</w:t>
      </w:r>
      <w:r>
        <w:rPr>
          <w:spacing w:val="-7"/>
        </w:rPr>
        <w:t> </w:t>
      </w:r>
      <w:r>
        <w:rPr/>
        <w:t>regulated</w:t>
      </w:r>
      <w:r>
        <w:rPr>
          <w:spacing w:val="-5"/>
        </w:rPr>
        <w:t> </w:t>
      </w:r>
      <w:r>
        <w:rPr/>
        <w:t>institutions</w:t>
      </w:r>
      <w:r>
        <w:rPr>
          <w:spacing w:val="-7"/>
        </w:rPr>
        <w:t> </w:t>
      </w:r>
      <w:r>
        <w:rPr/>
        <w:t>during</w:t>
      </w:r>
      <w:r>
        <w:rPr>
          <w:spacing w:val="-8"/>
        </w:rPr>
        <w:t> </w:t>
      </w:r>
      <w:r>
        <w:rPr/>
        <w:t>the</w:t>
      </w:r>
      <w:r>
        <w:rPr>
          <w:spacing w:val="-8"/>
        </w:rPr>
        <w:t> </w:t>
      </w:r>
      <w:r>
        <w:rPr/>
        <w:t>period</w:t>
      </w:r>
      <w:r>
        <w:rPr>
          <w:spacing w:val="-8"/>
        </w:rPr>
        <w:t> </w:t>
      </w:r>
      <w:r>
        <w:rPr/>
        <w:t>2000</w:t>
      </w:r>
      <w:r>
        <w:rPr>
          <w:spacing w:val="-7"/>
        </w:rPr>
        <w:t> </w:t>
      </w:r>
      <w:r>
        <w:rPr/>
        <w:t>to</w:t>
      </w:r>
      <w:r>
        <w:rPr>
          <w:spacing w:val="-7"/>
        </w:rPr>
        <w:t> </w:t>
      </w:r>
      <w:r>
        <w:rPr/>
        <w:t>2010. Closely Held Shares were used as the proxy for ownership concentration and the variables which affected accruals quality such as cash flows, revenues, net income and property plant and</w:t>
      </w:r>
      <w:r>
        <w:rPr>
          <w:spacing w:val="-3"/>
        </w:rPr>
        <w:t> </w:t>
      </w:r>
      <w:r>
        <w:rPr/>
        <w:t>equipment.</w:t>
      </w:r>
      <w:r>
        <w:rPr>
          <w:spacing w:val="-3"/>
        </w:rPr>
        <w:t> </w:t>
      </w:r>
      <w:r>
        <w:rPr/>
        <w:t>The</w:t>
      </w:r>
      <w:r>
        <w:rPr>
          <w:spacing w:val="-4"/>
        </w:rPr>
        <w:t> </w:t>
      </w:r>
      <w:r>
        <w:rPr/>
        <w:t>methodology</w:t>
      </w:r>
      <w:r>
        <w:rPr>
          <w:spacing w:val="-3"/>
        </w:rPr>
        <w:t> </w:t>
      </w:r>
      <w:r>
        <w:rPr/>
        <w:t>used</w:t>
      </w:r>
      <w:r>
        <w:rPr>
          <w:spacing w:val="-3"/>
        </w:rPr>
        <w:t> </w:t>
      </w:r>
      <w:r>
        <w:rPr/>
        <w:t>for</w:t>
      </w:r>
      <w:r>
        <w:rPr>
          <w:spacing w:val="-5"/>
        </w:rPr>
        <w:t> </w:t>
      </w:r>
      <w:r>
        <w:rPr/>
        <w:t>the</w:t>
      </w:r>
      <w:r>
        <w:rPr>
          <w:spacing w:val="-3"/>
        </w:rPr>
        <w:t> </w:t>
      </w:r>
      <w:r>
        <w:rPr/>
        <w:t>data</w:t>
      </w:r>
      <w:r>
        <w:rPr>
          <w:spacing w:val="-2"/>
        </w:rPr>
        <w:t> </w:t>
      </w:r>
      <w:r>
        <w:rPr/>
        <w:t>analysis</w:t>
      </w:r>
      <w:r>
        <w:rPr>
          <w:spacing w:val="-3"/>
        </w:rPr>
        <w:t> </w:t>
      </w:r>
      <w:r>
        <w:rPr/>
        <w:t>was</w:t>
      </w:r>
      <w:r>
        <w:rPr>
          <w:spacing w:val="-3"/>
        </w:rPr>
        <w:t> </w:t>
      </w:r>
      <w:r>
        <w:rPr/>
        <w:t>panel</w:t>
      </w:r>
      <w:r>
        <w:rPr>
          <w:spacing w:val="-3"/>
        </w:rPr>
        <w:t> </w:t>
      </w:r>
      <w:r>
        <w:rPr/>
        <w:t>regression</w:t>
      </w:r>
      <w:r>
        <w:rPr>
          <w:spacing w:val="-3"/>
        </w:rPr>
        <w:t> </w:t>
      </w:r>
      <w:r>
        <w:rPr/>
        <w:t>models.</w:t>
      </w:r>
      <w:r>
        <w:rPr>
          <w:spacing w:val="-3"/>
        </w:rPr>
        <w:t> </w:t>
      </w:r>
      <w:r>
        <w:rPr/>
        <w:t>The entrenchment and the alignment</w:t>
      </w:r>
      <w:r>
        <w:rPr>
          <w:spacing w:val="-1"/>
        </w:rPr>
        <w:t> </w:t>
      </w:r>
      <w:r>
        <w:rPr/>
        <w:t>effects</w:t>
      </w:r>
      <w:r>
        <w:rPr>
          <w:spacing w:val="-1"/>
        </w:rPr>
        <w:t> </w:t>
      </w:r>
      <w:r>
        <w:rPr/>
        <w:t>theories were</w:t>
      </w:r>
      <w:r>
        <w:rPr>
          <w:spacing w:val="-1"/>
        </w:rPr>
        <w:t> </w:t>
      </w:r>
      <w:r>
        <w:rPr/>
        <w:t>used to</w:t>
      </w:r>
      <w:r>
        <w:rPr>
          <w:spacing w:val="-1"/>
        </w:rPr>
        <w:t> </w:t>
      </w:r>
      <w:r>
        <w:rPr/>
        <w:t>explain the association</w:t>
      </w:r>
      <w:r>
        <w:rPr>
          <w:spacing w:val="-1"/>
        </w:rPr>
        <w:t> </w:t>
      </w:r>
      <w:r>
        <w:rPr/>
        <w:t>between the supply of earnings quality and ownership concentration. The results showed that, on average, firms with high concentration of ownership were associated with reporting lower quality earnings than firms with more diversified shareholders.</w:t>
      </w:r>
    </w:p>
    <w:p>
      <w:pPr>
        <w:pStyle w:val="BodyText"/>
        <w:spacing w:line="480" w:lineRule="auto" w:before="2"/>
        <w:ind w:left="940" w:right="1437"/>
        <w:jc w:val="both"/>
      </w:pPr>
      <w:r>
        <w:rPr/>
        <w:t>In</w:t>
      </w:r>
      <w:r>
        <w:rPr>
          <w:spacing w:val="-11"/>
        </w:rPr>
        <w:t> </w:t>
      </w:r>
      <w:r>
        <w:rPr/>
        <w:t>the</w:t>
      </w:r>
      <w:r>
        <w:rPr>
          <w:spacing w:val="-11"/>
        </w:rPr>
        <w:t> </w:t>
      </w:r>
      <w:r>
        <w:rPr/>
        <w:t>abovementioned</w:t>
      </w:r>
      <w:r>
        <w:rPr>
          <w:spacing w:val="-11"/>
        </w:rPr>
        <w:t> </w:t>
      </w:r>
      <w:r>
        <w:rPr/>
        <w:t>study</w:t>
      </w:r>
      <w:r>
        <w:rPr>
          <w:spacing w:val="-11"/>
        </w:rPr>
        <w:t> </w:t>
      </w:r>
      <w:r>
        <w:rPr/>
        <w:t>by</w:t>
      </w:r>
      <w:r>
        <w:rPr>
          <w:spacing w:val="-13"/>
        </w:rPr>
        <w:t> </w:t>
      </w:r>
      <w:r>
        <w:rPr/>
        <w:t>Alves</w:t>
      </w:r>
      <w:r>
        <w:rPr>
          <w:spacing w:val="-10"/>
        </w:rPr>
        <w:t> </w:t>
      </w:r>
      <w:r>
        <w:rPr/>
        <w:t>(2012)</w:t>
      </w:r>
      <w:r>
        <w:rPr>
          <w:spacing w:val="-14"/>
        </w:rPr>
        <w:t> </w:t>
      </w:r>
      <w:r>
        <w:rPr/>
        <w:t>on</w:t>
      </w:r>
      <w:r>
        <w:rPr>
          <w:spacing w:val="-11"/>
        </w:rPr>
        <w:t> </w:t>
      </w:r>
      <w:r>
        <w:rPr/>
        <w:t>the</w:t>
      </w:r>
      <w:r>
        <w:rPr>
          <w:spacing w:val="-14"/>
        </w:rPr>
        <w:t> </w:t>
      </w:r>
      <w:r>
        <w:rPr/>
        <w:t>relationship</w:t>
      </w:r>
      <w:r>
        <w:rPr>
          <w:spacing w:val="-13"/>
        </w:rPr>
        <w:t> </w:t>
      </w:r>
      <w:r>
        <w:rPr/>
        <w:t>between</w:t>
      </w:r>
      <w:r>
        <w:rPr>
          <w:spacing w:val="-11"/>
        </w:rPr>
        <w:t> </w:t>
      </w:r>
      <w:r>
        <w:rPr/>
        <w:t>corporate</w:t>
      </w:r>
      <w:r>
        <w:rPr>
          <w:spacing w:val="-11"/>
        </w:rPr>
        <w:t> </w:t>
      </w:r>
      <w:r>
        <w:rPr/>
        <w:t>ownership structure</w:t>
      </w:r>
      <w:r>
        <w:rPr>
          <w:spacing w:val="-3"/>
        </w:rPr>
        <w:t> </w:t>
      </w:r>
      <w:r>
        <w:rPr/>
        <w:t>and earnings</w:t>
      </w:r>
      <w:r>
        <w:rPr>
          <w:spacing w:val="-1"/>
        </w:rPr>
        <w:t> </w:t>
      </w:r>
      <w:r>
        <w:rPr/>
        <w:t>management in</w:t>
      </w:r>
      <w:r>
        <w:rPr>
          <w:spacing w:val="-1"/>
        </w:rPr>
        <w:t> </w:t>
      </w:r>
      <w:r>
        <w:rPr/>
        <w:t>Portugal,</w:t>
      </w:r>
      <w:r>
        <w:rPr>
          <w:spacing w:val="-1"/>
        </w:rPr>
        <w:t> </w:t>
      </w:r>
      <w:r>
        <w:rPr/>
        <w:t>the</w:t>
      </w:r>
      <w:r>
        <w:rPr>
          <w:spacing w:val="-2"/>
        </w:rPr>
        <w:t> </w:t>
      </w:r>
      <w:r>
        <w:rPr/>
        <w:t>results</w:t>
      </w:r>
      <w:r>
        <w:rPr>
          <w:spacing w:val="-1"/>
        </w:rPr>
        <w:t> </w:t>
      </w:r>
      <w:r>
        <w:rPr/>
        <w:t>showed</w:t>
      </w:r>
      <w:r>
        <w:rPr>
          <w:spacing w:val="-1"/>
        </w:rPr>
        <w:t> </w:t>
      </w:r>
      <w:r>
        <w:rPr/>
        <w:t>that earnings</w:t>
      </w:r>
      <w:r>
        <w:rPr>
          <w:spacing w:val="-1"/>
        </w:rPr>
        <w:t> </w:t>
      </w:r>
      <w:r>
        <w:rPr/>
        <w:t>management was</w:t>
      </w:r>
      <w:r>
        <w:rPr>
          <w:spacing w:val="-4"/>
        </w:rPr>
        <w:t> </w:t>
      </w:r>
      <w:r>
        <w:rPr/>
        <w:t>negatively</w:t>
      </w:r>
      <w:r>
        <w:rPr>
          <w:spacing w:val="-4"/>
        </w:rPr>
        <w:t> </w:t>
      </w:r>
      <w:r>
        <w:rPr/>
        <w:t>related</w:t>
      </w:r>
      <w:r>
        <w:rPr>
          <w:spacing w:val="-4"/>
        </w:rPr>
        <w:t> </w:t>
      </w:r>
      <w:r>
        <w:rPr/>
        <w:t>to</w:t>
      </w:r>
      <w:r>
        <w:rPr>
          <w:spacing w:val="-4"/>
        </w:rPr>
        <w:t> </w:t>
      </w:r>
      <w:r>
        <w:rPr/>
        <w:t>ownership</w:t>
      </w:r>
      <w:r>
        <w:rPr>
          <w:spacing w:val="-4"/>
        </w:rPr>
        <w:t> </w:t>
      </w:r>
      <w:r>
        <w:rPr/>
        <w:t>concentration. Ellili</w:t>
      </w:r>
      <w:r>
        <w:rPr>
          <w:spacing w:val="-4"/>
        </w:rPr>
        <w:t> </w:t>
      </w:r>
      <w:r>
        <w:rPr/>
        <w:t>(2012)</w:t>
      </w:r>
      <w:r>
        <w:rPr>
          <w:spacing w:val="-4"/>
        </w:rPr>
        <w:t> </w:t>
      </w:r>
      <w:r>
        <w:rPr/>
        <w:t>examined</w:t>
      </w:r>
      <w:r>
        <w:rPr>
          <w:spacing w:val="-4"/>
        </w:rPr>
        <w:t> </w:t>
      </w:r>
      <w:r>
        <w:rPr/>
        <w:t>the</w:t>
      </w:r>
      <w:r>
        <w:rPr>
          <w:spacing w:val="-4"/>
        </w:rPr>
        <w:t> </w:t>
      </w:r>
      <w:r>
        <w:rPr/>
        <w:t>impact</w:t>
      </w:r>
      <w:r>
        <w:rPr>
          <w:spacing w:val="-4"/>
        </w:rPr>
        <w:t> </w:t>
      </w:r>
      <w:r>
        <w:rPr/>
        <w:t>of</w:t>
      </w:r>
      <w:r>
        <w:rPr>
          <w:spacing w:val="-4"/>
        </w:rPr>
        <w:t> </w:t>
      </w:r>
      <w:r>
        <w:rPr/>
        <w:t>block shareholders (ownership of</w:t>
      </w:r>
      <w:r>
        <w:rPr>
          <w:spacing w:val="-2"/>
        </w:rPr>
        <w:t> </w:t>
      </w:r>
      <w:r>
        <w:rPr/>
        <w:t>5%</w:t>
      </w:r>
      <w:r>
        <w:rPr>
          <w:spacing w:val="-2"/>
        </w:rPr>
        <w:t> </w:t>
      </w:r>
      <w:r>
        <w:rPr/>
        <w:t>and</w:t>
      </w:r>
      <w:r>
        <w:rPr>
          <w:spacing w:val="-1"/>
        </w:rPr>
        <w:t> </w:t>
      </w:r>
      <w:r>
        <w:rPr/>
        <w:t>above)</w:t>
      </w:r>
      <w:r>
        <w:rPr>
          <w:spacing w:val="-2"/>
        </w:rPr>
        <w:t> </w:t>
      </w:r>
      <w:r>
        <w:rPr/>
        <w:t>on</w:t>
      </w:r>
      <w:r>
        <w:rPr>
          <w:spacing w:val="-1"/>
        </w:rPr>
        <w:t> </w:t>
      </w:r>
      <w:r>
        <w:rPr/>
        <w:t>the</w:t>
      </w:r>
      <w:r>
        <w:rPr>
          <w:spacing w:val="-2"/>
        </w:rPr>
        <w:t> </w:t>
      </w:r>
      <w:r>
        <w:rPr/>
        <w:t>performance</w:t>
      </w:r>
      <w:r>
        <w:rPr>
          <w:spacing w:val="-2"/>
        </w:rPr>
        <w:t> </w:t>
      </w:r>
      <w:r>
        <w:rPr/>
        <w:t>of a</w:t>
      </w:r>
      <w:r>
        <w:rPr>
          <w:spacing w:val="-2"/>
        </w:rPr>
        <w:t> </w:t>
      </w:r>
      <w:r>
        <w:rPr/>
        <w:t>firm. He</w:t>
      </w:r>
      <w:r>
        <w:rPr>
          <w:spacing w:val="-2"/>
        </w:rPr>
        <w:t> </w:t>
      </w:r>
      <w:r>
        <w:rPr/>
        <w:t>found</w:t>
      </w:r>
      <w:r>
        <w:rPr>
          <w:spacing w:val="-2"/>
        </w:rPr>
        <w:t> </w:t>
      </w:r>
      <w:r>
        <w:rPr/>
        <w:t>an</w:t>
      </w:r>
      <w:r>
        <w:rPr>
          <w:spacing w:val="-1"/>
        </w:rPr>
        <w:t> </w:t>
      </w:r>
      <w:r>
        <w:rPr/>
        <w:t>inverse relationship</w:t>
      </w:r>
      <w:r>
        <w:rPr>
          <w:spacing w:val="41"/>
        </w:rPr>
        <w:t> </w:t>
      </w:r>
      <w:r>
        <w:rPr/>
        <w:t>between</w:t>
      </w:r>
      <w:r>
        <w:rPr>
          <w:spacing w:val="42"/>
        </w:rPr>
        <w:t> </w:t>
      </w:r>
      <w:r>
        <w:rPr/>
        <w:t>concentrated</w:t>
      </w:r>
      <w:r>
        <w:rPr>
          <w:spacing w:val="44"/>
        </w:rPr>
        <w:t> </w:t>
      </w:r>
      <w:r>
        <w:rPr/>
        <w:t>ownership</w:t>
      </w:r>
      <w:r>
        <w:rPr>
          <w:spacing w:val="42"/>
        </w:rPr>
        <w:t> </w:t>
      </w:r>
      <w:r>
        <w:rPr/>
        <w:t>and</w:t>
      </w:r>
      <w:r>
        <w:rPr>
          <w:spacing w:val="42"/>
        </w:rPr>
        <w:t> </w:t>
      </w:r>
      <w:r>
        <w:rPr/>
        <w:t>performance</w:t>
      </w:r>
      <w:r>
        <w:rPr>
          <w:spacing w:val="42"/>
        </w:rPr>
        <w:t> </w:t>
      </w:r>
      <w:r>
        <w:rPr/>
        <w:t>of</w:t>
      </w:r>
      <w:r>
        <w:rPr>
          <w:spacing w:val="42"/>
        </w:rPr>
        <w:t> </w:t>
      </w:r>
      <w:r>
        <w:rPr/>
        <w:t>the</w:t>
      </w:r>
      <w:r>
        <w:rPr>
          <w:spacing w:val="42"/>
        </w:rPr>
        <w:t> </w:t>
      </w:r>
      <w:r>
        <w:rPr/>
        <w:t>firm.</w:t>
      </w:r>
      <w:r>
        <w:rPr>
          <w:spacing w:val="42"/>
        </w:rPr>
        <w:t> </w:t>
      </w:r>
      <w:r>
        <w:rPr/>
        <w:t>That</w:t>
      </w:r>
      <w:r>
        <w:rPr>
          <w:spacing w:val="43"/>
        </w:rPr>
        <w:t> </w:t>
      </w:r>
      <w:r>
        <w:rPr/>
        <w:t>could</w:t>
      </w:r>
      <w:r>
        <w:rPr>
          <w:spacing w:val="43"/>
        </w:rPr>
        <w:t> </w:t>
      </w:r>
      <w:r>
        <w:rPr>
          <w:spacing w:val="-5"/>
        </w:rPr>
        <w:t>be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20064">
            <wp:simplePos x="0" y="0"/>
            <wp:positionH relativeFrom="page">
              <wp:posOffset>1095451</wp:posOffset>
            </wp:positionH>
            <wp:positionV relativeFrom="paragraph">
              <wp:posOffset>1850770</wp:posOffset>
            </wp:positionV>
            <wp:extent cx="5106847" cy="5238115"/>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 cstate="print"/>
                    <a:stretch>
                      <a:fillRect/>
                    </a:stretch>
                  </pic:blipFill>
                  <pic:spPr>
                    <a:xfrm>
                      <a:off x="0" y="0"/>
                      <a:ext cx="5106847" cy="5238115"/>
                    </a:xfrm>
                    <a:prstGeom prst="rect">
                      <a:avLst/>
                    </a:prstGeom>
                  </pic:spPr>
                </pic:pic>
              </a:graphicData>
            </a:graphic>
          </wp:anchor>
        </w:drawing>
      </w:r>
      <w:r>
        <w:rPr/>
        <w:t>explained</w:t>
      </w:r>
      <w:r>
        <w:rPr>
          <w:spacing w:val="-8"/>
        </w:rPr>
        <w:t> </w:t>
      </w:r>
      <w:r>
        <w:rPr/>
        <w:t>by</w:t>
      </w:r>
      <w:r>
        <w:rPr>
          <w:spacing w:val="-8"/>
        </w:rPr>
        <w:t> </w:t>
      </w:r>
      <w:r>
        <w:rPr/>
        <w:t>the</w:t>
      </w:r>
      <w:r>
        <w:rPr>
          <w:spacing w:val="-7"/>
        </w:rPr>
        <w:t> </w:t>
      </w:r>
      <w:r>
        <w:rPr/>
        <w:t>managerial</w:t>
      </w:r>
      <w:r>
        <w:rPr>
          <w:spacing w:val="-8"/>
        </w:rPr>
        <w:t> </w:t>
      </w:r>
      <w:r>
        <w:rPr/>
        <w:t>entrenchment</w:t>
      </w:r>
      <w:r>
        <w:rPr>
          <w:spacing w:val="-8"/>
        </w:rPr>
        <w:t> </w:t>
      </w:r>
      <w:r>
        <w:rPr/>
        <w:t>theory</w:t>
      </w:r>
      <w:r>
        <w:rPr>
          <w:spacing w:val="-4"/>
        </w:rPr>
        <w:t> </w:t>
      </w:r>
      <w:r>
        <w:rPr/>
        <w:t>which</w:t>
      </w:r>
      <w:r>
        <w:rPr>
          <w:spacing w:val="-8"/>
        </w:rPr>
        <w:t> </w:t>
      </w:r>
      <w:r>
        <w:rPr/>
        <w:t>argues</w:t>
      </w:r>
      <w:r>
        <w:rPr>
          <w:spacing w:val="-8"/>
        </w:rPr>
        <w:t> </w:t>
      </w:r>
      <w:r>
        <w:rPr/>
        <w:t>that</w:t>
      </w:r>
      <w:r>
        <w:rPr>
          <w:spacing w:val="-8"/>
        </w:rPr>
        <w:t> </w:t>
      </w:r>
      <w:r>
        <w:rPr/>
        <w:t>the</w:t>
      </w:r>
      <w:r>
        <w:rPr>
          <w:spacing w:val="-7"/>
        </w:rPr>
        <w:t> </w:t>
      </w:r>
      <w:r>
        <w:rPr/>
        <w:t>block</w:t>
      </w:r>
      <w:r>
        <w:rPr>
          <w:spacing w:val="-9"/>
        </w:rPr>
        <w:t> </w:t>
      </w:r>
      <w:r>
        <w:rPr/>
        <w:t>shareholders</w:t>
      </w:r>
      <w:r>
        <w:rPr>
          <w:spacing w:val="-6"/>
        </w:rPr>
        <w:t> </w:t>
      </w:r>
      <w:r>
        <w:rPr/>
        <w:t>are not always considered to be an efficient internal monitoring mechanism. They may enjoy private</w:t>
      </w:r>
      <w:r>
        <w:rPr>
          <w:spacing w:val="-15"/>
        </w:rPr>
        <w:t> </w:t>
      </w:r>
      <w:r>
        <w:rPr/>
        <w:t>benefit</w:t>
      </w:r>
      <w:r>
        <w:rPr>
          <w:spacing w:val="-14"/>
        </w:rPr>
        <w:t> </w:t>
      </w:r>
      <w:r>
        <w:rPr/>
        <w:t>from</w:t>
      </w:r>
      <w:r>
        <w:rPr>
          <w:spacing w:val="-14"/>
        </w:rPr>
        <w:t> </w:t>
      </w:r>
      <w:r>
        <w:rPr/>
        <w:t>their</w:t>
      </w:r>
      <w:r>
        <w:rPr>
          <w:spacing w:val="-13"/>
        </w:rPr>
        <w:t> </w:t>
      </w:r>
      <w:r>
        <w:rPr/>
        <w:t>control</w:t>
      </w:r>
      <w:r>
        <w:rPr>
          <w:spacing w:val="-14"/>
        </w:rPr>
        <w:t> </w:t>
      </w:r>
      <w:r>
        <w:rPr/>
        <w:t>to</w:t>
      </w:r>
      <w:r>
        <w:rPr>
          <w:spacing w:val="-14"/>
        </w:rPr>
        <w:t> </w:t>
      </w:r>
      <w:r>
        <w:rPr/>
        <w:t>the</w:t>
      </w:r>
      <w:r>
        <w:rPr>
          <w:spacing w:val="-15"/>
        </w:rPr>
        <w:t> </w:t>
      </w:r>
      <w:r>
        <w:rPr/>
        <w:t>detriment</w:t>
      </w:r>
      <w:r>
        <w:rPr>
          <w:spacing w:val="-14"/>
        </w:rPr>
        <w:t> </w:t>
      </w:r>
      <w:r>
        <w:rPr/>
        <w:t>of</w:t>
      </w:r>
      <w:r>
        <w:rPr>
          <w:spacing w:val="-15"/>
        </w:rPr>
        <w:t> </w:t>
      </w:r>
      <w:r>
        <w:rPr/>
        <w:t>the</w:t>
      </w:r>
      <w:r>
        <w:rPr>
          <w:spacing w:val="-15"/>
        </w:rPr>
        <w:t> </w:t>
      </w:r>
      <w:r>
        <w:rPr/>
        <w:t>other</w:t>
      </w:r>
      <w:r>
        <w:rPr>
          <w:spacing w:val="-15"/>
        </w:rPr>
        <w:t> </w:t>
      </w:r>
      <w:r>
        <w:rPr/>
        <w:t>shareholders,</w:t>
      </w:r>
      <w:r>
        <w:rPr>
          <w:spacing w:val="-15"/>
        </w:rPr>
        <w:t> </w:t>
      </w:r>
      <w:r>
        <w:rPr/>
        <w:t>and</w:t>
      </w:r>
      <w:r>
        <w:rPr>
          <w:spacing w:val="-14"/>
        </w:rPr>
        <w:t> </w:t>
      </w:r>
      <w:r>
        <w:rPr/>
        <w:t>can</w:t>
      </w:r>
      <w:r>
        <w:rPr>
          <w:spacing w:val="-14"/>
        </w:rPr>
        <w:t> </w:t>
      </w:r>
      <w:r>
        <w:rPr/>
        <w:t>expropriate the wealth of minority shareholders because of their privileged access to inside information and</w:t>
      </w:r>
      <w:r>
        <w:rPr>
          <w:spacing w:val="-10"/>
        </w:rPr>
        <w:t> </w:t>
      </w:r>
      <w:r>
        <w:rPr/>
        <w:t>high</w:t>
      </w:r>
      <w:r>
        <w:rPr>
          <w:spacing w:val="-9"/>
        </w:rPr>
        <w:t> </w:t>
      </w:r>
      <w:r>
        <w:rPr/>
        <w:t>risk</w:t>
      </w:r>
      <w:r>
        <w:rPr>
          <w:spacing w:val="-10"/>
        </w:rPr>
        <w:t> </w:t>
      </w:r>
      <w:r>
        <w:rPr/>
        <w:t>aversion</w:t>
      </w:r>
      <w:r>
        <w:rPr>
          <w:spacing w:val="-10"/>
        </w:rPr>
        <w:t> </w:t>
      </w:r>
      <w:r>
        <w:rPr/>
        <w:t>compared</w:t>
      </w:r>
      <w:r>
        <w:rPr>
          <w:spacing w:val="-10"/>
        </w:rPr>
        <w:t> </w:t>
      </w:r>
      <w:r>
        <w:rPr/>
        <w:t>to</w:t>
      </w:r>
      <w:r>
        <w:rPr>
          <w:spacing w:val="-9"/>
        </w:rPr>
        <w:t> </w:t>
      </w:r>
      <w:r>
        <w:rPr/>
        <w:t>the</w:t>
      </w:r>
      <w:r>
        <w:rPr>
          <w:spacing w:val="-10"/>
        </w:rPr>
        <w:t> </w:t>
      </w:r>
      <w:r>
        <w:rPr/>
        <w:t>diversified</w:t>
      </w:r>
      <w:r>
        <w:rPr>
          <w:spacing w:val="-7"/>
        </w:rPr>
        <w:t> </w:t>
      </w:r>
      <w:r>
        <w:rPr/>
        <w:t>shareholders</w:t>
      </w:r>
      <w:r>
        <w:rPr>
          <w:spacing w:val="-7"/>
        </w:rPr>
        <w:t> </w:t>
      </w:r>
      <w:r>
        <w:rPr/>
        <w:t>(Mock</w:t>
      </w:r>
      <w:r>
        <w:rPr>
          <w:spacing w:val="-7"/>
        </w:rPr>
        <w:t> </w:t>
      </w:r>
      <w:r>
        <w:rPr/>
        <w:t>et</w:t>
      </w:r>
      <w:r>
        <w:rPr>
          <w:spacing w:val="-9"/>
        </w:rPr>
        <w:t> </w:t>
      </w:r>
      <w:r>
        <w:rPr/>
        <w:t>al.,</w:t>
      </w:r>
      <w:r>
        <w:rPr>
          <w:spacing w:val="-10"/>
        </w:rPr>
        <w:t> </w:t>
      </w:r>
      <w:r>
        <w:rPr/>
        <w:t>1988).</w:t>
      </w:r>
      <w:r>
        <w:rPr>
          <w:spacing w:val="40"/>
        </w:rPr>
        <w:t> </w:t>
      </w:r>
      <w:r>
        <w:rPr/>
        <w:t>The</w:t>
      </w:r>
      <w:r>
        <w:rPr>
          <w:spacing w:val="-11"/>
        </w:rPr>
        <w:t> </w:t>
      </w:r>
      <w:r>
        <w:rPr/>
        <w:t>study by Boubaker and Sami (2011) examined the impact of multiple large shareholders on the informativeness of firms’ earnings. The study used regression models that related earnings to stock</w:t>
      </w:r>
      <w:r>
        <w:rPr>
          <w:spacing w:val="-3"/>
        </w:rPr>
        <w:t> </w:t>
      </w:r>
      <w:r>
        <w:rPr/>
        <w:t>returns</w:t>
      </w:r>
      <w:r>
        <w:rPr>
          <w:spacing w:val="-3"/>
        </w:rPr>
        <w:t> </w:t>
      </w:r>
      <w:r>
        <w:rPr/>
        <w:t>for</w:t>
      </w:r>
      <w:r>
        <w:rPr>
          <w:spacing w:val="-3"/>
        </w:rPr>
        <w:t> </w:t>
      </w:r>
      <w:r>
        <w:rPr/>
        <w:t>a</w:t>
      </w:r>
      <w:r>
        <w:rPr>
          <w:spacing w:val="-5"/>
        </w:rPr>
        <w:t> </w:t>
      </w:r>
      <w:r>
        <w:rPr/>
        <w:t>sample</w:t>
      </w:r>
      <w:r>
        <w:rPr>
          <w:spacing w:val="-4"/>
        </w:rPr>
        <w:t> </w:t>
      </w:r>
      <w:r>
        <w:rPr/>
        <w:t>of</w:t>
      </w:r>
      <w:r>
        <w:rPr>
          <w:spacing w:val="-3"/>
        </w:rPr>
        <w:t> </w:t>
      </w:r>
      <w:r>
        <w:rPr/>
        <w:t>402</w:t>
      </w:r>
      <w:r>
        <w:rPr>
          <w:spacing w:val="-3"/>
        </w:rPr>
        <w:t> </w:t>
      </w:r>
      <w:r>
        <w:rPr/>
        <w:t>French</w:t>
      </w:r>
      <w:r>
        <w:rPr>
          <w:spacing w:val="-3"/>
        </w:rPr>
        <w:t> </w:t>
      </w:r>
      <w:r>
        <w:rPr/>
        <w:t>publicly</w:t>
      </w:r>
      <w:r>
        <w:rPr>
          <w:spacing w:val="-1"/>
        </w:rPr>
        <w:t> </w:t>
      </w:r>
      <w:r>
        <w:rPr/>
        <w:t>traded</w:t>
      </w:r>
      <w:r>
        <w:rPr>
          <w:spacing w:val="-3"/>
        </w:rPr>
        <w:t> </w:t>
      </w:r>
      <w:r>
        <w:rPr/>
        <w:t>firms covered</w:t>
      </w:r>
      <w:r>
        <w:rPr>
          <w:spacing w:val="-3"/>
        </w:rPr>
        <w:t> </w:t>
      </w:r>
      <w:r>
        <w:rPr/>
        <w:t>during</w:t>
      </w:r>
      <w:r>
        <w:rPr>
          <w:spacing w:val="-3"/>
        </w:rPr>
        <w:t> </w:t>
      </w:r>
      <w:r>
        <w:rPr/>
        <w:t>the</w:t>
      </w:r>
      <w:r>
        <w:rPr>
          <w:spacing w:val="-3"/>
        </w:rPr>
        <w:t> </w:t>
      </w:r>
      <w:r>
        <w:rPr/>
        <w:t>period</w:t>
      </w:r>
      <w:r>
        <w:rPr>
          <w:spacing w:val="-3"/>
        </w:rPr>
        <w:t> </w:t>
      </w:r>
      <w:r>
        <w:rPr/>
        <w:t>2003 to 2007. The findings showed that earnings informativeness exhibited a positive significant impact</w:t>
      </w:r>
      <w:r>
        <w:rPr>
          <w:spacing w:val="-11"/>
        </w:rPr>
        <w:t> </w:t>
      </w:r>
      <w:r>
        <w:rPr/>
        <w:t>on</w:t>
      </w:r>
      <w:r>
        <w:rPr>
          <w:spacing w:val="-12"/>
        </w:rPr>
        <w:t> </w:t>
      </w:r>
      <w:r>
        <w:rPr/>
        <w:t>owners’</w:t>
      </w:r>
      <w:r>
        <w:rPr>
          <w:spacing w:val="-13"/>
        </w:rPr>
        <w:t> </w:t>
      </w:r>
      <w:r>
        <w:rPr/>
        <w:t>ultimate</w:t>
      </w:r>
      <w:r>
        <w:rPr>
          <w:spacing w:val="-12"/>
        </w:rPr>
        <w:t> </w:t>
      </w:r>
      <w:r>
        <w:rPr/>
        <w:t>cash</w:t>
      </w:r>
      <w:r>
        <w:rPr>
          <w:spacing w:val="-11"/>
        </w:rPr>
        <w:t> </w:t>
      </w:r>
      <w:r>
        <w:rPr/>
        <w:t>flow</w:t>
      </w:r>
      <w:r>
        <w:rPr>
          <w:spacing w:val="-12"/>
        </w:rPr>
        <w:t> </w:t>
      </w:r>
      <w:r>
        <w:rPr/>
        <w:t>rights.</w:t>
      </w:r>
      <w:r>
        <w:rPr>
          <w:spacing w:val="-11"/>
        </w:rPr>
        <w:t> </w:t>
      </w:r>
      <w:r>
        <w:rPr/>
        <w:t>The</w:t>
      </w:r>
      <w:r>
        <w:rPr>
          <w:spacing w:val="-13"/>
        </w:rPr>
        <w:t> </w:t>
      </w:r>
      <w:r>
        <w:rPr/>
        <w:t>result</w:t>
      </w:r>
      <w:r>
        <w:rPr>
          <w:spacing w:val="-11"/>
        </w:rPr>
        <w:t> </w:t>
      </w:r>
      <w:r>
        <w:rPr/>
        <w:t>suggested</w:t>
      </w:r>
      <w:r>
        <w:rPr>
          <w:spacing w:val="-11"/>
        </w:rPr>
        <w:t> </w:t>
      </w:r>
      <w:r>
        <w:rPr/>
        <w:t>that</w:t>
      </w:r>
      <w:r>
        <w:rPr>
          <w:spacing w:val="-11"/>
        </w:rPr>
        <w:t> </w:t>
      </w:r>
      <w:r>
        <w:rPr/>
        <w:t>controlling</w:t>
      </w:r>
      <w:r>
        <w:rPr>
          <w:spacing w:val="-11"/>
        </w:rPr>
        <w:t> </w:t>
      </w:r>
      <w:r>
        <w:rPr/>
        <w:t>shareholders had</w:t>
      </w:r>
      <w:r>
        <w:rPr>
          <w:spacing w:val="-8"/>
        </w:rPr>
        <w:t> </w:t>
      </w:r>
      <w:r>
        <w:rPr/>
        <w:t>greater</w:t>
      </w:r>
      <w:r>
        <w:rPr>
          <w:spacing w:val="-9"/>
        </w:rPr>
        <w:t> </w:t>
      </w:r>
      <w:r>
        <w:rPr/>
        <w:t>incentives</w:t>
      </w:r>
      <w:r>
        <w:rPr>
          <w:spacing w:val="-8"/>
        </w:rPr>
        <w:t> </w:t>
      </w:r>
      <w:r>
        <w:rPr/>
        <w:t>to</w:t>
      </w:r>
      <w:r>
        <w:rPr>
          <w:spacing w:val="-5"/>
        </w:rPr>
        <w:t> </w:t>
      </w:r>
      <w:r>
        <w:rPr/>
        <w:t>obscure</w:t>
      </w:r>
      <w:r>
        <w:rPr>
          <w:spacing w:val="-8"/>
        </w:rPr>
        <w:t> </w:t>
      </w:r>
      <w:r>
        <w:rPr/>
        <w:t>accounting</w:t>
      </w:r>
      <w:r>
        <w:rPr>
          <w:spacing w:val="-6"/>
        </w:rPr>
        <w:t> </w:t>
      </w:r>
      <w:r>
        <w:rPr/>
        <w:t>figures</w:t>
      </w:r>
      <w:r>
        <w:rPr>
          <w:spacing w:val="-8"/>
        </w:rPr>
        <w:t> </w:t>
      </w:r>
      <w:r>
        <w:rPr/>
        <w:t>when</w:t>
      </w:r>
      <w:r>
        <w:rPr>
          <w:spacing w:val="-6"/>
        </w:rPr>
        <w:t> </w:t>
      </w:r>
      <w:r>
        <w:rPr/>
        <w:t>expropriation</w:t>
      </w:r>
      <w:r>
        <w:rPr>
          <w:spacing w:val="-4"/>
        </w:rPr>
        <w:t> </w:t>
      </w:r>
      <w:r>
        <w:rPr/>
        <w:t>was</w:t>
      </w:r>
      <w:r>
        <w:rPr>
          <w:spacing w:val="-8"/>
        </w:rPr>
        <w:t> </w:t>
      </w:r>
      <w:r>
        <w:rPr/>
        <w:t>likely.</w:t>
      </w:r>
      <w:r>
        <w:rPr>
          <w:spacing w:val="-8"/>
        </w:rPr>
        <w:t> </w:t>
      </w:r>
      <w:r>
        <w:rPr/>
        <w:t>Also,</w:t>
      </w:r>
      <w:r>
        <w:rPr>
          <w:spacing w:val="-8"/>
        </w:rPr>
        <w:t> </w:t>
      </w:r>
      <w:r>
        <w:rPr/>
        <w:t>they found that the largest controlling shareholders mitigated information asymmetry problems thereby enhancing earnings informativeness. Firth et al. (2007) examined the effect of ownership and board structures on earnings informativeness of Chinese companies. Their results</w:t>
      </w:r>
      <w:r>
        <w:rPr>
          <w:spacing w:val="-8"/>
        </w:rPr>
        <w:t> </w:t>
      </w:r>
      <w:r>
        <w:rPr/>
        <w:t>indicated</w:t>
      </w:r>
      <w:r>
        <w:rPr>
          <w:spacing w:val="-8"/>
        </w:rPr>
        <w:t> </w:t>
      </w:r>
      <w:r>
        <w:rPr/>
        <w:t>that</w:t>
      </w:r>
      <w:r>
        <w:rPr>
          <w:spacing w:val="-8"/>
        </w:rPr>
        <w:t> </w:t>
      </w:r>
      <w:r>
        <w:rPr/>
        <w:t>ownership</w:t>
      </w:r>
      <w:r>
        <w:rPr>
          <w:spacing w:val="-8"/>
        </w:rPr>
        <w:t> </w:t>
      </w:r>
      <w:r>
        <w:rPr/>
        <w:t>concentration,</w:t>
      </w:r>
      <w:r>
        <w:rPr>
          <w:spacing w:val="-8"/>
        </w:rPr>
        <w:t> </w:t>
      </w:r>
      <w:r>
        <w:rPr/>
        <w:t>presence</w:t>
      </w:r>
      <w:r>
        <w:rPr>
          <w:spacing w:val="-9"/>
        </w:rPr>
        <w:t> </w:t>
      </w:r>
      <w:r>
        <w:rPr/>
        <w:t>of</w:t>
      </w:r>
      <w:r>
        <w:rPr>
          <w:spacing w:val="-8"/>
        </w:rPr>
        <w:t> </w:t>
      </w:r>
      <w:r>
        <w:rPr/>
        <w:t>foreign</w:t>
      </w:r>
      <w:r>
        <w:rPr>
          <w:spacing w:val="-8"/>
        </w:rPr>
        <w:t> </w:t>
      </w:r>
      <w:r>
        <w:rPr/>
        <w:t>shareholders,</w:t>
      </w:r>
      <w:r>
        <w:rPr>
          <w:spacing w:val="-9"/>
        </w:rPr>
        <w:t> </w:t>
      </w:r>
      <w:r>
        <w:rPr/>
        <w:t>percentage</w:t>
      </w:r>
      <w:r>
        <w:rPr>
          <w:spacing w:val="-9"/>
        </w:rPr>
        <w:t> </w:t>
      </w:r>
      <w:r>
        <w:rPr/>
        <w:t>of tradable shares, type of dominant shareholders, supervisory board and independent directors affected the earnings response coefficient. The study by Fan and Wong (2002) examined the role of concentrated ownership and earnings informativeness in seven East Asian countries. Earnings informativeness was measured by earnings-return relation. Using 977 companies, they found that concentrated ownership was inversely associated with earnings informativeness. Their result was consistent with the entrenchment effect of ownership </w:t>
      </w:r>
      <w:r>
        <w:rPr>
          <w:spacing w:val="-2"/>
        </w:rPr>
        <w:t>concentration.</w:t>
      </w:r>
    </w:p>
    <w:p>
      <w:pPr>
        <w:pStyle w:val="BodyText"/>
      </w:pPr>
    </w:p>
    <w:p>
      <w:pPr>
        <w:pStyle w:val="BodyText"/>
        <w:spacing w:before="2"/>
      </w:pPr>
    </w:p>
    <w:p>
      <w:pPr>
        <w:pStyle w:val="Heading3"/>
        <w:numPr>
          <w:ilvl w:val="1"/>
          <w:numId w:val="23"/>
        </w:numPr>
        <w:tabs>
          <w:tab w:pos="1300" w:val="left" w:leader="none"/>
        </w:tabs>
        <w:spacing w:line="240" w:lineRule="auto" w:before="1" w:after="0"/>
        <w:ind w:left="1300" w:right="0" w:hanging="360"/>
        <w:jc w:val="left"/>
      </w:pPr>
      <w:bookmarkStart w:name="_TOC_250042" w:id="28"/>
      <w:r>
        <w:rPr/>
        <w:t>Theoretical</w:t>
      </w:r>
      <w:r>
        <w:rPr>
          <w:spacing w:val="-5"/>
        </w:rPr>
        <w:t> </w:t>
      </w:r>
      <w:bookmarkEnd w:id="28"/>
      <w:r>
        <w:rPr>
          <w:spacing w:val="-2"/>
        </w:rPr>
        <w:t>Framework</w:t>
      </w:r>
    </w:p>
    <w:p>
      <w:pPr>
        <w:pStyle w:val="Heading3"/>
        <w:numPr>
          <w:ilvl w:val="2"/>
          <w:numId w:val="23"/>
        </w:numPr>
        <w:tabs>
          <w:tab w:pos="1480" w:val="left" w:leader="none"/>
        </w:tabs>
        <w:spacing w:line="240" w:lineRule="auto" w:before="275" w:after="0"/>
        <w:ind w:left="1480" w:right="0" w:hanging="540"/>
        <w:jc w:val="left"/>
      </w:pPr>
      <w:bookmarkStart w:name="_TOC_250041" w:id="29"/>
      <w:r>
        <w:rPr/>
        <w:t>Stakeholder</w:t>
      </w:r>
      <w:bookmarkEnd w:id="29"/>
      <w:r>
        <w:rPr>
          <w:spacing w:val="-2"/>
        </w:rPr>
        <w:t> Theory</w:t>
      </w:r>
    </w:p>
    <w:p>
      <w:pPr>
        <w:spacing w:after="0" w:line="240" w:lineRule="auto"/>
        <w:jc w:val="left"/>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20576">
            <wp:simplePos x="0" y="0"/>
            <wp:positionH relativeFrom="page">
              <wp:posOffset>1095451</wp:posOffset>
            </wp:positionH>
            <wp:positionV relativeFrom="paragraph">
              <wp:posOffset>1850770</wp:posOffset>
            </wp:positionV>
            <wp:extent cx="5106847" cy="5238115"/>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 cstate="print"/>
                    <a:stretch>
                      <a:fillRect/>
                    </a:stretch>
                  </pic:blipFill>
                  <pic:spPr>
                    <a:xfrm>
                      <a:off x="0" y="0"/>
                      <a:ext cx="5106847" cy="5238115"/>
                    </a:xfrm>
                    <a:prstGeom prst="rect">
                      <a:avLst/>
                    </a:prstGeom>
                  </pic:spPr>
                </pic:pic>
              </a:graphicData>
            </a:graphic>
          </wp:anchor>
        </w:drawing>
      </w:r>
      <w:r>
        <w:rPr/>
        <w:t>The term, stakeholder, was originally used to describe the stockholder as the only group to which management needed to be accountable (Freeman, 1983). However, it has been used in recent</w:t>
      </w:r>
      <w:r>
        <w:rPr>
          <w:spacing w:val="-4"/>
        </w:rPr>
        <w:t> </w:t>
      </w:r>
      <w:r>
        <w:rPr/>
        <w:t>times</w:t>
      </w:r>
      <w:r>
        <w:rPr>
          <w:spacing w:val="-5"/>
        </w:rPr>
        <w:t> </w:t>
      </w:r>
      <w:r>
        <w:rPr/>
        <w:t>to</w:t>
      </w:r>
      <w:r>
        <w:rPr>
          <w:spacing w:val="-4"/>
        </w:rPr>
        <w:t> </w:t>
      </w:r>
      <w:r>
        <w:rPr/>
        <w:t>include</w:t>
      </w:r>
      <w:r>
        <w:rPr>
          <w:spacing w:val="-4"/>
        </w:rPr>
        <w:t> </w:t>
      </w:r>
      <w:r>
        <w:rPr/>
        <w:t>all</w:t>
      </w:r>
      <w:r>
        <w:rPr>
          <w:spacing w:val="-4"/>
        </w:rPr>
        <w:t> </w:t>
      </w:r>
      <w:r>
        <w:rPr/>
        <w:t>those</w:t>
      </w:r>
      <w:r>
        <w:rPr>
          <w:spacing w:val="-5"/>
        </w:rPr>
        <w:t> </w:t>
      </w:r>
      <w:r>
        <w:rPr/>
        <w:t>who</w:t>
      </w:r>
      <w:r>
        <w:rPr>
          <w:spacing w:val="-5"/>
        </w:rPr>
        <w:t> </w:t>
      </w:r>
      <w:r>
        <w:rPr/>
        <w:t>have</w:t>
      </w:r>
      <w:r>
        <w:rPr>
          <w:spacing w:val="-3"/>
        </w:rPr>
        <w:t> </w:t>
      </w:r>
      <w:r>
        <w:rPr/>
        <w:t>a</w:t>
      </w:r>
      <w:r>
        <w:rPr>
          <w:spacing w:val="-6"/>
        </w:rPr>
        <w:t> </w:t>
      </w:r>
      <w:r>
        <w:rPr/>
        <w:t>stake</w:t>
      </w:r>
      <w:r>
        <w:rPr>
          <w:spacing w:val="-3"/>
        </w:rPr>
        <w:t> </w:t>
      </w:r>
      <w:r>
        <w:rPr/>
        <w:t>objective</w:t>
      </w:r>
      <w:r>
        <w:rPr>
          <w:spacing w:val="-6"/>
        </w:rPr>
        <w:t> </w:t>
      </w:r>
      <w:r>
        <w:rPr/>
        <w:t>of</w:t>
      </w:r>
      <w:r>
        <w:rPr>
          <w:spacing w:val="-6"/>
        </w:rPr>
        <w:t> </w:t>
      </w:r>
      <w:r>
        <w:rPr/>
        <w:t>the</w:t>
      </w:r>
      <w:r>
        <w:rPr>
          <w:spacing w:val="-3"/>
        </w:rPr>
        <w:t> </w:t>
      </w:r>
      <w:r>
        <w:rPr/>
        <w:t>company</w:t>
      </w:r>
      <w:r>
        <w:rPr>
          <w:spacing w:val="-3"/>
        </w:rPr>
        <w:t> </w:t>
      </w:r>
      <w:r>
        <w:rPr/>
        <w:t>(Sternberg,</w:t>
      </w:r>
      <w:r>
        <w:rPr>
          <w:spacing w:val="-6"/>
        </w:rPr>
        <w:t> </w:t>
      </w:r>
      <w:r>
        <w:rPr/>
        <w:t>1997). This has resulted in the theory being adopted or refuted by a range of disciplines forming the business</w:t>
      </w:r>
      <w:r>
        <w:rPr>
          <w:spacing w:val="-5"/>
        </w:rPr>
        <w:t> </w:t>
      </w:r>
      <w:r>
        <w:rPr/>
        <w:t>context</w:t>
      </w:r>
      <w:r>
        <w:rPr>
          <w:spacing w:val="-6"/>
        </w:rPr>
        <w:t> </w:t>
      </w:r>
      <w:r>
        <w:rPr/>
        <w:t>(McCabe,</w:t>
      </w:r>
      <w:r>
        <w:rPr>
          <w:spacing w:val="-6"/>
        </w:rPr>
        <w:t> </w:t>
      </w:r>
      <w:r>
        <w:rPr/>
        <w:t>2002).</w:t>
      </w:r>
      <w:r>
        <w:rPr>
          <w:spacing w:val="-6"/>
        </w:rPr>
        <w:t> </w:t>
      </w:r>
      <w:r>
        <w:rPr/>
        <w:t>Stakeholders</w:t>
      </w:r>
      <w:r>
        <w:rPr>
          <w:spacing w:val="-6"/>
        </w:rPr>
        <w:t> </w:t>
      </w:r>
      <w:r>
        <w:rPr/>
        <w:t>are</w:t>
      </w:r>
      <w:r>
        <w:rPr>
          <w:spacing w:val="-7"/>
        </w:rPr>
        <w:t> </w:t>
      </w:r>
      <w:r>
        <w:rPr/>
        <w:t>individuals,</w:t>
      </w:r>
      <w:r>
        <w:rPr>
          <w:spacing w:val="-6"/>
        </w:rPr>
        <w:t> </w:t>
      </w:r>
      <w:r>
        <w:rPr/>
        <w:t>groups</w:t>
      </w:r>
      <w:r>
        <w:rPr>
          <w:spacing w:val="-6"/>
        </w:rPr>
        <w:t> </w:t>
      </w:r>
      <w:r>
        <w:rPr/>
        <w:t>and</w:t>
      </w:r>
      <w:r>
        <w:rPr>
          <w:spacing w:val="-4"/>
        </w:rPr>
        <w:t> </w:t>
      </w:r>
      <w:r>
        <w:rPr/>
        <w:t>organisations</w:t>
      </w:r>
      <w:r>
        <w:rPr>
          <w:spacing w:val="-2"/>
        </w:rPr>
        <w:t> </w:t>
      </w:r>
      <w:r>
        <w:rPr/>
        <w:t>who have</w:t>
      </w:r>
      <w:r>
        <w:rPr>
          <w:spacing w:val="-11"/>
        </w:rPr>
        <w:t> </w:t>
      </w:r>
      <w:r>
        <w:rPr/>
        <w:t>an</w:t>
      </w:r>
      <w:r>
        <w:rPr>
          <w:spacing w:val="-8"/>
        </w:rPr>
        <w:t> </w:t>
      </w:r>
      <w:r>
        <w:rPr/>
        <w:t>interest</w:t>
      </w:r>
      <w:r>
        <w:rPr>
          <w:spacing w:val="-9"/>
        </w:rPr>
        <w:t> </w:t>
      </w:r>
      <w:r>
        <w:rPr/>
        <w:t>in</w:t>
      </w:r>
      <w:r>
        <w:rPr>
          <w:spacing w:val="-9"/>
        </w:rPr>
        <w:t> </w:t>
      </w:r>
      <w:r>
        <w:rPr/>
        <w:t>the</w:t>
      </w:r>
      <w:r>
        <w:rPr>
          <w:spacing w:val="-11"/>
        </w:rPr>
        <w:t> </w:t>
      </w:r>
      <w:r>
        <w:rPr/>
        <w:t>process</w:t>
      </w:r>
      <w:r>
        <w:rPr>
          <w:spacing w:val="-9"/>
        </w:rPr>
        <w:t> </w:t>
      </w:r>
      <w:r>
        <w:rPr/>
        <w:t>and</w:t>
      </w:r>
      <w:r>
        <w:rPr>
          <w:spacing w:val="-8"/>
        </w:rPr>
        <w:t> </w:t>
      </w:r>
      <w:r>
        <w:rPr/>
        <w:t>outcomes</w:t>
      </w:r>
      <w:r>
        <w:rPr>
          <w:spacing w:val="-9"/>
        </w:rPr>
        <w:t> </w:t>
      </w:r>
      <w:r>
        <w:rPr/>
        <w:t>of</w:t>
      </w:r>
      <w:r>
        <w:rPr>
          <w:spacing w:val="-8"/>
        </w:rPr>
        <w:t> </w:t>
      </w:r>
      <w:r>
        <w:rPr/>
        <w:t>the</w:t>
      </w:r>
      <w:r>
        <w:rPr>
          <w:spacing w:val="-8"/>
        </w:rPr>
        <w:t> </w:t>
      </w:r>
      <w:r>
        <w:rPr/>
        <w:t>firm</w:t>
      </w:r>
      <w:r>
        <w:rPr>
          <w:spacing w:val="-9"/>
        </w:rPr>
        <w:t> </w:t>
      </w:r>
      <w:r>
        <w:rPr/>
        <w:t>and</w:t>
      </w:r>
      <w:r>
        <w:rPr>
          <w:spacing w:val="-10"/>
        </w:rPr>
        <w:t> </w:t>
      </w:r>
      <w:r>
        <w:rPr/>
        <w:t>upon</w:t>
      </w:r>
      <w:r>
        <w:rPr>
          <w:spacing w:val="-7"/>
        </w:rPr>
        <w:t> </w:t>
      </w:r>
      <w:r>
        <w:rPr/>
        <w:t>whom</w:t>
      </w:r>
      <w:r>
        <w:rPr>
          <w:spacing w:val="-10"/>
        </w:rPr>
        <w:t> </w:t>
      </w:r>
      <w:r>
        <w:rPr/>
        <w:t>a</w:t>
      </w:r>
      <w:r>
        <w:rPr>
          <w:spacing w:val="-8"/>
        </w:rPr>
        <w:t> </w:t>
      </w:r>
      <w:r>
        <w:rPr/>
        <w:t>firm</w:t>
      </w:r>
      <w:r>
        <w:rPr>
          <w:spacing w:val="-9"/>
        </w:rPr>
        <w:t> </w:t>
      </w:r>
      <w:r>
        <w:rPr/>
        <w:t>depends</w:t>
      </w:r>
      <w:r>
        <w:rPr>
          <w:spacing w:val="-9"/>
        </w:rPr>
        <w:t> </w:t>
      </w:r>
      <w:r>
        <w:rPr/>
        <w:t>for</w:t>
      </w:r>
      <w:r>
        <w:rPr>
          <w:spacing w:val="-10"/>
        </w:rPr>
        <w:t> </w:t>
      </w:r>
      <w:r>
        <w:rPr/>
        <w:t>the achievement</w:t>
      </w:r>
      <w:r>
        <w:rPr>
          <w:spacing w:val="-7"/>
        </w:rPr>
        <w:t> </w:t>
      </w:r>
      <w:r>
        <w:rPr/>
        <w:t>of</w:t>
      </w:r>
      <w:r>
        <w:rPr>
          <w:spacing w:val="-8"/>
        </w:rPr>
        <w:t> </w:t>
      </w:r>
      <w:r>
        <w:rPr/>
        <w:t>its</w:t>
      </w:r>
      <w:r>
        <w:rPr>
          <w:spacing w:val="-7"/>
        </w:rPr>
        <w:t> </w:t>
      </w:r>
      <w:r>
        <w:rPr/>
        <w:t>goals</w:t>
      </w:r>
      <w:r>
        <w:rPr>
          <w:spacing w:val="-7"/>
        </w:rPr>
        <w:t> </w:t>
      </w:r>
      <w:r>
        <w:rPr/>
        <w:t>(Freeman,</w:t>
      </w:r>
      <w:r>
        <w:rPr>
          <w:spacing w:val="-8"/>
        </w:rPr>
        <w:t> </w:t>
      </w:r>
      <w:r>
        <w:rPr/>
        <w:t>1984;</w:t>
      </w:r>
      <w:r>
        <w:rPr>
          <w:spacing w:val="-7"/>
        </w:rPr>
        <w:t> </w:t>
      </w:r>
      <w:r>
        <w:rPr/>
        <w:t>Freeman,</w:t>
      </w:r>
      <w:r>
        <w:rPr>
          <w:spacing w:val="-7"/>
        </w:rPr>
        <w:t> </w:t>
      </w:r>
      <w:r>
        <w:rPr/>
        <w:t>Harrison</w:t>
      </w:r>
      <w:r>
        <w:rPr>
          <w:spacing w:val="-7"/>
        </w:rPr>
        <w:t> </w:t>
      </w:r>
      <w:r>
        <w:rPr/>
        <w:t>&amp;</w:t>
      </w:r>
      <w:r>
        <w:rPr>
          <w:spacing w:val="-7"/>
        </w:rPr>
        <w:t> </w:t>
      </w:r>
      <w:r>
        <w:rPr/>
        <w:t>Wicks,</w:t>
      </w:r>
      <w:r>
        <w:rPr>
          <w:spacing w:val="-7"/>
        </w:rPr>
        <w:t> </w:t>
      </w:r>
      <w:r>
        <w:rPr/>
        <w:t>2007).</w:t>
      </w:r>
      <w:r>
        <w:rPr>
          <w:spacing w:val="-6"/>
        </w:rPr>
        <w:t> </w:t>
      </w:r>
      <w:r>
        <w:rPr/>
        <w:t>It</w:t>
      </w:r>
      <w:r>
        <w:rPr>
          <w:spacing w:val="-7"/>
        </w:rPr>
        <w:t> </w:t>
      </w:r>
      <w:r>
        <w:rPr/>
        <w:t>has</w:t>
      </w:r>
      <w:r>
        <w:rPr>
          <w:spacing w:val="-7"/>
        </w:rPr>
        <w:t> </w:t>
      </w:r>
      <w:r>
        <w:rPr/>
        <w:t>been</w:t>
      </w:r>
      <w:r>
        <w:rPr>
          <w:spacing w:val="-7"/>
        </w:rPr>
        <w:t> </w:t>
      </w:r>
      <w:r>
        <w:rPr/>
        <w:t>used to explain the interactions and interrelationships that exist between a corporate entity and its various stakeholders to create and trade values.</w:t>
      </w:r>
      <w:r>
        <w:rPr>
          <w:spacing w:val="40"/>
        </w:rPr>
        <w:t> </w:t>
      </w:r>
      <w:r>
        <w:rPr/>
        <w:t>This sees a corporate environment as an ecosystem of related groups, all of whom need to be considered and satisfied to keep the company healthy and successful in the long run. According to Freeman (1984), the theory involves any group or individuals who can affect or is affected by the achievement of the organisation’s objectives. In the same vein, Freeman (2004) defined stakeholders as those groups who are vital to the survival and success of the corporation. They are those groups without whose support the organisation would cease to exist.</w:t>
      </w:r>
    </w:p>
    <w:p>
      <w:pPr>
        <w:pStyle w:val="BodyText"/>
        <w:spacing w:line="480" w:lineRule="auto" w:before="2"/>
        <w:ind w:left="940" w:right="1436"/>
        <w:jc w:val="both"/>
      </w:pPr>
      <w:r>
        <w:rPr/>
        <w:t>The theory involves anyone invested and involved in, or affected by the company as opposed to</w:t>
      </w:r>
      <w:r>
        <w:rPr>
          <w:spacing w:val="-3"/>
        </w:rPr>
        <w:t> </w:t>
      </w:r>
      <w:r>
        <w:rPr/>
        <w:t>the</w:t>
      </w:r>
      <w:r>
        <w:rPr>
          <w:spacing w:val="-4"/>
        </w:rPr>
        <w:t> </w:t>
      </w:r>
      <w:r>
        <w:rPr/>
        <w:t>shareholder</w:t>
      </w:r>
      <w:r>
        <w:rPr>
          <w:spacing w:val="-5"/>
        </w:rPr>
        <w:t> </w:t>
      </w:r>
      <w:r>
        <w:rPr/>
        <w:t>theory</w:t>
      </w:r>
      <w:r>
        <w:rPr>
          <w:spacing w:val="-3"/>
        </w:rPr>
        <w:t> </w:t>
      </w:r>
      <w:r>
        <w:rPr/>
        <w:t>which</w:t>
      </w:r>
      <w:r>
        <w:rPr>
          <w:spacing w:val="-3"/>
        </w:rPr>
        <w:t> </w:t>
      </w:r>
      <w:r>
        <w:rPr/>
        <w:t>says</w:t>
      </w:r>
      <w:r>
        <w:rPr>
          <w:spacing w:val="-3"/>
        </w:rPr>
        <w:t> </w:t>
      </w:r>
      <w:r>
        <w:rPr/>
        <w:t>that</w:t>
      </w:r>
      <w:r>
        <w:rPr>
          <w:spacing w:val="-3"/>
        </w:rPr>
        <w:t> </w:t>
      </w:r>
      <w:r>
        <w:rPr/>
        <w:t>a</w:t>
      </w:r>
      <w:r>
        <w:rPr>
          <w:spacing w:val="-3"/>
        </w:rPr>
        <w:t> </w:t>
      </w:r>
      <w:r>
        <w:rPr/>
        <w:t>company</w:t>
      </w:r>
      <w:r>
        <w:rPr>
          <w:spacing w:val="-3"/>
        </w:rPr>
        <w:t> </w:t>
      </w:r>
      <w:r>
        <w:rPr/>
        <w:t>is</w:t>
      </w:r>
      <w:r>
        <w:rPr>
          <w:spacing w:val="-3"/>
        </w:rPr>
        <w:t> </w:t>
      </w:r>
      <w:r>
        <w:rPr/>
        <w:t>beholden</w:t>
      </w:r>
      <w:r>
        <w:rPr>
          <w:spacing w:val="-3"/>
        </w:rPr>
        <w:t> </w:t>
      </w:r>
      <w:r>
        <w:rPr/>
        <w:t>only</w:t>
      </w:r>
      <w:r>
        <w:rPr>
          <w:spacing w:val="-3"/>
        </w:rPr>
        <w:t> </w:t>
      </w:r>
      <w:r>
        <w:rPr/>
        <w:t>to</w:t>
      </w:r>
      <w:r>
        <w:rPr>
          <w:spacing w:val="-3"/>
        </w:rPr>
        <w:t> </w:t>
      </w:r>
      <w:r>
        <w:rPr/>
        <w:t>shareholders,</w:t>
      </w:r>
      <w:r>
        <w:rPr>
          <w:spacing w:val="-3"/>
        </w:rPr>
        <w:t> </w:t>
      </w:r>
      <w:r>
        <w:rPr/>
        <w:t>i.e.,</w:t>
      </w:r>
      <w:r>
        <w:rPr>
          <w:spacing w:val="-3"/>
        </w:rPr>
        <w:t> </w:t>
      </w:r>
      <w:r>
        <w:rPr/>
        <w:t>the company must make a profit for its shareholders. These stakeholders may bring an action against the directors for the failure to perform the required duty of care. These groups would include customers, employees, suppliers, political action groups, environmental group, local communities, the media, financial institutions, governmental groups, etc. Individuals, groups and</w:t>
      </w:r>
      <w:r>
        <w:rPr>
          <w:spacing w:val="-8"/>
        </w:rPr>
        <w:t> </w:t>
      </w:r>
      <w:r>
        <w:rPr/>
        <w:t>organisations</w:t>
      </w:r>
      <w:r>
        <w:rPr>
          <w:spacing w:val="-8"/>
        </w:rPr>
        <w:t> </w:t>
      </w:r>
      <w:r>
        <w:rPr/>
        <w:t>are</w:t>
      </w:r>
      <w:r>
        <w:rPr>
          <w:spacing w:val="-10"/>
        </w:rPr>
        <w:t> </w:t>
      </w:r>
      <w:r>
        <w:rPr/>
        <w:t>seen</w:t>
      </w:r>
      <w:r>
        <w:rPr>
          <w:spacing w:val="-8"/>
        </w:rPr>
        <w:t> </w:t>
      </w:r>
      <w:r>
        <w:rPr/>
        <w:t>as</w:t>
      </w:r>
      <w:r>
        <w:rPr>
          <w:spacing w:val="-8"/>
        </w:rPr>
        <w:t> </w:t>
      </w:r>
      <w:r>
        <w:rPr/>
        <w:t>stakeholders</w:t>
      </w:r>
      <w:r>
        <w:rPr>
          <w:spacing w:val="-8"/>
        </w:rPr>
        <w:t> </w:t>
      </w:r>
      <w:r>
        <w:rPr/>
        <w:t>because</w:t>
      </w:r>
      <w:r>
        <w:rPr>
          <w:spacing w:val="-7"/>
        </w:rPr>
        <w:t> </w:t>
      </w:r>
      <w:r>
        <w:rPr/>
        <w:t>of</w:t>
      </w:r>
      <w:r>
        <w:rPr>
          <w:spacing w:val="-9"/>
        </w:rPr>
        <w:t> </w:t>
      </w:r>
      <w:r>
        <w:rPr/>
        <w:t>their</w:t>
      </w:r>
      <w:r>
        <w:rPr>
          <w:spacing w:val="-9"/>
        </w:rPr>
        <w:t> </w:t>
      </w:r>
      <w:r>
        <w:rPr/>
        <w:t>involvement</w:t>
      </w:r>
      <w:r>
        <w:rPr>
          <w:spacing w:val="-8"/>
        </w:rPr>
        <w:t> </w:t>
      </w:r>
      <w:r>
        <w:rPr/>
        <w:t>in</w:t>
      </w:r>
      <w:r>
        <w:rPr>
          <w:spacing w:val="-8"/>
        </w:rPr>
        <w:t> </w:t>
      </w:r>
      <w:r>
        <w:rPr/>
        <w:t>the</w:t>
      </w:r>
      <w:r>
        <w:rPr>
          <w:spacing w:val="-9"/>
        </w:rPr>
        <w:t> </w:t>
      </w:r>
      <w:r>
        <w:rPr/>
        <w:t>value</w:t>
      </w:r>
      <w:r>
        <w:rPr>
          <w:spacing w:val="-9"/>
        </w:rPr>
        <w:t> </w:t>
      </w:r>
      <w:r>
        <w:rPr/>
        <w:t>producing process</w:t>
      </w:r>
      <w:r>
        <w:rPr>
          <w:spacing w:val="-7"/>
        </w:rPr>
        <w:t> </w:t>
      </w:r>
      <w:r>
        <w:rPr/>
        <w:t>of</w:t>
      </w:r>
      <w:r>
        <w:rPr>
          <w:spacing w:val="-8"/>
        </w:rPr>
        <w:t> </w:t>
      </w:r>
      <w:r>
        <w:rPr/>
        <w:t>the</w:t>
      </w:r>
      <w:r>
        <w:rPr>
          <w:spacing w:val="-6"/>
        </w:rPr>
        <w:t> </w:t>
      </w:r>
      <w:r>
        <w:rPr/>
        <w:t>firm.</w:t>
      </w:r>
      <w:r>
        <w:rPr>
          <w:spacing w:val="-5"/>
        </w:rPr>
        <w:t> </w:t>
      </w:r>
      <w:r>
        <w:rPr/>
        <w:t>They</w:t>
      </w:r>
      <w:r>
        <w:rPr>
          <w:spacing w:val="-5"/>
        </w:rPr>
        <w:t> </w:t>
      </w:r>
      <w:r>
        <w:rPr/>
        <w:t>are</w:t>
      </w:r>
      <w:r>
        <w:rPr>
          <w:spacing w:val="-8"/>
        </w:rPr>
        <w:t> </w:t>
      </w:r>
      <w:r>
        <w:rPr/>
        <w:t>often</w:t>
      </w:r>
      <w:r>
        <w:rPr>
          <w:spacing w:val="-7"/>
        </w:rPr>
        <w:t> </w:t>
      </w:r>
      <w:r>
        <w:rPr/>
        <w:t>referred</w:t>
      </w:r>
      <w:r>
        <w:rPr>
          <w:spacing w:val="-5"/>
        </w:rPr>
        <w:t> </w:t>
      </w:r>
      <w:r>
        <w:rPr/>
        <w:t>to</w:t>
      </w:r>
      <w:r>
        <w:rPr>
          <w:spacing w:val="-4"/>
        </w:rPr>
        <w:t> </w:t>
      </w:r>
      <w:r>
        <w:rPr/>
        <w:t>as</w:t>
      </w:r>
      <w:r>
        <w:rPr>
          <w:spacing w:val="-7"/>
        </w:rPr>
        <w:t> </w:t>
      </w:r>
      <w:r>
        <w:rPr/>
        <w:t>legitimate</w:t>
      </w:r>
      <w:r>
        <w:rPr>
          <w:spacing w:val="-8"/>
        </w:rPr>
        <w:t> </w:t>
      </w:r>
      <w:r>
        <w:rPr/>
        <w:t>or</w:t>
      </w:r>
      <w:r>
        <w:rPr>
          <w:spacing w:val="-8"/>
        </w:rPr>
        <w:t> </w:t>
      </w:r>
      <w:r>
        <w:rPr/>
        <w:t>primary</w:t>
      </w:r>
      <w:r>
        <w:rPr>
          <w:spacing w:val="-8"/>
        </w:rPr>
        <w:t> </w:t>
      </w:r>
      <w:r>
        <w:rPr/>
        <w:t>stakeholders.</w:t>
      </w:r>
      <w:r>
        <w:rPr>
          <w:spacing w:val="-7"/>
        </w:rPr>
        <w:t> </w:t>
      </w:r>
      <w:r>
        <w:rPr/>
        <w:t>Examples are employees and managers, shareholders, financiers, customers and suppliers (Phillips, 2003).</w:t>
      </w:r>
      <w:r>
        <w:rPr>
          <w:spacing w:val="5"/>
        </w:rPr>
        <w:t> </w:t>
      </w:r>
      <w:r>
        <w:rPr/>
        <w:t>Other</w:t>
      </w:r>
      <w:r>
        <w:rPr>
          <w:spacing w:val="6"/>
        </w:rPr>
        <w:t> </w:t>
      </w:r>
      <w:r>
        <w:rPr/>
        <w:t>stakeholders</w:t>
      </w:r>
      <w:r>
        <w:rPr>
          <w:spacing w:val="8"/>
        </w:rPr>
        <w:t> </w:t>
      </w:r>
      <w:r>
        <w:rPr/>
        <w:t>such</w:t>
      </w:r>
      <w:r>
        <w:rPr>
          <w:spacing w:val="7"/>
        </w:rPr>
        <w:t> </w:t>
      </w:r>
      <w:r>
        <w:rPr/>
        <w:t>as</w:t>
      </w:r>
      <w:r>
        <w:rPr>
          <w:spacing w:val="8"/>
        </w:rPr>
        <w:t> </w:t>
      </w:r>
      <w:r>
        <w:rPr/>
        <w:t>communities,</w:t>
      </w:r>
      <w:r>
        <w:rPr>
          <w:spacing w:val="4"/>
        </w:rPr>
        <w:t> </w:t>
      </w:r>
      <w:r>
        <w:rPr/>
        <w:t>special</w:t>
      </w:r>
      <w:r>
        <w:rPr>
          <w:spacing w:val="8"/>
        </w:rPr>
        <w:t> </w:t>
      </w:r>
      <w:r>
        <w:rPr/>
        <w:t>interest</w:t>
      </w:r>
      <w:r>
        <w:rPr>
          <w:spacing w:val="8"/>
        </w:rPr>
        <w:t> </w:t>
      </w:r>
      <w:r>
        <w:rPr/>
        <w:t>or</w:t>
      </w:r>
      <w:r>
        <w:rPr>
          <w:spacing w:val="7"/>
        </w:rPr>
        <w:t> </w:t>
      </w:r>
      <w:r>
        <w:rPr/>
        <w:t>environmental</w:t>
      </w:r>
      <w:r>
        <w:rPr>
          <w:spacing w:val="7"/>
        </w:rPr>
        <w:t> </w:t>
      </w:r>
      <w:r>
        <w:rPr/>
        <w:t>groups,</w:t>
      </w:r>
      <w:r>
        <w:rPr>
          <w:spacing w:val="8"/>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21088">
            <wp:simplePos x="0" y="0"/>
            <wp:positionH relativeFrom="page">
              <wp:posOffset>1095451</wp:posOffset>
            </wp:positionH>
            <wp:positionV relativeFrom="paragraph">
              <wp:posOffset>1850770</wp:posOffset>
            </wp:positionV>
            <wp:extent cx="5106847" cy="5238115"/>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5" cstate="print"/>
                    <a:stretch>
                      <a:fillRect/>
                    </a:stretch>
                  </pic:blipFill>
                  <pic:spPr>
                    <a:xfrm>
                      <a:off x="0" y="0"/>
                      <a:ext cx="5106847" cy="5238115"/>
                    </a:xfrm>
                    <a:prstGeom prst="rect">
                      <a:avLst/>
                    </a:prstGeom>
                  </pic:spPr>
                </pic:pic>
              </a:graphicData>
            </a:graphic>
          </wp:anchor>
        </w:drawing>
      </w:r>
      <w:r>
        <w:rPr/>
        <w:t>media, society, are a little more difficult to comprehend because it may be impossible to determine what is in the best interest of such a vast and heterogeneous group. Within the context of this study, the</w:t>
      </w:r>
      <w:r>
        <w:rPr>
          <w:spacing w:val="-1"/>
        </w:rPr>
        <w:t> </w:t>
      </w:r>
      <w:r>
        <w:rPr/>
        <w:t>BoD was seen as stakeholders hired by the principals (shareholders) in ensuring that the agents (managers) acted in the best interest of the principal. Again, the IASB, issuers of the IFRS were seen as stakeholders who were concerned about the informativeness of financial information. Therefore, it was expected that the stakeholders affected the outcome of corporate entities, in the context of this study, the informativeness of financial report, and vice-versa.</w:t>
      </w:r>
    </w:p>
    <w:p>
      <w:pPr>
        <w:pStyle w:val="Heading3"/>
        <w:numPr>
          <w:ilvl w:val="2"/>
          <w:numId w:val="23"/>
        </w:numPr>
        <w:tabs>
          <w:tab w:pos="1480" w:val="left" w:leader="none"/>
        </w:tabs>
        <w:spacing w:line="240" w:lineRule="auto" w:before="1" w:after="0"/>
        <w:ind w:left="1480" w:right="0" w:hanging="540"/>
        <w:jc w:val="both"/>
      </w:pPr>
      <w:bookmarkStart w:name="_TOC_250040" w:id="30"/>
      <w:r>
        <w:rPr/>
        <w:t>Agency</w:t>
      </w:r>
      <w:r>
        <w:rPr>
          <w:spacing w:val="-3"/>
        </w:rPr>
        <w:t> </w:t>
      </w:r>
      <w:bookmarkEnd w:id="30"/>
      <w:r>
        <w:rPr>
          <w:spacing w:val="-2"/>
        </w:rPr>
        <w:t>Theory</w:t>
      </w:r>
    </w:p>
    <w:p>
      <w:pPr>
        <w:pStyle w:val="BodyText"/>
        <w:rPr>
          <w:b/>
        </w:rPr>
      </w:pPr>
    </w:p>
    <w:p>
      <w:pPr>
        <w:pStyle w:val="BodyText"/>
        <w:spacing w:line="480" w:lineRule="auto"/>
        <w:ind w:left="940" w:right="1437"/>
        <w:jc w:val="both"/>
      </w:pPr>
      <w:r>
        <w:rPr/>
        <w:t>The agency theory seeks to analyse the contractual relationship that exists between company owners (shareholders), and its agents (management). The theory has its root in the work of Berle and Means (1932). It was formalised by Jensen and Meckling (1976). Although the separation</w:t>
      </w:r>
      <w:r>
        <w:rPr>
          <w:spacing w:val="-15"/>
        </w:rPr>
        <w:t> </w:t>
      </w:r>
      <w:r>
        <w:rPr/>
        <w:t>of</w:t>
      </w:r>
      <w:r>
        <w:rPr>
          <w:spacing w:val="-15"/>
        </w:rPr>
        <w:t> </w:t>
      </w:r>
      <w:r>
        <w:rPr/>
        <w:t>ownership</w:t>
      </w:r>
      <w:r>
        <w:rPr>
          <w:spacing w:val="-15"/>
        </w:rPr>
        <w:t> </w:t>
      </w:r>
      <w:r>
        <w:rPr/>
        <w:t>from</w:t>
      </w:r>
      <w:r>
        <w:rPr>
          <w:spacing w:val="-15"/>
        </w:rPr>
        <w:t> </w:t>
      </w:r>
      <w:r>
        <w:rPr/>
        <w:t>control</w:t>
      </w:r>
      <w:r>
        <w:rPr>
          <w:spacing w:val="-15"/>
        </w:rPr>
        <w:t> </w:t>
      </w:r>
      <w:r>
        <w:rPr/>
        <w:t>presents</w:t>
      </w:r>
      <w:r>
        <w:rPr>
          <w:spacing w:val="-15"/>
        </w:rPr>
        <w:t> </w:t>
      </w:r>
      <w:r>
        <w:rPr/>
        <w:t>some</w:t>
      </w:r>
      <w:r>
        <w:rPr>
          <w:spacing w:val="-15"/>
        </w:rPr>
        <w:t> </w:t>
      </w:r>
      <w:r>
        <w:rPr/>
        <w:t>advantages</w:t>
      </w:r>
      <w:r>
        <w:rPr>
          <w:spacing w:val="-15"/>
        </w:rPr>
        <w:t> </w:t>
      </w:r>
      <w:r>
        <w:rPr/>
        <w:t>such</w:t>
      </w:r>
      <w:r>
        <w:rPr>
          <w:spacing w:val="-15"/>
        </w:rPr>
        <w:t> </w:t>
      </w:r>
      <w:r>
        <w:rPr/>
        <w:t>as</w:t>
      </w:r>
      <w:r>
        <w:rPr>
          <w:spacing w:val="-15"/>
        </w:rPr>
        <w:t> </w:t>
      </w:r>
      <w:r>
        <w:rPr/>
        <w:t>the</w:t>
      </w:r>
      <w:r>
        <w:rPr>
          <w:spacing w:val="-15"/>
        </w:rPr>
        <w:t> </w:t>
      </w:r>
      <w:r>
        <w:rPr/>
        <w:t>ability</w:t>
      </w:r>
      <w:r>
        <w:rPr>
          <w:spacing w:val="-15"/>
        </w:rPr>
        <w:t> </w:t>
      </w:r>
      <w:r>
        <w:rPr/>
        <w:t>of</w:t>
      </w:r>
      <w:r>
        <w:rPr>
          <w:spacing w:val="-15"/>
        </w:rPr>
        <w:t> </w:t>
      </w:r>
      <w:r>
        <w:rPr/>
        <w:t>ownership to change without impacting operations, the possibility of hiring experts to act as managers, however, presents a much bigger challenge of wealth shifting from owners to agents. Apart from</w:t>
      </w:r>
      <w:r>
        <w:rPr>
          <w:spacing w:val="-1"/>
        </w:rPr>
        <w:t> </w:t>
      </w:r>
      <w:r>
        <w:rPr/>
        <w:t>conflicting</w:t>
      </w:r>
      <w:r>
        <w:rPr>
          <w:spacing w:val="-1"/>
        </w:rPr>
        <w:t> </w:t>
      </w:r>
      <w:r>
        <w:rPr/>
        <w:t>interests</w:t>
      </w:r>
      <w:r>
        <w:rPr>
          <w:spacing w:val="-1"/>
        </w:rPr>
        <w:t> </w:t>
      </w:r>
      <w:r>
        <w:rPr/>
        <w:t>between</w:t>
      </w:r>
      <w:r>
        <w:rPr>
          <w:spacing w:val="-1"/>
        </w:rPr>
        <w:t> </w:t>
      </w:r>
      <w:r>
        <w:rPr/>
        <w:t>owners</w:t>
      </w:r>
      <w:r>
        <w:rPr>
          <w:spacing w:val="-2"/>
        </w:rPr>
        <w:t> </w:t>
      </w:r>
      <w:r>
        <w:rPr/>
        <w:t>and</w:t>
      </w:r>
      <w:r>
        <w:rPr>
          <w:spacing w:val="-1"/>
        </w:rPr>
        <w:t> </w:t>
      </w:r>
      <w:r>
        <w:rPr/>
        <w:t>agents,</w:t>
      </w:r>
      <w:r>
        <w:rPr>
          <w:spacing w:val="-1"/>
        </w:rPr>
        <w:t> </w:t>
      </w:r>
      <w:r>
        <w:rPr/>
        <w:t>there</w:t>
      </w:r>
      <w:r>
        <w:rPr>
          <w:spacing w:val="-2"/>
        </w:rPr>
        <w:t> </w:t>
      </w:r>
      <w:r>
        <w:rPr/>
        <w:t>could</w:t>
      </w:r>
      <w:r>
        <w:rPr>
          <w:spacing w:val="-1"/>
        </w:rPr>
        <w:t> </w:t>
      </w:r>
      <w:r>
        <w:rPr/>
        <w:t>also</w:t>
      </w:r>
      <w:r>
        <w:rPr>
          <w:spacing w:val="-1"/>
        </w:rPr>
        <w:t> </w:t>
      </w:r>
      <w:r>
        <w:rPr/>
        <w:t>be</w:t>
      </w:r>
      <w:r>
        <w:rPr>
          <w:spacing w:val="-2"/>
        </w:rPr>
        <w:t> </w:t>
      </w:r>
      <w:r>
        <w:rPr/>
        <w:t>conflicting</w:t>
      </w:r>
      <w:r>
        <w:rPr>
          <w:spacing w:val="-1"/>
        </w:rPr>
        <w:t> </w:t>
      </w:r>
      <w:r>
        <w:rPr/>
        <w:t>interests between majority and minority shareholders. The agency relationship is defined as one in which</w:t>
      </w:r>
      <w:r>
        <w:rPr>
          <w:spacing w:val="-15"/>
        </w:rPr>
        <w:t> </w:t>
      </w:r>
      <w:r>
        <w:rPr/>
        <w:t>one</w:t>
      </w:r>
      <w:r>
        <w:rPr>
          <w:spacing w:val="-15"/>
        </w:rPr>
        <w:t> </w:t>
      </w:r>
      <w:r>
        <w:rPr/>
        <w:t>(or</w:t>
      </w:r>
      <w:r>
        <w:rPr>
          <w:spacing w:val="-15"/>
        </w:rPr>
        <w:t> </w:t>
      </w:r>
      <w:r>
        <w:rPr/>
        <w:t>more)</w:t>
      </w:r>
      <w:r>
        <w:rPr>
          <w:spacing w:val="-15"/>
        </w:rPr>
        <w:t> </w:t>
      </w:r>
      <w:r>
        <w:rPr/>
        <w:t>principal</w:t>
      </w:r>
      <w:r>
        <w:rPr>
          <w:spacing w:val="-15"/>
        </w:rPr>
        <w:t> </w:t>
      </w:r>
      <w:r>
        <w:rPr/>
        <w:t>engages</w:t>
      </w:r>
      <w:r>
        <w:rPr>
          <w:spacing w:val="-15"/>
        </w:rPr>
        <w:t> </w:t>
      </w:r>
      <w:r>
        <w:rPr/>
        <w:t>the</w:t>
      </w:r>
      <w:r>
        <w:rPr>
          <w:spacing w:val="-15"/>
        </w:rPr>
        <w:t> </w:t>
      </w:r>
      <w:r>
        <w:rPr/>
        <w:t>agents</w:t>
      </w:r>
      <w:r>
        <w:rPr>
          <w:spacing w:val="-15"/>
        </w:rPr>
        <w:t> </w:t>
      </w:r>
      <w:r>
        <w:rPr/>
        <w:t>to</w:t>
      </w:r>
      <w:r>
        <w:rPr>
          <w:spacing w:val="-15"/>
        </w:rPr>
        <w:t> </w:t>
      </w:r>
      <w:r>
        <w:rPr/>
        <w:t>perform</w:t>
      </w:r>
      <w:r>
        <w:rPr>
          <w:spacing w:val="-15"/>
        </w:rPr>
        <w:t> </w:t>
      </w:r>
      <w:r>
        <w:rPr/>
        <w:t>some</w:t>
      </w:r>
      <w:r>
        <w:rPr>
          <w:spacing w:val="-15"/>
        </w:rPr>
        <w:t> </w:t>
      </w:r>
      <w:r>
        <w:rPr/>
        <w:t>service</w:t>
      </w:r>
      <w:r>
        <w:rPr>
          <w:spacing w:val="-15"/>
        </w:rPr>
        <w:t> </w:t>
      </w:r>
      <w:r>
        <w:rPr/>
        <w:t>on</w:t>
      </w:r>
      <w:r>
        <w:rPr>
          <w:spacing w:val="-15"/>
        </w:rPr>
        <w:t> </w:t>
      </w:r>
      <w:r>
        <w:rPr/>
        <w:t>their</w:t>
      </w:r>
      <w:r>
        <w:rPr>
          <w:spacing w:val="-15"/>
        </w:rPr>
        <w:t> </w:t>
      </w:r>
      <w:r>
        <w:rPr/>
        <w:t>behalf</w:t>
      </w:r>
      <w:r>
        <w:rPr>
          <w:spacing w:val="-15"/>
        </w:rPr>
        <w:t> </w:t>
      </w:r>
      <w:r>
        <w:rPr/>
        <w:t>which involves the delegation of some decision-making authority to the agent (Jensen &amp; Meckling, 1976). In the words of Cruz (2015), the central idea is to analyse the contract relations that reflect efficient information and risk shifting costs.</w:t>
      </w:r>
    </w:p>
    <w:p>
      <w:pPr>
        <w:pStyle w:val="BodyText"/>
        <w:spacing w:line="480" w:lineRule="auto" w:before="1"/>
        <w:ind w:left="940" w:right="1437"/>
        <w:jc w:val="both"/>
      </w:pPr>
      <w:r>
        <w:rPr/>
        <w:t>The separation of ownership from control (Berle &amp;Means, 1932) is the primary source of agency conflict where the decisions are made by managers and the ultimate costs or benefits of these decisions are borne by investors (Fama &amp; Jensen, 1983). In the principal-agent framework,</w:t>
      </w:r>
      <w:r>
        <w:rPr>
          <w:spacing w:val="4"/>
        </w:rPr>
        <w:t> </w:t>
      </w:r>
      <w:r>
        <w:rPr/>
        <w:t>both</w:t>
      </w:r>
      <w:r>
        <w:rPr>
          <w:spacing w:val="6"/>
        </w:rPr>
        <w:t> </w:t>
      </w:r>
      <w:r>
        <w:rPr/>
        <w:t>the</w:t>
      </w:r>
      <w:r>
        <w:rPr>
          <w:spacing w:val="5"/>
        </w:rPr>
        <w:t> </w:t>
      </w:r>
      <w:r>
        <w:rPr/>
        <w:t>principal</w:t>
      </w:r>
      <w:r>
        <w:rPr>
          <w:spacing w:val="5"/>
        </w:rPr>
        <w:t> </w:t>
      </w:r>
      <w:r>
        <w:rPr/>
        <w:t>(shareholders)</w:t>
      </w:r>
      <w:r>
        <w:rPr>
          <w:spacing w:val="4"/>
        </w:rPr>
        <w:t> </w:t>
      </w:r>
      <w:r>
        <w:rPr/>
        <w:t>and</w:t>
      </w:r>
      <w:r>
        <w:rPr>
          <w:spacing w:val="5"/>
        </w:rPr>
        <w:t> </w:t>
      </w:r>
      <w:r>
        <w:rPr/>
        <w:t>the</w:t>
      </w:r>
      <w:r>
        <w:rPr>
          <w:spacing w:val="5"/>
        </w:rPr>
        <w:t> </w:t>
      </w:r>
      <w:r>
        <w:rPr/>
        <w:t>agent</w:t>
      </w:r>
      <w:r>
        <w:rPr>
          <w:spacing w:val="6"/>
        </w:rPr>
        <w:t> </w:t>
      </w:r>
      <w:r>
        <w:rPr/>
        <w:t>(managers)</w:t>
      </w:r>
      <w:r>
        <w:rPr>
          <w:spacing w:val="4"/>
        </w:rPr>
        <w:t> </w:t>
      </w:r>
      <w:r>
        <w:rPr/>
        <w:t>are</w:t>
      </w:r>
      <w:r>
        <w:rPr>
          <w:spacing w:val="5"/>
        </w:rPr>
        <w:t> </w:t>
      </w:r>
      <w:r>
        <w:rPr/>
        <w:t>assumed</w:t>
      </w:r>
      <w:r>
        <w:rPr>
          <w:spacing w:val="5"/>
        </w:rPr>
        <w:t> </w:t>
      </w:r>
      <w:r>
        <w:rPr/>
        <w:t>to</w:t>
      </w:r>
      <w:r>
        <w:rPr>
          <w:spacing w:val="6"/>
        </w:rPr>
        <w:t> </w:t>
      </w:r>
      <w:r>
        <w:rPr>
          <w:spacing w:val="-2"/>
        </w:rPr>
        <w:t>follow</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21600">
            <wp:simplePos x="0" y="0"/>
            <wp:positionH relativeFrom="page">
              <wp:posOffset>1095451</wp:posOffset>
            </wp:positionH>
            <wp:positionV relativeFrom="paragraph">
              <wp:posOffset>1850770</wp:posOffset>
            </wp:positionV>
            <wp:extent cx="5106847" cy="5238115"/>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5" cstate="print"/>
                    <a:stretch>
                      <a:fillRect/>
                    </a:stretch>
                  </pic:blipFill>
                  <pic:spPr>
                    <a:xfrm>
                      <a:off x="0" y="0"/>
                      <a:ext cx="5106847" cy="5238115"/>
                    </a:xfrm>
                    <a:prstGeom prst="rect">
                      <a:avLst/>
                    </a:prstGeom>
                  </pic:spPr>
                </pic:pic>
              </a:graphicData>
            </a:graphic>
          </wp:anchor>
        </w:drawing>
      </w:r>
      <w:r>
        <w:rPr/>
        <w:t>their own interests. This implies that corporate resources may not be used entirely to increase shareholder value, but instead may be used for the benefit of corporate insiders (Demsetz &amp; Lehn, 1985). Hence, the agency problem arises as the result of conflicts of interests between the agent and the principal (Jensen &amp; Meckling, 1976). In order to alleviate the negative consequences</w:t>
      </w:r>
      <w:r>
        <w:rPr>
          <w:spacing w:val="-13"/>
        </w:rPr>
        <w:t> </w:t>
      </w:r>
      <w:r>
        <w:rPr/>
        <w:t>of</w:t>
      </w:r>
      <w:r>
        <w:rPr>
          <w:spacing w:val="-14"/>
        </w:rPr>
        <w:t> </w:t>
      </w:r>
      <w:r>
        <w:rPr/>
        <w:t>this</w:t>
      </w:r>
      <w:r>
        <w:rPr>
          <w:spacing w:val="-13"/>
        </w:rPr>
        <w:t> </w:t>
      </w:r>
      <w:r>
        <w:rPr/>
        <w:t>problem,</w:t>
      </w:r>
      <w:r>
        <w:rPr>
          <w:spacing w:val="-13"/>
        </w:rPr>
        <w:t> </w:t>
      </w:r>
      <w:r>
        <w:rPr/>
        <w:t>agency</w:t>
      </w:r>
      <w:r>
        <w:rPr>
          <w:spacing w:val="-13"/>
        </w:rPr>
        <w:t> </w:t>
      </w:r>
      <w:r>
        <w:rPr/>
        <w:t>theory</w:t>
      </w:r>
      <w:r>
        <w:rPr>
          <w:spacing w:val="-13"/>
        </w:rPr>
        <w:t> </w:t>
      </w:r>
      <w:r>
        <w:rPr/>
        <w:t>describes</w:t>
      </w:r>
      <w:r>
        <w:rPr>
          <w:spacing w:val="-13"/>
        </w:rPr>
        <w:t> </w:t>
      </w:r>
      <w:r>
        <w:rPr/>
        <w:t>the</w:t>
      </w:r>
      <w:r>
        <w:rPr>
          <w:spacing w:val="-14"/>
        </w:rPr>
        <w:t> </w:t>
      </w:r>
      <w:r>
        <w:rPr/>
        <w:t>need</w:t>
      </w:r>
      <w:r>
        <w:rPr>
          <w:spacing w:val="-13"/>
        </w:rPr>
        <w:t> </w:t>
      </w:r>
      <w:r>
        <w:rPr/>
        <w:t>for</w:t>
      </w:r>
      <w:r>
        <w:rPr>
          <w:spacing w:val="-13"/>
        </w:rPr>
        <w:t> </w:t>
      </w:r>
      <w:r>
        <w:rPr/>
        <w:t>monitoring</w:t>
      </w:r>
      <w:r>
        <w:rPr>
          <w:spacing w:val="-13"/>
        </w:rPr>
        <w:t> </w:t>
      </w:r>
      <w:r>
        <w:rPr/>
        <w:t>and</w:t>
      </w:r>
      <w:r>
        <w:rPr>
          <w:spacing w:val="-13"/>
        </w:rPr>
        <w:t> </w:t>
      </w:r>
      <w:r>
        <w:rPr/>
        <w:t>contracting arrangements (Fama &amp; Jensen, 1983; Jensen &amp; Meckling, 1976). Problems arise</w:t>
      </w:r>
      <w:r>
        <w:rPr>
          <w:spacing w:val="-1"/>
        </w:rPr>
        <w:t> </w:t>
      </w:r>
      <w:r>
        <w:rPr/>
        <w:t>when agents act to fulfil self-interest rather than the best interest of the principals. According to McCabe (2002) as cited by Eisenhardt (1989, p.25), agency theory could be described thus;</w:t>
      </w:r>
    </w:p>
    <w:p>
      <w:pPr>
        <w:pStyle w:val="BodyText"/>
        <w:spacing w:line="480" w:lineRule="auto" w:before="1"/>
        <w:ind w:left="2111" w:right="3083"/>
        <w:jc w:val="both"/>
      </w:pPr>
      <w:r>
        <w:rPr/>
        <w:t>From</w:t>
      </w:r>
      <w:r>
        <w:rPr>
          <w:spacing w:val="-2"/>
        </w:rPr>
        <w:t> </w:t>
      </w:r>
      <w:r>
        <w:rPr/>
        <w:t>its</w:t>
      </w:r>
      <w:r>
        <w:rPr>
          <w:spacing w:val="-2"/>
        </w:rPr>
        <w:t> </w:t>
      </w:r>
      <w:r>
        <w:rPr/>
        <w:t>roots</w:t>
      </w:r>
      <w:r>
        <w:rPr>
          <w:spacing w:val="-2"/>
        </w:rPr>
        <w:t> </w:t>
      </w:r>
      <w:r>
        <w:rPr/>
        <w:t>of</w:t>
      </w:r>
      <w:r>
        <w:rPr>
          <w:spacing w:val="-1"/>
        </w:rPr>
        <w:t> </w:t>
      </w:r>
      <w:r>
        <w:rPr/>
        <w:t>economics,</w:t>
      </w:r>
      <w:r>
        <w:rPr>
          <w:spacing w:val="-2"/>
        </w:rPr>
        <w:t> </w:t>
      </w:r>
      <w:r>
        <w:rPr/>
        <w:t>agency theory</w:t>
      </w:r>
      <w:r>
        <w:rPr>
          <w:spacing w:val="-2"/>
        </w:rPr>
        <w:t> </w:t>
      </w:r>
      <w:r>
        <w:rPr/>
        <w:t>has</w:t>
      </w:r>
      <w:r>
        <w:rPr>
          <w:spacing w:val="-2"/>
        </w:rPr>
        <w:t> </w:t>
      </w:r>
      <w:r>
        <w:rPr/>
        <w:t>developed</w:t>
      </w:r>
      <w:r>
        <w:rPr>
          <w:spacing w:val="-2"/>
        </w:rPr>
        <w:t> </w:t>
      </w:r>
      <w:r>
        <w:rPr/>
        <w:t>along two lines positivism &amp; principal agent… Positive researchers have focused on identifying situations in which the principal &amp; agent are likely to have conflicting goals &amp; then describing the governance mechanisms that limit the agents’ self-serving </w:t>
      </w:r>
      <w:r>
        <w:rPr>
          <w:spacing w:val="-2"/>
        </w:rPr>
        <w:t>behavior.</w:t>
      </w:r>
    </w:p>
    <w:p>
      <w:pPr>
        <w:pStyle w:val="BodyText"/>
        <w:spacing w:line="480" w:lineRule="auto"/>
        <w:ind w:left="940" w:right="1438"/>
        <w:jc w:val="both"/>
      </w:pPr>
      <w:r>
        <w:rPr/>
        <w:t>The above implies that the agent and principal are usually with common but differing goals and attitudes towards risk. According to Holmstrom (1979) and Wilson (1968), moral hazard becomes the consequence associated with the inequitable distribution of information in the principal-agent relationship (Holmstrom, 1979; Wilson, 1968). Berle and Means (1932) described</w:t>
      </w:r>
      <w:r>
        <w:rPr>
          <w:spacing w:val="-10"/>
        </w:rPr>
        <w:t> </w:t>
      </w:r>
      <w:r>
        <w:rPr/>
        <w:t>management</w:t>
      </w:r>
      <w:r>
        <w:rPr>
          <w:spacing w:val="-10"/>
        </w:rPr>
        <w:t> </w:t>
      </w:r>
      <w:r>
        <w:rPr/>
        <w:t>of</w:t>
      </w:r>
      <w:r>
        <w:rPr>
          <w:spacing w:val="-7"/>
        </w:rPr>
        <w:t> </w:t>
      </w:r>
      <w:r>
        <w:rPr/>
        <w:t>a</w:t>
      </w:r>
      <w:r>
        <w:rPr>
          <w:spacing w:val="-11"/>
        </w:rPr>
        <w:t> </w:t>
      </w:r>
      <w:r>
        <w:rPr/>
        <w:t>corporation</w:t>
      </w:r>
      <w:r>
        <w:rPr>
          <w:spacing w:val="-10"/>
        </w:rPr>
        <w:t> </w:t>
      </w:r>
      <w:r>
        <w:rPr/>
        <w:t>as</w:t>
      </w:r>
      <w:r>
        <w:rPr>
          <w:spacing w:val="-7"/>
        </w:rPr>
        <w:t> </w:t>
      </w:r>
      <w:r>
        <w:rPr/>
        <w:t>a</w:t>
      </w:r>
      <w:r>
        <w:rPr>
          <w:spacing w:val="-11"/>
        </w:rPr>
        <w:t> </w:t>
      </w:r>
      <w:r>
        <w:rPr/>
        <w:t>set</w:t>
      </w:r>
      <w:r>
        <w:rPr>
          <w:spacing w:val="-9"/>
        </w:rPr>
        <w:t> </w:t>
      </w:r>
      <w:r>
        <w:rPr/>
        <w:t>of</w:t>
      </w:r>
      <w:r>
        <w:rPr>
          <w:spacing w:val="-7"/>
        </w:rPr>
        <w:t> </w:t>
      </w:r>
      <w:r>
        <w:rPr/>
        <w:t>agents</w:t>
      </w:r>
      <w:r>
        <w:rPr>
          <w:spacing w:val="-9"/>
        </w:rPr>
        <w:t> </w:t>
      </w:r>
      <w:r>
        <w:rPr/>
        <w:t>running</w:t>
      </w:r>
      <w:r>
        <w:rPr>
          <w:spacing w:val="-10"/>
        </w:rPr>
        <w:t> </w:t>
      </w:r>
      <w:r>
        <w:rPr/>
        <w:t>a</w:t>
      </w:r>
      <w:r>
        <w:rPr>
          <w:spacing w:val="-11"/>
        </w:rPr>
        <w:t> </w:t>
      </w:r>
      <w:r>
        <w:rPr/>
        <w:t>business</w:t>
      </w:r>
      <w:r>
        <w:rPr>
          <w:spacing w:val="-7"/>
        </w:rPr>
        <w:t> </w:t>
      </w:r>
      <w:r>
        <w:rPr/>
        <w:t>for</w:t>
      </w:r>
      <w:r>
        <w:rPr>
          <w:spacing w:val="-10"/>
        </w:rPr>
        <w:t> </w:t>
      </w:r>
      <w:r>
        <w:rPr/>
        <w:t>a</w:t>
      </w:r>
      <w:r>
        <w:rPr>
          <w:spacing w:val="-11"/>
        </w:rPr>
        <w:t> </w:t>
      </w:r>
      <w:r>
        <w:rPr/>
        <w:t>set</w:t>
      </w:r>
      <w:r>
        <w:rPr>
          <w:spacing w:val="-9"/>
        </w:rPr>
        <w:t> </w:t>
      </w:r>
      <w:r>
        <w:rPr/>
        <w:t>of</w:t>
      </w:r>
      <w:r>
        <w:rPr>
          <w:spacing w:val="-10"/>
        </w:rPr>
        <w:t> </w:t>
      </w:r>
      <w:r>
        <w:rPr/>
        <w:t>owner. Thus</w:t>
      </w:r>
      <w:r>
        <w:rPr>
          <w:spacing w:val="-7"/>
        </w:rPr>
        <w:t> </w:t>
      </w:r>
      <w:r>
        <w:rPr/>
        <w:t>there</w:t>
      </w:r>
      <w:r>
        <w:rPr>
          <w:spacing w:val="-8"/>
        </w:rPr>
        <w:t> </w:t>
      </w:r>
      <w:r>
        <w:rPr/>
        <w:t>is</w:t>
      </w:r>
      <w:r>
        <w:rPr>
          <w:spacing w:val="-7"/>
        </w:rPr>
        <w:t> </w:t>
      </w:r>
      <w:r>
        <w:rPr/>
        <w:t>implication</w:t>
      </w:r>
      <w:r>
        <w:rPr>
          <w:spacing w:val="-5"/>
        </w:rPr>
        <w:t> </w:t>
      </w:r>
      <w:r>
        <w:rPr/>
        <w:t>for</w:t>
      </w:r>
      <w:r>
        <w:rPr>
          <w:spacing w:val="-9"/>
        </w:rPr>
        <w:t> </w:t>
      </w:r>
      <w:r>
        <w:rPr/>
        <w:t>both</w:t>
      </w:r>
      <w:r>
        <w:rPr>
          <w:spacing w:val="-7"/>
        </w:rPr>
        <w:t> </w:t>
      </w:r>
      <w:r>
        <w:rPr/>
        <w:t>management</w:t>
      </w:r>
      <w:r>
        <w:rPr>
          <w:spacing w:val="-7"/>
        </w:rPr>
        <w:t> </w:t>
      </w:r>
      <w:r>
        <w:rPr/>
        <w:t>and</w:t>
      </w:r>
      <w:r>
        <w:rPr>
          <w:spacing w:val="-3"/>
        </w:rPr>
        <w:t> </w:t>
      </w:r>
      <w:r>
        <w:rPr/>
        <w:t>the</w:t>
      </w:r>
      <w:r>
        <w:rPr>
          <w:spacing w:val="-8"/>
        </w:rPr>
        <w:t> </w:t>
      </w:r>
      <w:r>
        <w:rPr/>
        <w:t>board</w:t>
      </w:r>
      <w:r>
        <w:rPr>
          <w:spacing w:val="-8"/>
        </w:rPr>
        <w:t> </w:t>
      </w:r>
      <w:r>
        <w:rPr/>
        <w:t>of</w:t>
      </w:r>
      <w:r>
        <w:rPr>
          <w:spacing w:val="-8"/>
        </w:rPr>
        <w:t> </w:t>
      </w:r>
      <w:r>
        <w:rPr/>
        <w:t>directors.</w:t>
      </w:r>
      <w:r>
        <w:rPr>
          <w:spacing w:val="40"/>
        </w:rPr>
        <w:t> </w:t>
      </w:r>
      <w:r>
        <w:rPr/>
        <w:t>In</w:t>
      </w:r>
      <w:r>
        <w:rPr>
          <w:spacing w:val="-8"/>
        </w:rPr>
        <w:t> </w:t>
      </w:r>
      <w:r>
        <w:rPr/>
        <w:t>order</w:t>
      </w:r>
      <w:r>
        <w:rPr>
          <w:spacing w:val="-8"/>
        </w:rPr>
        <w:t> </w:t>
      </w:r>
      <w:r>
        <w:rPr/>
        <w:t>to</w:t>
      </w:r>
      <w:r>
        <w:rPr>
          <w:spacing w:val="-5"/>
        </w:rPr>
        <w:t> </w:t>
      </w:r>
      <w:r>
        <w:rPr/>
        <w:t>alleviate the negative consequences of this problem, agency theory describes the need for monitoring and contracting arrangements (Fama &amp; Jensen, 1983; Jensen &amp; Meckling, 1976).</w:t>
      </w:r>
    </w:p>
    <w:p>
      <w:pPr>
        <w:pStyle w:val="BodyText"/>
        <w:spacing w:line="480" w:lineRule="auto" w:before="1"/>
        <w:ind w:left="940" w:right="1441"/>
        <w:jc w:val="both"/>
      </w:pPr>
      <w:r>
        <w:rPr/>
        <w:t>Financial</w:t>
      </w:r>
      <w:r>
        <w:rPr>
          <w:spacing w:val="-6"/>
        </w:rPr>
        <w:t> </w:t>
      </w:r>
      <w:r>
        <w:rPr/>
        <w:t>information</w:t>
      </w:r>
      <w:r>
        <w:rPr>
          <w:spacing w:val="-5"/>
        </w:rPr>
        <w:t> </w:t>
      </w:r>
      <w:r>
        <w:rPr/>
        <w:t>plays</w:t>
      </w:r>
      <w:r>
        <w:rPr>
          <w:spacing w:val="-6"/>
        </w:rPr>
        <w:t> </w:t>
      </w:r>
      <w:r>
        <w:rPr/>
        <w:t>an</w:t>
      </w:r>
      <w:r>
        <w:rPr>
          <w:spacing w:val="-6"/>
        </w:rPr>
        <w:t> </w:t>
      </w:r>
      <w:r>
        <w:rPr/>
        <w:t>important</w:t>
      </w:r>
      <w:r>
        <w:rPr>
          <w:spacing w:val="-5"/>
        </w:rPr>
        <w:t> </w:t>
      </w:r>
      <w:r>
        <w:rPr/>
        <w:t>role</w:t>
      </w:r>
      <w:r>
        <w:rPr>
          <w:spacing w:val="-7"/>
        </w:rPr>
        <w:t> </w:t>
      </w:r>
      <w:r>
        <w:rPr/>
        <w:t>in</w:t>
      </w:r>
      <w:r>
        <w:rPr>
          <w:spacing w:val="-3"/>
        </w:rPr>
        <w:t> </w:t>
      </w:r>
      <w:r>
        <w:rPr/>
        <w:t>contractual</w:t>
      </w:r>
      <w:r>
        <w:rPr>
          <w:spacing w:val="-3"/>
        </w:rPr>
        <w:t> </w:t>
      </w:r>
      <w:r>
        <w:rPr/>
        <w:t>arrangements</w:t>
      </w:r>
      <w:r>
        <w:rPr>
          <w:spacing w:val="-6"/>
        </w:rPr>
        <w:t> </w:t>
      </w:r>
      <w:r>
        <w:rPr/>
        <w:t>that</w:t>
      </w:r>
      <w:r>
        <w:rPr>
          <w:spacing w:val="-5"/>
        </w:rPr>
        <w:t> </w:t>
      </w:r>
      <w:r>
        <w:rPr/>
        <w:t>are</w:t>
      </w:r>
      <w:r>
        <w:rPr>
          <w:spacing w:val="-7"/>
        </w:rPr>
        <w:t> </w:t>
      </w:r>
      <w:r>
        <w:rPr/>
        <w:t>presumably used for mitigating agency costs (Fields et al., 2001; Holthausen &amp; Leftwich, 1983; Watts &amp; Zimmerman,</w:t>
      </w:r>
      <w:r>
        <w:rPr>
          <w:spacing w:val="3"/>
        </w:rPr>
        <w:t> </w:t>
      </w:r>
      <w:r>
        <w:rPr/>
        <w:t>1986).</w:t>
      </w:r>
      <w:r>
        <w:rPr>
          <w:spacing w:val="5"/>
        </w:rPr>
        <w:t> </w:t>
      </w:r>
      <w:r>
        <w:rPr/>
        <w:t>This</w:t>
      </w:r>
      <w:r>
        <w:rPr>
          <w:spacing w:val="8"/>
        </w:rPr>
        <w:t> </w:t>
      </w:r>
      <w:r>
        <w:rPr/>
        <w:t>role</w:t>
      </w:r>
      <w:r>
        <w:rPr>
          <w:spacing w:val="4"/>
        </w:rPr>
        <w:t> </w:t>
      </w:r>
      <w:r>
        <w:rPr/>
        <w:t>is</w:t>
      </w:r>
      <w:r>
        <w:rPr>
          <w:spacing w:val="6"/>
        </w:rPr>
        <w:t> </w:t>
      </w:r>
      <w:r>
        <w:rPr/>
        <w:t>usually</w:t>
      </w:r>
      <w:r>
        <w:rPr>
          <w:spacing w:val="5"/>
        </w:rPr>
        <w:t> </w:t>
      </w:r>
      <w:r>
        <w:rPr/>
        <w:t>derived</w:t>
      </w:r>
      <w:r>
        <w:rPr>
          <w:spacing w:val="9"/>
        </w:rPr>
        <w:t> </w:t>
      </w:r>
      <w:r>
        <w:rPr/>
        <w:t>from</w:t>
      </w:r>
      <w:r>
        <w:rPr>
          <w:spacing w:val="6"/>
        </w:rPr>
        <w:t> </w:t>
      </w:r>
      <w:r>
        <w:rPr/>
        <w:t>contract</w:t>
      </w:r>
      <w:r>
        <w:rPr>
          <w:spacing w:val="6"/>
        </w:rPr>
        <w:t> </w:t>
      </w:r>
      <w:r>
        <w:rPr/>
        <w:t>theories</w:t>
      </w:r>
      <w:r>
        <w:rPr>
          <w:spacing w:val="6"/>
        </w:rPr>
        <w:t> </w:t>
      </w:r>
      <w:r>
        <w:rPr/>
        <w:t>which</w:t>
      </w:r>
      <w:r>
        <w:rPr>
          <w:spacing w:val="5"/>
        </w:rPr>
        <w:t> </w:t>
      </w:r>
      <w:r>
        <w:rPr/>
        <w:t>seek</w:t>
      </w:r>
      <w:r>
        <w:rPr>
          <w:spacing w:val="8"/>
        </w:rPr>
        <w:t> </w:t>
      </w:r>
      <w:r>
        <w:rPr/>
        <w:t>to</w:t>
      </w:r>
      <w:r>
        <w:rPr>
          <w:spacing w:val="7"/>
        </w:rPr>
        <w:t> </w:t>
      </w:r>
      <w:r>
        <w:rPr>
          <w:spacing w:val="-2"/>
        </w:rPr>
        <w:t>explain</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22112">
            <wp:simplePos x="0" y="0"/>
            <wp:positionH relativeFrom="page">
              <wp:posOffset>1095451</wp:posOffset>
            </wp:positionH>
            <wp:positionV relativeFrom="paragraph">
              <wp:posOffset>1850770</wp:posOffset>
            </wp:positionV>
            <wp:extent cx="5106847" cy="5238115"/>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5" cstate="print"/>
                    <a:stretch>
                      <a:fillRect/>
                    </a:stretch>
                  </pic:blipFill>
                  <pic:spPr>
                    <a:xfrm>
                      <a:off x="0" y="0"/>
                      <a:ext cx="5106847" cy="5238115"/>
                    </a:xfrm>
                    <a:prstGeom prst="rect">
                      <a:avLst/>
                    </a:prstGeom>
                  </pic:spPr>
                </pic:pic>
              </a:graphicData>
            </a:graphic>
          </wp:anchor>
        </w:drawing>
      </w:r>
      <w:r>
        <w:rPr/>
        <w:t>the mechanisms for alignment of interests between managers and owners, including compensation contracts. Therefore, there is the need for boards of directors, shareholders’ engagement in governance structure as well as compensation scheme (McCabet, 2002). The BoD are viewed as the agent for shareholders acting on their behalf in their dealing with management. Also, BoD should encourage institutional investors to: positively influence the standard of corporate governance and promote value creation in the companies in which they invest; and (ii) to monitor conformance with the provision of the code and raise concerns as appropriate.</w:t>
      </w:r>
      <w:r>
        <w:rPr>
          <w:spacing w:val="-10"/>
        </w:rPr>
        <w:t> </w:t>
      </w:r>
      <w:r>
        <w:rPr/>
        <w:t>Therefore,</w:t>
      </w:r>
      <w:r>
        <w:rPr>
          <w:spacing w:val="-10"/>
        </w:rPr>
        <w:t> </w:t>
      </w:r>
      <w:r>
        <w:rPr/>
        <w:t>the</w:t>
      </w:r>
      <w:r>
        <w:rPr>
          <w:spacing w:val="-11"/>
        </w:rPr>
        <w:t> </w:t>
      </w:r>
      <w:r>
        <w:rPr/>
        <w:t>CG</w:t>
      </w:r>
      <w:r>
        <w:rPr>
          <w:spacing w:val="-10"/>
        </w:rPr>
        <w:t> </w:t>
      </w:r>
      <w:r>
        <w:rPr/>
        <w:t>and</w:t>
      </w:r>
      <w:r>
        <w:rPr>
          <w:spacing w:val="-10"/>
        </w:rPr>
        <w:t> </w:t>
      </w:r>
      <w:r>
        <w:rPr/>
        <w:t>ownership</w:t>
      </w:r>
      <w:r>
        <w:rPr>
          <w:spacing w:val="-10"/>
        </w:rPr>
        <w:t> </w:t>
      </w:r>
      <w:r>
        <w:rPr/>
        <w:t>structure</w:t>
      </w:r>
      <w:r>
        <w:rPr>
          <w:spacing w:val="-11"/>
        </w:rPr>
        <w:t> </w:t>
      </w:r>
      <w:r>
        <w:rPr/>
        <w:t>variables</w:t>
      </w:r>
      <w:r>
        <w:rPr>
          <w:spacing w:val="-10"/>
        </w:rPr>
        <w:t> </w:t>
      </w:r>
      <w:r>
        <w:rPr/>
        <w:t>used</w:t>
      </w:r>
      <w:r>
        <w:rPr>
          <w:spacing w:val="-10"/>
        </w:rPr>
        <w:t> </w:t>
      </w:r>
      <w:r>
        <w:rPr/>
        <w:t>in</w:t>
      </w:r>
      <w:r>
        <w:rPr>
          <w:spacing w:val="-9"/>
        </w:rPr>
        <w:t> </w:t>
      </w:r>
      <w:r>
        <w:rPr/>
        <w:t>this</w:t>
      </w:r>
      <w:r>
        <w:rPr>
          <w:spacing w:val="-9"/>
        </w:rPr>
        <w:t> </w:t>
      </w:r>
      <w:r>
        <w:rPr/>
        <w:t>study</w:t>
      </w:r>
      <w:r>
        <w:rPr>
          <w:spacing w:val="-9"/>
        </w:rPr>
        <w:t> </w:t>
      </w:r>
      <w:r>
        <w:rPr/>
        <w:t>were</w:t>
      </w:r>
      <w:r>
        <w:rPr>
          <w:spacing w:val="-11"/>
        </w:rPr>
        <w:t> </w:t>
      </w:r>
      <w:r>
        <w:rPr/>
        <w:t>board size, board independence, board financial expertise, institutional, managerial, foreign and ownership concentration. High-quality financial accounting information can facilitate monitoring mechanisms and promote efficient governance contracts.</w:t>
      </w:r>
      <w:r>
        <w:rPr>
          <w:spacing w:val="40"/>
        </w:rPr>
        <w:t> </w:t>
      </w:r>
      <w:r>
        <w:rPr/>
        <w:t>This implies that the asymmetry information that hitherto exists in the agency relationship could be alleviated by adequate disclosure. Proponents of IFRS adoption opined that IFRS adoption enhanced disclosures, therefore, financial information was more informative thereby alleviating the principal-agent information gap. Although IFRS adoption has been made mandatory in Nigeria, however, the extent of compliance could be a source of concern. As a link between stakeholders and the company, the BoD is to exercise oversight and control to ensure that management acts in the best interest of shareholders and other stakeholders while sustaining the prosperity of the company. One way of doing this is to ensure that the agents (managers) adequately comply with these international standards which was believed will enhance informativess</w:t>
      </w:r>
      <w:r>
        <w:rPr>
          <w:spacing w:val="-7"/>
        </w:rPr>
        <w:t> </w:t>
      </w:r>
      <w:r>
        <w:rPr/>
        <w:t>due</w:t>
      </w:r>
      <w:r>
        <w:rPr>
          <w:spacing w:val="-8"/>
        </w:rPr>
        <w:t> </w:t>
      </w:r>
      <w:r>
        <w:rPr/>
        <w:t>to</w:t>
      </w:r>
      <w:r>
        <w:rPr>
          <w:spacing w:val="-7"/>
        </w:rPr>
        <w:t> </w:t>
      </w:r>
      <w:r>
        <w:rPr/>
        <w:t>its</w:t>
      </w:r>
      <w:r>
        <w:rPr>
          <w:spacing w:val="-7"/>
        </w:rPr>
        <w:t> </w:t>
      </w:r>
      <w:r>
        <w:rPr/>
        <w:t>high</w:t>
      </w:r>
      <w:r>
        <w:rPr>
          <w:spacing w:val="-7"/>
        </w:rPr>
        <w:t> </w:t>
      </w:r>
      <w:r>
        <w:rPr/>
        <w:t>disclosure</w:t>
      </w:r>
      <w:r>
        <w:rPr>
          <w:spacing w:val="-8"/>
        </w:rPr>
        <w:t> </w:t>
      </w:r>
      <w:r>
        <w:rPr/>
        <w:t>content.</w:t>
      </w:r>
      <w:r>
        <w:rPr>
          <w:spacing w:val="-6"/>
        </w:rPr>
        <w:t> </w:t>
      </w:r>
      <w:r>
        <w:rPr/>
        <w:t>Therefore,</w:t>
      </w:r>
      <w:r>
        <w:rPr>
          <w:spacing w:val="-7"/>
        </w:rPr>
        <w:t> </w:t>
      </w:r>
      <w:r>
        <w:rPr/>
        <w:t>BoD</w:t>
      </w:r>
      <w:r>
        <w:rPr>
          <w:spacing w:val="-7"/>
        </w:rPr>
        <w:t> </w:t>
      </w:r>
      <w:r>
        <w:rPr/>
        <w:t>and</w:t>
      </w:r>
      <w:r>
        <w:rPr>
          <w:spacing w:val="-7"/>
        </w:rPr>
        <w:t> </w:t>
      </w:r>
      <w:r>
        <w:rPr/>
        <w:t>shareholders</w:t>
      </w:r>
      <w:r>
        <w:rPr>
          <w:spacing w:val="-7"/>
        </w:rPr>
        <w:t> </w:t>
      </w:r>
      <w:r>
        <w:rPr/>
        <w:t>engagement is expected to strengthen the impact IFRS adoption could have on the informativeness of financial reports. On the other hand, it is argued that the discretionary feature of IFRS gives opportunity to self-seeking agents (managers) to playfully distort financial information. Therefore,</w:t>
      </w:r>
      <w:r>
        <w:rPr>
          <w:spacing w:val="8"/>
        </w:rPr>
        <w:t> </w:t>
      </w:r>
      <w:r>
        <w:rPr/>
        <w:t>the</w:t>
      </w:r>
      <w:r>
        <w:rPr>
          <w:spacing w:val="7"/>
        </w:rPr>
        <w:t> </w:t>
      </w:r>
      <w:r>
        <w:rPr/>
        <w:t>impact</w:t>
      </w:r>
      <w:r>
        <w:rPr>
          <w:spacing w:val="12"/>
        </w:rPr>
        <w:t> </w:t>
      </w:r>
      <w:r>
        <w:rPr/>
        <w:t>CG</w:t>
      </w:r>
      <w:r>
        <w:rPr>
          <w:spacing w:val="7"/>
        </w:rPr>
        <w:t> </w:t>
      </w:r>
      <w:r>
        <w:rPr/>
        <w:t>practices</w:t>
      </w:r>
      <w:r>
        <w:rPr>
          <w:spacing w:val="12"/>
        </w:rPr>
        <w:t> </w:t>
      </w:r>
      <w:r>
        <w:rPr/>
        <w:t>could</w:t>
      </w:r>
      <w:r>
        <w:rPr>
          <w:spacing w:val="8"/>
        </w:rPr>
        <w:t> </w:t>
      </w:r>
      <w:r>
        <w:rPr/>
        <w:t>have</w:t>
      </w:r>
      <w:r>
        <w:rPr>
          <w:spacing w:val="8"/>
        </w:rPr>
        <w:t> </w:t>
      </w:r>
      <w:r>
        <w:rPr/>
        <w:t>on</w:t>
      </w:r>
      <w:r>
        <w:rPr>
          <w:spacing w:val="8"/>
        </w:rPr>
        <w:t> </w:t>
      </w:r>
      <w:r>
        <w:rPr/>
        <w:t>financial</w:t>
      </w:r>
      <w:r>
        <w:rPr>
          <w:spacing w:val="11"/>
        </w:rPr>
        <w:t> </w:t>
      </w:r>
      <w:r>
        <w:rPr/>
        <w:t>reporting</w:t>
      </w:r>
      <w:r>
        <w:rPr>
          <w:spacing w:val="8"/>
        </w:rPr>
        <w:t> </w:t>
      </w:r>
      <w:r>
        <w:rPr/>
        <w:t>quality</w:t>
      </w:r>
      <w:r>
        <w:rPr>
          <w:spacing w:val="9"/>
        </w:rPr>
        <w:t> </w:t>
      </w:r>
      <w:r>
        <w:rPr/>
        <w:t>in</w:t>
      </w:r>
      <w:r>
        <w:rPr>
          <w:spacing w:val="8"/>
        </w:rPr>
        <w:t> </w:t>
      </w:r>
      <w:r>
        <w:rPr/>
        <w:t>IFRS</w:t>
      </w:r>
      <w:r>
        <w:rPr>
          <w:spacing w:val="10"/>
        </w:rPr>
        <w:t> </w:t>
      </w:r>
      <w:r>
        <w:rPr>
          <w:spacing w:val="-2"/>
        </w:rPr>
        <w:t>regime</w:t>
      </w:r>
    </w:p>
    <w:p>
      <w:pPr>
        <w:spacing w:after="0" w:line="480" w:lineRule="auto"/>
        <w:jc w:val="both"/>
        <w:sectPr>
          <w:pgSz w:w="11910" w:h="16840"/>
          <w:pgMar w:header="0" w:footer="971" w:top="1360" w:bottom="1160" w:left="500" w:right="0"/>
        </w:sectPr>
      </w:pPr>
    </w:p>
    <w:p>
      <w:pPr>
        <w:pStyle w:val="BodyText"/>
        <w:spacing w:line="480" w:lineRule="auto" w:before="61"/>
        <w:ind w:left="940" w:right="1436"/>
      </w:pPr>
      <w:r>
        <w:rPr/>
        <w:drawing>
          <wp:anchor distT="0" distB="0" distL="0" distR="0" allowOverlap="1" layoutInCell="1" locked="0" behindDoc="1" simplePos="0" relativeHeight="477722624">
            <wp:simplePos x="0" y="0"/>
            <wp:positionH relativeFrom="page">
              <wp:posOffset>1095451</wp:posOffset>
            </wp:positionH>
            <wp:positionV relativeFrom="paragraph">
              <wp:posOffset>1850770</wp:posOffset>
            </wp:positionV>
            <wp:extent cx="5106847" cy="523811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5" cstate="print"/>
                    <a:stretch>
                      <a:fillRect/>
                    </a:stretch>
                  </pic:blipFill>
                  <pic:spPr>
                    <a:xfrm>
                      <a:off x="0" y="0"/>
                      <a:ext cx="5106847" cy="5238115"/>
                    </a:xfrm>
                    <a:prstGeom prst="rect">
                      <a:avLst/>
                    </a:prstGeom>
                  </pic:spPr>
                </pic:pic>
              </a:graphicData>
            </a:graphic>
          </wp:anchor>
        </w:drawing>
      </w:r>
      <w:r>
        <w:rPr/>
        <w:t>could either be positive or inverse, i.e., it could either strengthen or weakens IFRS impact on reporting quality.</w:t>
      </w:r>
    </w:p>
    <w:p>
      <w:pPr>
        <w:spacing w:after="0" w:line="480" w:lineRule="auto"/>
        <w:sectPr>
          <w:pgSz w:w="11910" w:h="16840"/>
          <w:pgMar w:header="0" w:footer="971" w:top="1360" w:bottom="1160" w:left="500" w:right="0"/>
        </w:sectPr>
      </w:pPr>
    </w:p>
    <w:p>
      <w:pPr>
        <w:pStyle w:val="Heading2"/>
        <w:spacing w:line="480" w:lineRule="auto"/>
        <w:ind w:left="3824" w:right="3601"/>
      </w:pPr>
      <w:bookmarkStart w:name="_TOC_250039" w:id="31"/>
      <w:r>
        <w:rPr/>
        <w:t>CHAPTER</w:t>
      </w:r>
      <w:r>
        <w:rPr>
          <w:spacing w:val="-15"/>
        </w:rPr>
        <w:t> </w:t>
      </w:r>
      <w:r>
        <w:rPr/>
        <w:t>THREE </w:t>
      </w:r>
      <w:bookmarkEnd w:id="31"/>
      <w:r>
        <w:rPr>
          <w:spacing w:val="-2"/>
        </w:rPr>
        <w:t>METHODOLOGY</w:t>
      </w:r>
    </w:p>
    <w:p>
      <w:pPr>
        <w:pStyle w:val="Heading3"/>
        <w:numPr>
          <w:ilvl w:val="1"/>
          <w:numId w:val="24"/>
        </w:numPr>
        <w:tabs>
          <w:tab w:pos="1660" w:val="left" w:leader="none"/>
        </w:tabs>
        <w:spacing w:line="240" w:lineRule="auto" w:before="0" w:after="0"/>
        <w:ind w:left="1660" w:right="0" w:hanging="720"/>
        <w:jc w:val="left"/>
      </w:pPr>
      <w:bookmarkStart w:name="_TOC_250038" w:id="32"/>
      <w:bookmarkEnd w:id="32"/>
      <w:r>
        <w:rPr>
          <w:spacing w:val="-2"/>
        </w:rPr>
        <w:t>Introduction</w:t>
      </w:r>
    </w:p>
    <w:p>
      <w:pPr>
        <w:pStyle w:val="BodyText"/>
        <w:rPr>
          <w:b/>
        </w:rPr>
      </w:pPr>
    </w:p>
    <w:p>
      <w:pPr>
        <w:pStyle w:val="BodyText"/>
        <w:spacing w:line="480" w:lineRule="auto"/>
        <w:ind w:left="940" w:right="1439"/>
        <w:jc w:val="both"/>
      </w:pPr>
      <w:r>
        <w:rPr/>
        <w:drawing>
          <wp:anchor distT="0" distB="0" distL="0" distR="0" allowOverlap="1" layoutInCell="1" locked="0" behindDoc="1" simplePos="0" relativeHeight="477723136">
            <wp:simplePos x="0" y="0"/>
            <wp:positionH relativeFrom="page">
              <wp:posOffset>1095451</wp:posOffset>
            </wp:positionH>
            <wp:positionV relativeFrom="paragraph">
              <wp:posOffset>760565</wp:posOffset>
            </wp:positionV>
            <wp:extent cx="5106847" cy="523811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5" cstate="print"/>
                    <a:stretch>
                      <a:fillRect/>
                    </a:stretch>
                  </pic:blipFill>
                  <pic:spPr>
                    <a:xfrm>
                      <a:off x="0" y="0"/>
                      <a:ext cx="5106847" cy="5238115"/>
                    </a:xfrm>
                    <a:prstGeom prst="rect">
                      <a:avLst/>
                    </a:prstGeom>
                  </pic:spPr>
                </pic:pic>
              </a:graphicData>
            </a:graphic>
          </wp:anchor>
        </w:drawing>
      </w:r>
      <w:r>
        <w:rPr/>
        <w:t>This</w:t>
      </w:r>
      <w:r>
        <w:rPr>
          <w:spacing w:val="-10"/>
        </w:rPr>
        <w:t> </w:t>
      </w:r>
      <w:r>
        <w:rPr/>
        <w:t>chapter</w:t>
      </w:r>
      <w:r>
        <w:rPr>
          <w:spacing w:val="-10"/>
        </w:rPr>
        <w:t> </w:t>
      </w:r>
      <w:r>
        <w:rPr/>
        <w:t>deals</w:t>
      </w:r>
      <w:r>
        <w:rPr>
          <w:spacing w:val="-8"/>
        </w:rPr>
        <w:t> </w:t>
      </w:r>
      <w:r>
        <w:rPr/>
        <w:t>with</w:t>
      </w:r>
      <w:r>
        <w:rPr>
          <w:spacing w:val="-10"/>
        </w:rPr>
        <w:t> </w:t>
      </w:r>
      <w:r>
        <w:rPr/>
        <w:t>how</w:t>
      </w:r>
      <w:r>
        <w:rPr>
          <w:spacing w:val="-11"/>
        </w:rPr>
        <w:t> </w:t>
      </w:r>
      <w:r>
        <w:rPr/>
        <w:t>the</w:t>
      </w:r>
      <w:r>
        <w:rPr>
          <w:spacing w:val="-11"/>
        </w:rPr>
        <w:t> </w:t>
      </w:r>
      <w:r>
        <w:rPr/>
        <w:t>researcher</w:t>
      </w:r>
      <w:r>
        <w:rPr>
          <w:spacing w:val="-11"/>
        </w:rPr>
        <w:t> </w:t>
      </w:r>
      <w:r>
        <w:rPr/>
        <w:t>intends</w:t>
      </w:r>
      <w:r>
        <w:rPr>
          <w:spacing w:val="-8"/>
        </w:rPr>
        <w:t> </w:t>
      </w:r>
      <w:r>
        <w:rPr/>
        <w:t>to</w:t>
      </w:r>
      <w:r>
        <w:rPr>
          <w:spacing w:val="-10"/>
        </w:rPr>
        <w:t> </w:t>
      </w:r>
      <w:r>
        <w:rPr/>
        <w:t>carry</w:t>
      </w:r>
      <w:r>
        <w:rPr>
          <w:spacing w:val="-11"/>
        </w:rPr>
        <w:t> </w:t>
      </w:r>
      <w:r>
        <w:rPr/>
        <w:t>out</w:t>
      </w:r>
      <w:r>
        <w:rPr>
          <w:spacing w:val="-10"/>
        </w:rPr>
        <w:t> </w:t>
      </w:r>
      <w:r>
        <w:rPr/>
        <w:t>the</w:t>
      </w:r>
      <w:r>
        <w:rPr>
          <w:spacing w:val="-9"/>
        </w:rPr>
        <w:t> </w:t>
      </w:r>
      <w:r>
        <w:rPr/>
        <w:t>research</w:t>
      </w:r>
      <w:r>
        <w:rPr>
          <w:spacing w:val="-8"/>
        </w:rPr>
        <w:t> </w:t>
      </w:r>
      <w:r>
        <w:rPr/>
        <w:t>work.</w:t>
      </w:r>
      <w:r>
        <w:rPr>
          <w:spacing w:val="-11"/>
        </w:rPr>
        <w:t> </w:t>
      </w:r>
      <w:r>
        <w:rPr/>
        <w:t>Specifically, the chapter covers the research design, the population and sample size, data type and source, model specification, measurement of the variables and data analyses methods.</w:t>
      </w:r>
    </w:p>
    <w:p>
      <w:pPr>
        <w:pStyle w:val="BodyText"/>
      </w:pPr>
    </w:p>
    <w:p>
      <w:pPr>
        <w:pStyle w:val="BodyText"/>
        <w:spacing w:before="1"/>
      </w:pPr>
    </w:p>
    <w:p>
      <w:pPr>
        <w:pStyle w:val="Heading3"/>
        <w:numPr>
          <w:ilvl w:val="1"/>
          <w:numId w:val="25"/>
        </w:numPr>
        <w:tabs>
          <w:tab w:pos="1660" w:val="left" w:leader="none"/>
        </w:tabs>
        <w:spacing w:line="240" w:lineRule="auto" w:before="0" w:after="0"/>
        <w:ind w:left="1660" w:right="0" w:hanging="720"/>
        <w:jc w:val="left"/>
      </w:pPr>
      <w:bookmarkStart w:name="_TOC_250037" w:id="33"/>
      <w:r>
        <w:rPr/>
        <w:t>Research</w:t>
      </w:r>
      <w:r>
        <w:rPr>
          <w:spacing w:val="-3"/>
        </w:rPr>
        <w:t> </w:t>
      </w:r>
      <w:bookmarkEnd w:id="33"/>
      <w:r>
        <w:rPr>
          <w:spacing w:val="-2"/>
        </w:rPr>
        <w:t>Design</w:t>
      </w:r>
    </w:p>
    <w:p>
      <w:pPr>
        <w:pStyle w:val="BodyText"/>
        <w:rPr>
          <w:b/>
        </w:rPr>
      </w:pPr>
    </w:p>
    <w:p>
      <w:pPr>
        <w:pStyle w:val="BodyText"/>
        <w:spacing w:line="480" w:lineRule="auto"/>
        <w:ind w:left="940" w:right="1436"/>
        <w:jc w:val="both"/>
      </w:pPr>
      <w:r>
        <w:rPr/>
        <w:t>Within</w:t>
      </w:r>
      <w:r>
        <w:rPr>
          <w:spacing w:val="-7"/>
        </w:rPr>
        <w:t> </w:t>
      </w:r>
      <w:r>
        <w:rPr/>
        <w:t>a</w:t>
      </w:r>
      <w:r>
        <w:rPr>
          <w:spacing w:val="-9"/>
        </w:rPr>
        <w:t> </w:t>
      </w:r>
      <w:r>
        <w:rPr/>
        <w:t>quantitative</w:t>
      </w:r>
      <w:r>
        <w:rPr>
          <w:spacing w:val="-9"/>
        </w:rPr>
        <w:t> </w:t>
      </w:r>
      <w:r>
        <w:rPr/>
        <w:t>research</w:t>
      </w:r>
      <w:r>
        <w:rPr>
          <w:spacing w:val="-6"/>
        </w:rPr>
        <w:t> </w:t>
      </w:r>
      <w:r>
        <w:rPr/>
        <w:t>method</w:t>
      </w:r>
      <w:r>
        <w:rPr>
          <w:spacing w:val="-8"/>
        </w:rPr>
        <w:t> </w:t>
      </w:r>
      <w:r>
        <w:rPr/>
        <w:t>framework,</w:t>
      </w:r>
      <w:r>
        <w:rPr>
          <w:spacing w:val="-8"/>
        </w:rPr>
        <w:t> </w:t>
      </w:r>
      <w:r>
        <w:rPr/>
        <w:t>this</w:t>
      </w:r>
      <w:r>
        <w:rPr>
          <w:spacing w:val="-8"/>
        </w:rPr>
        <w:t> </w:t>
      </w:r>
      <w:r>
        <w:rPr/>
        <w:t>study</w:t>
      </w:r>
      <w:r>
        <w:rPr>
          <w:spacing w:val="-8"/>
        </w:rPr>
        <w:t> </w:t>
      </w:r>
      <w:r>
        <w:rPr/>
        <w:t>employed</w:t>
      </w:r>
      <w:r>
        <w:rPr>
          <w:spacing w:val="-8"/>
        </w:rPr>
        <w:t> </w:t>
      </w:r>
      <w:r>
        <w:rPr/>
        <w:t>a</w:t>
      </w:r>
      <w:r>
        <w:rPr>
          <w:spacing w:val="-9"/>
        </w:rPr>
        <w:t> </w:t>
      </w:r>
      <w:r>
        <w:rPr/>
        <w:t>longitudinal</w:t>
      </w:r>
      <w:r>
        <w:rPr>
          <w:spacing w:val="-8"/>
        </w:rPr>
        <w:t> </w:t>
      </w:r>
      <w:r>
        <w:rPr/>
        <w:t>research design. A longitudinal design involves repeated observations of the same variables over long periods of time. The choice of the design was because the nature of the variables, especially the data for the study involved repeated observations of the same variables over periods. Therefore, the design was suitable for this study.</w:t>
      </w:r>
    </w:p>
    <w:p>
      <w:pPr>
        <w:pStyle w:val="BodyText"/>
      </w:pPr>
    </w:p>
    <w:p>
      <w:pPr>
        <w:pStyle w:val="BodyText"/>
      </w:pPr>
    </w:p>
    <w:p>
      <w:pPr>
        <w:pStyle w:val="Heading3"/>
        <w:numPr>
          <w:ilvl w:val="1"/>
          <w:numId w:val="26"/>
        </w:numPr>
        <w:tabs>
          <w:tab w:pos="1360" w:val="left" w:leader="none"/>
        </w:tabs>
        <w:spacing w:line="240" w:lineRule="auto" w:before="0" w:after="0"/>
        <w:ind w:left="1360" w:right="0" w:hanging="420"/>
        <w:jc w:val="left"/>
      </w:pPr>
      <w:bookmarkStart w:name="_TOC_250036" w:id="34"/>
      <w:r>
        <w:rPr/>
        <w:t>Population</w:t>
      </w:r>
      <w:r>
        <w:rPr>
          <w:spacing w:val="-4"/>
        </w:rPr>
        <w:t> </w:t>
      </w:r>
      <w:r>
        <w:rPr/>
        <w:t>and</w:t>
      </w:r>
      <w:r>
        <w:rPr>
          <w:spacing w:val="-2"/>
        </w:rPr>
        <w:t> </w:t>
      </w:r>
      <w:r>
        <w:rPr/>
        <w:t>Sample</w:t>
      </w:r>
      <w:r>
        <w:rPr>
          <w:spacing w:val="-1"/>
        </w:rPr>
        <w:t> </w:t>
      </w:r>
      <w:bookmarkEnd w:id="34"/>
      <w:r>
        <w:rPr>
          <w:spacing w:val="-4"/>
        </w:rPr>
        <w:t>Size</w:t>
      </w:r>
    </w:p>
    <w:p>
      <w:pPr>
        <w:pStyle w:val="BodyText"/>
        <w:rPr>
          <w:b/>
        </w:rPr>
      </w:pPr>
    </w:p>
    <w:p>
      <w:pPr>
        <w:pStyle w:val="BodyText"/>
        <w:spacing w:line="480" w:lineRule="auto" w:before="1"/>
        <w:ind w:left="940" w:right="1436"/>
        <w:jc w:val="both"/>
      </w:pPr>
      <w:r>
        <w:rPr/>
        <w:t>The population of the study comprised the entire thirteen (13) DMBs listed on the Nigerian Stock Exchange (NSE) as at 31</w:t>
      </w:r>
      <w:r>
        <w:rPr>
          <w:vertAlign w:val="superscript"/>
        </w:rPr>
        <w:t>st</w:t>
      </w:r>
      <w:r>
        <w:rPr>
          <w:vertAlign w:val="baseline"/>
        </w:rPr>
        <w:t> December, 2019. The study used a fifteen year time frame (2005 to 2019) to enable the researcher to split the samples in two groups: pre-IFRS regime samples, otherwise called the control group (2005-2011); and post-IFRS regime samples, otherwise called the treatment group (2013 – 2019). Year 20012 was excluded from the samples because it was the official year of IFRS adoption. Due to the finite and exhaustive number of the population size, the study took a census of the entire population as its sample size.</w:t>
      </w:r>
      <w:r>
        <w:rPr>
          <w:spacing w:val="-5"/>
          <w:vertAlign w:val="baseline"/>
        </w:rPr>
        <w:t> </w:t>
      </w:r>
      <w:r>
        <w:rPr>
          <w:vertAlign w:val="baseline"/>
        </w:rPr>
        <w:t>However,</w:t>
      </w:r>
      <w:r>
        <w:rPr>
          <w:spacing w:val="-6"/>
          <w:vertAlign w:val="baseline"/>
        </w:rPr>
        <w:t> </w:t>
      </w:r>
      <w:r>
        <w:rPr>
          <w:vertAlign w:val="baseline"/>
        </w:rPr>
        <w:t>those</w:t>
      </w:r>
      <w:r>
        <w:rPr>
          <w:spacing w:val="-5"/>
          <w:vertAlign w:val="baseline"/>
        </w:rPr>
        <w:t> </w:t>
      </w:r>
      <w:r>
        <w:rPr>
          <w:vertAlign w:val="baseline"/>
        </w:rPr>
        <w:t>DMBs</w:t>
      </w:r>
      <w:r>
        <w:rPr>
          <w:spacing w:val="-5"/>
          <w:vertAlign w:val="baseline"/>
        </w:rPr>
        <w:t> </w:t>
      </w:r>
      <w:r>
        <w:rPr>
          <w:vertAlign w:val="baseline"/>
        </w:rPr>
        <w:t>that</w:t>
      </w:r>
      <w:r>
        <w:rPr>
          <w:spacing w:val="-5"/>
          <w:vertAlign w:val="baseline"/>
        </w:rPr>
        <w:t> </w:t>
      </w:r>
      <w:r>
        <w:rPr>
          <w:vertAlign w:val="baseline"/>
        </w:rPr>
        <w:t>had</w:t>
      </w:r>
      <w:r>
        <w:rPr>
          <w:spacing w:val="-5"/>
          <w:vertAlign w:val="baseline"/>
        </w:rPr>
        <w:t> </w:t>
      </w:r>
      <w:r>
        <w:rPr>
          <w:vertAlign w:val="baseline"/>
        </w:rPr>
        <w:t>undergone</w:t>
      </w:r>
      <w:r>
        <w:rPr>
          <w:spacing w:val="-7"/>
          <w:vertAlign w:val="baseline"/>
        </w:rPr>
        <w:t> </w:t>
      </w:r>
      <w:r>
        <w:rPr>
          <w:vertAlign w:val="baseline"/>
        </w:rPr>
        <w:t>mergers</w:t>
      </w:r>
      <w:r>
        <w:rPr>
          <w:spacing w:val="-5"/>
          <w:vertAlign w:val="baseline"/>
        </w:rPr>
        <w:t> </w:t>
      </w:r>
      <w:r>
        <w:rPr>
          <w:vertAlign w:val="baseline"/>
        </w:rPr>
        <w:t>or</w:t>
      </w:r>
      <w:r>
        <w:rPr>
          <w:spacing w:val="-6"/>
          <w:vertAlign w:val="baseline"/>
        </w:rPr>
        <w:t> </w:t>
      </w:r>
      <w:r>
        <w:rPr>
          <w:vertAlign w:val="baseline"/>
        </w:rPr>
        <w:t>acquisitions</w:t>
      </w:r>
      <w:r>
        <w:rPr>
          <w:spacing w:val="-4"/>
          <w:vertAlign w:val="baseline"/>
        </w:rPr>
        <w:t> </w:t>
      </w:r>
      <w:r>
        <w:rPr>
          <w:vertAlign w:val="baseline"/>
        </w:rPr>
        <w:t>or</w:t>
      </w:r>
      <w:r>
        <w:rPr>
          <w:spacing w:val="-3"/>
          <w:vertAlign w:val="baseline"/>
        </w:rPr>
        <w:t> </w:t>
      </w:r>
      <w:r>
        <w:rPr>
          <w:vertAlign w:val="baseline"/>
        </w:rPr>
        <w:t>had</w:t>
      </w:r>
      <w:r>
        <w:rPr>
          <w:spacing w:val="-5"/>
          <w:vertAlign w:val="baseline"/>
        </w:rPr>
        <w:t> </w:t>
      </w:r>
      <w:r>
        <w:rPr>
          <w:vertAlign w:val="baseline"/>
        </w:rPr>
        <w:t>not</w:t>
      </w:r>
      <w:r>
        <w:rPr>
          <w:spacing w:val="-4"/>
          <w:vertAlign w:val="baseline"/>
        </w:rPr>
        <w:t> </w:t>
      </w:r>
      <w:r>
        <w:rPr>
          <w:vertAlign w:val="baseline"/>
        </w:rPr>
        <w:t>maintained same name within the time frame of this study were filtered away from the samples.</w:t>
      </w:r>
    </w:p>
    <w:p>
      <w:pPr>
        <w:pStyle w:val="Heading3"/>
        <w:numPr>
          <w:ilvl w:val="1"/>
          <w:numId w:val="26"/>
        </w:numPr>
        <w:tabs>
          <w:tab w:pos="1360" w:val="left" w:leader="none"/>
        </w:tabs>
        <w:spacing w:line="240" w:lineRule="auto" w:before="0" w:after="0"/>
        <w:ind w:left="1360" w:right="0" w:hanging="420"/>
        <w:jc w:val="both"/>
      </w:pPr>
      <w:bookmarkStart w:name="_TOC_250035" w:id="35"/>
      <w:r>
        <w:rPr/>
        <w:t>Data</w:t>
      </w:r>
      <w:r>
        <w:rPr>
          <w:spacing w:val="-1"/>
        </w:rPr>
        <w:t> </w:t>
      </w:r>
      <w:r>
        <w:rPr/>
        <w:t>Type</w:t>
      </w:r>
      <w:r>
        <w:rPr>
          <w:spacing w:val="-2"/>
        </w:rPr>
        <w:t> </w:t>
      </w:r>
      <w:r>
        <w:rPr/>
        <w:t>and </w:t>
      </w:r>
      <w:bookmarkEnd w:id="35"/>
      <w:r>
        <w:rPr>
          <w:spacing w:val="-2"/>
        </w:rPr>
        <w:t>Sources</w:t>
      </w:r>
    </w:p>
    <w:p>
      <w:pPr>
        <w:spacing w:after="0" w:line="240" w:lineRule="auto"/>
        <w:jc w:val="both"/>
        <w:sectPr>
          <w:pgSz w:w="11910" w:h="16840"/>
          <w:pgMar w:header="0" w:footer="971" w:top="1360" w:bottom="1160" w:left="500" w:right="0"/>
        </w:sectPr>
      </w:pPr>
    </w:p>
    <w:p>
      <w:pPr>
        <w:pStyle w:val="BodyText"/>
        <w:spacing w:line="480" w:lineRule="auto" w:before="61"/>
        <w:ind w:left="940" w:right="1437"/>
        <w:jc w:val="both"/>
      </w:pPr>
      <w:r>
        <w:rPr/>
        <w:t>Secondary</w:t>
      </w:r>
      <w:r>
        <w:rPr>
          <w:spacing w:val="-14"/>
        </w:rPr>
        <w:t> </w:t>
      </w:r>
      <w:r>
        <w:rPr/>
        <w:t>data</w:t>
      </w:r>
      <w:r>
        <w:rPr>
          <w:spacing w:val="-13"/>
        </w:rPr>
        <w:t> </w:t>
      </w:r>
      <w:r>
        <w:rPr/>
        <w:t>were</w:t>
      </w:r>
      <w:r>
        <w:rPr>
          <w:spacing w:val="-14"/>
        </w:rPr>
        <w:t> </w:t>
      </w:r>
      <w:r>
        <w:rPr/>
        <w:t>used</w:t>
      </w:r>
      <w:r>
        <w:rPr>
          <w:spacing w:val="-13"/>
        </w:rPr>
        <w:t> </w:t>
      </w:r>
      <w:r>
        <w:rPr/>
        <w:t>for</w:t>
      </w:r>
      <w:r>
        <w:rPr>
          <w:spacing w:val="-15"/>
        </w:rPr>
        <w:t> </w:t>
      </w:r>
      <w:r>
        <w:rPr/>
        <w:t>this</w:t>
      </w:r>
      <w:r>
        <w:rPr>
          <w:spacing w:val="-13"/>
        </w:rPr>
        <w:t> </w:t>
      </w:r>
      <w:r>
        <w:rPr/>
        <w:t>study.</w:t>
      </w:r>
      <w:r>
        <w:rPr>
          <w:spacing w:val="-15"/>
        </w:rPr>
        <w:t> </w:t>
      </w:r>
      <w:r>
        <w:rPr/>
        <w:t>The</w:t>
      </w:r>
      <w:r>
        <w:rPr>
          <w:spacing w:val="-14"/>
        </w:rPr>
        <w:t> </w:t>
      </w:r>
      <w:r>
        <w:rPr/>
        <w:t>data</w:t>
      </w:r>
      <w:r>
        <w:rPr>
          <w:spacing w:val="-12"/>
        </w:rPr>
        <w:t> </w:t>
      </w:r>
      <w:r>
        <w:rPr/>
        <w:t>were</w:t>
      </w:r>
      <w:r>
        <w:rPr>
          <w:spacing w:val="-15"/>
        </w:rPr>
        <w:t> </w:t>
      </w:r>
      <w:r>
        <w:rPr/>
        <w:t>sourced</w:t>
      </w:r>
      <w:r>
        <w:rPr>
          <w:spacing w:val="-13"/>
        </w:rPr>
        <w:t> </w:t>
      </w:r>
      <w:r>
        <w:rPr/>
        <w:t>from</w:t>
      </w:r>
      <w:r>
        <w:rPr>
          <w:spacing w:val="-13"/>
        </w:rPr>
        <w:t> </w:t>
      </w:r>
      <w:r>
        <w:rPr/>
        <w:t>the</w:t>
      </w:r>
      <w:r>
        <w:rPr>
          <w:spacing w:val="-14"/>
        </w:rPr>
        <w:t> </w:t>
      </w:r>
      <w:r>
        <w:rPr/>
        <w:t>audited</w:t>
      </w:r>
      <w:r>
        <w:rPr>
          <w:spacing w:val="-13"/>
        </w:rPr>
        <w:t> </w:t>
      </w:r>
      <w:r>
        <w:rPr/>
        <w:t>annual</w:t>
      </w:r>
      <w:r>
        <w:rPr>
          <w:spacing w:val="-13"/>
        </w:rPr>
        <w:t> </w:t>
      </w:r>
      <w:r>
        <w:rPr/>
        <w:t>reports of</w:t>
      </w:r>
      <w:r>
        <w:rPr>
          <w:spacing w:val="-15"/>
        </w:rPr>
        <w:t> </w:t>
      </w:r>
      <w:r>
        <w:rPr/>
        <w:t>DMBs</w:t>
      </w:r>
      <w:r>
        <w:rPr>
          <w:spacing w:val="-15"/>
        </w:rPr>
        <w:t> </w:t>
      </w:r>
      <w:r>
        <w:rPr/>
        <w:t>for</w:t>
      </w:r>
      <w:r>
        <w:rPr>
          <w:spacing w:val="-15"/>
        </w:rPr>
        <w:t> </w:t>
      </w:r>
      <w:r>
        <w:rPr/>
        <w:t>the</w:t>
      </w:r>
      <w:r>
        <w:rPr>
          <w:spacing w:val="-15"/>
        </w:rPr>
        <w:t> </w:t>
      </w:r>
      <w:r>
        <w:rPr/>
        <w:t>period</w:t>
      </w:r>
      <w:r>
        <w:rPr>
          <w:spacing w:val="-15"/>
        </w:rPr>
        <w:t> </w:t>
      </w:r>
      <w:r>
        <w:rPr/>
        <w:t>2005-2019</w:t>
      </w:r>
      <w:r>
        <w:rPr>
          <w:spacing w:val="-15"/>
        </w:rPr>
        <w:t> </w:t>
      </w:r>
      <w:r>
        <w:rPr/>
        <w:t>financial</w:t>
      </w:r>
      <w:r>
        <w:rPr>
          <w:spacing w:val="-15"/>
        </w:rPr>
        <w:t> </w:t>
      </w:r>
      <w:r>
        <w:rPr/>
        <w:t>year.</w:t>
      </w:r>
      <w:r>
        <w:rPr>
          <w:spacing w:val="-15"/>
        </w:rPr>
        <w:t> </w:t>
      </w:r>
      <w:r>
        <w:rPr/>
        <w:t>The</w:t>
      </w:r>
      <w:r>
        <w:rPr>
          <w:spacing w:val="-15"/>
        </w:rPr>
        <w:t> </w:t>
      </w:r>
      <w:r>
        <w:rPr/>
        <w:t>researcher</w:t>
      </w:r>
      <w:r>
        <w:rPr>
          <w:spacing w:val="-15"/>
        </w:rPr>
        <w:t> </w:t>
      </w:r>
      <w:r>
        <w:rPr/>
        <w:t>utilized</w:t>
      </w:r>
      <w:r>
        <w:rPr>
          <w:spacing w:val="-15"/>
        </w:rPr>
        <w:t> </w:t>
      </w:r>
      <w:r>
        <w:rPr/>
        <w:t>only</w:t>
      </w:r>
      <w:r>
        <w:rPr>
          <w:spacing w:val="-15"/>
        </w:rPr>
        <w:t> </w:t>
      </w:r>
      <w:r>
        <w:rPr/>
        <w:t>corporate</w:t>
      </w:r>
      <w:r>
        <w:rPr>
          <w:spacing w:val="-15"/>
        </w:rPr>
        <w:t> </w:t>
      </w:r>
      <w:r>
        <w:rPr/>
        <w:t>annual reports because they were readily available, and accessible, and also provided a greater potential for comparability of results.</w:t>
      </w:r>
    </w:p>
    <w:p>
      <w:pPr>
        <w:pStyle w:val="BodyText"/>
      </w:pPr>
    </w:p>
    <w:p>
      <w:pPr>
        <w:pStyle w:val="BodyText"/>
      </w:pPr>
    </w:p>
    <w:p>
      <w:pPr>
        <w:pStyle w:val="Heading3"/>
        <w:numPr>
          <w:ilvl w:val="1"/>
          <w:numId w:val="26"/>
        </w:numPr>
        <w:tabs>
          <w:tab w:pos="1360" w:val="left" w:leader="none"/>
        </w:tabs>
        <w:spacing w:line="240" w:lineRule="auto" w:before="0" w:after="0"/>
        <w:ind w:left="1360" w:right="0" w:hanging="420"/>
        <w:jc w:val="both"/>
      </w:pPr>
      <w:r>
        <w:rPr/>
        <w:drawing>
          <wp:anchor distT="0" distB="0" distL="0" distR="0" allowOverlap="1" layoutInCell="1" locked="0" behindDoc="1" simplePos="0" relativeHeight="477723648">
            <wp:simplePos x="0" y="0"/>
            <wp:positionH relativeFrom="page">
              <wp:posOffset>1095451</wp:posOffset>
            </wp:positionH>
            <wp:positionV relativeFrom="paragraph">
              <wp:posOffset>59584</wp:posOffset>
            </wp:positionV>
            <wp:extent cx="5106847" cy="523811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5" cstate="print"/>
                    <a:stretch>
                      <a:fillRect/>
                    </a:stretch>
                  </pic:blipFill>
                  <pic:spPr>
                    <a:xfrm>
                      <a:off x="0" y="0"/>
                      <a:ext cx="5106847" cy="5238115"/>
                    </a:xfrm>
                    <a:prstGeom prst="rect">
                      <a:avLst/>
                    </a:prstGeom>
                  </pic:spPr>
                </pic:pic>
              </a:graphicData>
            </a:graphic>
          </wp:anchor>
        </w:drawing>
      </w:r>
      <w:bookmarkStart w:name="_TOC_250034" w:id="36"/>
      <w:r>
        <w:rPr/>
        <w:t>Model</w:t>
      </w:r>
      <w:bookmarkEnd w:id="36"/>
      <w:r>
        <w:rPr>
          <w:spacing w:val="-2"/>
        </w:rPr>
        <w:t> Specification</w:t>
      </w:r>
    </w:p>
    <w:p>
      <w:pPr>
        <w:pStyle w:val="BodyText"/>
        <w:spacing w:before="1"/>
        <w:rPr>
          <w:b/>
        </w:rPr>
      </w:pPr>
    </w:p>
    <w:p>
      <w:pPr>
        <w:pStyle w:val="BodyText"/>
        <w:spacing w:line="480" w:lineRule="auto"/>
        <w:ind w:left="940" w:right="1434"/>
        <w:jc w:val="both"/>
      </w:pPr>
      <w:r>
        <w:rPr/>
        <w:t>The focus of the study was examining the impact of board attributes (BATT), ownership structure (OWSTUC) and financial reporting quality of listed DMBs on the Nigerian Stock Exchange</w:t>
      </w:r>
      <w:r>
        <w:rPr>
          <w:spacing w:val="-12"/>
        </w:rPr>
        <w:t> </w:t>
      </w:r>
      <w:r>
        <w:rPr/>
        <w:t>(NSE)</w:t>
      </w:r>
      <w:r>
        <w:rPr>
          <w:spacing w:val="-12"/>
        </w:rPr>
        <w:t> </w:t>
      </w:r>
      <w:r>
        <w:rPr/>
        <w:t>in</w:t>
      </w:r>
      <w:r>
        <w:rPr>
          <w:spacing w:val="-10"/>
        </w:rPr>
        <w:t> </w:t>
      </w:r>
      <w:r>
        <w:rPr/>
        <w:t>pre</w:t>
      </w:r>
      <w:r>
        <w:rPr>
          <w:spacing w:val="-12"/>
        </w:rPr>
        <w:t> </w:t>
      </w:r>
      <w:r>
        <w:rPr/>
        <w:t>and</w:t>
      </w:r>
      <w:r>
        <w:rPr>
          <w:spacing w:val="-11"/>
        </w:rPr>
        <w:t> </w:t>
      </w:r>
      <w:r>
        <w:rPr/>
        <w:t>post-IFRS</w:t>
      </w:r>
      <w:r>
        <w:rPr>
          <w:spacing w:val="-10"/>
        </w:rPr>
        <w:t> </w:t>
      </w:r>
      <w:r>
        <w:rPr/>
        <w:t>regimes.</w:t>
      </w:r>
      <w:r>
        <w:rPr>
          <w:spacing w:val="-11"/>
        </w:rPr>
        <w:t> </w:t>
      </w:r>
      <w:r>
        <w:rPr/>
        <w:t>The</w:t>
      </w:r>
      <w:r>
        <w:rPr>
          <w:spacing w:val="-12"/>
        </w:rPr>
        <w:t> </w:t>
      </w:r>
      <w:r>
        <w:rPr/>
        <w:t>BATT</w:t>
      </w:r>
      <w:r>
        <w:rPr>
          <w:spacing w:val="-11"/>
        </w:rPr>
        <w:t> </w:t>
      </w:r>
      <w:r>
        <w:rPr/>
        <w:t>was</w:t>
      </w:r>
      <w:r>
        <w:rPr>
          <w:spacing w:val="-10"/>
        </w:rPr>
        <w:t> </w:t>
      </w:r>
      <w:r>
        <w:rPr/>
        <w:t>further</w:t>
      </w:r>
      <w:r>
        <w:rPr>
          <w:spacing w:val="-12"/>
        </w:rPr>
        <w:t> </w:t>
      </w:r>
      <w:r>
        <w:rPr/>
        <w:t>decomposed</w:t>
      </w:r>
      <w:r>
        <w:rPr>
          <w:spacing w:val="-11"/>
        </w:rPr>
        <w:t> </w:t>
      </w:r>
      <w:r>
        <w:rPr/>
        <w:t>into</w:t>
      </w:r>
      <w:r>
        <w:rPr>
          <w:spacing w:val="-11"/>
        </w:rPr>
        <w:t> </w:t>
      </w:r>
      <w:r>
        <w:rPr/>
        <w:t>board size, board independence and board financial expertise while the OWSTRUC included institutional, managerial, foreign and ownership concentration structures. In order to forestall a</w:t>
      </w:r>
      <w:r>
        <w:rPr>
          <w:spacing w:val="-15"/>
        </w:rPr>
        <w:t> </w:t>
      </w:r>
      <w:r>
        <w:rPr/>
        <w:t>variable</w:t>
      </w:r>
      <w:r>
        <w:rPr>
          <w:spacing w:val="-15"/>
        </w:rPr>
        <w:t> </w:t>
      </w:r>
      <w:r>
        <w:rPr/>
        <w:t>omission</w:t>
      </w:r>
      <w:r>
        <w:rPr>
          <w:spacing w:val="-14"/>
        </w:rPr>
        <w:t> </w:t>
      </w:r>
      <w:r>
        <w:rPr/>
        <w:t>bias,</w:t>
      </w:r>
      <w:r>
        <w:rPr>
          <w:spacing w:val="-15"/>
        </w:rPr>
        <w:t> </w:t>
      </w:r>
      <w:r>
        <w:rPr/>
        <w:t>the</w:t>
      </w:r>
      <w:r>
        <w:rPr>
          <w:spacing w:val="-15"/>
        </w:rPr>
        <w:t> </w:t>
      </w:r>
      <w:r>
        <w:rPr/>
        <w:t>study</w:t>
      </w:r>
      <w:r>
        <w:rPr>
          <w:spacing w:val="-14"/>
        </w:rPr>
        <w:t> </w:t>
      </w:r>
      <w:r>
        <w:rPr/>
        <w:t>controlled</w:t>
      </w:r>
      <w:r>
        <w:rPr>
          <w:spacing w:val="-15"/>
        </w:rPr>
        <w:t> </w:t>
      </w:r>
      <w:r>
        <w:rPr/>
        <w:t>for</w:t>
      </w:r>
      <w:r>
        <w:rPr>
          <w:spacing w:val="-15"/>
        </w:rPr>
        <w:t> </w:t>
      </w:r>
      <w:r>
        <w:rPr/>
        <w:t>selected</w:t>
      </w:r>
      <w:r>
        <w:rPr>
          <w:spacing w:val="-15"/>
        </w:rPr>
        <w:t> </w:t>
      </w:r>
      <w:r>
        <w:rPr/>
        <w:t>firm</w:t>
      </w:r>
      <w:r>
        <w:rPr>
          <w:spacing w:val="-14"/>
        </w:rPr>
        <w:t> </w:t>
      </w:r>
      <w:r>
        <w:rPr/>
        <w:t>attributes</w:t>
      </w:r>
      <w:r>
        <w:rPr>
          <w:spacing w:val="-14"/>
        </w:rPr>
        <w:t> </w:t>
      </w:r>
      <w:r>
        <w:rPr/>
        <w:t>(FAT)</w:t>
      </w:r>
      <w:r>
        <w:rPr>
          <w:spacing w:val="-15"/>
        </w:rPr>
        <w:t> </w:t>
      </w:r>
      <w:r>
        <w:rPr/>
        <w:t>variables</w:t>
      </w:r>
      <w:r>
        <w:rPr>
          <w:spacing w:val="-15"/>
        </w:rPr>
        <w:t> </w:t>
      </w:r>
      <w:r>
        <w:rPr/>
        <w:t>which were firm size, firm age and financial leverage. In line with the objectives of the study, the examined models presented in two forms: (i) panel model which was presented in both their functional</w:t>
      </w:r>
      <w:r>
        <w:rPr>
          <w:spacing w:val="-9"/>
        </w:rPr>
        <w:t> </w:t>
      </w:r>
      <w:r>
        <w:rPr/>
        <w:t>forms</w:t>
      </w:r>
      <w:r>
        <w:rPr>
          <w:spacing w:val="-9"/>
        </w:rPr>
        <w:t> </w:t>
      </w:r>
      <w:r>
        <w:rPr/>
        <w:t>and</w:t>
      </w:r>
      <w:r>
        <w:rPr>
          <w:spacing w:val="-9"/>
        </w:rPr>
        <w:t> </w:t>
      </w:r>
      <w:r>
        <w:rPr/>
        <w:t>econometric</w:t>
      </w:r>
      <w:r>
        <w:rPr>
          <w:spacing w:val="-10"/>
        </w:rPr>
        <w:t> </w:t>
      </w:r>
      <w:r>
        <w:rPr/>
        <w:t>specifications;</w:t>
      </w:r>
      <w:r>
        <w:rPr>
          <w:spacing w:val="-9"/>
        </w:rPr>
        <w:t> </w:t>
      </w:r>
      <w:r>
        <w:rPr/>
        <w:t>and</w:t>
      </w:r>
      <w:r>
        <w:rPr>
          <w:spacing w:val="-9"/>
        </w:rPr>
        <w:t> </w:t>
      </w:r>
      <w:r>
        <w:rPr/>
        <w:t>(ii)</w:t>
      </w:r>
      <w:r>
        <w:rPr>
          <w:spacing w:val="-10"/>
        </w:rPr>
        <w:t> </w:t>
      </w:r>
      <w:r>
        <w:rPr/>
        <w:t>Difference-In-Difference</w:t>
      </w:r>
      <w:r>
        <w:rPr>
          <w:spacing w:val="-10"/>
        </w:rPr>
        <w:t> </w:t>
      </w:r>
      <w:r>
        <w:rPr/>
        <w:t>model.</w:t>
      </w:r>
      <w:r>
        <w:rPr>
          <w:spacing w:val="-9"/>
        </w:rPr>
        <w:t> </w:t>
      </w:r>
      <w:r>
        <w:rPr/>
        <w:t>The models were presented below;</w:t>
      </w:r>
    </w:p>
    <w:p>
      <w:pPr>
        <w:pStyle w:val="Heading3"/>
        <w:numPr>
          <w:ilvl w:val="2"/>
          <w:numId w:val="26"/>
        </w:numPr>
        <w:tabs>
          <w:tab w:pos="1540" w:val="left" w:leader="none"/>
        </w:tabs>
        <w:spacing w:line="240" w:lineRule="auto" w:before="1" w:after="0"/>
        <w:ind w:left="1540" w:right="0" w:hanging="600"/>
        <w:jc w:val="both"/>
      </w:pPr>
      <w:bookmarkStart w:name="_TOC_250033" w:id="37"/>
      <w:r>
        <w:rPr/>
        <w:t>Panel</w:t>
      </w:r>
      <w:r>
        <w:rPr>
          <w:spacing w:val="-1"/>
        </w:rPr>
        <w:t> </w:t>
      </w:r>
      <w:bookmarkEnd w:id="37"/>
      <w:r>
        <w:rPr>
          <w:spacing w:val="-2"/>
        </w:rPr>
        <w:t>Model</w:t>
      </w:r>
    </w:p>
    <w:p>
      <w:pPr>
        <w:pStyle w:val="BodyText"/>
        <w:spacing w:line="480" w:lineRule="auto" w:before="276"/>
        <w:ind w:left="940" w:right="1436"/>
        <w:jc w:val="both"/>
        <w:rPr>
          <w:b/>
        </w:rPr>
      </w:pPr>
      <w:r>
        <w:rPr/>
        <w:t>The</w:t>
      </w:r>
      <w:r>
        <w:rPr>
          <w:spacing w:val="-15"/>
        </w:rPr>
        <w:t> </w:t>
      </w:r>
      <w:r>
        <w:rPr/>
        <w:t>model</w:t>
      </w:r>
      <w:r>
        <w:rPr>
          <w:spacing w:val="-15"/>
        </w:rPr>
        <w:t> </w:t>
      </w:r>
      <w:r>
        <w:rPr/>
        <w:t>for</w:t>
      </w:r>
      <w:r>
        <w:rPr>
          <w:spacing w:val="-15"/>
        </w:rPr>
        <w:t> </w:t>
      </w:r>
      <w:r>
        <w:rPr/>
        <w:t>this</w:t>
      </w:r>
      <w:r>
        <w:rPr>
          <w:spacing w:val="-15"/>
        </w:rPr>
        <w:t> </w:t>
      </w:r>
      <w:r>
        <w:rPr/>
        <w:t>study</w:t>
      </w:r>
      <w:r>
        <w:rPr>
          <w:spacing w:val="-15"/>
        </w:rPr>
        <w:t> </w:t>
      </w:r>
      <w:r>
        <w:rPr/>
        <w:t>was</w:t>
      </w:r>
      <w:r>
        <w:rPr>
          <w:spacing w:val="-15"/>
        </w:rPr>
        <w:t> </w:t>
      </w:r>
      <w:r>
        <w:rPr/>
        <w:t>anchored</w:t>
      </w:r>
      <w:r>
        <w:rPr>
          <w:spacing w:val="-15"/>
        </w:rPr>
        <w:t> </w:t>
      </w:r>
      <w:r>
        <w:rPr/>
        <w:t>on</w:t>
      </w:r>
      <w:r>
        <w:rPr>
          <w:spacing w:val="-15"/>
        </w:rPr>
        <w:t> </w:t>
      </w:r>
      <w:r>
        <w:rPr/>
        <w:t>two</w:t>
      </w:r>
      <w:r>
        <w:rPr>
          <w:spacing w:val="-15"/>
        </w:rPr>
        <w:t> </w:t>
      </w:r>
      <w:r>
        <w:rPr/>
        <w:t>theories:</w:t>
      </w:r>
      <w:r>
        <w:rPr>
          <w:spacing w:val="-14"/>
        </w:rPr>
        <w:t> </w:t>
      </w:r>
      <w:r>
        <w:rPr/>
        <w:t>stakeholders</w:t>
      </w:r>
      <w:r>
        <w:rPr>
          <w:spacing w:val="-15"/>
        </w:rPr>
        <w:t> </w:t>
      </w:r>
      <w:r>
        <w:rPr/>
        <w:t>and</w:t>
      </w:r>
      <w:r>
        <w:rPr>
          <w:spacing w:val="-13"/>
        </w:rPr>
        <w:t> </w:t>
      </w:r>
      <w:r>
        <w:rPr/>
        <w:t>agency</w:t>
      </w:r>
      <w:r>
        <w:rPr>
          <w:spacing w:val="-15"/>
        </w:rPr>
        <w:t> </w:t>
      </w:r>
      <w:r>
        <w:rPr/>
        <w:t>theories.</w:t>
      </w:r>
      <w:r>
        <w:rPr>
          <w:spacing w:val="-15"/>
        </w:rPr>
        <w:t> </w:t>
      </w:r>
      <w:r>
        <w:rPr/>
        <w:t>Also, it</w:t>
      </w:r>
      <w:r>
        <w:rPr>
          <w:spacing w:val="-12"/>
        </w:rPr>
        <w:t> </w:t>
      </w:r>
      <w:r>
        <w:rPr/>
        <w:t>was</w:t>
      </w:r>
      <w:r>
        <w:rPr>
          <w:spacing w:val="-12"/>
        </w:rPr>
        <w:t> </w:t>
      </w:r>
      <w:r>
        <w:rPr/>
        <w:t>also</w:t>
      </w:r>
      <w:r>
        <w:rPr>
          <w:spacing w:val="-11"/>
        </w:rPr>
        <w:t> </w:t>
      </w:r>
      <w:r>
        <w:rPr/>
        <w:t>built</w:t>
      </w:r>
      <w:r>
        <w:rPr>
          <w:spacing w:val="-12"/>
        </w:rPr>
        <w:t> </w:t>
      </w:r>
      <w:r>
        <w:rPr/>
        <w:t>on</w:t>
      </w:r>
      <w:r>
        <w:rPr>
          <w:spacing w:val="-12"/>
        </w:rPr>
        <w:t> </w:t>
      </w:r>
      <w:r>
        <w:rPr/>
        <w:t>prior</w:t>
      </w:r>
      <w:r>
        <w:rPr>
          <w:spacing w:val="-13"/>
        </w:rPr>
        <w:t> </w:t>
      </w:r>
      <w:r>
        <w:rPr/>
        <w:t>studies</w:t>
      </w:r>
      <w:r>
        <w:rPr>
          <w:spacing w:val="-12"/>
        </w:rPr>
        <w:t> </w:t>
      </w:r>
      <w:r>
        <w:rPr/>
        <w:t>(Ames,</w:t>
      </w:r>
      <w:r>
        <w:rPr>
          <w:spacing w:val="-12"/>
        </w:rPr>
        <w:t> </w:t>
      </w:r>
      <w:r>
        <w:rPr/>
        <w:t>2013;</w:t>
      </w:r>
      <w:r>
        <w:rPr>
          <w:spacing w:val="-12"/>
        </w:rPr>
        <w:t> </w:t>
      </w:r>
      <w:r>
        <w:rPr/>
        <w:t>Cameran,</w:t>
      </w:r>
      <w:r>
        <w:rPr>
          <w:spacing w:val="-12"/>
        </w:rPr>
        <w:t> </w:t>
      </w:r>
      <w:r>
        <w:rPr/>
        <w:t>Campa</w:t>
      </w:r>
      <w:r>
        <w:rPr>
          <w:spacing w:val="-13"/>
        </w:rPr>
        <w:t> </w:t>
      </w:r>
      <w:r>
        <w:rPr/>
        <w:t>&amp;</w:t>
      </w:r>
      <w:r>
        <w:rPr>
          <w:spacing w:val="-12"/>
        </w:rPr>
        <w:t> </w:t>
      </w:r>
      <w:r>
        <w:rPr/>
        <w:t>Pettinicchio,</w:t>
      </w:r>
      <w:r>
        <w:rPr>
          <w:spacing w:val="-12"/>
        </w:rPr>
        <w:t> </w:t>
      </w:r>
      <w:r>
        <w:rPr/>
        <w:t>n.d.;</w:t>
      </w:r>
      <w:r>
        <w:rPr>
          <w:spacing w:val="-12"/>
        </w:rPr>
        <w:t> </w:t>
      </w:r>
      <w:r>
        <w:rPr/>
        <w:t>Hui-Sung &amp;</w:t>
      </w:r>
      <w:r>
        <w:rPr>
          <w:spacing w:val="-15"/>
        </w:rPr>
        <w:t> </w:t>
      </w:r>
      <w:r>
        <w:rPr/>
        <w:t>Tzu-Han,</w:t>
      </w:r>
      <w:r>
        <w:rPr>
          <w:spacing w:val="-15"/>
        </w:rPr>
        <w:t> </w:t>
      </w:r>
      <w:r>
        <w:rPr/>
        <w:t>2014;</w:t>
      </w:r>
      <w:r>
        <w:rPr>
          <w:spacing w:val="-15"/>
        </w:rPr>
        <w:t> </w:t>
      </w:r>
      <w:r>
        <w:rPr/>
        <w:t>Hyuk</w:t>
      </w:r>
      <w:r>
        <w:rPr>
          <w:spacing w:val="-15"/>
        </w:rPr>
        <w:t> </w:t>
      </w:r>
      <w:r>
        <w:rPr/>
        <w:t>et</w:t>
      </w:r>
      <w:r>
        <w:rPr>
          <w:spacing w:val="-15"/>
        </w:rPr>
        <w:t> </w:t>
      </w:r>
      <w:r>
        <w:rPr/>
        <w:t>al.,</w:t>
      </w:r>
      <w:r>
        <w:rPr>
          <w:spacing w:val="-15"/>
        </w:rPr>
        <w:t> </w:t>
      </w:r>
      <w:r>
        <w:rPr/>
        <w:t>2014;</w:t>
      </w:r>
      <w:r>
        <w:rPr>
          <w:spacing w:val="-15"/>
        </w:rPr>
        <w:t> </w:t>
      </w:r>
      <w:r>
        <w:rPr/>
        <w:t>Kargin,</w:t>
      </w:r>
      <w:r>
        <w:rPr>
          <w:spacing w:val="-15"/>
        </w:rPr>
        <w:t> </w:t>
      </w:r>
      <w:r>
        <w:rPr/>
        <w:t>2013;</w:t>
      </w:r>
      <w:r>
        <w:rPr>
          <w:spacing w:val="-15"/>
        </w:rPr>
        <w:t> </w:t>
      </w:r>
      <w:r>
        <w:rPr/>
        <w:t>Muhammad,</w:t>
      </w:r>
      <w:r>
        <w:rPr>
          <w:spacing w:val="-15"/>
        </w:rPr>
        <w:t> </w:t>
      </w:r>
      <w:r>
        <w:rPr/>
        <w:t>Tony,</w:t>
      </w:r>
      <w:r>
        <w:rPr>
          <w:spacing w:val="-15"/>
        </w:rPr>
        <w:t> </w:t>
      </w:r>
      <w:r>
        <w:rPr/>
        <w:t>Keitha</w:t>
      </w:r>
      <w:r>
        <w:rPr>
          <w:spacing w:val="-15"/>
        </w:rPr>
        <w:t> </w:t>
      </w:r>
      <w:r>
        <w:rPr/>
        <w:t>&amp;</w:t>
      </w:r>
      <w:r>
        <w:rPr>
          <w:spacing w:val="-15"/>
        </w:rPr>
        <w:t> </w:t>
      </w:r>
      <w:r>
        <w:rPr/>
        <w:t>Wares,</w:t>
      </w:r>
      <w:r>
        <w:rPr>
          <w:spacing w:val="-15"/>
        </w:rPr>
        <w:t> </w:t>
      </w:r>
      <w:r>
        <w:rPr/>
        <w:t>2010). </w:t>
      </w:r>
      <w:r>
        <w:rPr>
          <w:b/>
        </w:rPr>
        <w:t>Model 1: Board Attributes and Financial Reporting Quality</w:t>
      </w:r>
    </w:p>
    <w:p>
      <w:pPr>
        <w:pStyle w:val="BodyText"/>
        <w:spacing w:line="480" w:lineRule="auto"/>
        <w:ind w:left="940" w:right="1441"/>
        <w:jc w:val="both"/>
      </w:pPr>
      <w:r>
        <w:rPr/>
        <w:t>This</w:t>
      </w:r>
      <w:r>
        <w:rPr>
          <w:spacing w:val="-12"/>
        </w:rPr>
        <w:t> </w:t>
      </w:r>
      <w:r>
        <w:rPr/>
        <w:t>model</w:t>
      </w:r>
      <w:r>
        <w:rPr>
          <w:spacing w:val="-12"/>
        </w:rPr>
        <w:t> </w:t>
      </w:r>
      <w:r>
        <w:rPr/>
        <w:t>examined</w:t>
      </w:r>
      <w:r>
        <w:rPr>
          <w:spacing w:val="-11"/>
        </w:rPr>
        <w:t> </w:t>
      </w:r>
      <w:r>
        <w:rPr/>
        <w:t>the</w:t>
      </w:r>
      <w:r>
        <w:rPr>
          <w:spacing w:val="-10"/>
        </w:rPr>
        <w:t> </w:t>
      </w:r>
      <w:r>
        <w:rPr/>
        <w:t>impact</w:t>
      </w:r>
      <w:r>
        <w:rPr>
          <w:spacing w:val="-12"/>
        </w:rPr>
        <w:t> </w:t>
      </w:r>
      <w:r>
        <w:rPr/>
        <w:t>of</w:t>
      </w:r>
      <w:r>
        <w:rPr>
          <w:spacing w:val="-11"/>
        </w:rPr>
        <w:t> </w:t>
      </w:r>
      <w:r>
        <w:rPr/>
        <w:t>board</w:t>
      </w:r>
      <w:r>
        <w:rPr>
          <w:spacing w:val="-13"/>
        </w:rPr>
        <w:t> </w:t>
      </w:r>
      <w:r>
        <w:rPr/>
        <w:t>attributes</w:t>
      </w:r>
      <w:r>
        <w:rPr>
          <w:spacing w:val="-12"/>
        </w:rPr>
        <w:t> </w:t>
      </w:r>
      <w:r>
        <w:rPr/>
        <w:t>on</w:t>
      </w:r>
      <w:r>
        <w:rPr>
          <w:spacing w:val="-10"/>
        </w:rPr>
        <w:t> </w:t>
      </w:r>
      <w:r>
        <w:rPr/>
        <w:t>the</w:t>
      </w:r>
      <w:r>
        <w:rPr>
          <w:spacing w:val="-10"/>
        </w:rPr>
        <w:t> </w:t>
      </w:r>
      <w:r>
        <w:rPr/>
        <w:t>financial</w:t>
      </w:r>
      <w:r>
        <w:rPr>
          <w:spacing w:val="-12"/>
        </w:rPr>
        <w:t> </w:t>
      </w:r>
      <w:r>
        <w:rPr/>
        <w:t>reporting</w:t>
      </w:r>
      <w:r>
        <w:rPr>
          <w:spacing w:val="-12"/>
        </w:rPr>
        <w:t> </w:t>
      </w:r>
      <w:r>
        <w:rPr/>
        <w:t>quality</w:t>
      </w:r>
      <w:r>
        <w:rPr>
          <w:spacing w:val="-12"/>
        </w:rPr>
        <w:t> </w:t>
      </w:r>
      <w:r>
        <w:rPr/>
        <w:t>of</w:t>
      </w:r>
      <w:r>
        <w:rPr>
          <w:spacing w:val="-11"/>
        </w:rPr>
        <w:t> </w:t>
      </w:r>
      <w:r>
        <w:rPr/>
        <w:t>DMBs listed on the NSE. The functional form was first presented below:</w:t>
      </w:r>
    </w:p>
    <w:p>
      <w:pPr>
        <w:pStyle w:val="BodyText"/>
        <w:tabs>
          <w:tab w:pos="9243" w:val="left" w:leader="none"/>
        </w:tabs>
        <w:ind w:left="940"/>
        <w:jc w:val="both"/>
      </w:pPr>
      <w:r>
        <w:rPr/>
        <mc:AlternateContent>
          <mc:Choice Requires="wps">
            <w:drawing>
              <wp:anchor distT="0" distB="0" distL="0" distR="0" allowOverlap="1" layoutInCell="1" locked="0" behindDoc="1" simplePos="0" relativeHeight="477724160">
                <wp:simplePos x="0" y="0"/>
                <wp:positionH relativeFrom="page">
                  <wp:posOffset>2887091</wp:posOffset>
                </wp:positionH>
                <wp:positionV relativeFrom="paragraph">
                  <wp:posOffset>108629</wp:posOffset>
                </wp:positionV>
                <wp:extent cx="3297554"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3297554" cy="1270"/>
                        </a:xfrm>
                        <a:custGeom>
                          <a:avLst/>
                          <a:gdLst/>
                          <a:ahLst/>
                          <a:cxnLst/>
                          <a:rect l="l" t="t" r="r" b="b"/>
                          <a:pathLst>
                            <a:path w="3297554" h="0">
                              <a:moveTo>
                                <a:pt x="0" y="0"/>
                              </a:moveTo>
                              <a:lnTo>
                                <a:pt x="3296946"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592320" from="227.330002pt,8.553514pt" to="486.93212pt,8.553514pt" stroked="true" strokeweight=".885563pt" strokecolor="#000000">
                <v:stroke dashstyle="shortdash"/>
                <w10:wrap type="none"/>
              </v:line>
            </w:pict>
          </mc:Fallback>
        </mc:AlternateContent>
      </w:r>
      <w:r>
        <w:rPr/>
        <w:t>FRQ=ƒ</w:t>
      </w:r>
      <w:r>
        <w:rPr>
          <w:spacing w:val="-3"/>
        </w:rPr>
        <w:t> </w:t>
      </w:r>
      <w:r>
        <w:rPr/>
        <w:t>(BDS,</w:t>
      </w:r>
      <w:r>
        <w:rPr>
          <w:spacing w:val="-3"/>
        </w:rPr>
        <w:t> </w:t>
      </w:r>
      <w:r>
        <w:rPr/>
        <w:t>BDIND,</w:t>
      </w:r>
      <w:r>
        <w:rPr>
          <w:spacing w:val="-1"/>
        </w:rPr>
        <w:t> </w:t>
      </w:r>
      <w:r>
        <w:rPr>
          <w:spacing w:val="-4"/>
        </w:rPr>
        <w:t>BDFX)</w:t>
      </w:r>
      <w:r>
        <w:rPr/>
        <w:tab/>
      </w:r>
      <w:r>
        <w:rPr>
          <w:spacing w:val="-4"/>
        </w:rPr>
        <w:t>(1a)</w:t>
      </w:r>
    </w:p>
    <w:p>
      <w:pPr>
        <w:spacing w:after="0"/>
        <w:jc w:val="both"/>
        <w:sectPr>
          <w:pgSz w:w="11910" w:h="16840"/>
          <w:pgMar w:header="0" w:footer="971" w:top="1360" w:bottom="1160" w:left="500" w:right="0"/>
        </w:sectPr>
      </w:pPr>
    </w:p>
    <w:p>
      <w:pPr>
        <w:pStyle w:val="BodyText"/>
        <w:spacing w:line="480" w:lineRule="auto" w:before="61"/>
        <w:ind w:left="940" w:right="1439"/>
        <w:jc w:val="both"/>
      </w:pPr>
      <w:r>
        <w:rPr/>
        <w:t>Where: FRQ= Financial reporting quality; BDS= Board size; BDIND= Board independence; and BDFX = Board financial expertise. To avoid variable omission bias, the study controlled for</w:t>
      </w:r>
      <w:r>
        <w:rPr>
          <w:spacing w:val="-12"/>
        </w:rPr>
        <w:t> </w:t>
      </w:r>
      <w:r>
        <w:rPr/>
        <w:t>corporate</w:t>
      </w:r>
      <w:r>
        <w:rPr>
          <w:spacing w:val="-11"/>
        </w:rPr>
        <w:t> </w:t>
      </w:r>
      <w:r>
        <w:rPr/>
        <w:t>firm</w:t>
      </w:r>
      <w:r>
        <w:rPr>
          <w:spacing w:val="-8"/>
        </w:rPr>
        <w:t> </w:t>
      </w:r>
      <w:r>
        <w:rPr/>
        <w:t>attribute</w:t>
      </w:r>
      <w:r>
        <w:rPr>
          <w:spacing w:val="-10"/>
        </w:rPr>
        <w:t> </w:t>
      </w:r>
      <w:r>
        <w:rPr/>
        <w:t>variables</w:t>
      </w:r>
      <w:r>
        <w:rPr>
          <w:spacing w:val="-11"/>
        </w:rPr>
        <w:t> </w:t>
      </w:r>
      <w:r>
        <w:rPr/>
        <w:t>such</w:t>
      </w:r>
      <w:r>
        <w:rPr>
          <w:spacing w:val="-11"/>
        </w:rPr>
        <w:t> </w:t>
      </w:r>
      <w:r>
        <w:rPr/>
        <w:t>as</w:t>
      </w:r>
      <w:r>
        <w:rPr>
          <w:spacing w:val="-10"/>
        </w:rPr>
        <w:t> </w:t>
      </w:r>
      <w:r>
        <w:rPr/>
        <w:t>firm</w:t>
      </w:r>
      <w:r>
        <w:rPr>
          <w:spacing w:val="-10"/>
        </w:rPr>
        <w:t> </w:t>
      </w:r>
      <w:r>
        <w:rPr/>
        <w:t>size</w:t>
      </w:r>
      <w:r>
        <w:rPr>
          <w:spacing w:val="-12"/>
        </w:rPr>
        <w:t> </w:t>
      </w:r>
      <w:r>
        <w:rPr/>
        <w:t>(FS),</w:t>
      </w:r>
      <w:r>
        <w:rPr>
          <w:spacing w:val="-11"/>
        </w:rPr>
        <w:t> </w:t>
      </w:r>
      <w:r>
        <w:rPr/>
        <w:t>firm</w:t>
      </w:r>
      <w:r>
        <w:rPr>
          <w:spacing w:val="-10"/>
        </w:rPr>
        <w:t> </w:t>
      </w:r>
      <w:r>
        <w:rPr/>
        <w:t>age</w:t>
      </w:r>
      <w:r>
        <w:rPr>
          <w:spacing w:val="-9"/>
        </w:rPr>
        <w:t> </w:t>
      </w:r>
      <w:r>
        <w:rPr/>
        <w:t>(FA)</w:t>
      </w:r>
      <w:r>
        <w:rPr>
          <w:spacing w:val="-11"/>
        </w:rPr>
        <w:t> </w:t>
      </w:r>
      <w:r>
        <w:rPr/>
        <w:t>and</w:t>
      </w:r>
      <w:r>
        <w:rPr>
          <w:spacing w:val="-11"/>
        </w:rPr>
        <w:t> </w:t>
      </w:r>
      <w:r>
        <w:rPr/>
        <w:t>leverage</w:t>
      </w:r>
      <w:r>
        <w:rPr>
          <w:spacing w:val="-12"/>
        </w:rPr>
        <w:t> </w:t>
      </w:r>
      <w:r>
        <w:rPr/>
        <w:t>(LEV). Eq. (1a) was further stated below;</w:t>
      </w:r>
    </w:p>
    <w:p>
      <w:pPr>
        <w:pStyle w:val="BodyText"/>
        <w:tabs>
          <w:tab w:pos="9284" w:val="left" w:leader="hyphen"/>
        </w:tabs>
        <w:ind w:left="940"/>
        <w:jc w:val="both"/>
      </w:pPr>
      <w:r>
        <w:rPr/>
        <w:t>FRQ=ƒ</w:t>
      </w:r>
      <w:r>
        <w:rPr>
          <w:spacing w:val="-3"/>
        </w:rPr>
        <w:t> </w:t>
      </w:r>
      <w:r>
        <w:rPr/>
        <w:t>(BDS,</w:t>
      </w:r>
      <w:r>
        <w:rPr>
          <w:spacing w:val="-3"/>
        </w:rPr>
        <w:t> </w:t>
      </w:r>
      <w:r>
        <w:rPr/>
        <w:t>BDIND, BDFX,</w:t>
      </w:r>
      <w:r>
        <w:rPr>
          <w:spacing w:val="-3"/>
        </w:rPr>
        <w:t> </w:t>
      </w:r>
      <w:r>
        <w:rPr/>
        <w:t>FS,</w:t>
      </w:r>
      <w:r>
        <w:rPr>
          <w:spacing w:val="-1"/>
        </w:rPr>
        <w:t> </w:t>
      </w:r>
      <w:r>
        <w:rPr/>
        <w:t>FA,</w:t>
      </w:r>
      <w:r>
        <w:rPr>
          <w:spacing w:val="-2"/>
        </w:rPr>
        <w:t> </w:t>
      </w:r>
      <w:r>
        <w:rPr>
          <w:spacing w:val="-4"/>
        </w:rPr>
        <w:t>LEV)</w:t>
      </w:r>
      <w:r>
        <w:rPr/>
        <w:tab/>
      </w:r>
      <w:r>
        <w:rPr>
          <w:spacing w:val="-4"/>
        </w:rPr>
        <w:t>(1b)</w:t>
      </w:r>
    </w:p>
    <w:p>
      <w:pPr>
        <w:pStyle w:val="BodyText"/>
      </w:pPr>
    </w:p>
    <w:p>
      <w:pPr>
        <w:pStyle w:val="BodyText"/>
        <w:spacing w:line="480" w:lineRule="auto"/>
        <w:ind w:left="940" w:right="1438"/>
        <w:jc w:val="both"/>
      </w:pPr>
      <w:r>
        <w:rPr/>
        <w:drawing>
          <wp:anchor distT="0" distB="0" distL="0" distR="0" allowOverlap="1" layoutInCell="1" locked="0" behindDoc="1" simplePos="0" relativeHeight="477724672">
            <wp:simplePos x="0" y="0"/>
            <wp:positionH relativeFrom="page">
              <wp:posOffset>1095451</wp:posOffset>
            </wp:positionH>
            <wp:positionV relativeFrom="paragraph">
              <wp:posOffset>59584</wp:posOffset>
            </wp:positionV>
            <wp:extent cx="5106847" cy="5238115"/>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5" cstate="print"/>
                    <a:stretch>
                      <a:fillRect/>
                    </a:stretch>
                  </pic:blipFill>
                  <pic:spPr>
                    <a:xfrm>
                      <a:off x="0" y="0"/>
                      <a:ext cx="5106847" cy="5238115"/>
                    </a:xfrm>
                    <a:prstGeom prst="rect">
                      <a:avLst/>
                    </a:prstGeom>
                  </pic:spPr>
                </pic:pic>
              </a:graphicData>
            </a:graphic>
          </wp:anchor>
        </w:drawing>
      </w:r>
      <w:r>
        <w:rPr/>
        <w:t>Specifying the functional model into an econometric form in both the fixed effect (FEM) and random effect (REM) form for pre and post-IFRS regime, we had:</w:t>
      </w:r>
    </w:p>
    <w:p>
      <w:pPr>
        <w:pStyle w:val="Heading1"/>
        <w:tabs>
          <w:tab w:pos="9209" w:val="left" w:leader="none"/>
        </w:tabs>
        <w:spacing w:line="480" w:lineRule="auto" w:before="2"/>
        <w:ind w:right="1433"/>
        <w:jc w:val="both"/>
        <w:rPr>
          <w:i w:val="0"/>
          <w:sz w:val="24"/>
        </w:rPr>
      </w:pPr>
      <w:r>
        <w:rPr/>
        <mc:AlternateContent>
          <mc:Choice Requires="wps">
            <w:drawing>
              <wp:anchor distT="0" distB="0" distL="0" distR="0" allowOverlap="1" layoutInCell="1" locked="0" behindDoc="1" simplePos="0" relativeHeight="477725184">
                <wp:simplePos x="0" y="0"/>
                <wp:positionH relativeFrom="page">
                  <wp:posOffset>2766695</wp:posOffset>
                </wp:positionH>
                <wp:positionV relativeFrom="paragraph">
                  <wp:posOffset>950051</wp:posOffset>
                </wp:positionV>
                <wp:extent cx="3396615" cy="127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3396615" cy="1270"/>
                        </a:xfrm>
                        <a:custGeom>
                          <a:avLst/>
                          <a:gdLst/>
                          <a:ahLst/>
                          <a:cxnLst/>
                          <a:rect l="l" t="t" r="r" b="b"/>
                          <a:pathLst>
                            <a:path w="3396615" h="0">
                              <a:moveTo>
                                <a:pt x="0" y="0"/>
                              </a:moveTo>
                              <a:lnTo>
                                <a:pt x="3396618"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5591296" from="217.850006pt,74.807198pt" to="485.300313pt,74.807198pt" stroked="true" strokeweight=".885563pt" strokecolor="#000000">
                <v:stroke dashstyle="dash"/>
                <w10:wrap type="none"/>
              </v:line>
            </w:pict>
          </mc:Fallback>
        </mc:AlternateContent>
      </w:r>
      <w:r>
        <w:rPr>
          <w:sz w:val="24"/>
        </w:rPr>
        <w:t>FRQ</w:t>
      </w:r>
      <w:r>
        <w:rPr>
          <w:sz w:val="24"/>
          <w:vertAlign w:val="subscript"/>
        </w:rPr>
        <w:t>it</w:t>
      </w:r>
      <w:r>
        <w:rPr>
          <w:sz w:val="24"/>
          <w:vertAlign w:val="baseline"/>
        </w:rPr>
        <w:t> </w:t>
      </w:r>
      <w:r>
        <w:rPr>
          <w:i w:val="0"/>
          <w:sz w:val="24"/>
          <w:vertAlign w:val="baseline"/>
        </w:rPr>
        <w:t>= </w:t>
      </w:r>
      <w:r>
        <w:rPr>
          <w:vertAlign w:val="baseline"/>
        </w:rPr>
        <w:t>β</w:t>
      </w:r>
      <w:r>
        <w:rPr>
          <w:vertAlign w:val="subscript"/>
        </w:rPr>
        <w:t>1i</w:t>
      </w:r>
      <w:r>
        <w:rPr>
          <w:vertAlign w:val="baseline"/>
        </w:rPr>
        <w:t> / β</w:t>
      </w:r>
      <w:r>
        <w:rPr>
          <w:vertAlign w:val="subscript"/>
        </w:rPr>
        <w:t>1</w:t>
      </w:r>
      <w:r>
        <w:rPr>
          <w:vertAlign w:val="baseline"/>
        </w:rPr>
        <w:t>+ β</w:t>
      </w:r>
      <w:r>
        <w:rPr>
          <w:vertAlign w:val="subscript"/>
        </w:rPr>
        <w:t>2</w:t>
      </w:r>
      <w:r>
        <w:rPr>
          <w:vertAlign w:val="baseline"/>
        </w:rPr>
        <w:t>BDS</w:t>
      </w:r>
      <w:r>
        <w:rPr>
          <w:vertAlign w:val="subscript"/>
        </w:rPr>
        <w:t>it</w:t>
      </w:r>
      <w:r>
        <w:rPr>
          <w:vertAlign w:val="baseline"/>
        </w:rPr>
        <w:t> + β</w:t>
      </w:r>
      <w:r>
        <w:rPr>
          <w:vertAlign w:val="subscript"/>
        </w:rPr>
        <w:t>3</w:t>
      </w:r>
      <w:r>
        <w:rPr>
          <w:vertAlign w:val="baseline"/>
        </w:rPr>
        <w:t>BDIND</w:t>
      </w:r>
      <w:r>
        <w:rPr>
          <w:vertAlign w:val="subscript"/>
        </w:rPr>
        <w:t>it</w:t>
      </w:r>
      <w:r>
        <w:rPr>
          <w:vertAlign w:val="baseline"/>
        </w:rPr>
        <w:t> +β</w:t>
      </w:r>
      <w:r>
        <w:rPr>
          <w:vertAlign w:val="subscript"/>
        </w:rPr>
        <w:t>4</w:t>
      </w:r>
      <w:r>
        <w:rPr>
          <w:i w:val="0"/>
          <w:sz w:val="24"/>
          <w:vertAlign w:val="baseline"/>
        </w:rPr>
        <w:t>BDFX</w:t>
      </w:r>
      <w:r>
        <w:rPr>
          <w:sz w:val="24"/>
          <w:vertAlign w:val="subscript"/>
        </w:rPr>
        <w:t>it</w:t>
      </w:r>
      <w:r>
        <w:rPr>
          <w:sz w:val="24"/>
          <w:vertAlign w:val="baseline"/>
        </w:rPr>
        <w:t> </w:t>
      </w:r>
      <w:r>
        <w:rPr>
          <w:vertAlign w:val="baseline"/>
        </w:rPr>
        <w:t>+ β</w:t>
      </w:r>
      <w:r>
        <w:rPr>
          <w:vertAlign w:val="subscript"/>
        </w:rPr>
        <w:t>5</w:t>
      </w:r>
      <w:r>
        <w:rPr>
          <w:vertAlign w:val="baseline"/>
        </w:rPr>
        <w:t>FS +β</w:t>
      </w:r>
      <w:r>
        <w:rPr>
          <w:vertAlign w:val="subscript"/>
        </w:rPr>
        <w:t>6</w:t>
      </w:r>
      <w:r>
        <w:rPr>
          <w:vertAlign w:val="baseline"/>
        </w:rPr>
        <w:t>FA</w:t>
      </w:r>
      <w:r>
        <w:rPr>
          <w:vertAlign w:val="subscript"/>
        </w:rPr>
        <w:t>it</w:t>
      </w:r>
      <w:r>
        <w:rPr>
          <w:vertAlign w:val="baseline"/>
        </w:rPr>
        <w:t> + β</w:t>
      </w:r>
      <w:r>
        <w:rPr>
          <w:vertAlign w:val="subscript"/>
        </w:rPr>
        <w:t>7</w:t>
      </w:r>
      <w:r>
        <w:rPr>
          <w:vertAlign w:val="baseline"/>
        </w:rPr>
        <w:t>LEV</w:t>
      </w:r>
      <w:r>
        <w:rPr>
          <w:vertAlign w:val="subscript"/>
        </w:rPr>
        <w:t>it</w:t>
      </w:r>
      <w:r>
        <w:rPr>
          <w:vertAlign w:val="baseline"/>
        </w:rPr>
        <w:t> + β</w:t>
      </w:r>
      <w:r>
        <w:rPr>
          <w:vertAlign w:val="subscript"/>
        </w:rPr>
        <w:t>8</w:t>
      </w:r>
      <w:r>
        <w:rPr>
          <w:vertAlign w:val="baseline"/>
        </w:rPr>
        <w:t>Post-IFRS + (β</w:t>
      </w:r>
      <w:r>
        <w:rPr>
          <w:vertAlign w:val="subscript"/>
        </w:rPr>
        <w:t>9</w:t>
      </w:r>
      <w:r>
        <w:rPr>
          <w:vertAlign w:val="baseline"/>
        </w:rPr>
        <w:t>Post-IFRS X BDS</w:t>
      </w:r>
      <w:r>
        <w:rPr>
          <w:vertAlign w:val="subscript"/>
        </w:rPr>
        <w:t>it</w:t>
      </w:r>
      <w:r>
        <w:rPr>
          <w:vertAlign w:val="baseline"/>
        </w:rPr>
        <w:t>) + (β</w:t>
      </w:r>
      <w:r>
        <w:rPr>
          <w:vertAlign w:val="subscript"/>
        </w:rPr>
        <w:t>10</w:t>
      </w:r>
      <w:r>
        <w:rPr>
          <w:vertAlign w:val="baseline"/>
        </w:rPr>
        <w:t>Post-IFRS X BDIND</w:t>
      </w:r>
      <w:r>
        <w:rPr>
          <w:vertAlign w:val="subscript"/>
        </w:rPr>
        <w:t>it</w:t>
      </w:r>
      <w:r>
        <w:rPr>
          <w:vertAlign w:val="baseline"/>
        </w:rPr>
        <w:t>) + (β</w:t>
      </w:r>
      <w:r>
        <w:rPr>
          <w:vertAlign w:val="subscript"/>
        </w:rPr>
        <w:t>11</w:t>
      </w:r>
      <w:r>
        <w:rPr>
          <w:vertAlign w:val="baseline"/>
        </w:rPr>
        <w:t>Post- IFRS X</w:t>
      </w:r>
      <w:r>
        <w:rPr>
          <w:spacing w:val="40"/>
          <w:vertAlign w:val="baseline"/>
        </w:rPr>
        <w:t> </w:t>
      </w:r>
      <w:r>
        <w:rPr>
          <w:i w:val="0"/>
          <w:sz w:val="24"/>
          <w:vertAlign w:val="baseline"/>
        </w:rPr>
        <w:t>BDFX</w:t>
      </w:r>
      <w:r>
        <w:rPr>
          <w:sz w:val="24"/>
          <w:vertAlign w:val="subscript"/>
        </w:rPr>
        <w:t>it</w:t>
      </w:r>
      <w:r>
        <w:rPr>
          <w:vertAlign w:val="baseline"/>
        </w:rPr>
        <w:t>) + μ</w:t>
      </w:r>
      <w:r>
        <w:rPr>
          <w:vertAlign w:val="subscript"/>
        </w:rPr>
        <w:t>it</w:t>
      </w:r>
      <w:r>
        <w:rPr>
          <w:vertAlign w:val="baseline"/>
        </w:rPr>
        <w:t> / ѡ</w:t>
      </w:r>
      <w:r>
        <w:rPr>
          <w:vertAlign w:val="subscript"/>
        </w:rPr>
        <w:t>it</w:t>
      </w:r>
      <w:r>
        <w:rPr>
          <w:vertAlign w:val="baseline"/>
        </w:rPr>
        <w:tab/>
      </w:r>
      <w:r>
        <w:rPr>
          <w:i w:val="0"/>
          <w:spacing w:val="-4"/>
          <w:sz w:val="24"/>
          <w:vertAlign w:val="baseline"/>
        </w:rPr>
        <w:t>(1c)</w:t>
      </w:r>
    </w:p>
    <w:p>
      <w:pPr>
        <w:pStyle w:val="BodyText"/>
        <w:spacing w:line="477" w:lineRule="auto"/>
        <w:ind w:left="940" w:right="1436"/>
        <w:jc w:val="both"/>
      </w:pPr>
      <w:r>
        <w:rPr>
          <w:position w:val="2"/>
        </w:rPr>
        <w:t>Where: β</w:t>
      </w:r>
      <w:r>
        <w:rPr>
          <w:sz w:val="16"/>
        </w:rPr>
        <w:t>1i</w:t>
      </w:r>
      <w:r>
        <w:rPr>
          <w:i/>
          <w:sz w:val="16"/>
        </w:rPr>
        <w:t>= </w:t>
      </w:r>
      <w:r>
        <w:rPr>
          <w:position w:val="2"/>
        </w:rPr>
        <w:t>Intercept of the</w:t>
      </w:r>
      <w:r>
        <w:rPr>
          <w:spacing w:val="-1"/>
          <w:position w:val="2"/>
        </w:rPr>
        <w:t> </w:t>
      </w:r>
      <w:r>
        <w:rPr>
          <w:position w:val="2"/>
        </w:rPr>
        <w:t>thirteen (13)</w:t>
      </w:r>
      <w:r>
        <w:rPr>
          <w:spacing w:val="-1"/>
          <w:position w:val="2"/>
        </w:rPr>
        <w:t> </w:t>
      </w:r>
      <w:r>
        <w:rPr>
          <w:position w:val="2"/>
        </w:rPr>
        <w:t>DMBs which was time-invariant for</w:t>
      </w:r>
      <w:r>
        <w:rPr>
          <w:spacing w:val="-1"/>
          <w:position w:val="2"/>
        </w:rPr>
        <w:t> </w:t>
      </w:r>
      <w:r>
        <w:rPr>
          <w:position w:val="2"/>
        </w:rPr>
        <w:t>FEM and β</w:t>
      </w:r>
      <w:r>
        <w:rPr>
          <w:sz w:val="16"/>
        </w:rPr>
        <w:t>1 </w:t>
      </w:r>
      <w:r>
        <w:rPr>
          <w:position w:val="2"/>
        </w:rPr>
        <w:t>=</w:t>
      </w:r>
      <w:r>
        <w:rPr>
          <w:spacing w:val="-1"/>
          <w:position w:val="2"/>
        </w:rPr>
        <w:t> </w:t>
      </w:r>
      <w:r>
        <w:rPr>
          <w:position w:val="2"/>
        </w:rPr>
        <w:t>a common mean value intercept for the thirteen (13) DMBs for REM; β</w:t>
      </w:r>
      <w:r>
        <w:rPr>
          <w:sz w:val="16"/>
        </w:rPr>
        <w:t>2-</w:t>
      </w:r>
      <w:r>
        <w:rPr>
          <w:spacing w:val="40"/>
          <w:sz w:val="16"/>
        </w:rPr>
        <w:t> </w:t>
      </w:r>
      <w:r>
        <w:rPr>
          <w:position w:val="2"/>
        </w:rPr>
        <w:t>β</w:t>
      </w:r>
      <w:r>
        <w:rPr>
          <w:sz w:val="16"/>
        </w:rPr>
        <w:t>11 </w:t>
      </w:r>
      <w:r>
        <w:rPr>
          <w:position w:val="2"/>
        </w:rPr>
        <w:t>= Unknown </w:t>
      </w:r>
      <w:r>
        <w:rPr/>
        <w:t>coefficients; i= Companies (1…13 companies); t= Time [(1…15 years), Post-IFRS= was a dummy</w:t>
      </w:r>
      <w:r>
        <w:rPr>
          <w:spacing w:val="-12"/>
        </w:rPr>
        <w:t> </w:t>
      </w:r>
      <w:r>
        <w:rPr/>
        <w:t>variable</w:t>
      </w:r>
      <w:r>
        <w:rPr>
          <w:spacing w:val="-13"/>
        </w:rPr>
        <w:t> </w:t>
      </w:r>
      <w:r>
        <w:rPr/>
        <w:t>set</w:t>
      </w:r>
      <w:r>
        <w:rPr>
          <w:spacing w:val="-12"/>
        </w:rPr>
        <w:t> </w:t>
      </w:r>
      <w:r>
        <w:rPr/>
        <w:t>equal</w:t>
      </w:r>
      <w:r>
        <w:rPr>
          <w:spacing w:val="39"/>
        </w:rPr>
        <w:t> </w:t>
      </w:r>
      <w:r>
        <w:rPr/>
        <w:t>to</w:t>
      </w:r>
      <w:r>
        <w:rPr>
          <w:spacing w:val="-12"/>
        </w:rPr>
        <w:t> </w:t>
      </w:r>
      <w:r>
        <w:rPr/>
        <w:t>1</w:t>
      </w:r>
      <w:r>
        <w:rPr>
          <w:spacing w:val="-12"/>
        </w:rPr>
        <w:t> </w:t>
      </w:r>
      <w:r>
        <w:rPr/>
        <w:t>for</w:t>
      </w:r>
      <w:r>
        <w:rPr>
          <w:spacing w:val="-14"/>
        </w:rPr>
        <w:t> </w:t>
      </w:r>
      <w:r>
        <w:rPr/>
        <w:t>post</w:t>
      </w:r>
      <w:r>
        <w:rPr>
          <w:spacing w:val="-12"/>
        </w:rPr>
        <w:t> </w:t>
      </w:r>
      <w:r>
        <w:rPr/>
        <w:t>IFRS</w:t>
      </w:r>
      <w:r>
        <w:rPr>
          <w:spacing w:val="-11"/>
        </w:rPr>
        <w:t> </w:t>
      </w:r>
      <w:r>
        <w:rPr/>
        <w:t>regime</w:t>
      </w:r>
      <w:r>
        <w:rPr>
          <w:spacing w:val="-13"/>
        </w:rPr>
        <w:t> </w:t>
      </w:r>
      <w:r>
        <w:rPr/>
        <w:t>(2013-2019)</w:t>
      </w:r>
      <w:r>
        <w:rPr>
          <w:spacing w:val="-13"/>
        </w:rPr>
        <w:t> </w:t>
      </w:r>
      <w:r>
        <w:rPr/>
        <w:t>and</w:t>
      </w:r>
      <w:r>
        <w:rPr>
          <w:spacing w:val="-12"/>
        </w:rPr>
        <w:t> </w:t>
      </w:r>
      <w:r>
        <w:rPr/>
        <w:t>otherwise</w:t>
      </w:r>
      <w:r>
        <w:rPr>
          <w:spacing w:val="-13"/>
        </w:rPr>
        <w:t> </w:t>
      </w:r>
      <w:r>
        <w:rPr/>
        <w:t>0</w:t>
      </w:r>
      <w:r>
        <w:rPr>
          <w:spacing w:val="-12"/>
        </w:rPr>
        <w:t> </w:t>
      </w:r>
      <w:r>
        <w:rPr/>
        <w:t>for</w:t>
      </w:r>
      <w:r>
        <w:rPr>
          <w:spacing w:val="-14"/>
        </w:rPr>
        <w:t> </w:t>
      </w:r>
      <w:r>
        <w:rPr/>
        <w:t>pre-IFRS </w:t>
      </w:r>
      <w:r>
        <w:rPr>
          <w:position w:val="2"/>
        </w:rPr>
        <w:t>regime (2005-2011); μ</w:t>
      </w:r>
      <w:r>
        <w:rPr>
          <w:sz w:val="16"/>
        </w:rPr>
        <w:t>it </w:t>
      </w:r>
      <w:r>
        <w:rPr>
          <w:position w:val="2"/>
        </w:rPr>
        <w:t>= idiosyncratic term (combined time series and cross-section error components)</w:t>
      </w:r>
      <w:r>
        <w:rPr>
          <w:spacing w:val="-3"/>
          <w:position w:val="2"/>
        </w:rPr>
        <w:t> </w:t>
      </w:r>
      <w:r>
        <w:rPr>
          <w:position w:val="2"/>
        </w:rPr>
        <w:t>in</w:t>
      </w:r>
      <w:r>
        <w:rPr>
          <w:spacing w:val="-3"/>
          <w:position w:val="2"/>
        </w:rPr>
        <w:t> </w:t>
      </w:r>
      <w:r>
        <w:rPr>
          <w:position w:val="2"/>
        </w:rPr>
        <w:t>the</w:t>
      </w:r>
      <w:r>
        <w:rPr>
          <w:spacing w:val="-3"/>
          <w:position w:val="2"/>
        </w:rPr>
        <w:t> </w:t>
      </w:r>
      <w:r>
        <w:rPr>
          <w:position w:val="2"/>
        </w:rPr>
        <w:t>case</w:t>
      </w:r>
      <w:r>
        <w:rPr>
          <w:spacing w:val="-2"/>
          <w:position w:val="2"/>
        </w:rPr>
        <w:t> </w:t>
      </w:r>
      <w:r>
        <w:rPr>
          <w:position w:val="2"/>
        </w:rPr>
        <w:t>of</w:t>
      </w:r>
      <w:r>
        <w:rPr>
          <w:spacing w:val="-3"/>
          <w:position w:val="2"/>
        </w:rPr>
        <w:t> </w:t>
      </w:r>
      <w:r>
        <w:rPr>
          <w:position w:val="2"/>
        </w:rPr>
        <w:t>FEM</w:t>
      </w:r>
      <w:r>
        <w:rPr>
          <w:spacing w:val="-1"/>
          <w:position w:val="2"/>
        </w:rPr>
        <w:t> </w:t>
      </w:r>
      <w:r>
        <w:rPr>
          <w:position w:val="2"/>
        </w:rPr>
        <w:t>and</w:t>
      </w:r>
      <w:r>
        <w:rPr>
          <w:spacing w:val="-2"/>
          <w:position w:val="2"/>
        </w:rPr>
        <w:t> </w:t>
      </w:r>
      <w:r>
        <w:rPr>
          <w:position w:val="2"/>
        </w:rPr>
        <w:t>ѡ</w:t>
      </w:r>
      <w:r>
        <w:rPr>
          <w:sz w:val="16"/>
        </w:rPr>
        <w:t>it</w:t>
      </w:r>
      <w:r>
        <w:rPr>
          <w:spacing w:val="-1"/>
          <w:sz w:val="16"/>
        </w:rPr>
        <w:t> </w:t>
      </w:r>
      <w:r>
        <w:rPr>
          <w:position w:val="2"/>
        </w:rPr>
        <w:t>=</w:t>
      </w:r>
      <w:r>
        <w:rPr>
          <w:spacing w:val="-4"/>
          <w:position w:val="2"/>
        </w:rPr>
        <w:t> </w:t>
      </w:r>
      <w:r>
        <w:rPr>
          <w:position w:val="2"/>
        </w:rPr>
        <w:t>combination</w:t>
      </w:r>
      <w:r>
        <w:rPr>
          <w:spacing w:val="-3"/>
          <w:position w:val="2"/>
        </w:rPr>
        <w:t> </w:t>
      </w:r>
      <w:r>
        <w:rPr>
          <w:position w:val="2"/>
        </w:rPr>
        <w:t>of</w:t>
      </w:r>
      <w:r>
        <w:rPr>
          <w:spacing w:val="-4"/>
          <w:position w:val="2"/>
        </w:rPr>
        <w:t> </w:t>
      </w:r>
      <w:r>
        <w:rPr>
          <w:position w:val="2"/>
        </w:rPr>
        <w:t>cross-section,</w:t>
      </w:r>
      <w:r>
        <w:rPr>
          <w:spacing w:val="-3"/>
          <w:position w:val="2"/>
        </w:rPr>
        <w:t> </w:t>
      </w:r>
      <w:r>
        <w:rPr>
          <w:position w:val="2"/>
        </w:rPr>
        <w:t>or</w:t>
      </w:r>
      <w:r>
        <w:rPr>
          <w:spacing w:val="-2"/>
          <w:position w:val="2"/>
        </w:rPr>
        <w:t> </w:t>
      </w:r>
      <w:r>
        <w:rPr>
          <w:position w:val="2"/>
        </w:rPr>
        <w:t>individual-specific error term (εi) and μ</w:t>
      </w:r>
      <w:r>
        <w:rPr>
          <w:sz w:val="16"/>
        </w:rPr>
        <w:t>it </w:t>
      </w:r>
      <w:r>
        <w:rPr>
          <w:position w:val="2"/>
        </w:rPr>
        <w:t>in the case of REM.</w:t>
      </w:r>
    </w:p>
    <w:p>
      <w:pPr>
        <w:pStyle w:val="Heading3"/>
        <w:spacing w:before="5"/>
      </w:pPr>
      <w:r>
        <w:rPr/>
        <w:t>Model</w:t>
      </w:r>
      <w:r>
        <w:rPr>
          <w:spacing w:val="-4"/>
        </w:rPr>
        <w:t> </w:t>
      </w:r>
      <w:r>
        <w:rPr/>
        <w:t>2:</w:t>
      </w:r>
      <w:r>
        <w:rPr>
          <w:spacing w:val="-2"/>
        </w:rPr>
        <w:t> </w:t>
      </w:r>
      <w:r>
        <w:rPr/>
        <w:t>Ownership</w:t>
      </w:r>
      <w:r>
        <w:rPr>
          <w:spacing w:val="-1"/>
        </w:rPr>
        <w:t> </w:t>
      </w:r>
      <w:r>
        <w:rPr/>
        <w:t>Structure</w:t>
      </w:r>
      <w:r>
        <w:rPr>
          <w:spacing w:val="-2"/>
        </w:rPr>
        <w:t> </w:t>
      </w:r>
      <w:r>
        <w:rPr/>
        <w:t>and</w:t>
      </w:r>
      <w:r>
        <w:rPr>
          <w:spacing w:val="-2"/>
        </w:rPr>
        <w:t> </w:t>
      </w:r>
      <w:r>
        <w:rPr/>
        <w:t>Financial</w:t>
      </w:r>
      <w:r>
        <w:rPr>
          <w:spacing w:val="-4"/>
        </w:rPr>
        <w:t> </w:t>
      </w:r>
      <w:r>
        <w:rPr/>
        <w:t>Reporting</w:t>
      </w:r>
      <w:r>
        <w:rPr>
          <w:spacing w:val="-1"/>
        </w:rPr>
        <w:t> </w:t>
      </w:r>
      <w:r>
        <w:rPr>
          <w:spacing w:val="-2"/>
        </w:rPr>
        <w:t>Quality</w:t>
      </w:r>
    </w:p>
    <w:p>
      <w:pPr>
        <w:pStyle w:val="BodyText"/>
        <w:spacing w:before="1"/>
        <w:rPr>
          <w:b/>
        </w:rPr>
      </w:pPr>
    </w:p>
    <w:p>
      <w:pPr>
        <w:pStyle w:val="BodyText"/>
        <w:spacing w:line="480" w:lineRule="auto"/>
        <w:ind w:left="940" w:right="1437"/>
        <w:jc w:val="both"/>
      </w:pPr>
      <w:r>
        <w:rPr/>
        <w:t>This model examined the impact of ownership structure on the financial reporting quality of DMBs listed on the NSE. The functional form was first presented below;</w:t>
      </w:r>
    </w:p>
    <w:p>
      <w:pPr>
        <w:pStyle w:val="BodyText"/>
        <w:tabs>
          <w:tab w:pos="9046" w:val="left" w:leader="hyphen"/>
        </w:tabs>
        <w:ind w:left="940"/>
        <w:jc w:val="both"/>
      </w:pPr>
      <w:r>
        <w:rPr/>
        <w:t>FRQ=ƒ</w:t>
      </w:r>
      <w:r>
        <w:rPr>
          <w:spacing w:val="-3"/>
        </w:rPr>
        <w:t> </w:t>
      </w:r>
      <w:r>
        <w:rPr/>
        <w:t>(IOWN,</w:t>
      </w:r>
      <w:r>
        <w:rPr>
          <w:spacing w:val="-3"/>
        </w:rPr>
        <w:t> </w:t>
      </w:r>
      <w:r>
        <w:rPr/>
        <w:t>MOWN,</w:t>
      </w:r>
      <w:r>
        <w:rPr>
          <w:spacing w:val="-3"/>
        </w:rPr>
        <w:t> </w:t>
      </w:r>
      <w:r>
        <w:rPr/>
        <w:t>FOWN,</w:t>
      </w:r>
      <w:r>
        <w:rPr>
          <w:spacing w:val="-1"/>
        </w:rPr>
        <w:t> </w:t>
      </w:r>
      <w:r>
        <w:rPr>
          <w:spacing w:val="-2"/>
        </w:rPr>
        <w:t>OWNCON)</w:t>
      </w:r>
      <w:r>
        <w:rPr/>
        <w:tab/>
      </w:r>
      <w:r>
        <w:rPr>
          <w:spacing w:val="-4"/>
        </w:rPr>
        <w:t>(2a)</w:t>
      </w:r>
    </w:p>
    <w:p>
      <w:pPr>
        <w:pStyle w:val="BodyText"/>
      </w:pPr>
    </w:p>
    <w:p>
      <w:pPr>
        <w:pStyle w:val="BodyText"/>
        <w:spacing w:line="480" w:lineRule="auto"/>
        <w:ind w:left="940" w:right="1435"/>
        <w:jc w:val="both"/>
      </w:pPr>
      <w:r>
        <w:rPr/>
        <w:t>Where: IOWN=Institutional equity ownership; MOWN= Managerial ownership; FOWN= Foreign ownership; OWNCON= Ownership concentration. To avoid variable omission bias, the</w:t>
      </w:r>
      <w:r>
        <w:rPr>
          <w:spacing w:val="-13"/>
        </w:rPr>
        <w:t> </w:t>
      </w:r>
      <w:r>
        <w:rPr/>
        <w:t>study</w:t>
      </w:r>
      <w:r>
        <w:rPr>
          <w:spacing w:val="-12"/>
        </w:rPr>
        <w:t> </w:t>
      </w:r>
      <w:r>
        <w:rPr/>
        <w:t>controlled</w:t>
      </w:r>
      <w:r>
        <w:rPr>
          <w:spacing w:val="-12"/>
        </w:rPr>
        <w:t> </w:t>
      </w:r>
      <w:r>
        <w:rPr/>
        <w:t>for</w:t>
      </w:r>
      <w:r>
        <w:rPr>
          <w:spacing w:val="-14"/>
        </w:rPr>
        <w:t> </w:t>
      </w:r>
      <w:r>
        <w:rPr/>
        <w:t>corporate</w:t>
      </w:r>
      <w:r>
        <w:rPr>
          <w:spacing w:val="-13"/>
        </w:rPr>
        <w:t> </w:t>
      </w:r>
      <w:r>
        <w:rPr/>
        <w:t>firm</w:t>
      </w:r>
      <w:r>
        <w:rPr>
          <w:spacing w:val="-12"/>
        </w:rPr>
        <w:t> </w:t>
      </w:r>
      <w:r>
        <w:rPr/>
        <w:t>attributes</w:t>
      </w:r>
      <w:r>
        <w:rPr>
          <w:spacing w:val="-12"/>
        </w:rPr>
        <w:t> </w:t>
      </w:r>
      <w:r>
        <w:rPr/>
        <w:t>variables</w:t>
      </w:r>
      <w:r>
        <w:rPr>
          <w:spacing w:val="-12"/>
        </w:rPr>
        <w:t> </w:t>
      </w:r>
      <w:r>
        <w:rPr/>
        <w:t>such</w:t>
      </w:r>
      <w:r>
        <w:rPr>
          <w:spacing w:val="-10"/>
        </w:rPr>
        <w:t> </w:t>
      </w:r>
      <w:r>
        <w:rPr/>
        <w:t>as</w:t>
      </w:r>
      <w:r>
        <w:rPr>
          <w:spacing w:val="-12"/>
        </w:rPr>
        <w:t> </w:t>
      </w:r>
      <w:r>
        <w:rPr/>
        <w:t>firm</w:t>
      </w:r>
      <w:r>
        <w:rPr>
          <w:spacing w:val="-12"/>
        </w:rPr>
        <w:t> </w:t>
      </w:r>
      <w:r>
        <w:rPr/>
        <w:t>size</w:t>
      </w:r>
      <w:r>
        <w:rPr>
          <w:spacing w:val="-11"/>
        </w:rPr>
        <w:t> </w:t>
      </w:r>
      <w:r>
        <w:rPr/>
        <w:t>(FS),</w:t>
      </w:r>
      <w:r>
        <w:rPr>
          <w:spacing w:val="-13"/>
        </w:rPr>
        <w:t> </w:t>
      </w:r>
      <w:r>
        <w:rPr/>
        <w:t>firm</w:t>
      </w:r>
      <w:r>
        <w:rPr>
          <w:spacing w:val="-12"/>
        </w:rPr>
        <w:t> </w:t>
      </w:r>
      <w:r>
        <w:rPr/>
        <w:t>age</w:t>
      </w:r>
      <w:r>
        <w:rPr>
          <w:spacing w:val="-13"/>
        </w:rPr>
        <w:t> </w:t>
      </w:r>
      <w:r>
        <w:rPr/>
        <w:t>(FA) and leverage (LEV). Eq. (2a) was further stated below;</w:t>
      </w:r>
    </w:p>
    <w:p>
      <w:pPr>
        <w:spacing w:after="0" w:line="480" w:lineRule="auto"/>
        <w:jc w:val="both"/>
        <w:sectPr>
          <w:pgSz w:w="11910" w:h="16840"/>
          <w:pgMar w:header="0" w:footer="971" w:top="1360" w:bottom="1160" w:left="500" w:right="0"/>
        </w:sectPr>
      </w:pPr>
    </w:p>
    <w:p>
      <w:pPr>
        <w:pStyle w:val="BodyText"/>
        <w:tabs>
          <w:tab w:pos="9565" w:val="left" w:leader="hyphen"/>
        </w:tabs>
        <w:spacing w:before="61"/>
        <w:ind w:left="940"/>
      </w:pPr>
      <w:r>
        <w:rPr/>
        <w:t>FRQ=ƒ</w:t>
      </w:r>
      <w:r>
        <w:rPr>
          <w:spacing w:val="-2"/>
        </w:rPr>
        <w:t> </w:t>
      </w:r>
      <w:r>
        <w:rPr/>
        <w:t>(IOWN,</w:t>
      </w:r>
      <w:r>
        <w:rPr>
          <w:spacing w:val="-2"/>
        </w:rPr>
        <w:t> </w:t>
      </w:r>
      <w:r>
        <w:rPr/>
        <w:t>MOWN,</w:t>
      </w:r>
      <w:r>
        <w:rPr>
          <w:spacing w:val="-2"/>
        </w:rPr>
        <w:t> </w:t>
      </w:r>
      <w:r>
        <w:rPr/>
        <w:t>FOWN,</w:t>
      </w:r>
      <w:r>
        <w:rPr>
          <w:spacing w:val="-1"/>
        </w:rPr>
        <w:t> </w:t>
      </w:r>
      <w:r>
        <w:rPr/>
        <w:t>OWNCON,</w:t>
      </w:r>
      <w:r>
        <w:rPr>
          <w:spacing w:val="-1"/>
        </w:rPr>
        <w:t> </w:t>
      </w:r>
      <w:r>
        <w:rPr/>
        <w:t>FS,</w:t>
      </w:r>
      <w:r>
        <w:rPr>
          <w:spacing w:val="-2"/>
        </w:rPr>
        <w:t> </w:t>
      </w:r>
      <w:r>
        <w:rPr/>
        <w:t>FA,</w:t>
      </w:r>
      <w:r>
        <w:rPr>
          <w:spacing w:val="-1"/>
        </w:rPr>
        <w:t> </w:t>
      </w:r>
      <w:r>
        <w:rPr>
          <w:spacing w:val="-4"/>
        </w:rPr>
        <w:t>LEV)</w:t>
      </w:r>
      <w:r>
        <w:rPr/>
        <w:tab/>
      </w:r>
      <w:r>
        <w:rPr>
          <w:spacing w:val="-4"/>
        </w:rPr>
        <w:t>(2b)</w:t>
      </w:r>
    </w:p>
    <w:p>
      <w:pPr>
        <w:pStyle w:val="BodyText"/>
      </w:pPr>
    </w:p>
    <w:p>
      <w:pPr>
        <w:pStyle w:val="BodyText"/>
        <w:spacing w:line="480" w:lineRule="auto"/>
        <w:ind w:left="940" w:right="1436"/>
      </w:pPr>
      <w:r>
        <w:rPr/>
        <w:t>Specifying the functional model into an econometric form in both the fixed effect (FEM) and random effect (REM) form for pre and post-IFRS regime, we had:</w:t>
      </w:r>
    </w:p>
    <w:p>
      <w:pPr>
        <w:pStyle w:val="Heading1"/>
      </w:pPr>
      <w:r>
        <w:rPr/>
        <w:t>FRQ</w:t>
      </w:r>
      <w:r>
        <w:rPr>
          <w:vertAlign w:val="subscript"/>
        </w:rPr>
        <w:t>it</w:t>
      </w:r>
      <w:r>
        <w:rPr>
          <w:spacing w:val="28"/>
          <w:vertAlign w:val="baseline"/>
        </w:rPr>
        <w:t> </w:t>
      </w:r>
      <w:r>
        <w:rPr>
          <w:vertAlign w:val="baseline"/>
        </w:rPr>
        <w:t>=</w:t>
      </w:r>
      <w:r>
        <w:rPr>
          <w:spacing w:val="31"/>
          <w:vertAlign w:val="baseline"/>
        </w:rPr>
        <w:t> </w:t>
      </w:r>
      <w:r>
        <w:rPr>
          <w:vertAlign w:val="baseline"/>
        </w:rPr>
        <w:t>β</w:t>
      </w:r>
      <w:r>
        <w:rPr>
          <w:vertAlign w:val="subscript"/>
        </w:rPr>
        <w:t>1i</w:t>
      </w:r>
      <w:r>
        <w:rPr>
          <w:spacing w:val="29"/>
          <w:vertAlign w:val="baseline"/>
        </w:rPr>
        <w:t> </w:t>
      </w:r>
      <w:r>
        <w:rPr>
          <w:vertAlign w:val="baseline"/>
        </w:rPr>
        <w:t>/</w:t>
      </w:r>
      <w:r>
        <w:rPr>
          <w:spacing w:val="31"/>
          <w:vertAlign w:val="baseline"/>
        </w:rPr>
        <w:t> </w:t>
      </w:r>
      <w:r>
        <w:rPr>
          <w:vertAlign w:val="baseline"/>
        </w:rPr>
        <w:t>β</w:t>
      </w:r>
      <w:r>
        <w:rPr>
          <w:vertAlign w:val="subscript"/>
        </w:rPr>
        <w:t>1</w:t>
      </w:r>
      <w:r>
        <w:rPr>
          <w:vertAlign w:val="baseline"/>
        </w:rPr>
        <w:t>+</w:t>
      </w:r>
      <w:r>
        <w:rPr>
          <w:spacing w:val="31"/>
          <w:vertAlign w:val="baseline"/>
        </w:rPr>
        <w:t> </w:t>
      </w:r>
      <w:r>
        <w:rPr>
          <w:vertAlign w:val="baseline"/>
        </w:rPr>
        <w:t>β</w:t>
      </w:r>
      <w:r>
        <w:rPr>
          <w:vertAlign w:val="subscript"/>
        </w:rPr>
        <w:t>2</w:t>
      </w:r>
      <w:r>
        <w:rPr>
          <w:vertAlign w:val="baseline"/>
        </w:rPr>
        <w:t>IOWN</w:t>
      </w:r>
      <w:r>
        <w:rPr>
          <w:vertAlign w:val="subscript"/>
        </w:rPr>
        <w:t>it</w:t>
      </w:r>
      <w:r>
        <w:rPr>
          <w:spacing w:val="30"/>
          <w:vertAlign w:val="baseline"/>
        </w:rPr>
        <w:t> </w:t>
      </w:r>
      <w:r>
        <w:rPr>
          <w:vertAlign w:val="baseline"/>
        </w:rPr>
        <w:t>+</w:t>
      </w:r>
      <w:r>
        <w:rPr>
          <w:spacing w:val="31"/>
          <w:vertAlign w:val="baseline"/>
        </w:rPr>
        <w:t> </w:t>
      </w:r>
      <w:r>
        <w:rPr>
          <w:vertAlign w:val="baseline"/>
        </w:rPr>
        <w:t>β</w:t>
      </w:r>
      <w:r>
        <w:rPr>
          <w:vertAlign w:val="subscript"/>
        </w:rPr>
        <w:t>3</w:t>
      </w:r>
      <w:r>
        <w:rPr>
          <w:vertAlign w:val="baseline"/>
        </w:rPr>
        <w:t>MOWN</w:t>
      </w:r>
      <w:r>
        <w:rPr>
          <w:spacing w:val="28"/>
          <w:vertAlign w:val="baseline"/>
        </w:rPr>
        <w:t> </w:t>
      </w:r>
      <w:r>
        <w:rPr>
          <w:vertAlign w:val="baseline"/>
        </w:rPr>
        <w:t>+β</w:t>
      </w:r>
      <w:r>
        <w:rPr>
          <w:vertAlign w:val="subscript"/>
        </w:rPr>
        <w:t>4</w:t>
      </w:r>
      <w:r>
        <w:rPr>
          <w:vertAlign w:val="baseline"/>
        </w:rPr>
        <w:t>FOWN</w:t>
      </w:r>
      <w:r>
        <w:rPr>
          <w:vertAlign w:val="subscript"/>
        </w:rPr>
        <w:t>it</w:t>
      </w:r>
      <w:r>
        <w:rPr>
          <w:spacing w:val="29"/>
          <w:vertAlign w:val="baseline"/>
        </w:rPr>
        <w:t> </w:t>
      </w:r>
      <w:r>
        <w:rPr>
          <w:vertAlign w:val="baseline"/>
        </w:rPr>
        <w:t>+</w:t>
      </w:r>
      <w:r>
        <w:rPr>
          <w:spacing w:val="30"/>
          <w:vertAlign w:val="baseline"/>
        </w:rPr>
        <w:t> </w:t>
      </w:r>
      <w:r>
        <w:rPr>
          <w:vertAlign w:val="baseline"/>
        </w:rPr>
        <w:t>β</w:t>
      </w:r>
      <w:r>
        <w:rPr>
          <w:vertAlign w:val="subscript"/>
        </w:rPr>
        <w:t>5</w:t>
      </w:r>
      <w:r>
        <w:rPr>
          <w:vertAlign w:val="baseline"/>
        </w:rPr>
        <w:t>OWNCON</w:t>
      </w:r>
      <w:r>
        <w:rPr>
          <w:vertAlign w:val="subscript"/>
        </w:rPr>
        <w:t>it</w:t>
      </w:r>
      <w:r>
        <w:rPr>
          <w:spacing w:val="31"/>
          <w:vertAlign w:val="baseline"/>
        </w:rPr>
        <w:t> </w:t>
      </w:r>
      <w:r>
        <w:rPr>
          <w:vertAlign w:val="baseline"/>
        </w:rPr>
        <w:t>+</w:t>
      </w:r>
      <w:r>
        <w:rPr>
          <w:spacing w:val="31"/>
          <w:vertAlign w:val="baseline"/>
        </w:rPr>
        <w:t> </w:t>
      </w:r>
      <w:r>
        <w:rPr>
          <w:spacing w:val="-2"/>
          <w:vertAlign w:val="baseline"/>
        </w:rPr>
        <w:t>β</w:t>
      </w:r>
      <w:r>
        <w:rPr>
          <w:spacing w:val="-2"/>
          <w:vertAlign w:val="subscript"/>
        </w:rPr>
        <w:t>6</w:t>
      </w:r>
      <w:r>
        <w:rPr>
          <w:spacing w:val="-2"/>
          <w:vertAlign w:val="baseline"/>
        </w:rPr>
        <w:t>FS</w:t>
      </w:r>
      <w:r>
        <w:rPr>
          <w:spacing w:val="-2"/>
          <w:vertAlign w:val="subscript"/>
        </w:rPr>
        <w:t>it</w:t>
      </w:r>
    </w:p>
    <w:p>
      <w:pPr>
        <w:spacing w:line="482" w:lineRule="auto" w:before="321"/>
        <w:ind w:left="940" w:right="1436" w:firstLine="0"/>
        <w:jc w:val="left"/>
        <w:rPr>
          <w:sz w:val="28"/>
        </w:rPr>
      </w:pPr>
      <w:r>
        <w:rPr/>
        <w:drawing>
          <wp:anchor distT="0" distB="0" distL="0" distR="0" allowOverlap="1" layoutInCell="1" locked="0" behindDoc="1" simplePos="0" relativeHeight="477725696">
            <wp:simplePos x="0" y="0"/>
            <wp:positionH relativeFrom="page">
              <wp:posOffset>1095451</wp:posOffset>
            </wp:positionH>
            <wp:positionV relativeFrom="paragraph">
              <wp:posOffset>555477</wp:posOffset>
            </wp:positionV>
            <wp:extent cx="5106847" cy="5238115"/>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 cstate="print"/>
                    <a:stretch>
                      <a:fillRect/>
                    </a:stretch>
                  </pic:blipFill>
                  <pic:spPr>
                    <a:xfrm>
                      <a:off x="0" y="0"/>
                      <a:ext cx="5106847" cy="5238115"/>
                    </a:xfrm>
                    <a:prstGeom prst="rect">
                      <a:avLst/>
                    </a:prstGeom>
                  </pic:spPr>
                </pic:pic>
              </a:graphicData>
            </a:graphic>
          </wp:anchor>
        </w:drawing>
      </w:r>
      <w:r>
        <w:rPr>
          <w:i/>
          <w:sz w:val="28"/>
        </w:rPr>
        <w:t>+β</w:t>
      </w:r>
      <w:r>
        <w:rPr>
          <w:i/>
          <w:sz w:val="28"/>
          <w:vertAlign w:val="subscript"/>
        </w:rPr>
        <w:t>7</w:t>
      </w:r>
      <w:r>
        <w:rPr>
          <w:i/>
          <w:sz w:val="28"/>
          <w:vertAlign w:val="baseline"/>
        </w:rPr>
        <w:t>FA</w:t>
      </w:r>
      <w:r>
        <w:rPr>
          <w:i/>
          <w:sz w:val="28"/>
          <w:vertAlign w:val="subscript"/>
        </w:rPr>
        <w:t>it</w:t>
      </w:r>
      <w:r>
        <w:rPr>
          <w:i/>
          <w:spacing w:val="-2"/>
          <w:sz w:val="28"/>
          <w:vertAlign w:val="baseline"/>
        </w:rPr>
        <w:t> </w:t>
      </w:r>
      <w:r>
        <w:rPr>
          <w:i/>
          <w:sz w:val="28"/>
          <w:vertAlign w:val="baseline"/>
        </w:rPr>
        <w:t>+</w:t>
      </w:r>
      <w:r>
        <w:rPr>
          <w:i/>
          <w:spacing w:val="-2"/>
          <w:sz w:val="28"/>
          <w:vertAlign w:val="baseline"/>
        </w:rPr>
        <w:t> </w:t>
      </w:r>
      <w:r>
        <w:rPr>
          <w:i/>
          <w:sz w:val="28"/>
          <w:vertAlign w:val="baseline"/>
        </w:rPr>
        <w:t>β</w:t>
      </w:r>
      <w:r>
        <w:rPr>
          <w:i/>
          <w:sz w:val="28"/>
          <w:vertAlign w:val="subscript"/>
        </w:rPr>
        <w:t>8</w:t>
      </w:r>
      <w:r>
        <w:rPr>
          <w:i/>
          <w:sz w:val="28"/>
          <w:vertAlign w:val="baseline"/>
        </w:rPr>
        <w:t>LEV</w:t>
      </w:r>
      <w:r>
        <w:rPr>
          <w:i/>
          <w:sz w:val="28"/>
          <w:vertAlign w:val="subscript"/>
        </w:rPr>
        <w:t>it</w:t>
      </w:r>
      <w:r>
        <w:rPr>
          <w:i/>
          <w:spacing w:val="-2"/>
          <w:sz w:val="28"/>
          <w:vertAlign w:val="baseline"/>
        </w:rPr>
        <w:t> </w:t>
      </w:r>
      <w:r>
        <w:rPr>
          <w:i/>
          <w:sz w:val="28"/>
          <w:vertAlign w:val="baseline"/>
        </w:rPr>
        <w:t>+</w:t>
      </w:r>
      <w:r>
        <w:rPr>
          <w:i/>
          <w:spacing w:val="-3"/>
          <w:sz w:val="28"/>
          <w:vertAlign w:val="baseline"/>
        </w:rPr>
        <w:t> </w:t>
      </w:r>
      <w:r>
        <w:rPr>
          <w:i/>
          <w:sz w:val="28"/>
          <w:vertAlign w:val="baseline"/>
        </w:rPr>
        <w:t>β</w:t>
      </w:r>
      <w:r>
        <w:rPr>
          <w:i/>
          <w:sz w:val="28"/>
          <w:vertAlign w:val="subscript"/>
        </w:rPr>
        <w:t>9</w:t>
      </w:r>
      <w:r>
        <w:rPr>
          <w:i/>
          <w:sz w:val="28"/>
          <w:vertAlign w:val="baseline"/>
        </w:rPr>
        <w:t>Post-IFRS</w:t>
      </w:r>
      <w:r>
        <w:rPr>
          <w:i/>
          <w:spacing w:val="-1"/>
          <w:sz w:val="28"/>
          <w:vertAlign w:val="baseline"/>
        </w:rPr>
        <w:t> </w:t>
      </w:r>
      <w:r>
        <w:rPr>
          <w:i/>
          <w:sz w:val="28"/>
          <w:vertAlign w:val="baseline"/>
        </w:rPr>
        <w:t>+</w:t>
      </w:r>
      <w:r>
        <w:rPr>
          <w:i/>
          <w:spacing w:val="-3"/>
          <w:sz w:val="28"/>
          <w:vertAlign w:val="baseline"/>
        </w:rPr>
        <w:t> </w:t>
      </w:r>
      <w:r>
        <w:rPr>
          <w:i/>
          <w:sz w:val="28"/>
          <w:vertAlign w:val="baseline"/>
        </w:rPr>
        <w:t>(β</w:t>
      </w:r>
      <w:r>
        <w:rPr>
          <w:i/>
          <w:sz w:val="28"/>
          <w:vertAlign w:val="subscript"/>
        </w:rPr>
        <w:t>10</w:t>
      </w:r>
      <w:r>
        <w:rPr>
          <w:i/>
          <w:sz w:val="28"/>
          <w:vertAlign w:val="baseline"/>
        </w:rPr>
        <w:t>Post-IFRS</w:t>
      </w:r>
      <w:r>
        <w:rPr>
          <w:i/>
          <w:spacing w:val="-1"/>
          <w:sz w:val="28"/>
          <w:vertAlign w:val="baseline"/>
        </w:rPr>
        <w:t> </w:t>
      </w:r>
      <w:r>
        <w:rPr>
          <w:i/>
          <w:sz w:val="28"/>
          <w:vertAlign w:val="baseline"/>
        </w:rPr>
        <w:t>X</w:t>
      </w:r>
      <w:r>
        <w:rPr>
          <w:i/>
          <w:spacing w:val="-2"/>
          <w:sz w:val="28"/>
          <w:vertAlign w:val="baseline"/>
        </w:rPr>
        <w:t> </w:t>
      </w:r>
      <w:r>
        <w:rPr>
          <w:i/>
          <w:sz w:val="28"/>
          <w:vertAlign w:val="baseline"/>
        </w:rPr>
        <w:t>IOWN</w:t>
      </w:r>
      <w:r>
        <w:rPr>
          <w:i/>
          <w:sz w:val="28"/>
          <w:vertAlign w:val="subscript"/>
        </w:rPr>
        <w:t>it</w:t>
      </w:r>
      <w:r>
        <w:rPr>
          <w:i/>
          <w:sz w:val="28"/>
          <w:vertAlign w:val="baseline"/>
        </w:rPr>
        <w:t>)</w:t>
      </w:r>
      <w:r>
        <w:rPr>
          <w:i/>
          <w:spacing w:val="-2"/>
          <w:sz w:val="28"/>
          <w:vertAlign w:val="baseline"/>
        </w:rPr>
        <w:t> </w:t>
      </w:r>
      <w:r>
        <w:rPr>
          <w:i/>
          <w:sz w:val="28"/>
          <w:vertAlign w:val="baseline"/>
        </w:rPr>
        <w:t>+</w:t>
      </w:r>
      <w:r>
        <w:rPr>
          <w:i/>
          <w:spacing w:val="-3"/>
          <w:sz w:val="28"/>
          <w:vertAlign w:val="baseline"/>
        </w:rPr>
        <w:t> </w:t>
      </w:r>
      <w:r>
        <w:rPr>
          <w:i/>
          <w:sz w:val="28"/>
          <w:vertAlign w:val="baseline"/>
        </w:rPr>
        <w:t>(β</w:t>
      </w:r>
      <w:r>
        <w:rPr>
          <w:i/>
          <w:sz w:val="28"/>
          <w:vertAlign w:val="subscript"/>
        </w:rPr>
        <w:t>11</w:t>
      </w:r>
      <w:r>
        <w:rPr>
          <w:i/>
          <w:sz w:val="28"/>
          <w:vertAlign w:val="baseline"/>
        </w:rPr>
        <w:t>Post-IFRS</w:t>
      </w:r>
      <w:r>
        <w:rPr>
          <w:i/>
          <w:spacing w:val="-5"/>
          <w:sz w:val="28"/>
          <w:vertAlign w:val="baseline"/>
        </w:rPr>
        <w:t> </w:t>
      </w:r>
      <w:r>
        <w:rPr>
          <w:i/>
          <w:sz w:val="28"/>
          <w:vertAlign w:val="baseline"/>
        </w:rPr>
        <w:t>X MOWN</w:t>
      </w:r>
      <w:r>
        <w:rPr>
          <w:i/>
          <w:sz w:val="28"/>
          <w:vertAlign w:val="subscript"/>
        </w:rPr>
        <w:t>it</w:t>
      </w:r>
      <w:r>
        <w:rPr>
          <w:i/>
          <w:sz w:val="28"/>
          <w:vertAlign w:val="baseline"/>
        </w:rPr>
        <w:t>)</w:t>
      </w:r>
      <w:r>
        <w:rPr>
          <w:i/>
          <w:spacing w:val="-6"/>
          <w:sz w:val="28"/>
          <w:vertAlign w:val="baseline"/>
        </w:rPr>
        <w:t> </w:t>
      </w:r>
      <w:r>
        <w:rPr>
          <w:i/>
          <w:sz w:val="28"/>
          <w:vertAlign w:val="baseline"/>
        </w:rPr>
        <w:t>+</w:t>
      </w:r>
      <w:r>
        <w:rPr>
          <w:i/>
          <w:spacing w:val="-4"/>
          <w:sz w:val="28"/>
          <w:vertAlign w:val="baseline"/>
        </w:rPr>
        <w:t> </w:t>
      </w:r>
      <w:r>
        <w:rPr>
          <w:i/>
          <w:sz w:val="28"/>
          <w:vertAlign w:val="baseline"/>
        </w:rPr>
        <w:t>(β</w:t>
      </w:r>
      <w:r>
        <w:rPr>
          <w:i/>
          <w:sz w:val="28"/>
          <w:vertAlign w:val="subscript"/>
        </w:rPr>
        <w:t>12</w:t>
      </w:r>
      <w:r>
        <w:rPr>
          <w:i/>
          <w:spacing w:val="-26"/>
          <w:sz w:val="28"/>
          <w:vertAlign w:val="baseline"/>
        </w:rPr>
        <w:t> </w:t>
      </w:r>
      <w:r>
        <w:rPr>
          <w:i/>
          <w:sz w:val="28"/>
          <w:vertAlign w:val="baseline"/>
        </w:rPr>
        <w:t>Post-IFRS</w:t>
      </w:r>
      <w:r>
        <w:rPr>
          <w:i/>
          <w:spacing w:val="-5"/>
          <w:sz w:val="28"/>
          <w:vertAlign w:val="baseline"/>
        </w:rPr>
        <w:t> </w:t>
      </w:r>
      <w:r>
        <w:rPr>
          <w:i/>
          <w:sz w:val="28"/>
          <w:vertAlign w:val="baseline"/>
        </w:rPr>
        <w:t>X</w:t>
      </w:r>
      <w:r>
        <w:rPr>
          <w:i/>
          <w:spacing w:val="-6"/>
          <w:sz w:val="28"/>
          <w:vertAlign w:val="baseline"/>
        </w:rPr>
        <w:t> </w:t>
      </w:r>
      <w:r>
        <w:rPr>
          <w:i/>
          <w:sz w:val="28"/>
          <w:vertAlign w:val="baseline"/>
        </w:rPr>
        <w:t>FOWN</w:t>
      </w:r>
      <w:r>
        <w:rPr>
          <w:i/>
          <w:sz w:val="28"/>
          <w:vertAlign w:val="subscript"/>
        </w:rPr>
        <w:t>it</w:t>
      </w:r>
      <w:r>
        <w:rPr>
          <w:i/>
          <w:sz w:val="28"/>
          <w:vertAlign w:val="baseline"/>
        </w:rPr>
        <w:t>)</w:t>
      </w:r>
      <w:r>
        <w:rPr>
          <w:i/>
          <w:spacing w:val="-3"/>
          <w:sz w:val="28"/>
          <w:vertAlign w:val="baseline"/>
        </w:rPr>
        <w:t> </w:t>
      </w:r>
      <w:r>
        <w:rPr>
          <w:i/>
          <w:sz w:val="28"/>
          <w:vertAlign w:val="baseline"/>
        </w:rPr>
        <w:t>+</w:t>
      </w:r>
      <w:r>
        <w:rPr>
          <w:i/>
          <w:spacing w:val="-3"/>
          <w:sz w:val="28"/>
          <w:vertAlign w:val="baseline"/>
        </w:rPr>
        <w:t> </w:t>
      </w:r>
      <w:r>
        <w:rPr>
          <w:i/>
          <w:sz w:val="28"/>
          <w:vertAlign w:val="baseline"/>
        </w:rPr>
        <w:t>(β</w:t>
      </w:r>
      <w:r>
        <w:rPr>
          <w:i/>
          <w:sz w:val="28"/>
          <w:vertAlign w:val="subscript"/>
        </w:rPr>
        <w:t>13</w:t>
      </w:r>
      <w:r>
        <w:rPr>
          <w:i/>
          <w:spacing w:val="-26"/>
          <w:sz w:val="28"/>
          <w:vertAlign w:val="baseline"/>
        </w:rPr>
        <w:t> </w:t>
      </w:r>
      <w:r>
        <w:rPr>
          <w:i/>
          <w:sz w:val="28"/>
          <w:vertAlign w:val="baseline"/>
        </w:rPr>
        <w:t>Post-IFRS</w:t>
      </w:r>
      <w:r>
        <w:rPr>
          <w:i/>
          <w:spacing w:val="-6"/>
          <w:sz w:val="28"/>
          <w:vertAlign w:val="baseline"/>
        </w:rPr>
        <w:t> </w:t>
      </w:r>
      <w:r>
        <w:rPr>
          <w:i/>
          <w:sz w:val="28"/>
          <w:vertAlign w:val="baseline"/>
        </w:rPr>
        <w:t>X</w:t>
      </w:r>
      <w:r>
        <w:rPr>
          <w:i/>
          <w:spacing w:val="-5"/>
          <w:sz w:val="28"/>
          <w:vertAlign w:val="baseline"/>
        </w:rPr>
        <w:t> </w:t>
      </w:r>
      <w:r>
        <w:rPr>
          <w:i/>
          <w:sz w:val="28"/>
          <w:vertAlign w:val="baseline"/>
        </w:rPr>
        <w:t>OWNCON</w:t>
      </w:r>
      <w:r>
        <w:rPr>
          <w:i/>
          <w:sz w:val="28"/>
          <w:vertAlign w:val="subscript"/>
        </w:rPr>
        <w:t>it</w:t>
      </w:r>
      <w:r>
        <w:rPr>
          <w:i/>
          <w:sz w:val="28"/>
          <w:vertAlign w:val="baseline"/>
        </w:rPr>
        <w:t>)</w:t>
      </w:r>
      <w:r>
        <w:rPr>
          <w:i/>
          <w:spacing w:val="-3"/>
          <w:sz w:val="28"/>
          <w:vertAlign w:val="baseline"/>
        </w:rPr>
        <w:t> </w:t>
      </w:r>
      <w:r>
        <w:rPr>
          <w:i/>
          <w:sz w:val="28"/>
          <w:vertAlign w:val="baseline"/>
        </w:rPr>
        <w:t>+</w:t>
      </w:r>
      <w:r>
        <w:rPr>
          <w:i/>
          <w:spacing w:val="-3"/>
          <w:sz w:val="28"/>
          <w:vertAlign w:val="baseline"/>
        </w:rPr>
        <w:t> </w:t>
      </w:r>
      <w:r>
        <w:rPr>
          <w:sz w:val="28"/>
          <w:vertAlign w:val="baseline"/>
        </w:rPr>
        <w:t>μ</w:t>
      </w:r>
      <w:r>
        <w:rPr>
          <w:sz w:val="28"/>
          <w:vertAlign w:val="subscript"/>
        </w:rPr>
        <w:t>it</w:t>
      </w:r>
      <w:r>
        <w:rPr>
          <w:spacing w:val="-6"/>
          <w:sz w:val="28"/>
          <w:vertAlign w:val="baseline"/>
        </w:rPr>
        <w:t> </w:t>
      </w:r>
      <w:r>
        <w:rPr>
          <w:i/>
          <w:sz w:val="28"/>
          <w:vertAlign w:val="baseline"/>
        </w:rPr>
        <w:t>/</w:t>
      </w:r>
      <w:r>
        <w:rPr>
          <w:i/>
          <w:spacing w:val="-2"/>
          <w:sz w:val="28"/>
          <w:vertAlign w:val="baseline"/>
        </w:rPr>
        <w:t> </w:t>
      </w:r>
      <w:r>
        <w:rPr>
          <w:spacing w:val="-5"/>
          <w:sz w:val="28"/>
          <w:vertAlign w:val="baseline"/>
        </w:rPr>
        <w:t>ѡ</w:t>
      </w:r>
      <w:r>
        <w:rPr>
          <w:spacing w:val="-5"/>
          <w:sz w:val="28"/>
          <w:vertAlign w:val="subscript"/>
        </w:rPr>
        <w:t>it</w:t>
      </w:r>
    </w:p>
    <w:p>
      <w:pPr>
        <w:pStyle w:val="BodyText"/>
        <w:spacing w:line="271" w:lineRule="exact"/>
        <w:ind w:right="1447"/>
        <w:jc w:val="right"/>
      </w:pPr>
      <w:r>
        <w:rPr/>
        <mc:AlternateContent>
          <mc:Choice Requires="wps">
            <w:drawing>
              <wp:anchor distT="0" distB="0" distL="0" distR="0" allowOverlap="1" layoutInCell="1" locked="0" behindDoc="0" simplePos="0" relativeHeight="15791616">
                <wp:simplePos x="0" y="0"/>
                <wp:positionH relativeFrom="page">
                  <wp:posOffset>914704</wp:posOffset>
                </wp:positionH>
                <wp:positionV relativeFrom="paragraph">
                  <wp:posOffset>104682</wp:posOffset>
                </wp:positionV>
                <wp:extent cx="5475605" cy="127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475605" cy="1270"/>
                        </a:xfrm>
                        <a:custGeom>
                          <a:avLst/>
                          <a:gdLst/>
                          <a:ahLst/>
                          <a:cxnLst/>
                          <a:rect l="l" t="t" r="r" b="b"/>
                          <a:pathLst>
                            <a:path w="5475605" h="0">
                              <a:moveTo>
                                <a:pt x="0" y="0"/>
                              </a:moveTo>
                              <a:lnTo>
                                <a:pt x="5475099" y="0"/>
                              </a:lnTo>
                            </a:path>
                          </a:pathLst>
                        </a:custGeom>
                        <a:ln w="11246">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616" from="72.024002pt,8.242678pt" to="503.134168pt,8.242678pt" stroked="true" strokeweight=".885563pt" strokecolor="#000000">
                <v:stroke dashstyle="dash"/>
                <w10:wrap type="none"/>
              </v:line>
            </w:pict>
          </mc:Fallback>
        </mc:AlternateContent>
      </w:r>
      <w:r>
        <w:rPr>
          <w:spacing w:val="-4"/>
        </w:rPr>
        <w:t>(2c)</w:t>
      </w:r>
    </w:p>
    <w:p>
      <w:pPr>
        <w:pStyle w:val="BodyText"/>
        <w:spacing w:line="480" w:lineRule="auto" w:before="275"/>
        <w:ind w:left="940" w:right="1434"/>
        <w:jc w:val="both"/>
      </w:pPr>
      <w:r>
        <w:rPr>
          <w:position w:val="2"/>
        </w:rPr>
        <w:t>Where: β</w:t>
      </w:r>
      <w:r>
        <w:rPr>
          <w:sz w:val="16"/>
        </w:rPr>
        <w:t>2-</w:t>
      </w:r>
      <w:r>
        <w:rPr>
          <w:spacing w:val="39"/>
          <w:sz w:val="16"/>
        </w:rPr>
        <w:t> </w:t>
      </w:r>
      <w:r>
        <w:rPr>
          <w:position w:val="2"/>
        </w:rPr>
        <w:t>β</w:t>
      </w:r>
      <w:r>
        <w:rPr>
          <w:sz w:val="16"/>
        </w:rPr>
        <w:t>13</w:t>
      </w:r>
      <w:r>
        <w:rPr>
          <w:position w:val="2"/>
        </w:rPr>
        <w:t>= Unknown coefficients; i= Companies (1…13 companies); t= Time [(1…15 </w:t>
      </w:r>
      <w:r>
        <w:rPr/>
        <w:t>years), Post-IFRS= was a dummy variable set equal to 1 for post IFRS regime (2013-2019) otherwise</w:t>
      </w:r>
      <w:r>
        <w:rPr>
          <w:spacing w:val="-9"/>
        </w:rPr>
        <w:t> </w:t>
      </w:r>
      <w:r>
        <w:rPr/>
        <w:t>0</w:t>
      </w:r>
      <w:r>
        <w:rPr>
          <w:spacing w:val="-8"/>
        </w:rPr>
        <w:t> </w:t>
      </w:r>
      <w:r>
        <w:rPr/>
        <w:t>for</w:t>
      </w:r>
      <w:r>
        <w:rPr>
          <w:spacing w:val="-10"/>
        </w:rPr>
        <w:t> </w:t>
      </w:r>
      <w:r>
        <w:rPr/>
        <w:t>pre-IFRS</w:t>
      </w:r>
      <w:r>
        <w:rPr>
          <w:spacing w:val="-8"/>
        </w:rPr>
        <w:t> </w:t>
      </w:r>
      <w:r>
        <w:rPr/>
        <w:t>regime</w:t>
      </w:r>
      <w:r>
        <w:rPr>
          <w:spacing w:val="-9"/>
        </w:rPr>
        <w:t> </w:t>
      </w:r>
      <w:r>
        <w:rPr/>
        <w:t>(2005-2011).</w:t>
      </w:r>
      <w:r>
        <w:rPr>
          <w:spacing w:val="40"/>
        </w:rPr>
        <w:t> </w:t>
      </w:r>
      <w:r>
        <w:rPr/>
        <w:t>However,</w:t>
      </w:r>
      <w:r>
        <w:rPr>
          <w:spacing w:val="-9"/>
        </w:rPr>
        <w:t> </w:t>
      </w:r>
      <w:r>
        <w:rPr/>
        <w:t>to</w:t>
      </w:r>
      <w:r>
        <w:rPr>
          <w:spacing w:val="-8"/>
        </w:rPr>
        <w:t> </w:t>
      </w:r>
      <w:r>
        <w:rPr/>
        <w:t>conclude</w:t>
      </w:r>
      <w:r>
        <w:rPr>
          <w:spacing w:val="-9"/>
        </w:rPr>
        <w:t> </w:t>
      </w:r>
      <w:r>
        <w:rPr/>
        <w:t>reliably</w:t>
      </w:r>
      <w:r>
        <w:rPr>
          <w:spacing w:val="-8"/>
        </w:rPr>
        <w:t> </w:t>
      </w:r>
      <w:r>
        <w:rPr/>
        <w:t>that</w:t>
      </w:r>
      <w:r>
        <w:rPr>
          <w:spacing w:val="-8"/>
        </w:rPr>
        <w:t> </w:t>
      </w:r>
      <w:r>
        <w:rPr/>
        <w:t>the</w:t>
      </w:r>
      <w:r>
        <w:rPr>
          <w:spacing w:val="-9"/>
        </w:rPr>
        <w:t> </w:t>
      </w:r>
      <w:r>
        <w:rPr/>
        <w:t>increase in financial reporting quality in IFRS regime conditioned on strong CG practices was not caused</w:t>
      </w:r>
      <w:r>
        <w:rPr>
          <w:spacing w:val="-2"/>
        </w:rPr>
        <w:t> </w:t>
      </w:r>
      <w:r>
        <w:rPr/>
        <w:t>by confounding</w:t>
      </w:r>
      <w:r>
        <w:rPr>
          <w:spacing w:val="-2"/>
        </w:rPr>
        <w:t> </w:t>
      </w:r>
      <w:r>
        <w:rPr/>
        <w:t>effects</w:t>
      </w:r>
      <w:r>
        <w:rPr>
          <w:spacing w:val="-2"/>
        </w:rPr>
        <w:t> </w:t>
      </w:r>
      <w:r>
        <w:rPr/>
        <w:t>other</w:t>
      </w:r>
      <w:r>
        <w:rPr>
          <w:spacing w:val="-2"/>
        </w:rPr>
        <w:t> </w:t>
      </w:r>
      <w:r>
        <w:rPr/>
        <w:t>than</w:t>
      </w:r>
      <w:r>
        <w:rPr>
          <w:spacing w:val="-2"/>
        </w:rPr>
        <w:t> </w:t>
      </w:r>
      <w:r>
        <w:rPr/>
        <w:t>the adoption</w:t>
      </w:r>
      <w:r>
        <w:rPr>
          <w:spacing w:val="-2"/>
        </w:rPr>
        <w:t> </w:t>
      </w:r>
      <w:r>
        <w:rPr/>
        <w:t>of</w:t>
      </w:r>
      <w:r>
        <w:rPr>
          <w:spacing w:val="-1"/>
        </w:rPr>
        <w:t> </w:t>
      </w:r>
      <w:r>
        <w:rPr/>
        <w:t>IFRS</w:t>
      </w:r>
      <w:r>
        <w:rPr>
          <w:spacing w:val="-2"/>
        </w:rPr>
        <w:t> </w:t>
      </w:r>
      <w:r>
        <w:rPr/>
        <w:t>such</w:t>
      </w:r>
      <w:r>
        <w:rPr>
          <w:spacing w:val="-2"/>
        </w:rPr>
        <w:t> </w:t>
      </w:r>
      <w:r>
        <w:rPr/>
        <w:t>as the</w:t>
      </w:r>
      <w:r>
        <w:rPr>
          <w:spacing w:val="-1"/>
        </w:rPr>
        <w:t> </w:t>
      </w:r>
      <w:r>
        <w:rPr/>
        <w:t>business</w:t>
      </w:r>
      <w:r>
        <w:rPr>
          <w:spacing w:val="-2"/>
        </w:rPr>
        <w:t> </w:t>
      </w:r>
      <w:r>
        <w:rPr/>
        <w:t>cycle</w:t>
      </w:r>
      <w:r>
        <w:rPr>
          <w:spacing w:val="-1"/>
        </w:rPr>
        <w:t> </w:t>
      </w:r>
      <w:r>
        <w:rPr/>
        <w:t>or</w:t>
      </w:r>
      <w:r>
        <w:rPr>
          <w:spacing w:val="-1"/>
        </w:rPr>
        <w:t> </w:t>
      </w:r>
      <w:r>
        <w:rPr/>
        <w:t>a time</w:t>
      </w:r>
      <w:r>
        <w:rPr>
          <w:spacing w:val="-4"/>
        </w:rPr>
        <w:t> </w:t>
      </w:r>
      <w:r>
        <w:rPr/>
        <w:t>trend,</w:t>
      </w:r>
      <w:r>
        <w:rPr>
          <w:spacing w:val="-4"/>
        </w:rPr>
        <w:t> </w:t>
      </w:r>
      <w:r>
        <w:rPr/>
        <w:t>it</w:t>
      </w:r>
      <w:r>
        <w:rPr>
          <w:spacing w:val="-3"/>
        </w:rPr>
        <w:t> </w:t>
      </w:r>
      <w:r>
        <w:rPr/>
        <w:t>became</w:t>
      </w:r>
      <w:r>
        <w:rPr>
          <w:spacing w:val="-5"/>
        </w:rPr>
        <w:t> </w:t>
      </w:r>
      <w:r>
        <w:rPr/>
        <w:t>necessary</w:t>
      </w:r>
      <w:r>
        <w:rPr>
          <w:spacing w:val="-4"/>
        </w:rPr>
        <w:t> </w:t>
      </w:r>
      <w:r>
        <w:rPr/>
        <w:t>to</w:t>
      </w:r>
      <w:r>
        <w:rPr>
          <w:spacing w:val="-1"/>
        </w:rPr>
        <w:t> </w:t>
      </w:r>
      <w:r>
        <w:rPr/>
        <w:t>compare</w:t>
      </w:r>
      <w:r>
        <w:rPr>
          <w:spacing w:val="-6"/>
        </w:rPr>
        <w:t> </w:t>
      </w:r>
      <w:r>
        <w:rPr/>
        <w:t>between</w:t>
      </w:r>
      <w:r>
        <w:rPr>
          <w:spacing w:val="-4"/>
        </w:rPr>
        <w:t> </w:t>
      </w:r>
      <w:r>
        <w:rPr/>
        <w:t>the</w:t>
      </w:r>
      <w:r>
        <w:rPr>
          <w:spacing w:val="-2"/>
        </w:rPr>
        <w:t> </w:t>
      </w:r>
      <w:r>
        <w:rPr/>
        <w:t>two</w:t>
      </w:r>
      <w:r>
        <w:rPr>
          <w:spacing w:val="-4"/>
        </w:rPr>
        <w:t> </w:t>
      </w:r>
      <w:r>
        <w:rPr/>
        <w:t>groups</w:t>
      </w:r>
      <w:r>
        <w:rPr>
          <w:spacing w:val="-1"/>
        </w:rPr>
        <w:t> </w:t>
      </w:r>
      <w:r>
        <w:rPr/>
        <w:t>(treatment</w:t>
      </w:r>
      <w:r>
        <w:rPr>
          <w:spacing w:val="-4"/>
        </w:rPr>
        <w:t> </w:t>
      </w:r>
      <w:r>
        <w:rPr/>
        <w:t>group</w:t>
      </w:r>
      <w:r>
        <w:rPr>
          <w:spacing w:val="-2"/>
        </w:rPr>
        <w:t> </w:t>
      </w:r>
      <w:r>
        <w:rPr/>
        <w:t>for</w:t>
      </w:r>
      <w:r>
        <w:rPr>
          <w:spacing w:val="-5"/>
        </w:rPr>
        <w:t> </w:t>
      </w:r>
      <w:r>
        <w:rPr/>
        <w:t>post- IFRS</w:t>
      </w:r>
      <w:r>
        <w:rPr>
          <w:spacing w:val="-15"/>
        </w:rPr>
        <w:t> </w:t>
      </w:r>
      <w:r>
        <w:rPr/>
        <w:t>and</w:t>
      </w:r>
      <w:r>
        <w:rPr>
          <w:spacing w:val="-14"/>
        </w:rPr>
        <w:t> </w:t>
      </w:r>
      <w:r>
        <w:rPr/>
        <w:t>control</w:t>
      </w:r>
      <w:r>
        <w:rPr>
          <w:spacing w:val="-15"/>
        </w:rPr>
        <w:t> </w:t>
      </w:r>
      <w:r>
        <w:rPr/>
        <w:t>group</w:t>
      </w:r>
      <w:r>
        <w:rPr>
          <w:spacing w:val="-15"/>
        </w:rPr>
        <w:t> </w:t>
      </w:r>
      <w:r>
        <w:rPr/>
        <w:t>for</w:t>
      </w:r>
      <w:r>
        <w:rPr>
          <w:spacing w:val="-15"/>
        </w:rPr>
        <w:t> </w:t>
      </w:r>
      <w:r>
        <w:rPr/>
        <w:t>pre-IFRS</w:t>
      </w:r>
      <w:r>
        <w:rPr>
          <w:spacing w:val="-14"/>
        </w:rPr>
        <w:t> </w:t>
      </w:r>
      <w:r>
        <w:rPr/>
        <w:t>regime).</w:t>
      </w:r>
      <w:r>
        <w:rPr>
          <w:spacing w:val="-13"/>
        </w:rPr>
        <w:t> </w:t>
      </w:r>
      <w:r>
        <w:rPr/>
        <w:t>It</w:t>
      </w:r>
      <w:r>
        <w:rPr>
          <w:spacing w:val="-15"/>
        </w:rPr>
        <w:t> </w:t>
      </w:r>
      <w:r>
        <w:rPr/>
        <w:t>was</w:t>
      </w:r>
      <w:r>
        <w:rPr>
          <w:spacing w:val="-14"/>
        </w:rPr>
        <w:t> </w:t>
      </w:r>
      <w:r>
        <w:rPr/>
        <w:t>important</w:t>
      </w:r>
      <w:r>
        <w:rPr>
          <w:spacing w:val="-15"/>
        </w:rPr>
        <w:t> </w:t>
      </w:r>
      <w:r>
        <w:rPr/>
        <w:t>in</w:t>
      </w:r>
      <w:r>
        <w:rPr>
          <w:spacing w:val="-14"/>
        </w:rPr>
        <w:t> </w:t>
      </w:r>
      <w:r>
        <w:rPr/>
        <w:t>order</w:t>
      </w:r>
      <w:r>
        <w:rPr>
          <w:spacing w:val="-15"/>
        </w:rPr>
        <w:t> </w:t>
      </w:r>
      <w:r>
        <w:rPr/>
        <w:t>to</w:t>
      </w:r>
      <w:r>
        <w:rPr>
          <w:spacing w:val="-15"/>
        </w:rPr>
        <w:t> </w:t>
      </w:r>
      <w:r>
        <w:rPr/>
        <w:t>reduce</w:t>
      </w:r>
      <w:r>
        <w:rPr>
          <w:spacing w:val="-15"/>
        </w:rPr>
        <w:t> </w:t>
      </w:r>
      <w:r>
        <w:rPr/>
        <w:t>the</w:t>
      </w:r>
      <w:r>
        <w:rPr>
          <w:spacing w:val="-15"/>
        </w:rPr>
        <w:t> </w:t>
      </w:r>
      <w:r>
        <w:rPr/>
        <w:t>likelihood that the observed effect was caused by confounding effects other than the adoption of IFRS such</w:t>
      </w:r>
      <w:r>
        <w:rPr>
          <w:spacing w:val="-5"/>
        </w:rPr>
        <w:t> </w:t>
      </w:r>
      <w:r>
        <w:rPr/>
        <w:t>as</w:t>
      </w:r>
      <w:r>
        <w:rPr>
          <w:spacing w:val="-5"/>
        </w:rPr>
        <w:t> </w:t>
      </w:r>
      <w:r>
        <w:rPr/>
        <w:t>the</w:t>
      </w:r>
      <w:r>
        <w:rPr>
          <w:spacing w:val="-5"/>
        </w:rPr>
        <w:t> </w:t>
      </w:r>
      <w:r>
        <w:rPr/>
        <w:t>business</w:t>
      </w:r>
      <w:r>
        <w:rPr>
          <w:spacing w:val="-4"/>
        </w:rPr>
        <w:t> </w:t>
      </w:r>
      <w:r>
        <w:rPr/>
        <w:t>cycle</w:t>
      </w:r>
      <w:r>
        <w:rPr>
          <w:spacing w:val="-5"/>
        </w:rPr>
        <w:t> </w:t>
      </w:r>
      <w:r>
        <w:rPr/>
        <w:t>or</w:t>
      </w:r>
      <w:r>
        <w:rPr>
          <w:spacing w:val="-6"/>
        </w:rPr>
        <w:t> </w:t>
      </w:r>
      <w:r>
        <w:rPr/>
        <w:t>a</w:t>
      </w:r>
      <w:r>
        <w:rPr>
          <w:spacing w:val="-6"/>
        </w:rPr>
        <w:t> </w:t>
      </w:r>
      <w:r>
        <w:rPr/>
        <w:t>time</w:t>
      </w:r>
      <w:r>
        <w:rPr>
          <w:spacing w:val="-5"/>
        </w:rPr>
        <w:t> </w:t>
      </w:r>
      <w:r>
        <w:rPr/>
        <w:t>trend</w:t>
      </w:r>
      <w:r>
        <w:rPr>
          <w:spacing w:val="-5"/>
        </w:rPr>
        <w:t> </w:t>
      </w:r>
      <w:r>
        <w:rPr/>
        <w:t>as</w:t>
      </w:r>
      <w:r>
        <w:rPr>
          <w:spacing w:val="-5"/>
        </w:rPr>
        <w:t> </w:t>
      </w:r>
      <w:r>
        <w:rPr/>
        <w:t>earlier</w:t>
      </w:r>
      <w:r>
        <w:rPr>
          <w:spacing w:val="-6"/>
        </w:rPr>
        <w:t> </w:t>
      </w:r>
      <w:r>
        <w:rPr/>
        <w:t>mentioned.</w:t>
      </w:r>
      <w:r>
        <w:rPr>
          <w:spacing w:val="-5"/>
        </w:rPr>
        <w:t> </w:t>
      </w:r>
      <w:r>
        <w:rPr/>
        <w:t>Therefore,</w:t>
      </w:r>
      <w:r>
        <w:rPr>
          <w:spacing w:val="-5"/>
        </w:rPr>
        <w:t> </w:t>
      </w:r>
      <w:r>
        <w:rPr/>
        <w:t>the</w:t>
      </w:r>
      <w:r>
        <w:rPr>
          <w:spacing w:val="-6"/>
        </w:rPr>
        <w:t> </w:t>
      </w:r>
      <w:r>
        <w:rPr/>
        <w:t>study</w:t>
      </w:r>
      <w:r>
        <w:rPr>
          <w:spacing w:val="-5"/>
        </w:rPr>
        <w:t> </w:t>
      </w:r>
      <w:r>
        <w:rPr/>
        <w:t>proceeded to make such comparison.</w:t>
      </w:r>
    </w:p>
    <w:p>
      <w:pPr>
        <w:pStyle w:val="Heading3"/>
        <w:numPr>
          <w:ilvl w:val="2"/>
          <w:numId w:val="26"/>
        </w:numPr>
        <w:tabs>
          <w:tab w:pos="1540" w:val="left" w:leader="none"/>
        </w:tabs>
        <w:spacing w:line="275" w:lineRule="exact" w:before="0" w:after="0"/>
        <w:ind w:left="1540" w:right="0" w:hanging="600"/>
        <w:jc w:val="left"/>
      </w:pPr>
      <w:bookmarkStart w:name="_TOC_250032" w:id="38"/>
      <w:r>
        <w:rPr/>
        <w:t>Difference-In-Difference</w:t>
      </w:r>
      <w:r>
        <w:rPr>
          <w:spacing w:val="-8"/>
        </w:rPr>
        <w:t> </w:t>
      </w:r>
      <w:bookmarkEnd w:id="38"/>
      <w:r>
        <w:rPr>
          <w:spacing w:val="-4"/>
        </w:rPr>
        <w:t>Model</w:t>
      </w:r>
    </w:p>
    <w:p>
      <w:pPr>
        <w:pStyle w:val="BodyText"/>
        <w:rPr>
          <w:b/>
        </w:rPr>
      </w:pPr>
    </w:p>
    <w:p>
      <w:pPr>
        <w:pStyle w:val="BodyText"/>
        <w:spacing w:line="480" w:lineRule="auto" w:before="1"/>
        <w:ind w:left="940" w:right="1437"/>
        <w:jc w:val="both"/>
      </w:pPr>
      <w:r>
        <w:rPr/>
        <w:t>A few studies compared between the two groups (treatment group for post-IFRS and control group for pre-IFRS regime). However, a slightly different approach was taken. For instance, Andre</w:t>
      </w:r>
      <w:r>
        <w:rPr>
          <w:spacing w:val="-7"/>
        </w:rPr>
        <w:t> </w:t>
      </w:r>
      <w:r>
        <w:rPr/>
        <w:t>and</w:t>
      </w:r>
      <w:r>
        <w:rPr>
          <w:spacing w:val="-8"/>
        </w:rPr>
        <w:t> </w:t>
      </w:r>
      <w:r>
        <w:rPr/>
        <w:t>Filip</w:t>
      </w:r>
      <w:r>
        <w:rPr>
          <w:spacing w:val="-8"/>
        </w:rPr>
        <w:t> </w:t>
      </w:r>
      <w:r>
        <w:rPr/>
        <w:t>(2012),</w:t>
      </w:r>
      <w:r>
        <w:rPr>
          <w:spacing w:val="-7"/>
        </w:rPr>
        <w:t> </w:t>
      </w:r>
      <w:r>
        <w:rPr/>
        <w:t>Lee</w:t>
      </w:r>
      <w:r>
        <w:rPr>
          <w:spacing w:val="-9"/>
        </w:rPr>
        <w:t> </w:t>
      </w:r>
      <w:r>
        <w:rPr/>
        <w:t>et</w:t>
      </w:r>
      <w:r>
        <w:rPr>
          <w:spacing w:val="-5"/>
        </w:rPr>
        <w:t> </w:t>
      </w:r>
      <w:r>
        <w:rPr/>
        <w:t>al.</w:t>
      </w:r>
      <w:r>
        <w:rPr>
          <w:spacing w:val="-8"/>
        </w:rPr>
        <w:t> </w:t>
      </w:r>
      <w:r>
        <w:rPr/>
        <w:t>(2013),</w:t>
      </w:r>
      <w:r>
        <w:rPr>
          <w:spacing w:val="-7"/>
        </w:rPr>
        <w:t> </w:t>
      </w:r>
      <w:r>
        <w:rPr/>
        <w:t>Ogundana</w:t>
      </w:r>
      <w:r>
        <w:rPr>
          <w:spacing w:val="-9"/>
        </w:rPr>
        <w:t> </w:t>
      </w:r>
      <w:r>
        <w:rPr/>
        <w:t>et</w:t>
      </w:r>
      <w:r>
        <w:rPr>
          <w:spacing w:val="-8"/>
        </w:rPr>
        <w:t> </w:t>
      </w:r>
      <w:r>
        <w:rPr/>
        <w:t>al.</w:t>
      </w:r>
      <w:r>
        <w:rPr>
          <w:spacing w:val="-5"/>
        </w:rPr>
        <w:t> </w:t>
      </w:r>
      <w:r>
        <w:rPr/>
        <w:t>(2017),</w:t>
      </w:r>
      <w:r>
        <w:rPr>
          <w:spacing w:val="-9"/>
        </w:rPr>
        <w:t> </w:t>
      </w:r>
      <w:r>
        <w:rPr/>
        <w:t>Umobong</w:t>
      </w:r>
      <w:r>
        <w:rPr>
          <w:spacing w:val="-5"/>
        </w:rPr>
        <w:t> </w:t>
      </w:r>
      <w:r>
        <w:rPr/>
        <w:t>and</w:t>
      </w:r>
      <w:r>
        <w:rPr>
          <w:spacing w:val="-8"/>
        </w:rPr>
        <w:t> </w:t>
      </w:r>
      <w:r>
        <w:rPr/>
        <w:t>Akani</w:t>
      </w:r>
      <w:r>
        <w:rPr>
          <w:spacing w:val="-5"/>
        </w:rPr>
        <w:t> </w:t>
      </w:r>
      <w:r>
        <w:rPr/>
        <w:t>(2015) used the test of significance different while Iyoha and Aggreh (2020) used the DD approach. The DD had the advantage of removing biases in post-intervention period comparisons between the treatment and control groups that could be the result of permanent differences between</w:t>
      </w:r>
      <w:r>
        <w:rPr>
          <w:spacing w:val="-8"/>
        </w:rPr>
        <w:t> </w:t>
      </w:r>
      <w:r>
        <w:rPr/>
        <w:t>those</w:t>
      </w:r>
      <w:r>
        <w:rPr>
          <w:spacing w:val="-7"/>
        </w:rPr>
        <w:t> </w:t>
      </w:r>
      <w:r>
        <w:rPr/>
        <w:t>groups</w:t>
      </w:r>
      <w:r>
        <w:rPr>
          <w:spacing w:val="-5"/>
        </w:rPr>
        <w:t> </w:t>
      </w:r>
      <w:r>
        <w:rPr/>
        <w:t>as</w:t>
      </w:r>
      <w:r>
        <w:rPr>
          <w:spacing w:val="-4"/>
        </w:rPr>
        <w:t> </w:t>
      </w:r>
      <w:r>
        <w:rPr/>
        <w:t>well</w:t>
      </w:r>
      <w:r>
        <w:rPr>
          <w:spacing w:val="-6"/>
        </w:rPr>
        <w:t> </w:t>
      </w:r>
      <w:r>
        <w:rPr/>
        <w:t>as</w:t>
      </w:r>
      <w:r>
        <w:rPr>
          <w:spacing w:val="-5"/>
        </w:rPr>
        <w:t> </w:t>
      </w:r>
      <w:r>
        <w:rPr/>
        <w:t>biases</w:t>
      </w:r>
      <w:r>
        <w:rPr>
          <w:spacing w:val="-6"/>
        </w:rPr>
        <w:t> </w:t>
      </w:r>
      <w:r>
        <w:rPr/>
        <w:t>from</w:t>
      </w:r>
      <w:r>
        <w:rPr>
          <w:spacing w:val="-6"/>
        </w:rPr>
        <w:t> </w:t>
      </w:r>
      <w:r>
        <w:rPr/>
        <w:t>comparisons</w:t>
      </w:r>
      <w:r>
        <w:rPr>
          <w:spacing w:val="-6"/>
        </w:rPr>
        <w:t> </w:t>
      </w:r>
      <w:r>
        <w:rPr/>
        <w:t>over</w:t>
      </w:r>
      <w:r>
        <w:rPr>
          <w:spacing w:val="-7"/>
        </w:rPr>
        <w:t> </w:t>
      </w:r>
      <w:r>
        <w:rPr/>
        <w:t>time</w:t>
      </w:r>
      <w:r>
        <w:rPr>
          <w:spacing w:val="-6"/>
        </w:rPr>
        <w:t> </w:t>
      </w:r>
      <w:r>
        <w:rPr/>
        <w:t>in</w:t>
      </w:r>
      <w:r>
        <w:rPr>
          <w:spacing w:val="-6"/>
        </w:rPr>
        <w:t> </w:t>
      </w:r>
      <w:r>
        <w:rPr/>
        <w:t>the</w:t>
      </w:r>
      <w:r>
        <w:rPr>
          <w:spacing w:val="-6"/>
        </w:rPr>
        <w:t> </w:t>
      </w:r>
      <w:r>
        <w:rPr/>
        <w:t>treatment</w:t>
      </w:r>
      <w:r>
        <w:rPr>
          <w:spacing w:val="-6"/>
        </w:rPr>
        <w:t> </w:t>
      </w:r>
      <w:r>
        <w:rPr/>
        <w:t>group</w:t>
      </w:r>
      <w:r>
        <w:rPr>
          <w:spacing w:val="-6"/>
        </w:rPr>
        <w:t> </w:t>
      </w:r>
      <w:r>
        <w:rPr>
          <w:spacing w:val="-4"/>
        </w:rPr>
        <w:t>that</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26720">
            <wp:simplePos x="0" y="0"/>
            <wp:positionH relativeFrom="page">
              <wp:posOffset>1095451</wp:posOffset>
            </wp:positionH>
            <wp:positionV relativeFrom="paragraph">
              <wp:posOffset>1850770</wp:posOffset>
            </wp:positionV>
            <wp:extent cx="5106847" cy="523811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5106847" cy="5238115"/>
                    </a:xfrm>
                    <a:prstGeom prst="rect">
                      <a:avLst/>
                    </a:prstGeom>
                  </pic:spPr>
                </pic:pic>
              </a:graphicData>
            </a:graphic>
          </wp:anchor>
        </w:drawing>
      </w:r>
      <w:r>
        <w:rPr/>
        <w:t>could be the result of trends due to other causes of the outcome. Therefore, the current study adopted the DD approach.</w:t>
      </w:r>
      <w:r>
        <w:rPr>
          <w:spacing w:val="40"/>
        </w:rPr>
        <w:t> </w:t>
      </w:r>
      <w:r>
        <w:rPr/>
        <w:t>In stating the DD model, the outcome variable (reporting quality) </w:t>
      </w:r>
      <w:r>
        <w:rPr>
          <w:position w:val="2"/>
        </w:rPr>
        <w:t>was a function of:</w:t>
      </w:r>
      <w:r>
        <w:rPr>
          <w:spacing w:val="40"/>
          <w:position w:val="2"/>
        </w:rPr>
        <w:t> </w:t>
      </w:r>
      <w:r>
        <w:rPr>
          <w:position w:val="2"/>
        </w:rPr>
        <w:t>(i) </w:t>
      </w:r>
      <w:r>
        <w:rPr>
          <w:b/>
          <w:i/>
          <w:position w:val="2"/>
        </w:rPr>
        <w:t>T</w:t>
      </w:r>
      <w:r>
        <w:rPr>
          <w:b/>
          <w:i/>
          <w:sz w:val="16"/>
        </w:rPr>
        <w:t>i </w:t>
      </w:r>
      <w:r>
        <w:rPr>
          <w:position w:val="2"/>
        </w:rPr>
        <w:t>which indicated groups, </w:t>
      </w:r>
      <w:r>
        <w:rPr>
          <w:i/>
          <w:position w:val="2"/>
        </w:rPr>
        <w:t>T</w:t>
      </w:r>
      <w:r>
        <w:rPr>
          <w:position w:val="2"/>
        </w:rPr>
        <w:t>=0 group not receiving treatment (control group) and </w:t>
      </w:r>
      <w:r>
        <w:rPr>
          <w:i/>
          <w:position w:val="2"/>
        </w:rPr>
        <w:t>T</w:t>
      </w:r>
      <w:r>
        <w:rPr>
          <w:position w:val="2"/>
        </w:rPr>
        <w:t>=1 group receiving treatment (treatment group); (ii) </w:t>
      </w:r>
      <w:r>
        <w:rPr>
          <w:b/>
          <w:i/>
          <w:position w:val="2"/>
        </w:rPr>
        <w:t>t</w:t>
      </w:r>
      <w:r>
        <w:rPr>
          <w:b/>
          <w:i/>
          <w:sz w:val="16"/>
        </w:rPr>
        <w:t>i</w:t>
      </w:r>
      <w:r>
        <w:rPr>
          <w:b/>
          <w:position w:val="1"/>
          <w:sz w:val="16"/>
        </w:rPr>
        <w:t>=</w:t>
      </w:r>
      <w:r>
        <w:rPr>
          <w:position w:val="2"/>
        </w:rPr>
        <w:t>which meant time </w:t>
      </w:r>
      <w:r>
        <w:rPr/>
        <w:t>dimension, t=0 meant a time frame before the treatment group received treatment (pre- treatment) and t=1 meant a time frame after the treatment group received treatment (post- treatment); (iii) </w:t>
      </w:r>
      <w:r>
        <w:rPr>
          <w:b/>
        </w:rPr>
        <w:t>δ </w:t>
      </w:r>
      <w:r>
        <w:rPr/>
        <w:t>which indicated the true treatment effect and it was the interaction between </w:t>
      </w:r>
      <w:r>
        <w:rPr>
          <w:b/>
          <w:i/>
          <w:position w:val="2"/>
        </w:rPr>
        <w:t>T</w:t>
      </w:r>
      <w:r>
        <w:rPr>
          <w:b/>
          <w:i/>
          <w:sz w:val="16"/>
        </w:rPr>
        <w:t>i </w:t>
      </w:r>
      <w:r>
        <w:rPr>
          <w:position w:val="2"/>
        </w:rPr>
        <w:t>and </w:t>
      </w:r>
      <w:r>
        <w:rPr>
          <w:b/>
          <w:i/>
          <w:position w:val="2"/>
        </w:rPr>
        <w:t>t</w:t>
      </w:r>
      <w:r>
        <w:rPr>
          <w:b/>
          <w:i/>
          <w:sz w:val="16"/>
        </w:rPr>
        <w:t>i. </w:t>
      </w:r>
      <w:r>
        <w:rPr>
          <w:position w:val="2"/>
        </w:rPr>
        <w:t>The above was modelled below:</w:t>
      </w:r>
    </w:p>
    <w:p>
      <w:pPr>
        <w:tabs>
          <w:tab w:pos="9418" w:val="left" w:leader="hyphen"/>
        </w:tabs>
        <w:spacing w:line="271" w:lineRule="exact" w:before="0"/>
        <w:ind w:left="940" w:right="0" w:firstLine="0"/>
        <w:jc w:val="both"/>
        <w:rPr>
          <w:b/>
          <w:sz w:val="24"/>
        </w:rPr>
      </w:pPr>
      <w:r>
        <w:rPr>
          <w:b/>
          <w:i/>
          <w:position w:val="2"/>
          <w:sz w:val="24"/>
        </w:rPr>
        <w:t>Y</w:t>
      </w:r>
      <w:r>
        <w:rPr>
          <w:b/>
          <w:i/>
          <w:sz w:val="16"/>
        </w:rPr>
        <w:t>i</w:t>
      </w:r>
      <w:r>
        <w:rPr>
          <w:b/>
          <w:position w:val="2"/>
          <w:sz w:val="24"/>
        </w:rPr>
        <w:t>=α</w:t>
      </w:r>
      <w:r>
        <w:rPr>
          <w:b/>
          <w:spacing w:val="-3"/>
          <w:position w:val="2"/>
          <w:sz w:val="24"/>
        </w:rPr>
        <w:t> </w:t>
      </w:r>
      <w:r>
        <w:rPr>
          <w:b/>
          <w:position w:val="2"/>
          <w:sz w:val="24"/>
        </w:rPr>
        <w:t>+</w:t>
      </w:r>
      <w:r>
        <w:rPr>
          <w:b/>
          <w:spacing w:val="-1"/>
          <w:position w:val="2"/>
          <w:sz w:val="24"/>
        </w:rPr>
        <w:t> </w:t>
      </w:r>
      <w:r>
        <w:rPr>
          <w:b/>
          <w:i/>
          <w:position w:val="2"/>
          <w:sz w:val="24"/>
        </w:rPr>
        <w:t>βT</w:t>
      </w:r>
      <w:r>
        <w:rPr>
          <w:b/>
          <w:i/>
          <w:sz w:val="16"/>
        </w:rPr>
        <w:t>i</w:t>
      </w:r>
      <w:r>
        <w:rPr>
          <w:b/>
          <w:i/>
          <w:position w:val="2"/>
          <w:sz w:val="24"/>
        </w:rPr>
        <w:t>+</w:t>
      </w:r>
      <w:r>
        <w:rPr>
          <w:b/>
          <w:i/>
          <w:spacing w:val="-2"/>
          <w:position w:val="2"/>
          <w:sz w:val="24"/>
        </w:rPr>
        <w:t> </w:t>
      </w:r>
      <w:r>
        <w:rPr>
          <w:b/>
          <w:i/>
          <w:position w:val="2"/>
          <w:sz w:val="24"/>
        </w:rPr>
        <w:t>γt</w:t>
      </w:r>
      <w:r>
        <w:rPr>
          <w:b/>
          <w:i/>
          <w:sz w:val="16"/>
        </w:rPr>
        <w:t>i</w:t>
      </w:r>
      <w:r>
        <w:rPr>
          <w:b/>
          <w:position w:val="2"/>
          <w:sz w:val="24"/>
        </w:rPr>
        <w:t>+δ</w:t>
      </w:r>
      <w:r>
        <w:rPr>
          <w:b/>
          <w:spacing w:val="-2"/>
          <w:position w:val="2"/>
          <w:sz w:val="24"/>
        </w:rPr>
        <w:t> </w:t>
      </w:r>
      <w:r>
        <w:rPr>
          <w:b/>
          <w:position w:val="2"/>
          <w:sz w:val="24"/>
        </w:rPr>
        <w:t>(</w:t>
      </w:r>
      <w:r>
        <w:rPr>
          <w:b/>
          <w:i/>
          <w:position w:val="2"/>
          <w:sz w:val="24"/>
        </w:rPr>
        <w:t>T</w:t>
      </w:r>
      <w:r>
        <w:rPr>
          <w:b/>
          <w:i/>
          <w:sz w:val="16"/>
        </w:rPr>
        <w:t>i</w:t>
      </w:r>
      <w:r>
        <w:rPr>
          <w:b/>
          <w:i/>
          <w:spacing w:val="20"/>
          <w:sz w:val="16"/>
        </w:rPr>
        <w:t> </w:t>
      </w:r>
      <w:r>
        <w:rPr>
          <w:b/>
          <w:i/>
          <w:position w:val="2"/>
          <w:sz w:val="24"/>
        </w:rPr>
        <w:t>X</w:t>
      </w:r>
      <w:r>
        <w:rPr>
          <w:b/>
          <w:i/>
          <w:spacing w:val="-4"/>
          <w:position w:val="2"/>
          <w:sz w:val="24"/>
        </w:rPr>
        <w:t> </w:t>
      </w:r>
      <w:r>
        <w:rPr>
          <w:b/>
          <w:i/>
          <w:position w:val="2"/>
          <w:sz w:val="24"/>
        </w:rPr>
        <w:t>t</w:t>
      </w:r>
      <w:r>
        <w:rPr>
          <w:b/>
          <w:i/>
          <w:sz w:val="16"/>
        </w:rPr>
        <w:t>i</w:t>
      </w:r>
      <w:r>
        <w:rPr>
          <w:b/>
          <w:i/>
          <w:position w:val="2"/>
          <w:sz w:val="24"/>
        </w:rPr>
        <w:t>)</w:t>
      </w:r>
      <w:r>
        <w:rPr>
          <w:b/>
          <w:i/>
          <w:spacing w:val="-2"/>
          <w:position w:val="2"/>
          <w:sz w:val="24"/>
        </w:rPr>
        <w:t> </w:t>
      </w:r>
      <w:r>
        <w:rPr>
          <w:b/>
          <w:position w:val="2"/>
          <w:sz w:val="24"/>
        </w:rPr>
        <w:t>+</w:t>
      </w:r>
      <w:r>
        <w:rPr>
          <w:b/>
          <w:spacing w:val="-1"/>
          <w:position w:val="2"/>
          <w:sz w:val="24"/>
        </w:rPr>
        <w:t> </w:t>
      </w:r>
      <w:r>
        <w:rPr>
          <w:b/>
          <w:i/>
          <w:spacing w:val="-5"/>
          <w:position w:val="2"/>
          <w:sz w:val="24"/>
        </w:rPr>
        <w:t>ε</w:t>
      </w:r>
      <w:r>
        <w:rPr>
          <w:b/>
          <w:i/>
          <w:spacing w:val="-5"/>
          <w:sz w:val="16"/>
        </w:rPr>
        <w:t>i</w:t>
      </w:r>
      <w:r>
        <w:rPr>
          <w:b/>
          <w:i/>
          <w:sz w:val="16"/>
        </w:rPr>
        <w:tab/>
      </w:r>
      <w:r>
        <w:rPr>
          <w:b/>
          <w:spacing w:val="-4"/>
          <w:position w:val="2"/>
          <w:sz w:val="24"/>
        </w:rPr>
        <w:t>(</w:t>
      </w:r>
      <w:r>
        <w:rPr>
          <w:spacing w:val="-4"/>
          <w:position w:val="2"/>
          <w:sz w:val="24"/>
        </w:rPr>
        <w:t>3a</w:t>
      </w:r>
      <w:r>
        <w:rPr>
          <w:b/>
          <w:spacing w:val="-4"/>
          <w:position w:val="2"/>
          <w:sz w:val="24"/>
        </w:rPr>
        <w:t>)</w:t>
      </w:r>
    </w:p>
    <w:p>
      <w:pPr>
        <w:pStyle w:val="BodyText"/>
        <w:spacing w:line="480" w:lineRule="auto" w:before="274"/>
        <w:ind w:left="940" w:right="1437"/>
        <w:jc w:val="both"/>
      </w:pPr>
      <w:r>
        <w:rPr/>
        <w:t>Where:</w:t>
      </w:r>
      <w:r>
        <w:rPr>
          <w:spacing w:val="-5"/>
        </w:rPr>
        <w:t> </w:t>
      </w:r>
      <w:r>
        <w:rPr/>
        <w:t>α</w:t>
      </w:r>
      <w:r>
        <w:rPr>
          <w:b/>
        </w:rPr>
        <w:t>=</w:t>
      </w:r>
      <w:r>
        <w:rPr>
          <w:b/>
          <w:spacing w:val="-8"/>
        </w:rPr>
        <w:t> </w:t>
      </w:r>
      <w:r>
        <w:rPr/>
        <w:t>meant</w:t>
      </w:r>
      <w:r>
        <w:rPr>
          <w:spacing w:val="-5"/>
        </w:rPr>
        <w:t> </w:t>
      </w:r>
      <w:r>
        <w:rPr/>
        <w:t>constant</w:t>
      </w:r>
      <w:r>
        <w:rPr>
          <w:spacing w:val="-8"/>
        </w:rPr>
        <w:t> </w:t>
      </w:r>
      <w:r>
        <w:rPr/>
        <w:t>term;</w:t>
      </w:r>
      <w:r>
        <w:rPr>
          <w:spacing w:val="-6"/>
        </w:rPr>
        <w:t> </w:t>
      </w:r>
      <w:r>
        <w:rPr/>
        <w:t>β</w:t>
      </w:r>
      <w:r>
        <w:rPr>
          <w:b/>
          <w:i/>
        </w:rPr>
        <w:t>=</w:t>
      </w:r>
      <w:r>
        <w:rPr>
          <w:b/>
          <w:i/>
          <w:spacing w:val="-8"/>
        </w:rPr>
        <w:t> </w:t>
      </w:r>
      <w:r>
        <w:rPr/>
        <w:t>meant</w:t>
      </w:r>
      <w:r>
        <w:rPr>
          <w:spacing w:val="-8"/>
        </w:rPr>
        <w:t> </w:t>
      </w:r>
      <w:r>
        <w:rPr/>
        <w:t>treatment</w:t>
      </w:r>
      <w:r>
        <w:rPr>
          <w:spacing w:val="-8"/>
        </w:rPr>
        <w:t> </w:t>
      </w:r>
      <w:r>
        <w:rPr/>
        <w:t>group</w:t>
      </w:r>
      <w:r>
        <w:rPr>
          <w:spacing w:val="-8"/>
        </w:rPr>
        <w:t> </w:t>
      </w:r>
      <w:r>
        <w:rPr/>
        <w:t>specific</w:t>
      </w:r>
      <w:r>
        <w:rPr>
          <w:spacing w:val="-7"/>
        </w:rPr>
        <w:t> </w:t>
      </w:r>
      <w:r>
        <w:rPr/>
        <w:t>effect</w:t>
      </w:r>
      <w:r>
        <w:rPr>
          <w:spacing w:val="-8"/>
        </w:rPr>
        <w:t> </w:t>
      </w:r>
      <w:r>
        <w:rPr/>
        <w:t>which</w:t>
      </w:r>
      <w:r>
        <w:rPr>
          <w:spacing w:val="-9"/>
        </w:rPr>
        <w:t> </w:t>
      </w:r>
      <w:r>
        <w:rPr/>
        <w:t>accounted</w:t>
      </w:r>
      <w:r>
        <w:rPr>
          <w:spacing w:val="-6"/>
        </w:rPr>
        <w:t> </w:t>
      </w:r>
      <w:r>
        <w:rPr/>
        <w:t>for the average permanent difference between the treatment and control groups; γ = meant time trend</w:t>
      </w:r>
      <w:r>
        <w:rPr>
          <w:spacing w:val="-4"/>
        </w:rPr>
        <w:t> </w:t>
      </w:r>
      <w:r>
        <w:rPr/>
        <w:t>common</w:t>
      </w:r>
      <w:r>
        <w:rPr>
          <w:spacing w:val="-4"/>
        </w:rPr>
        <w:t> </w:t>
      </w:r>
      <w:r>
        <w:rPr/>
        <w:t>to</w:t>
      </w:r>
      <w:r>
        <w:rPr>
          <w:spacing w:val="-4"/>
        </w:rPr>
        <w:t> </w:t>
      </w:r>
      <w:r>
        <w:rPr/>
        <w:t>control</w:t>
      </w:r>
      <w:r>
        <w:rPr>
          <w:spacing w:val="-4"/>
        </w:rPr>
        <w:t> </w:t>
      </w:r>
      <w:r>
        <w:rPr/>
        <w:t>and</w:t>
      </w:r>
      <w:r>
        <w:rPr>
          <w:spacing w:val="-4"/>
        </w:rPr>
        <w:t> </w:t>
      </w:r>
      <w:r>
        <w:rPr/>
        <w:t>treatment</w:t>
      </w:r>
      <w:r>
        <w:rPr>
          <w:spacing w:val="-4"/>
        </w:rPr>
        <w:t> </w:t>
      </w:r>
      <w:r>
        <w:rPr/>
        <w:t>groups;</w:t>
      </w:r>
      <w:r>
        <w:rPr>
          <w:spacing w:val="-2"/>
        </w:rPr>
        <w:t> </w:t>
      </w:r>
      <w:r>
        <w:rPr/>
        <w:t>δ</w:t>
      </w:r>
      <w:r>
        <w:rPr>
          <w:b/>
        </w:rPr>
        <w:t>=</w:t>
      </w:r>
      <w:r>
        <w:rPr>
          <w:b/>
          <w:spacing w:val="-2"/>
        </w:rPr>
        <w:t> </w:t>
      </w:r>
      <w:r>
        <w:rPr/>
        <w:t>meant</w:t>
      </w:r>
      <w:r>
        <w:rPr>
          <w:spacing w:val="-4"/>
        </w:rPr>
        <w:t> </w:t>
      </w:r>
      <w:r>
        <w:rPr/>
        <w:t>true</w:t>
      </w:r>
      <w:r>
        <w:rPr>
          <w:spacing w:val="-5"/>
        </w:rPr>
        <w:t> </w:t>
      </w:r>
      <w:r>
        <w:rPr/>
        <w:t>effect</w:t>
      </w:r>
      <w:r>
        <w:rPr>
          <w:spacing w:val="-4"/>
        </w:rPr>
        <w:t> </w:t>
      </w:r>
      <w:r>
        <w:rPr/>
        <w:t>treatment;</w:t>
      </w:r>
      <w:r>
        <w:rPr>
          <w:spacing w:val="-1"/>
        </w:rPr>
        <w:t> </w:t>
      </w:r>
      <w:r>
        <w:rPr/>
        <w:t>ε</w:t>
      </w:r>
      <w:r>
        <w:rPr>
          <w:b/>
        </w:rPr>
        <w:t>=</w:t>
      </w:r>
      <w:r>
        <w:rPr>
          <w:b/>
          <w:spacing w:val="-4"/>
        </w:rPr>
        <w:t> </w:t>
      </w:r>
      <w:r>
        <w:rPr/>
        <w:t>meant</w:t>
      </w:r>
      <w:r>
        <w:rPr>
          <w:spacing w:val="-4"/>
        </w:rPr>
        <w:t> </w:t>
      </w:r>
      <w:r>
        <w:rPr/>
        <w:t>error term; and </w:t>
      </w:r>
      <w:r>
        <w:rPr>
          <w:i/>
        </w:rPr>
        <w:t>i </w:t>
      </w:r>
      <w:r>
        <w:rPr/>
        <w:t>=meant observations. There were two sets of observations, one for pre-treatment observation and the other for post-treatment.</w:t>
      </w:r>
    </w:p>
    <w:p>
      <w:pPr>
        <w:pStyle w:val="BodyText"/>
        <w:tabs>
          <w:tab w:pos="9421" w:val="left" w:leader="hyphen"/>
        </w:tabs>
        <w:spacing w:line="480" w:lineRule="auto" w:before="1"/>
        <w:ind w:left="940" w:right="1438"/>
        <w:jc w:val="both"/>
        <w:rPr>
          <w:b/>
        </w:rPr>
      </w:pPr>
      <w:r>
        <w:rPr/>
        <w:t>For the estimation to be unbiased, three conditions must hold: (i) the model was correctly specified. For instance, the additive structure imposed was correct; (ii) the error term was on average</w:t>
      </w:r>
      <w:r>
        <w:rPr>
          <w:spacing w:val="-3"/>
        </w:rPr>
        <w:t> </w:t>
      </w:r>
      <w:r>
        <w:rPr/>
        <w:t>zero;</w:t>
      </w:r>
      <w:r>
        <w:rPr>
          <w:spacing w:val="-2"/>
        </w:rPr>
        <w:t> </w:t>
      </w:r>
      <w:r>
        <w:rPr/>
        <w:t>and</w:t>
      </w:r>
      <w:r>
        <w:rPr>
          <w:spacing w:val="-5"/>
        </w:rPr>
        <w:t> </w:t>
      </w:r>
      <w:r>
        <w:rPr/>
        <w:t>(iii)</w:t>
      </w:r>
      <w:r>
        <w:rPr>
          <w:spacing w:val="-5"/>
        </w:rPr>
        <w:t> </w:t>
      </w:r>
      <w:r>
        <w:rPr/>
        <w:t>the</w:t>
      </w:r>
      <w:r>
        <w:rPr>
          <w:spacing w:val="-6"/>
        </w:rPr>
        <w:t> </w:t>
      </w:r>
      <w:r>
        <w:rPr/>
        <w:t>error</w:t>
      </w:r>
      <w:r>
        <w:rPr>
          <w:spacing w:val="-6"/>
        </w:rPr>
        <w:t> </w:t>
      </w:r>
      <w:r>
        <w:rPr/>
        <w:t>term</w:t>
      </w:r>
      <w:r>
        <w:rPr>
          <w:spacing w:val="-3"/>
        </w:rPr>
        <w:t> </w:t>
      </w:r>
      <w:r>
        <w:rPr/>
        <w:t>was</w:t>
      </w:r>
      <w:r>
        <w:rPr>
          <w:spacing w:val="-5"/>
        </w:rPr>
        <w:t> </w:t>
      </w:r>
      <w:r>
        <w:rPr/>
        <w:t>uncorrelated</w:t>
      </w:r>
      <w:r>
        <w:rPr>
          <w:spacing w:val="-5"/>
        </w:rPr>
        <w:t> </w:t>
      </w:r>
      <w:r>
        <w:rPr/>
        <w:t>with</w:t>
      </w:r>
      <w:r>
        <w:rPr>
          <w:spacing w:val="-4"/>
        </w:rPr>
        <w:t> </w:t>
      </w:r>
      <w:r>
        <w:rPr/>
        <w:t>the</w:t>
      </w:r>
      <w:r>
        <w:rPr>
          <w:spacing w:val="-3"/>
        </w:rPr>
        <w:t> </w:t>
      </w:r>
      <w:r>
        <w:rPr/>
        <w:t>other</w:t>
      </w:r>
      <w:r>
        <w:rPr>
          <w:spacing w:val="-6"/>
        </w:rPr>
        <w:t> </w:t>
      </w:r>
      <w:r>
        <w:rPr/>
        <w:t>variables</w:t>
      </w:r>
      <w:r>
        <w:rPr>
          <w:spacing w:val="-5"/>
        </w:rPr>
        <w:t> </w:t>
      </w:r>
      <w:r>
        <w:rPr/>
        <w:t>in</w:t>
      </w:r>
      <w:r>
        <w:rPr>
          <w:spacing w:val="-4"/>
        </w:rPr>
        <w:t> </w:t>
      </w:r>
      <w:r>
        <w:rPr/>
        <w:t>the</w:t>
      </w:r>
      <w:r>
        <w:rPr>
          <w:spacing w:val="-5"/>
        </w:rPr>
        <w:t> </w:t>
      </w:r>
      <w:r>
        <w:rPr/>
        <w:t>equation. To account for the true effect of the treatment (δ), the DD estimator which was the difference in the</w:t>
      </w:r>
      <w:r>
        <w:rPr>
          <w:spacing w:val="-1"/>
        </w:rPr>
        <w:t> </w:t>
      </w:r>
      <w:r>
        <w:rPr/>
        <w:t>average</w:t>
      </w:r>
      <w:r>
        <w:rPr>
          <w:spacing w:val="-1"/>
        </w:rPr>
        <w:t> </w:t>
      </w:r>
      <w:r>
        <w:rPr/>
        <w:t>outcome</w:t>
      </w:r>
      <w:r>
        <w:rPr>
          <w:spacing w:val="-1"/>
        </w:rPr>
        <w:t> </w:t>
      </w:r>
      <w:r>
        <w:rPr/>
        <w:t>in the</w:t>
      </w:r>
      <w:r>
        <w:rPr>
          <w:spacing w:val="-1"/>
        </w:rPr>
        <w:t> </w:t>
      </w:r>
      <w:r>
        <w:rPr/>
        <w:t>treatment group</w:t>
      </w:r>
      <w:r>
        <w:rPr>
          <w:spacing w:val="-1"/>
        </w:rPr>
        <w:t> </w:t>
      </w:r>
      <w:r>
        <w:rPr/>
        <w:t>before</w:t>
      </w:r>
      <w:r>
        <w:rPr>
          <w:spacing w:val="-2"/>
        </w:rPr>
        <w:t> </w:t>
      </w:r>
      <w:r>
        <w:rPr/>
        <w:t>and after</w:t>
      </w:r>
      <w:r>
        <w:rPr>
          <w:spacing w:val="-1"/>
        </w:rPr>
        <w:t> </w:t>
      </w:r>
      <w:r>
        <w:rPr/>
        <w:t>treatment minus the</w:t>
      </w:r>
      <w:r>
        <w:rPr>
          <w:spacing w:val="-1"/>
        </w:rPr>
        <w:t> </w:t>
      </w:r>
      <w:r>
        <w:rPr/>
        <w:t>difference in average outcome in the control group before and after the</w:t>
      </w:r>
      <w:r>
        <w:rPr>
          <w:spacing w:val="-1"/>
        </w:rPr>
        <w:t> </w:t>
      </w:r>
      <w:r>
        <w:rPr/>
        <w:t>treatment. It was expressed thus: </w:t>
      </w:r>
      <w:r>
        <w:rPr>
          <w:b/>
          <w:i/>
          <w:position w:val="2"/>
        </w:rPr>
        <w:t>δ</w:t>
      </w:r>
      <w:r>
        <w:rPr>
          <w:b/>
          <w:i/>
          <w:sz w:val="16"/>
        </w:rPr>
        <w:t>DID</w:t>
      </w:r>
      <w:r>
        <w:rPr>
          <w:b/>
          <w:i/>
          <w:position w:val="2"/>
        </w:rPr>
        <w:t>= ӯ</w:t>
      </w:r>
      <w:r>
        <w:rPr>
          <w:b/>
          <w:i/>
          <w:sz w:val="16"/>
        </w:rPr>
        <w:t>1</w:t>
      </w:r>
      <w:r>
        <w:rPr>
          <w:b/>
          <w:i/>
          <w:position w:val="10"/>
          <w:sz w:val="16"/>
        </w:rPr>
        <w:t>T</w:t>
      </w:r>
      <w:r>
        <w:rPr>
          <w:b/>
          <w:i/>
          <w:position w:val="2"/>
        </w:rPr>
        <w:t>- ӯ</w:t>
      </w:r>
      <w:r>
        <w:rPr>
          <w:b/>
          <w:i/>
          <w:sz w:val="16"/>
        </w:rPr>
        <w:t>0</w:t>
      </w:r>
      <w:r>
        <w:rPr>
          <w:b/>
          <w:i/>
          <w:position w:val="10"/>
          <w:sz w:val="16"/>
        </w:rPr>
        <w:t>T</w:t>
      </w:r>
      <w:r>
        <w:rPr>
          <w:b/>
          <w:i/>
          <w:spacing w:val="40"/>
          <w:position w:val="10"/>
          <w:sz w:val="16"/>
        </w:rPr>
        <w:t> </w:t>
      </w:r>
      <w:r>
        <w:rPr>
          <w:b/>
          <w:i/>
          <w:position w:val="2"/>
        </w:rPr>
        <w:t>- (ӯ</w:t>
      </w:r>
      <w:r>
        <w:rPr>
          <w:b/>
          <w:i/>
          <w:sz w:val="16"/>
        </w:rPr>
        <w:t>1</w:t>
      </w:r>
      <w:r>
        <w:rPr>
          <w:b/>
          <w:i/>
          <w:position w:val="10"/>
          <w:sz w:val="16"/>
        </w:rPr>
        <w:t>C</w:t>
      </w:r>
      <w:r>
        <w:rPr>
          <w:b/>
          <w:i/>
          <w:position w:val="2"/>
        </w:rPr>
        <w:t>- ӯ</w:t>
      </w:r>
      <w:r>
        <w:rPr>
          <w:b/>
          <w:i/>
          <w:sz w:val="16"/>
        </w:rPr>
        <w:t>0</w:t>
      </w:r>
      <w:r>
        <w:rPr>
          <w:b/>
          <w:i/>
          <w:position w:val="10"/>
          <w:sz w:val="16"/>
        </w:rPr>
        <w:t>C</w:t>
      </w:r>
      <w:r>
        <w:rPr>
          <w:b/>
          <w:i/>
          <w:position w:val="2"/>
        </w:rPr>
        <w:t>)</w:t>
        <w:tab/>
      </w:r>
      <w:r>
        <w:rPr>
          <w:b/>
          <w:spacing w:val="-4"/>
          <w:position w:val="2"/>
        </w:rPr>
        <w:t>(</w:t>
      </w:r>
      <w:r>
        <w:rPr>
          <w:spacing w:val="-4"/>
          <w:position w:val="2"/>
        </w:rPr>
        <w:t>3b</w:t>
      </w:r>
      <w:r>
        <w:rPr>
          <w:b/>
          <w:spacing w:val="-4"/>
          <w:position w:val="2"/>
        </w:rPr>
        <w:t>)</w:t>
      </w:r>
    </w:p>
    <w:p>
      <w:pPr>
        <w:pStyle w:val="BodyText"/>
        <w:spacing w:line="269" w:lineRule="exact"/>
        <w:ind w:left="940"/>
        <w:jc w:val="both"/>
      </w:pPr>
      <w:r>
        <w:rPr/>
        <w:t>Equation</w:t>
      </w:r>
      <w:r>
        <w:rPr>
          <w:spacing w:val="-2"/>
        </w:rPr>
        <w:t> </w:t>
      </w:r>
      <w:r>
        <w:rPr/>
        <w:t>(ii)</w:t>
      </w:r>
      <w:r>
        <w:rPr>
          <w:spacing w:val="-2"/>
        </w:rPr>
        <w:t> </w:t>
      </w:r>
      <w:r>
        <w:rPr/>
        <w:t>can</w:t>
      </w:r>
      <w:r>
        <w:rPr>
          <w:spacing w:val="-1"/>
        </w:rPr>
        <w:t> </w:t>
      </w:r>
      <w:r>
        <w:rPr/>
        <w:t>be</w:t>
      </w:r>
      <w:r>
        <w:rPr>
          <w:spacing w:val="-1"/>
        </w:rPr>
        <w:t> </w:t>
      </w:r>
      <w:r>
        <w:rPr/>
        <w:t>re-arranged</w:t>
      </w:r>
      <w:r>
        <w:rPr>
          <w:spacing w:val="-1"/>
        </w:rPr>
        <w:t> </w:t>
      </w:r>
      <w:r>
        <w:rPr>
          <w:spacing w:val="-2"/>
        </w:rPr>
        <w:t>below:</w:t>
      </w:r>
    </w:p>
    <w:p>
      <w:pPr>
        <w:tabs>
          <w:tab w:pos="9481" w:val="left" w:leader="hyphen"/>
        </w:tabs>
        <w:spacing w:before="270"/>
        <w:ind w:left="940" w:right="0" w:firstLine="0"/>
        <w:jc w:val="both"/>
        <w:rPr>
          <w:b/>
          <w:sz w:val="24"/>
        </w:rPr>
      </w:pPr>
      <w:r>
        <w:rPr>
          <w:b/>
          <w:i/>
          <w:position w:val="2"/>
          <w:sz w:val="24"/>
        </w:rPr>
        <w:t>δ</w:t>
      </w:r>
      <w:r>
        <w:rPr>
          <w:b/>
          <w:i/>
          <w:sz w:val="16"/>
        </w:rPr>
        <w:t>DID</w:t>
      </w:r>
      <w:r>
        <w:rPr>
          <w:b/>
          <w:i/>
          <w:position w:val="2"/>
          <w:sz w:val="24"/>
        </w:rPr>
        <w:t>=</w:t>
      </w:r>
      <w:r>
        <w:rPr>
          <w:b/>
          <w:i/>
          <w:spacing w:val="-4"/>
          <w:position w:val="2"/>
          <w:sz w:val="24"/>
        </w:rPr>
        <w:t> </w:t>
      </w:r>
      <w:r>
        <w:rPr>
          <w:b/>
          <w:i/>
          <w:position w:val="2"/>
          <w:sz w:val="24"/>
        </w:rPr>
        <w:t>ӯ</w:t>
      </w:r>
      <w:r>
        <w:rPr>
          <w:b/>
          <w:i/>
          <w:sz w:val="16"/>
        </w:rPr>
        <w:t>1</w:t>
      </w:r>
      <w:r>
        <w:rPr>
          <w:b/>
          <w:i/>
          <w:position w:val="10"/>
          <w:sz w:val="16"/>
        </w:rPr>
        <w:t>T</w:t>
      </w:r>
      <w:r>
        <w:rPr>
          <w:b/>
          <w:i/>
          <w:position w:val="2"/>
          <w:sz w:val="24"/>
        </w:rPr>
        <w:t>-</w:t>
      </w:r>
      <w:r>
        <w:rPr>
          <w:b/>
          <w:i/>
          <w:spacing w:val="-2"/>
          <w:position w:val="2"/>
          <w:sz w:val="24"/>
        </w:rPr>
        <w:t> </w:t>
      </w:r>
      <w:r>
        <w:rPr>
          <w:b/>
          <w:i/>
          <w:position w:val="2"/>
          <w:sz w:val="24"/>
        </w:rPr>
        <w:t>ӯ</w:t>
      </w:r>
      <w:r>
        <w:rPr>
          <w:b/>
          <w:i/>
          <w:sz w:val="16"/>
        </w:rPr>
        <w:t>1</w:t>
      </w:r>
      <w:r>
        <w:rPr>
          <w:b/>
          <w:i/>
          <w:position w:val="10"/>
          <w:sz w:val="16"/>
        </w:rPr>
        <w:t>C</w:t>
      </w:r>
      <w:r>
        <w:rPr>
          <w:b/>
          <w:i/>
          <w:spacing w:val="19"/>
          <w:position w:val="10"/>
          <w:sz w:val="16"/>
        </w:rPr>
        <w:t> </w:t>
      </w:r>
      <w:r>
        <w:rPr>
          <w:b/>
          <w:i/>
          <w:position w:val="2"/>
          <w:sz w:val="24"/>
        </w:rPr>
        <w:t>-</w:t>
      </w:r>
      <w:r>
        <w:rPr>
          <w:b/>
          <w:i/>
          <w:spacing w:val="-2"/>
          <w:position w:val="2"/>
          <w:sz w:val="24"/>
        </w:rPr>
        <w:t> </w:t>
      </w:r>
      <w:r>
        <w:rPr>
          <w:b/>
          <w:i/>
          <w:position w:val="2"/>
          <w:sz w:val="24"/>
        </w:rPr>
        <w:t>(ӯ</w:t>
      </w:r>
      <w:r>
        <w:rPr>
          <w:b/>
          <w:i/>
          <w:sz w:val="16"/>
        </w:rPr>
        <w:t>0</w:t>
      </w:r>
      <w:r>
        <w:rPr>
          <w:b/>
          <w:i/>
          <w:position w:val="10"/>
          <w:sz w:val="16"/>
        </w:rPr>
        <w:t>T</w:t>
      </w:r>
      <w:r>
        <w:rPr>
          <w:b/>
          <w:i/>
          <w:position w:val="2"/>
          <w:sz w:val="24"/>
        </w:rPr>
        <w:t>-</w:t>
      </w:r>
      <w:r>
        <w:rPr>
          <w:b/>
          <w:i/>
          <w:spacing w:val="-2"/>
          <w:position w:val="2"/>
          <w:sz w:val="24"/>
        </w:rPr>
        <w:t> </w:t>
      </w:r>
      <w:r>
        <w:rPr>
          <w:b/>
          <w:i/>
          <w:spacing w:val="-4"/>
          <w:position w:val="2"/>
          <w:sz w:val="24"/>
        </w:rPr>
        <w:t>ӯ</w:t>
      </w:r>
      <w:r>
        <w:rPr>
          <w:b/>
          <w:i/>
          <w:spacing w:val="-4"/>
          <w:sz w:val="16"/>
        </w:rPr>
        <w:t>0</w:t>
      </w:r>
      <w:r>
        <w:rPr>
          <w:b/>
          <w:i/>
          <w:spacing w:val="-4"/>
          <w:position w:val="10"/>
          <w:sz w:val="16"/>
        </w:rPr>
        <w:t>C</w:t>
      </w:r>
      <w:r>
        <w:rPr>
          <w:b/>
          <w:i/>
          <w:spacing w:val="-4"/>
          <w:position w:val="2"/>
          <w:sz w:val="24"/>
        </w:rPr>
        <w:t>)</w:t>
      </w:r>
      <w:r>
        <w:rPr>
          <w:b/>
          <w:i/>
          <w:position w:val="2"/>
          <w:sz w:val="24"/>
        </w:rPr>
        <w:tab/>
      </w:r>
      <w:r>
        <w:rPr>
          <w:b/>
          <w:spacing w:val="-4"/>
          <w:position w:val="2"/>
          <w:sz w:val="24"/>
        </w:rPr>
        <w:t>(</w:t>
      </w:r>
      <w:r>
        <w:rPr>
          <w:spacing w:val="-4"/>
          <w:position w:val="2"/>
          <w:sz w:val="24"/>
        </w:rPr>
        <w:t>3c</w:t>
      </w:r>
      <w:r>
        <w:rPr>
          <w:b/>
          <w:spacing w:val="-4"/>
          <w:position w:val="2"/>
          <w:sz w:val="24"/>
        </w:rPr>
        <w:t>)</w:t>
      </w:r>
    </w:p>
    <w:p>
      <w:pPr>
        <w:spacing w:after="0"/>
        <w:jc w:val="both"/>
        <w:rPr>
          <w:sz w:val="24"/>
        </w:rPr>
        <w:sectPr>
          <w:pgSz w:w="11910" w:h="16840"/>
          <w:pgMar w:header="0" w:footer="971" w:top="1360" w:bottom="1160" w:left="500" w:right="0"/>
        </w:sectPr>
      </w:pPr>
    </w:p>
    <w:p>
      <w:pPr>
        <w:pStyle w:val="BodyText"/>
        <w:spacing w:line="480" w:lineRule="auto" w:before="61"/>
        <w:ind w:left="940" w:right="1433"/>
        <w:jc w:val="both"/>
      </w:pPr>
      <w:r>
        <w:rPr/>
        <w:t>Equation (iii) could be interpreted as taking the difference of two estimators of the simple treatment versus control. The difference estimator for the pre-period was used to estimate the permanent difference (β) which was then subtracted from the post-period estimator to get δ.</w:t>
      </w:r>
    </w:p>
    <w:p>
      <w:pPr>
        <w:pStyle w:val="Heading3"/>
      </w:pPr>
      <w:bookmarkStart w:name="_TOC_250031" w:id="39"/>
      <w:r>
        <w:rPr/>
        <w:t>3.6</w:t>
      </w:r>
      <w:r>
        <w:rPr>
          <w:spacing w:val="-2"/>
        </w:rPr>
        <w:t> </w:t>
      </w:r>
      <w:r>
        <w:rPr/>
        <w:t>Measurement</w:t>
      </w:r>
      <w:r>
        <w:rPr>
          <w:spacing w:val="-1"/>
        </w:rPr>
        <w:t> </w:t>
      </w:r>
      <w:r>
        <w:rPr/>
        <w:t>of</w:t>
      </w:r>
      <w:r>
        <w:rPr>
          <w:spacing w:val="-3"/>
        </w:rPr>
        <w:t> </w:t>
      </w:r>
      <w:bookmarkEnd w:id="39"/>
      <w:r>
        <w:rPr>
          <w:spacing w:val="-2"/>
        </w:rPr>
        <w:t>variables</w:t>
      </w:r>
    </w:p>
    <w:p>
      <w:pPr>
        <w:pStyle w:val="BodyText"/>
        <w:rPr>
          <w:b/>
        </w:rPr>
      </w:pPr>
    </w:p>
    <w:p>
      <w:pPr>
        <w:pStyle w:val="BodyText"/>
        <w:ind w:left="940"/>
        <w:jc w:val="both"/>
      </w:pPr>
      <w:r>
        <w:rPr/>
        <w:t>Table</w:t>
      </w:r>
      <w:r>
        <w:rPr>
          <w:spacing w:val="-1"/>
        </w:rPr>
        <w:t> </w:t>
      </w:r>
      <w:r>
        <w:rPr/>
        <w:t>3.1:</w:t>
      </w:r>
      <w:r>
        <w:rPr>
          <w:spacing w:val="-1"/>
        </w:rPr>
        <w:t> </w:t>
      </w:r>
      <w:r>
        <w:rPr/>
        <w:t>Measurement</w:t>
      </w:r>
      <w:r>
        <w:rPr>
          <w:spacing w:val="1"/>
        </w:rPr>
        <w:t> </w:t>
      </w:r>
      <w:r>
        <w:rPr/>
        <w:t>of</w:t>
      </w:r>
      <w:r>
        <w:rPr>
          <w:spacing w:val="-1"/>
        </w:rPr>
        <w:t> </w:t>
      </w:r>
      <w:r>
        <w:rPr>
          <w:spacing w:val="-2"/>
        </w:rPr>
        <w:t>variables</w:t>
      </w:r>
    </w:p>
    <w:tbl>
      <w:tblPr>
        <w:tblW w:w="0" w:type="auto"/>
        <w:jc w:val="lef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112"/>
        <w:gridCol w:w="3401"/>
        <w:gridCol w:w="2684"/>
        <w:gridCol w:w="1443"/>
      </w:tblGrid>
      <w:tr>
        <w:trPr>
          <w:trHeight w:val="750" w:hRule="atLeast"/>
        </w:trPr>
        <w:tc>
          <w:tcPr>
            <w:tcW w:w="708" w:type="dxa"/>
          </w:tcPr>
          <w:p>
            <w:pPr>
              <w:pStyle w:val="TableParagraph"/>
              <w:spacing w:line="275" w:lineRule="exact"/>
              <w:ind w:right="253"/>
              <w:jc w:val="right"/>
              <w:rPr>
                <w:rFonts w:ascii="Times New Roman"/>
                <w:b/>
                <w:sz w:val="24"/>
              </w:rPr>
            </w:pPr>
            <w:r>
              <w:rPr>
                <w:rFonts w:ascii="Times New Roman"/>
                <w:b/>
                <w:spacing w:val="-5"/>
                <w:sz w:val="24"/>
              </w:rPr>
              <w:t>S/n</w:t>
            </w:r>
          </w:p>
        </w:tc>
        <w:tc>
          <w:tcPr>
            <w:tcW w:w="2112" w:type="dxa"/>
          </w:tcPr>
          <w:p>
            <w:pPr>
              <w:pStyle w:val="TableParagraph"/>
              <w:spacing w:line="275" w:lineRule="exact"/>
              <w:ind w:left="10"/>
              <w:jc w:val="center"/>
              <w:rPr>
                <w:rFonts w:ascii="Times New Roman"/>
                <w:b/>
                <w:sz w:val="24"/>
              </w:rPr>
            </w:pPr>
            <w:r>
              <w:rPr/>
              <mc:AlternateContent>
                <mc:Choice Requires="wps">
                  <w:drawing>
                    <wp:anchor distT="0" distB="0" distL="0" distR="0" allowOverlap="1" layoutInCell="1" locked="0" behindDoc="1" simplePos="0" relativeHeight="477727232">
                      <wp:simplePos x="0" y="0"/>
                      <wp:positionH relativeFrom="column">
                        <wp:posOffset>90830</wp:posOffset>
                      </wp:positionH>
                      <wp:positionV relativeFrom="paragraph">
                        <wp:posOffset>227838</wp:posOffset>
                      </wp:positionV>
                      <wp:extent cx="5107305" cy="523811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107305" cy="5238115"/>
                                <a:chExt cx="5107305" cy="5238115"/>
                              </a:xfrm>
                            </wpg:grpSpPr>
                            <pic:pic>
                              <pic:nvPicPr>
                                <pic:cNvPr id="129" name="Image 129"/>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7.152pt;margin-top:17.940001pt;width:402.15pt;height:412.45pt;mso-position-horizontal-relative:column;mso-position-vertical-relative:paragraph;z-index:-25589248" id="docshapegroup3" coordorigin="143,359" coordsize="8043,8249">
                      <v:shape style="position:absolute;left:143;top:358;width:8043;height:8249" type="#_x0000_t75" id="docshape4" stroked="false">
                        <v:imagedata r:id="rId5" o:title=""/>
                      </v:shape>
                      <w10:wrap type="none"/>
                    </v:group>
                  </w:pict>
                </mc:Fallback>
              </mc:AlternateContent>
            </w:r>
            <w:r>
              <w:rPr>
                <w:rFonts w:ascii="Times New Roman"/>
                <w:b/>
                <w:spacing w:val="-2"/>
                <w:sz w:val="24"/>
              </w:rPr>
              <w:t>Variable</w:t>
            </w:r>
          </w:p>
        </w:tc>
        <w:tc>
          <w:tcPr>
            <w:tcW w:w="3401" w:type="dxa"/>
          </w:tcPr>
          <w:p>
            <w:pPr>
              <w:pStyle w:val="TableParagraph"/>
              <w:spacing w:line="275" w:lineRule="exact"/>
              <w:ind w:left="155" w:right="147"/>
              <w:jc w:val="center"/>
              <w:rPr>
                <w:rFonts w:ascii="Times New Roman"/>
                <w:b/>
                <w:sz w:val="24"/>
              </w:rPr>
            </w:pPr>
            <w:r>
              <w:rPr>
                <w:rFonts w:ascii="Times New Roman"/>
                <w:b/>
                <w:spacing w:val="-2"/>
                <w:sz w:val="24"/>
              </w:rPr>
              <w:t>Measurement</w:t>
            </w:r>
          </w:p>
        </w:tc>
        <w:tc>
          <w:tcPr>
            <w:tcW w:w="2684" w:type="dxa"/>
          </w:tcPr>
          <w:p>
            <w:pPr>
              <w:pStyle w:val="TableParagraph"/>
              <w:spacing w:line="275" w:lineRule="exact"/>
              <w:ind w:left="10"/>
              <w:jc w:val="center"/>
              <w:rPr>
                <w:rFonts w:ascii="Times New Roman"/>
                <w:b/>
                <w:sz w:val="24"/>
              </w:rPr>
            </w:pPr>
            <w:r>
              <w:rPr>
                <w:rFonts w:ascii="Times New Roman"/>
                <w:b/>
                <w:spacing w:val="-2"/>
                <w:sz w:val="24"/>
              </w:rPr>
              <w:t>Justification</w:t>
            </w:r>
          </w:p>
        </w:tc>
        <w:tc>
          <w:tcPr>
            <w:tcW w:w="1443" w:type="dxa"/>
          </w:tcPr>
          <w:p>
            <w:pPr>
              <w:pStyle w:val="TableParagraph"/>
              <w:ind w:left="108" w:firstLine="158"/>
              <w:rPr>
                <w:rFonts w:ascii="Times New Roman"/>
                <w:b/>
                <w:sz w:val="24"/>
              </w:rPr>
            </w:pPr>
            <w:r>
              <w:rPr>
                <w:rFonts w:ascii="Times New Roman"/>
                <w:b/>
                <w:spacing w:val="-2"/>
                <w:sz w:val="24"/>
              </w:rPr>
              <w:t>Appriori Expectation</w:t>
            </w:r>
          </w:p>
        </w:tc>
      </w:tr>
      <w:tr>
        <w:trPr>
          <w:trHeight w:val="477" w:hRule="atLeast"/>
        </w:trPr>
        <w:tc>
          <w:tcPr>
            <w:tcW w:w="708" w:type="dxa"/>
          </w:tcPr>
          <w:p>
            <w:pPr>
              <w:pStyle w:val="TableParagraph"/>
              <w:rPr>
                <w:rFonts w:ascii="Times New Roman"/>
                <w:sz w:val="24"/>
              </w:rPr>
            </w:pPr>
          </w:p>
        </w:tc>
        <w:tc>
          <w:tcPr>
            <w:tcW w:w="2112" w:type="dxa"/>
          </w:tcPr>
          <w:p>
            <w:pPr>
              <w:pStyle w:val="TableParagraph"/>
              <w:rPr>
                <w:rFonts w:ascii="Times New Roman"/>
                <w:sz w:val="24"/>
              </w:rPr>
            </w:pPr>
          </w:p>
        </w:tc>
        <w:tc>
          <w:tcPr>
            <w:tcW w:w="3401" w:type="dxa"/>
          </w:tcPr>
          <w:p>
            <w:pPr>
              <w:pStyle w:val="TableParagraph"/>
              <w:spacing w:before="1"/>
              <w:ind w:left="155" w:right="147"/>
              <w:jc w:val="center"/>
              <w:rPr>
                <w:rFonts w:ascii="Times New Roman"/>
                <w:b/>
                <w:sz w:val="24"/>
              </w:rPr>
            </w:pPr>
            <w:r>
              <w:rPr>
                <w:rFonts w:ascii="Times New Roman"/>
                <w:b/>
                <w:sz w:val="24"/>
              </w:rPr>
              <w:t>Dependent</w:t>
            </w:r>
            <w:r>
              <w:rPr>
                <w:rFonts w:ascii="Times New Roman"/>
                <w:b/>
                <w:spacing w:val="-4"/>
                <w:sz w:val="24"/>
              </w:rPr>
              <w:t> </w:t>
            </w:r>
            <w:r>
              <w:rPr>
                <w:rFonts w:ascii="Times New Roman"/>
                <w:b/>
                <w:spacing w:val="-2"/>
                <w:sz w:val="24"/>
              </w:rPr>
              <w:t>variable</w:t>
            </w:r>
          </w:p>
        </w:tc>
        <w:tc>
          <w:tcPr>
            <w:tcW w:w="2684" w:type="dxa"/>
          </w:tcPr>
          <w:p>
            <w:pPr>
              <w:pStyle w:val="TableParagraph"/>
              <w:rPr>
                <w:rFonts w:ascii="Times New Roman"/>
                <w:sz w:val="24"/>
              </w:rPr>
            </w:pPr>
          </w:p>
        </w:tc>
        <w:tc>
          <w:tcPr>
            <w:tcW w:w="1443" w:type="dxa"/>
          </w:tcPr>
          <w:p>
            <w:pPr>
              <w:pStyle w:val="TableParagraph"/>
              <w:rPr>
                <w:rFonts w:ascii="Times New Roman"/>
                <w:sz w:val="24"/>
              </w:rPr>
            </w:pPr>
          </w:p>
        </w:tc>
      </w:tr>
      <w:tr>
        <w:trPr>
          <w:trHeight w:val="810" w:hRule="atLeast"/>
        </w:trPr>
        <w:tc>
          <w:tcPr>
            <w:tcW w:w="708" w:type="dxa"/>
            <w:vMerge w:val="restart"/>
          </w:tcPr>
          <w:p>
            <w:pPr>
              <w:pStyle w:val="TableParagraph"/>
              <w:spacing w:line="275" w:lineRule="exact"/>
              <w:ind w:left="8"/>
              <w:jc w:val="center"/>
              <w:rPr>
                <w:rFonts w:ascii="Times New Roman"/>
                <w:sz w:val="24"/>
              </w:rPr>
            </w:pPr>
            <w:r>
              <w:rPr>
                <w:rFonts w:ascii="Times New Roman"/>
                <w:spacing w:val="-10"/>
                <w:sz w:val="24"/>
              </w:rPr>
              <w:t>1</w:t>
            </w:r>
          </w:p>
        </w:tc>
        <w:tc>
          <w:tcPr>
            <w:tcW w:w="2112" w:type="dxa"/>
            <w:vMerge w:val="restart"/>
          </w:tcPr>
          <w:p>
            <w:pPr>
              <w:pStyle w:val="TableParagraph"/>
              <w:ind w:left="722" w:right="130" w:hanging="584"/>
              <w:rPr>
                <w:rFonts w:ascii="Times New Roman"/>
                <w:sz w:val="24"/>
              </w:rPr>
            </w:pPr>
            <w:r>
              <w:rPr>
                <w:rFonts w:ascii="Times New Roman"/>
                <w:sz w:val="24"/>
              </w:rPr>
              <w:t>Financial</w:t>
            </w:r>
            <w:r>
              <w:rPr>
                <w:rFonts w:ascii="Times New Roman"/>
                <w:spacing w:val="-15"/>
                <w:sz w:val="24"/>
              </w:rPr>
              <w:t> </w:t>
            </w:r>
            <w:r>
              <w:rPr>
                <w:rFonts w:ascii="Times New Roman"/>
                <w:sz w:val="24"/>
              </w:rPr>
              <w:t>reporting </w:t>
            </w:r>
            <w:r>
              <w:rPr>
                <w:rFonts w:ascii="Times New Roman"/>
                <w:spacing w:val="-2"/>
                <w:sz w:val="24"/>
              </w:rPr>
              <w:t>quality</w:t>
            </w:r>
          </w:p>
        </w:tc>
        <w:tc>
          <w:tcPr>
            <w:tcW w:w="3401" w:type="dxa"/>
          </w:tcPr>
          <w:p>
            <w:pPr>
              <w:pStyle w:val="TableParagraph"/>
              <w:ind w:left="533" w:hanging="192"/>
              <w:rPr>
                <w:rFonts w:ascii="Times New Roman"/>
                <w:sz w:val="24"/>
              </w:rPr>
            </w:pPr>
            <w:r>
              <w:rPr>
                <w:rFonts w:ascii="Times New Roman"/>
                <w:sz w:val="24"/>
              </w:rPr>
              <w:t>Discretionary</w:t>
            </w:r>
            <w:r>
              <w:rPr>
                <w:rFonts w:ascii="Times New Roman"/>
                <w:spacing w:val="-15"/>
                <w:sz w:val="24"/>
              </w:rPr>
              <w:t> </w:t>
            </w:r>
            <w:r>
              <w:rPr>
                <w:rFonts w:ascii="Times New Roman"/>
                <w:sz w:val="24"/>
              </w:rPr>
              <w:t>accrual</w:t>
            </w:r>
            <w:r>
              <w:rPr>
                <w:rFonts w:ascii="Times New Roman"/>
                <w:spacing w:val="-15"/>
                <w:sz w:val="24"/>
              </w:rPr>
              <w:t> </w:t>
            </w:r>
            <w:r>
              <w:rPr>
                <w:rFonts w:ascii="Times New Roman"/>
                <w:sz w:val="24"/>
              </w:rPr>
              <w:t>model (Modified Jones Model)</w:t>
            </w:r>
          </w:p>
        </w:tc>
        <w:tc>
          <w:tcPr>
            <w:tcW w:w="2684" w:type="dxa"/>
          </w:tcPr>
          <w:p>
            <w:pPr>
              <w:pStyle w:val="TableParagraph"/>
              <w:spacing w:line="275" w:lineRule="exact"/>
              <w:ind w:left="10" w:right="4"/>
              <w:jc w:val="center"/>
              <w:rPr>
                <w:rFonts w:ascii="Times New Roman"/>
                <w:sz w:val="24"/>
              </w:rPr>
            </w:pPr>
            <w:r>
              <w:rPr>
                <w:rFonts w:ascii="Times New Roman"/>
                <w:sz w:val="24"/>
              </w:rPr>
              <w:t>Dechow</w:t>
            </w:r>
            <w:r>
              <w:rPr>
                <w:rFonts w:ascii="Times New Roman"/>
                <w:spacing w:val="-1"/>
                <w:sz w:val="24"/>
              </w:rPr>
              <w:t> </w:t>
            </w:r>
            <w:r>
              <w:rPr>
                <w:rFonts w:ascii="Times New Roman"/>
                <w:sz w:val="24"/>
              </w:rPr>
              <w:t>et</w:t>
            </w:r>
            <w:r>
              <w:rPr>
                <w:rFonts w:ascii="Times New Roman"/>
                <w:spacing w:val="-1"/>
                <w:sz w:val="24"/>
              </w:rPr>
              <w:t> </w:t>
            </w:r>
            <w:r>
              <w:rPr>
                <w:rFonts w:ascii="Times New Roman"/>
                <w:sz w:val="24"/>
              </w:rPr>
              <w:t>al</w:t>
            </w:r>
            <w:r>
              <w:rPr>
                <w:rFonts w:ascii="Times New Roman"/>
                <w:spacing w:val="-1"/>
                <w:sz w:val="24"/>
              </w:rPr>
              <w:t> </w:t>
            </w:r>
            <w:r>
              <w:rPr>
                <w:rFonts w:ascii="Times New Roman"/>
                <w:spacing w:val="-2"/>
                <w:sz w:val="24"/>
              </w:rPr>
              <w:t>(1995)</w:t>
            </w:r>
          </w:p>
        </w:tc>
        <w:tc>
          <w:tcPr>
            <w:tcW w:w="1443" w:type="dxa"/>
          </w:tcPr>
          <w:p>
            <w:pPr>
              <w:pStyle w:val="TableParagraph"/>
              <w:spacing w:line="275" w:lineRule="exact"/>
              <w:ind w:left="11" w:right="3"/>
              <w:jc w:val="center"/>
              <w:rPr>
                <w:rFonts w:ascii="Times New Roman"/>
                <w:sz w:val="24"/>
              </w:rPr>
            </w:pPr>
            <w:r>
              <w:rPr>
                <w:rFonts w:ascii="Times New Roman"/>
                <w:spacing w:val="-5"/>
                <w:sz w:val="24"/>
              </w:rPr>
              <w:t>Nil</w:t>
            </w:r>
          </w:p>
        </w:tc>
      </w:tr>
      <w:tr>
        <w:trPr>
          <w:trHeight w:val="1026" w:hRule="atLeast"/>
        </w:trPr>
        <w:tc>
          <w:tcPr>
            <w:tcW w:w="708" w:type="dxa"/>
            <w:vMerge/>
            <w:tcBorders>
              <w:top w:val="nil"/>
            </w:tcBorders>
          </w:tcPr>
          <w:p>
            <w:pPr>
              <w:rPr>
                <w:sz w:val="2"/>
                <w:szCs w:val="2"/>
              </w:rPr>
            </w:pPr>
          </w:p>
        </w:tc>
        <w:tc>
          <w:tcPr>
            <w:tcW w:w="2112" w:type="dxa"/>
            <w:vMerge/>
            <w:tcBorders>
              <w:top w:val="nil"/>
            </w:tcBorders>
          </w:tcPr>
          <w:p>
            <w:pPr>
              <w:rPr>
                <w:sz w:val="2"/>
                <w:szCs w:val="2"/>
              </w:rPr>
            </w:pPr>
          </w:p>
        </w:tc>
        <w:tc>
          <w:tcPr>
            <w:tcW w:w="3401" w:type="dxa"/>
          </w:tcPr>
          <w:p>
            <w:pPr>
              <w:pStyle w:val="TableParagraph"/>
              <w:ind w:left="155" w:right="146"/>
              <w:jc w:val="center"/>
              <w:rPr>
                <w:rFonts w:ascii="Times New Roman"/>
                <w:sz w:val="24"/>
              </w:rPr>
            </w:pPr>
            <w:r>
              <w:rPr>
                <w:rFonts w:ascii="Times New Roman"/>
                <w:sz w:val="24"/>
              </w:rPr>
              <w:t>Operationalizing</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qualitative characteristics of financial </w:t>
            </w:r>
            <w:r>
              <w:rPr>
                <w:rFonts w:ascii="Times New Roman"/>
                <w:spacing w:val="-2"/>
                <w:sz w:val="24"/>
              </w:rPr>
              <w:t>information</w:t>
            </w:r>
          </w:p>
        </w:tc>
        <w:tc>
          <w:tcPr>
            <w:tcW w:w="2684" w:type="dxa"/>
          </w:tcPr>
          <w:p>
            <w:pPr>
              <w:pStyle w:val="TableParagraph"/>
              <w:spacing w:line="275" w:lineRule="exact"/>
              <w:ind w:left="10" w:right="4"/>
              <w:jc w:val="center"/>
              <w:rPr>
                <w:rFonts w:ascii="Times New Roman"/>
                <w:sz w:val="24"/>
              </w:rPr>
            </w:pPr>
            <w:r>
              <w:rPr>
                <w:rFonts w:ascii="Times New Roman"/>
                <w:sz w:val="24"/>
              </w:rPr>
              <w:t>Van</w:t>
            </w:r>
            <w:r>
              <w:rPr>
                <w:rFonts w:ascii="Times New Roman"/>
                <w:spacing w:val="-2"/>
                <w:sz w:val="24"/>
              </w:rPr>
              <w:t> </w:t>
            </w:r>
            <w:r>
              <w:rPr>
                <w:rFonts w:ascii="Times New Roman"/>
                <w:sz w:val="24"/>
              </w:rPr>
              <w:t>Beest</w:t>
            </w:r>
            <w:r>
              <w:rPr>
                <w:rFonts w:ascii="Times New Roman"/>
                <w:spacing w:val="-1"/>
                <w:sz w:val="24"/>
              </w:rPr>
              <w:t> </w:t>
            </w:r>
            <w:r>
              <w:rPr>
                <w:rFonts w:ascii="Times New Roman"/>
                <w:sz w:val="24"/>
              </w:rPr>
              <w:t>et</w:t>
            </w:r>
            <w:r>
              <w:rPr>
                <w:rFonts w:ascii="Times New Roman"/>
                <w:spacing w:val="-1"/>
                <w:sz w:val="24"/>
              </w:rPr>
              <w:t> </w:t>
            </w:r>
            <w:r>
              <w:rPr>
                <w:rFonts w:ascii="Times New Roman"/>
                <w:sz w:val="24"/>
              </w:rPr>
              <w:t>al.</w:t>
            </w:r>
            <w:r>
              <w:rPr>
                <w:rFonts w:ascii="Times New Roman"/>
                <w:spacing w:val="-1"/>
                <w:sz w:val="24"/>
              </w:rPr>
              <w:t> </w:t>
            </w:r>
            <w:r>
              <w:rPr>
                <w:rFonts w:ascii="Times New Roman"/>
                <w:spacing w:val="-2"/>
                <w:sz w:val="24"/>
              </w:rPr>
              <w:t>(2009)</w:t>
            </w:r>
          </w:p>
        </w:tc>
        <w:tc>
          <w:tcPr>
            <w:tcW w:w="1443" w:type="dxa"/>
          </w:tcPr>
          <w:p>
            <w:pPr>
              <w:pStyle w:val="TableParagraph"/>
              <w:spacing w:line="275" w:lineRule="exact"/>
              <w:ind w:left="11" w:right="3"/>
              <w:jc w:val="center"/>
              <w:rPr>
                <w:rFonts w:ascii="Times New Roman"/>
                <w:sz w:val="24"/>
              </w:rPr>
            </w:pPr>
            <w:r>
              <w:rPr>
                <w:rFonts w:ascii="Times New Roman"/>
                <w:spacing w:val="-5"/>
                <w:sz w:val="24"/>
              </w:rPr>
              <w:t>Nil</w:t>
            </w:r>
          </w:p>
        </w:tc>
      </w:tr>
      <w:tr>
        <w:trPr>
          <w:trHeight w:val="585" w:hRule="atLeast"/>
        </w:trPr>
        <w:tc>
          <w:tcPr>
            <w:tcW w:w="708" w:type="dxa"/>
            <w:vMerge/>
            <w:tcBorders>
              <w:top w:val="nil"/>
            </w:tcBorders>
          </w:tcPr>
          <w:p>
            <w:pPr>
              <w:rPr>
                <w:sz w:val="2"/>
                <w:szCs w:val="2"/>
              </w:rPr>
            </w:pPr>
          </w:p>
        </w:tc>
        <w:tc>
          <w:tcPr>
            <w:tcW w:w="2112" w:type="dxa"/>
            <w:vMerge/>
            <w:tcBorders>
              <w:top w:val="nil"/>
            </w:tcBorders>
          </w:tcPr>
          <w:p>
            <w:pPr>
              <w:rPr>
                <w:sz w:val="2"/>
                <w:szCs w:val="2"/>
              </w:rPr>
            </w:pPr>
          </w:p>
        </w:tc>
        <w:tc>
          <w:tcPr>
            <w:tcW w:w="3401" w:type="dxa"/>
          </w:tcPr>
          <w:p>
            <w:pPr>
              <w:pStyle w:val="TableParagraph"/>
              <w:spacing w:line="275" w:lineRule="exact"/>
              <w:ind w:left="155" w:right="146"/>
              <w:jc w:val="center"/>
              <w:rPr>
                <w:rFonts w:ascii="Times New Roman"/>
                <w:sz w:val="24"/>
              </w:rPr>
            </w:pPr>
            <w:r>
              <w:rPr>
                <w:rFonts w:ascii="Times New Roman"/>
                <w:sz w:val="24"/>
              </w:rPr>
              <w:t>Share</w:t>
            </w:r>
            <w:r>
              <w:rPr>
                <w:rFonts w:ascii="Times New Roman"/>
                <w:spacing w:val="-5"/>
                <w:sz w:val="24"/>
              </w:rPr>
              <w:t> </w:t>
            </w:r>
            <w:r>
              <w:rPr>
                <w:rFonts w:ascii="Times New Roman"/>
                <w:spacing w:val="-2"/>
                <w:sz w:val="24"/>
              </w:rPr>
              <w:t>price</w:t>
            </w:r>
          </w:p>
        </w:tc>
        <w:tc>
          <w:tcPr>
            <w:tcW w:w="2684" w:type="dxa"/>
          </w:tcPr>
          <w:p>
            <w:pPr>
              <w:pStyle w:val="TableParagraph"/>
              <w:spacing w:line="275" w:lineRule="exact"/>
              <w:ind w:left="10" w:right="3"/>
              <w:jc w:val="center"/>
              <w:rPr>
                <w:rFonts w:ascii="Times New Roman"/>
                <w:sz w:val="24"/>
              </w:rPr>
            </w:pPr>
            <w:r>
              <w:rPr>
                <w:rFonts w:ascii="Times New Roman"/>
                <w:sz w:val="24"/>
              </w:rPr>
              <w:t>Nguyen</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Bui</w:t>
            </w:r>
            <w:r>
              <w:rPr>
                <w:rFonts w:ascii="Times New Roman"/>
                <w:spacing w:val="-1"/>
                <w:sz w:val="24"/>
              </w:rPr>
              <w:t> </w:t>
            </w:r>
            <w:r>
              <w:rPr>
                <w:rFonts w:ascii="Times New Roman"/>
                <w:spacing w:val="-2"/>
                <w:sz w:val="24"/>
              </w:rPr>
              <w:t>(2018)</w:t>
            </w:r>
          </w:p>
        </w:tc>
        <w:tc>
          <w:tcPr>
            <w:tcW w:w="1443" w:type="dxa"/>
          </w:tcPr>
          <w:p>
            <w:pPr>
              <w:pStyle w:val="TableParagraph"/>
              <w:spacing w:line="275" w:lineRule="exact"/>
              <w:ind w:left="11" w:right="3"/>
              <w:jc w:val="center"/>
              <w:rPr>
                <w:rFonts w:ascii="Times New Roman"/>
                <w:sz w:val="24"/>
              </w:rPr>
            </w:pPr>
            <w:r>
              <w:rPr>
                <w:rFonts w:ascii="Times New Roman"/>
                <w:spacing w:val="-5"/>
                <w:sz w:val="24"/>
              </w:rPr>
              <w:t>Nil</w:t>
            </w:r>
          </w:p>
        </w:tc>
      </w:tr>
      <w:tr>
        <w:trPr>
          <w:trHeight w:val="474" w:hRule="atLeast"/>
        </w:trPr>
        <w:tc>
          <w:tcPr>
            <w:tcW w:w="708" w:type="dxa"/>
          </w:tcPr>
          <w:p>
            <w:pPr>
              <w:pStyle w:val="TableParagraph"/>
              <w:rPr>
                <w:rFonts w:ascii="Times New Roman"/>
                <w:sz w:val="24"/>
              </w:rPr>
            </w:pPr>
          </w:p>
        </w:tc>
        <w:tc>
          <w:tcPr>
            <w:tcW w:w="2112" w:type="dxa"/>
          </w:tcPr>
          <w:p>
            <w:pPr>
              <w:pStyle w:val="TableParagraph"/>
              <w:rPr>
                <w:rFonts w:ascii="Times New Roman"/>
                <w:sz w:val="24"/>
              </w:rPr>
            </w:pPr>
          </w:p>
        </w:tc>
        <w:tc>
          <w:tcPr>
            <w:tcW w:w="3401" w:type="dxa"/>
          </w:tcPr>
          <w:p>
            <w:pPr>
              <w:pStyle w:val="TableParagraph"/>
              <w:spacing w:line="275" w:lineRule="exact"/>
              <w:ind w:left="155" w:right="148"/>
              <w:jc w:val="center"/>
              <w:rPr>
                <w:rFonts w:ascii="Times New Roman"/>
                <w:b/>
                <w:sz w:val="24"/>
              </w:rPr>
            </w:pPr>
            <w:r>
              <w:rPr>
                <w:rFonts w:ascii="Times New Roman"/>
                <w:b/>
                <w:sz w:val="24"/>
              </w:rPr>
              <w:t>Independent</w:t>
            </w:r>
            <w:r>
              <w:rPr>
                <w:rFonts w:ascii="Times New Roman"/>
                <w:b/>
                <w:spacing w:val="-3"/>
                <w:sz w:val="24"/>
              </w:rPr>
              <w:t> </w:t>
            </w:r>
            <w:r>
              <w:rPr>
                <w:rFonts w:ascii="Times New Roman"/>
                <w:b/>
                <w:spacing w:val="-2"/>
                <w:sz w:val="24"/>
              </w:rPr>
              <w:t>variables</w:t>
            </w:r>
          </w:p>
        </w:tc>
        <w:tc>
          <w:tcPr>
            <w:tcW w:w="2684" w:type="dxa"/>
          </w:tcPr>
          <w:p>
            <w:pPr>
              <w:pStyle w:val="TableParagraph"/>
              <w:rPr>
                <w:rFonts w:ascii="Times New Roman"/>
                <w:sz w:val="24"/>
              </w:rPr>
            </w:pPr>
          </w:p>
        </w:tc>
        <w:tc>
          <w:tcPr>
            <w:tcW w:w="1443" w:type="dxa"/>
          </w:tcPr>
          <w:p>
            <w:pPr>
              <w:pStyle w:val="TableParagraph"/>
              <w:rPr>
                <w:rFonts w:ascii="Times New Roman"/>
                <w:sz w:val="24"/>
              </w:rPr>
            </w:pPr>
          </w:p>
        </w:tc>
      </w:tr>
      <w:tr>
        <w:trPr>
          <w:trHeight w:val="753" w:hRule="atLeast"/>
        </w:trPr>
        <w:tc>
          <w:tcPr>
            <w:tcW w:w="708" w:type="dxa"/>
          </w:tcPr>
          <w:p>
            <w:pPr>
              <w:pStyle w:val="TableParagraph"/>
              <w:spacing w:before="1"/>
              <w:ind w:right="282"/>
              <w:jc w:val="right"/>
              <w:rPr>
                <w:rFonts w:ascii="Times New Roman"/>
                <w:sz w:val="24"/>
              </w:rPr>
            </w:pPr>
            <w:r>
              <w:rPr>
                <w:rFonts w:ascii="Times New Roman"/>
                <w:spacing w:val="-10"/>
                <w:sz w:val="24"/>
              </w:rPr>
              <w:t>2</w:t>
            </w:r>
          </w:p>
        </w:tc>
        <w:tc>
          <w:tcPr>
            <w:tcW w:w="2112" w:type="dxa"/>
          </w:tcPr>
          <w:p>
            <w:pPr>
              <w:pStyle w:val="TableParagraph"/>
              <w:spacing w:before="1"/>
              <w:ind w:left="10" w:right="4"/>
              <w:jc w:val="center"/>
              <w:rPr>
                <w:rFonts w:ascii="Times New Roman"/>
                <w:sz w:val="24"/>
              </w:rPr>
            </w:pPr>
            <w:r>
              <w:rPr>
                <w:rFonts w:ascii="Times New Roman"/>
                <w:sz w:val="24"/>
              </w:rPr>
              <w:t>Board</w:t>
            </w:r>
            <w:r>
              <w:rPr>
                <w:rFonts w:ascii="Times New Roman"/>
                <w:spacing w:val="-3"/>
                <w:sz w:val="24"/>
              </w:rPr>
              <w:t> </w:t>
            </w:r>
            <w:r>
              <w:rPr>
                <w:rFonts w:ascii="Times New Roman"/>
                <w:spacing w:val="-4"/>
                <w:sz w:val="24"/>
              </w:rPr>
              <w:t>size</w:t>
            </w:r>
          </w:p>
        </w:tc>
        <w:tc>
          <w:tcPr>
            <w:tcW w:w="3401" w:type="dxa"/>
          </w:tcPr>
          <w:p>
            <w:pPr>
              <w:pStyle w:val="TableParagraph"/>
              <w:spacing w:before="1"/>
              <w:ind w:left="1426" w:hanging="1025"/>
              <w:rPr>
                <w:rFonts w:ascii="Times New Roman"/>
                <w:sz w:val="24"/>
              </w:rPr>
            </w:pPr>
            <w:r>
              <w:rPr>
                <w:rFonts w:ascii="Times New Roman"/>
                <w:sz w:val="24"/>
              </w:rPr>
              <w:t>Number</w:t>
            </w:r>
            <w:r>
              <w:rPr>
                <w:rFonts w:ascii="Times New Roman"/>
                <w:spacing w:val="-9"/>
                <w:sz w:val="24"/>
              </w:rPr>
              <w:t> </w:t>
            </w:r>
            <w:r>
              <w:rPr>
                <w:rFonts w:ascii="Times New Roman"/>
                <w:sz w:val="24"/>
              </w:rPr>
              <w:t>of</w:t>
            </w:r>
            <w:r>
              <w:rPr>
                <w:rFonts w:ascii="Times New Roman"/>
                <w:spacing w:val="-11"/>
                <w:sz w:val="24"/>
              </w:rPr>
              <w:t> </w:t>
            </w:r>
            <w:r>
              <w:rPr>
                <w:rFonts w:ascii="Times New Roman"/>
                <w:sz w:val="24"/>
              </w:rPr>
              <w:t>directors</w:t>
            </w:r>
            <w:r>
              <w:rPr>
                <w:rFonts w:ascii="Times New Roman"/>
                <w:spacing w:val="-9"/>
                <w:sz w:val="24"/>
              </w:rPr>
              <w:t> </w:t>
            </w:r>
            <w:r>
              <w:rPr>
                <w:rFonts w:ascii="Times New Roman"/>
                <w:sz w:val="24"/>
              </w:rPr>
              <w:t>on</w:t>
            </w:r>
            <w:r>
              <w:rPr>
                <w:rFonts w:ascii="Times New Roman"/>
                <w:spacing w:val="-9"/>
                <w:sz w:val="24"/>
              </w:rPr>
              <w:t> </w:t>
            </w:r>
            <w:r>
              <w:rPr>
                <w:rFonts w:ascii="Times New Roman"/>
                <w:sz w:val="24"/>
              </w:rPr>
              <w:t>the </w:t>
            </w:r>
            <w:r>
              <w:rPr>
                <w:rFonts w:ascii="Times New Roman"/>
                <w:spacing w:val="-2"/>
                <w:sz w:val="24"/>
              </w:rPr>
              <w:t>board</w:t>
            </w:r>
          </w:p>
        </w:tc>
        <w:tc>
          <w:tcPr>
            <w:tcW w:w="2684" w:type="dxa"/>
          </w:tcPr>
          <w:p>
            <w:pPr>
              <w:pStyle w:val="TableParagraph"/>
              <w:spacing w:before="1"/>
              <w:ind w:left="10" w:right="4"/>
              <w:jc w:val="center"/>
              <w:rPr>
                <w:rFonts w:ascii="Times New Roman"/>
                <w:sz w:val="24"/>
              </w:rPr>
            </w:pPr>
            <w:r>
              <w:rPr>
                <w:rFonts w:ascii="Times New Roman"/>
                <w:sz w:val="24"/>
              </w:rPr>
              <w:t>Kuan</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Chu</w:t>
            </w:r>
            <w:r>
              <w:rPr>
                <w:rFonts w:ascii="Times New Roman"/>
                <w:spacing w:val="-1"/>
                <w:sz w:val="24"/>
              </w:rPr>
              <w:t> </w:t>
            </w:r>
            <w:r>
              <w:rPr>
                <w:rFonts w:ascii="Times New Roman"/>
                <w:spacing w:val="-2"/>
                <w:sz w:val="24"/>
              </w:rPr>
              <w:t>(2011)</w:t>
            </w:r>
          </w:p>
        </w:tc>
        <w:tc>
          <w:tcPr>
            <w:tcW w:w="1443" w:type="dxa"/>
          </w:tcPr>
          <w:p>
            <w:pPr>
              <w:pStyle w:val="TableParagraph"/>
              <w:spacing w:before="1"/>
              <w:ind w:left="11"/>
              <w:jc w:val="center"/>
              <w:rPr>
                <w:rFonts w:ascii="Times New Roman"/>
                <w:sz w:val="24"/>
              </w:rPr>
            </w:pPr>
            <w:r>
              <w:rPr>
                <w:rFonts w:ascii="Times New Roman"/>
                <w:spacing w:val="-5"/>
                <w:sz w:val="24"/>
              </w:rPr>
              <w:t>+/-</w:t>
            </w:r>
          </w:p>
        </w:tc>
      </w:tr>
      <w:tr>
        <w:trPr>
          <w:trHeight w:val="1026" w:hRule="atLeast"/>
        </w:trPr>
        <w:tc>
          <w:tcPr>
            <w:tcW w:w="708" w:type="dxa"/>
          </w:tcPr>
          <w:p>
            <w:pPr>
              <w:pStyle w:val="TableParagraph"/>
              <w:spacing w:line="275" w:lineRule="exact"/>
              <w:ind w:right="282"/>
              <w:jc w:val="right"/>
              <w:rPr>
                <w:rFonts w:ascii="Times New Roman"/>
                <w:sz w:val="24"/>
              </w:rPr>
            </w:pPr>
            <w:r>
              <w:rPr>
                <w:rFonts w:ascii="Times New Roman"/>
                <w:spacing w:val="-10"/>
                <w:sz w:val="24"/>
              </w:rPr>
              <w:t>3</w:t>
            </w:r>
          </w:p>
        </w:tc>
        <w:tc>
          <w:tcPr>
            <w:tcW w:w="2112" w:type="dxa"/>
          </w:tcPr>
          <w:p>
            <w:pPr>
              <w:pStyle w:val="TableParagraph"/>
              <w:ind w:left="396" w:right="296" w:firstLine="367"/>
              <w:rPr>
                <w:rFonts w:ascii="Times New Roman"/>
                <w:sz w:val="24"/>
              </w:rPr>
            </w:pPr>
            <w:r>
              <w:rPr>
                <w:rFonts w:ascii="Times New Roman"/>
                <w:spacing w:val="-4"/>
                <w:sz w:val="24"/>
              </w:rPr>
              <w:t>Board </w:t>
            </w:r>
            <w:r>
              <w:rPr>
                <w:rFonts w:ascii="Times New Roman"/>
                <w:spacing w:val="-2"/>
                <w:sz w:val="24"/>
              </w:rPr>
              <w:t>independence</w:t>
            </w:r>
          </w:p>
        </w:tc>
        <w:tc>
          <w:tcPr>
            <w:tcW w:w="3401" w:type="dxa"/>
          </w:tcPr>
          <w:p>
            <w:pPr>
              <w:pStyle w:val="TableParagraph"/>
              <w:ind w:left="125" w:right="113" w:firstLine="2"/>
              <w:jc w:val="center"/>
              <w:rPr>
                <w:rFonts w:ascii="Times New Roman"/>
                <w:sz w:val="24"/>
              </w:rPr>
            </w:pPr>
            <w:r>
              <w:rPr>
                <w:rFonts w:ascii="Times New Roman"/>
                <w:sz w:val="24"/>
              </w:rPr>
              <w:t>Ratio of independent non- executive directors to total number</w:t>
            </w:r>
            <w:r>
              <w:rPr>
                <w:rFonts w:ascii="Times New Roman"/>
                <w:spacing w:val="-10"/>
                <w:sz w:val="24"/>
              </w:rPr>
              <w:t> </w:t>
            </w:r>
            <w:r>
              <w:rPr>
                <w:rFonts w:ascii="Times New Roman"/>
                <w:sz w:val="24"/>
              </w:rPr>
              <w:t>of</w:t>
            </w:r>
            <w:r>
              <w:rPr>
                <w:rFonts w:ascii="Times New Roman"/>
                <w:spacing w:val="-8"/>
                <w:sz w:val="24"/>
              </w:rPr>
              <w:t> </w:t>
            </w:r>
            <w:r>
              <w:rPr>
                <w:rFonts w:ascii="Times New Roman"/>
                <w:sz w:val="24"/>
              </w:rPr>
              <w:t>directors</w:t>
            </w:r>
            <w:r>
              <w:rPr>
                <w:rFonts w:ascii="Times New Roman"/>
                <w:spacing w:val="-8"/>
                <w:sz w:val="24"/>
              </w:rPr>
              <w:t> </w:t>
            </w:r>
            <w:r>
              <w:rPr>
                <w:rFonts w:ascii="Times New Roman"/>
                <w:sz w:val="24"/>
              </w:rPr>
              <w:t>on</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board</w:t>
            </w:r>
          </w:p>
        </w:tc>
        <w:tc>
          <w:tcPr>
            <w:tcW w:w="2684" w:type="dxa"/>
          </w:tcPr>
          <w:p>
            <w:pPr>
              <w:pStyle w:val="TableParagraph"/>
              <w:spacing w:line="275" w:lineRule="exact"/>
              <w:ind w:left="10" w:right="4"/>
              <w:jc w:val="center"/>
              <w:rPr>
                <w:rFonts w:ascii="Times New Roman"/>
                <w:sz w:val="24"/>
              </w:rPr>
            </w:pPr>
            <w:r>
              <w:rPr>
                <w:rFonts w:ascii="Times New Roman"/>
                <w:sz w:val="24"/>
              </w:rPr>
              <w:t>Kuan</w:t>
            </w:r>
            <w:r>
              <w:rPr>
                <w:rFonts w:ascii="Times New Roman"/>
                <w:spacing w:val="-3"/>
                <w:sz w:val="24"/>
              </w:rPr>
              <w:t> </w:t>
            </w:r>
            <w:r>
              <w:rPr>
                <w:rFonts w:ascii="Times New Roman"/>
                <w:sz w:val="24"/>
              </w:rPr>
              <w:t>and</w:t>
            </w:r>
            <w:r>
              <w:rPr>
                <w:rFonts w:ascii="Times New Roman"/>
                <w:spacing w:val="-1"/>
                <w:sz w:val="24"/>
              </w:rPr>
              <w:t> </w:t>
            </w:r>
            <w:r>
              <w:rPr>
                <w:rFonts w:ascii="Times New Roman"/>
                <w:sz w:val="24"/>
              </w:rPr>
              <w:t>Chu</w:t>
            </w:r>
            <w:r>
              <w:rPr>
                <w:rFonts w:ascii="Times New Roman"/>
                <w:spacing w:val="-1"/>
                <w:sz w:val="24"/>
              </w:rPr>
              <w:t> </w:t>
            </w:r>
            <w:r>
              <w:rPr>
                <w:rFonts w:ascii="Times New Roman"/>
                <w:spacing w:val="-2"/>
                <w:sz w:val="24"/>
              </w:rPr>
              <w:t>(2011)</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r>
        <w:trPr>
          <w:trHeight w:val="1305" w:hRule="atLeast"/>
        </w:trPr>
        <w:tc>
          <w:tcPr>
            <w:tcW w:w="708" w:type="dxa"/>
          </w:tcPr>
          <w:p>
            <w:pPr>
              <w:pStyle w:val="TableParagraph"/>
              <w:spacing w:before="1"/>
              <w:ind w:right="282"/>
              <w:jc w:val="right"/>
              <w:rPr>
                <w:rFonts w:ascii="Times New Roman"/>
                <w:sz w:val="24"/>
              </w:rPr>
            </w:pPr>
            <w:r>
              <w:rPr>
                <w:rFonts w:ascii="Times New Roman"/>
                <w:spacing w:val="-10"/>
                <w:sz w:val="24"/>
              </w:rPr>
              <w:t>4</w:t>
            </w:r>
          </w:p>
        </w:tc>
        <w:tc>
          <w:tcPr>
            <w:tcW w:w="2112" w:type="dxa"/>
          </w:tcPr>
          <w:p>
            <w:pPr>
              <w:pStyle w:val="TableParagraph"/>
              <w:spacing w:before="1"/>
              <w:ind w:left="624" w:right="296" w:hanging="310"/>
              <w:rPr>
                <w:rFonts w:ascii="Times New Roman"/>
                <w:sz w:val="24"/>
              </w:rPr>
            </w:pPr>
            <w:r>
              <w:rPr>
                <w:rFonts w:ascii="Times New Roman"/>
                <w:sz w:val="24"/>
              </w:rPr>
              <w:t>Board</w:t>
            </w:r>
            <w:r>
              <w:rPr>
                <w:rFonts w:ascii="Times New Roman"/>
                <w:spacing w:val="-15"/>
                <w:sz w:val="24"/>
              </w:rPr>
              <w:t> </w:t>
            </w:r>
            <w:r>
              <w:rPr>
                <w:rFonts w:ascii="Times New Roman"/>
                <w:sz w:val="24"/>
              </w:rPr>
              <w:t>financial </w:t>
            </w:r>
            <w:r>
              <w:rPr>
                <w:rFonts w:ascii="Times New Roman"/>
                <w:spacing w:val="-2"/>
                <w:sz w:val="24"/>
              </w:rPr>
              <w:t>expertise</w:t>
            </w:r>
          </w:p>
        </w:tc>
        <w:tc>
          <w:tcPr>
            <w:tcW w:w="3401" w:type="dxa"/>
          </w:tcPr>
          <w:p>
            <w:pPr>
              <w:pStyle w:val="TableParagraph"/>
              <w:spacing w:before="1"/>
              <w:ind w:left="155" w:right="143"/>
              <w:jc w:val="center"/>
              <w:rPr>
                <w:rFonts w:ascii="Times New Roman"/>
                <w:sz w:val="24"/>
              </w:rPr>
            </w:pPr>
            <w:r>
              <w:rPr>
                <w:rFonts w:ascii="Times New Roman"/>
                <w:sz w:val="24"/>
              </w:rPr>
              <w:t>Ratio</w:t>
            </w:r>
            <w:r>
              <w:rPr>
                <w:rFonts w:ascii="Times New Roman"/>
                <w:spacing w:val="-10"/>
                <w:sz w:val="24"/>
              </w:rPr>
              <w:t> </w:t>
            </w:r>
            <w:r>
              <w:rPr>
                <w:rFonts w:ascii="Times New Roman"/>
                <w:sz w:val="24"/>
              </w:rPr>
              <w:t>of</w:t>
            </w:r>
            <w:r>
              <w:rPr>
                <w:rFonts w:ascii="Times New Roman"/>
                <w:spacing w:val="-10"/>
                <w:sz w:val="24"/>
              </w:rPr>
              <w:t> </w:t>
            </w:r>
            <w:r>
              <w:rPr>
                <w:rFonts w:ascii="Times New Roman"/>
                <w:sz w:val="24"/>
              </w:rPr>
              <w:t>directors</w:t>
            </w:r>
            <w:r>
              <w:rPr>
                <w:rFonts w:ascii="Times New Roman"/>
                <w:spacing w:val="-10"/>
                <w:sz w:val="24"/>
              </w:rPr>
              <w:t> </w:t>
            </w:r>
            <w:r>
              <w:rPr>
                <w:rFonts w:ascii="Times New Roman"/>
                <w:sz w:val="24"/>
              </w:rPr>
              <w:t>with</w:t>
            </w:r>
            <w:r>
              <w:rPr>
                <w:rFonts w:ascii="Times New Roman"/>
                <w:spacing w:val="-10"/>
                <w:sz w:val="24"/>
              </w:rPr>
              <w:t> </w:t>
            </w:r>
            <w:r>
              <w:rPr>
                <w:rFonts w:ascii="Times New Roman"/>
                <w:sz w:val="24"/>
              </w:rPr>
              <w:t>financial </w:t>
            </w:r>
            <w:r>
              <w:rPr>
                <w:rFonts w:ascii="Times New Roman"/>
                <w:spacing w:val="-2"/>
                <w:sz w:val="24"/>
              </w:rPr>
              <w:t>education/experience </w:t>
            </w:r>
            <w:r>
              <w:rPr>
                <w:rFonts w:ascii="Times New Roman"/>
                <w:sz w:val="24"/>
              </w:rPr>
              <w:t>background to the total number of directors on the board</w:t>
            </w:r>
          </w:p>
        </w:tc>
        <w:tc>
          <w:tcPr>
            <w:tcW w:w="2684" w:type="dxa"/>
          </w:tcPr>
          <w:p>
            <w:pPr>
              <w:pStyle w:val="TableParagraph"/>
              <w:spacing w:before="1"/>
              <w:ind w:left="639" w:right="97" w:hanging="279"/>
              <w:rPr>
                <w:rFonts w:ascii="Times New Roman"/>
                <w:sz w:val="24"/>
              </w:rPr>
            </w:pPr>
            <w:r>
              <w:rPr>
                <w:rFonts w:ascii="Times New Roman"/>
                <w:sz w:val="24"/>
              </w:rPr>
              <w:t>Baatwah,</w:t>
            </w:r>
            <w:r>
              <w:rPr>
                <w:rFonts w:ascii="Times New Roman"/>
                <w:spacing w:val="-15"/>
                <w:sz w:val="24"/>
              </w:rPr>
              <w:t> </w:t>
            </w:r>
            <w:r>
              <w:rPr>
                <w:rFonts w:ascii="Times New Roman"/>
                <w:sz w:val="24"/>
              </w:rPr>
              <w:t>Salleh</w:t>
            </w:r>
            <w:r>
              <w:rPr>
                <w:rFonts w:ascii="Times New Roman"/>
                <w:spacing w:val="-15"/>
                <w:sz w:val="24"/>
              </w:rPr>
              <w:t> </w:t>
            </w:r>
            <w:r>
              <w:rPr>
                <w:rFonts w:ascii="Times New Roman"/>
                <w:sz w:val="24"/>
              </w:rPr>
              <w:t>and Ahmad (2015)</w:t>
            </w:r>
          </w:p>
        </w:tc>
        <w:tc>
          <w:tcPr>
            <w:tcW w:w="1443" w:type="dxa"/>
          </w:tcPr>
          <w:p>
            <w:pPr>
              <w:pStyle w:val="TableParagraph"/>
              <w:spacing w:before="1"/>
              <w:ind w:left="11"/>
              <w:jc w:val="center"/>
              <w:rPr>
                <w:rFonts w:ascii="Times New Roman"/>
                <w:sz w:val="24"/>
              </w:rPr>
            </w:pPr>
            <w:r>
              <w:rPr>
                <w:rFonts w:ascii="Times New Roman"/>
                <w:spacing w:val="-5"/>
                <w:sz w:val="24"/>
              </w:rPr>
              <w:t>+/-</w:t>
            </w:r>
          </w:p>
        </w:tc>
      </w:tr>
      <w:tr>
        <w:trPr>
          <w:trHeight w:val="1027" w:hRule="atLeast"/>
        </w:trPr>
        <w:tc>
          <w:tcPr>
            <w:tcW w:w="708" w:type="dxa"/>
          </w:tcPr>
          <w:p>
            <w:pPr>
              <w:pStyle w:val="TableParagraph"/>
              <w:spacing w:line="275" w:lineRule="exact"/>
              <w:ind w:right="282"/>
              <w:jc w:val="right"/>
              <w:rPr>
                <w:rFonts w:ascii="Times New Roman"/>
                <w:sz w:val="24"/>
              </w:rPr>
            </w:pPr>
            <w:r>
              <w:rPr>
                <w:rFonts w:ascii="Times New Roman"/>
                <w:spacing w:val="-10"/>
                <w:sz w:val="24"/>
              </w:rPr>
              <w:t>5</w:t>
            </w:r>
          </w:p>
        </w:tc>
        <w:tc>
          <w:tcPr>
            <w:tcW w:w="2112" w:type="dxa"/>
          </w:tcPr>
          <w:p>
            <w:pPr>
              <w:pStyle w:val="TableParagraph"/>
              <w:ind w:left="554" w:right="296" w:hanging="80"/>
              <w:rPr>
                <w:rFonts w:ascii="Times New Roman"/>
                <w:sz w:val="24"/>
              </w:rPr>
            </w:pPr>
            <w:r>
              <w:rPr>
                <w:rFonts w:ascii="Times New Roman"/>
                <w:spacing w:val="-2"/>
                <w:sz w:val="24"/>
              </w:rPr>
              <w:t>Institutional ownership</w:t>
            </w:r>
          </w:p>
        </w:tc>
        <w:tc>
          <w:tcPr>
            <w:tcW w:w="3401" w:type="dxa"/>
          </w:tcPr>
          <w:p>
            <w:pPr>
              <w:pStyle w:val="TableParagraph"/>
              <w:ind w:left="120" w:right="108"/>
              <w:jc w:val="center"/>
              <w:rPr>
                <w:rFonts w:ascii="Times New Roman"/>
                <w:sz w:val="24"/>
              </w:rPr>
            </w:pPr>
            <w:r>
              <w:rPr>
                <w:rFonts w:ascii="Times New Roman"/>
                <w:sz w:val="24"/>
              </w:rPr>
              <w:t>Percentage</w:t>
            </w:r>
            <w:r>
              <w:rPr>
                <w:rFonts w:ascii="Times New Roman"/>
                <w:spacing w:val="-10"/>
                <w:sz w:val="24"/>
              </w:rPr>
              <w:t> </w:t>
            </w:r>
            <w:r>
              <w:rPr>
                <w:rFonts w:ascii="Times New Roman"/>
                <w:sz w:val="24"/>
              </w:rPr>
              <w:t>of</w:t>
            </w:r>
            <w:r>
              <w:rPr>
                <w:rFonts w:ascii="Times New Roman"/>
                <w:spacing w:val="-9"/>
                <w:sz w:val="24"/>
              </w:rPr>
              <w:t> </w:t>
            </w:r>
            <w:r>
              <w:rPr>
                <w:rFonts w:ascii="Times New Roman"/>
                <w:sz w:val="24"/>
              </w:rPr>
              <w:t>equity</w:t>
            </w:r>
            <w:r>
              <w:rPr>
                <w:rFonts w:ascii="Times New Roman"/>
                <w:spacing w:val="-9"/>
                <w:sz w:val="24"/>
              </w:rPr>
              <w:t> </w:t>
            </w:r>
            <w:r>
              <w:rPr>
                <w:rFonts w:ascii="Times New Roman"/>
                <w:sz w:val="24"/>
              </w:rPr>
              <w:t>holdings</w:t>
            </w:r>
            <w:r>
              <w:rPr>
                <w:rFonts w:ascii="Times New Roman"/>
                <w:spacing w:val="-9"/>
                <w:sz w:val="24"/>
              </w:rPr>
              <w:t> </w:t>
            </w:r>
            <w:r>
              <w:rPr>
                <w:rFonts w:ascii="Times New Roman"/>
                <w:sz w:val="24"/>
              </w:rPr>
              <w:t>by corporate investors to total equity holdings of the company</w:t>
            </w:r>
          </w:p>
        </w:tc>
        <w:tc>
          <w:tcPr>
            <w:tcW w:w="2684" w:type="dxa"/>
          </w:tcPr>
          <w:p>
            <w:pPr>
              <w:pStyle w:val="TableParagraph"/>
              <w:ind w:left="646" w:right="97" w:hanging="180"/>
              <w:rPr>
                <w:rFonts w:ascii="Times New Roman"/>
                <w:sz w:val="24"/>
              </w:rPr>
            </w:pPr>
            <w:r>
              <w:rPr>
                <w:rFonts w:ascii="Times New Roman"/>
                <w:sz w:val="24"/>
              </w:rPr>
              <w:t>Tahir,</w:t>
            </w:r>
            <w:r>
              <w:rPr>
                <w:rFonts w:ascii="Times New Roman"/>
                <w:spacing w:val="-15"/>
                <w:sz w:val="24"/>
              </w:rPr>
              <w:t> </w:t>
            </w:r>
            <w:r>
              <w:rPr>
                <w:rFonts w:ascii="Times New Roman"/>
                <w:sz w:val="24"/>
              </w:rPr>
              <w:t>Saleem</w:t>
            </w:r>
            <w:r>
              <w:rPr>
                <w:rFonts w:ascii="Times New Roman"/>
                <w:spacing w:val="-15"/>
                <w:sz w:val="24"/>
              </w:rPr>
              <w:t> </w:t>
            </w:r>
            <w:r>
              <w:rPr>
                <w:rFonts w:ascii="Times New Roman"/>
                <w:sz w:val="24"/>
              </w:rPr>
              <w:t>and Arshad (2015)</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r>
        <w:trPr>
          <w:trHeight w:val="1305" w:hRule="atLeast"/>
        </w:trPr>
        <w:tc>
          <w:tcPr>
            <w:tcW w:w="708" w:type="dxa"/>
          </w:tcPr>
          <w:p>
            <w:pPr>
              <w:pStyle w:val="TableParagraph"/>
              <w:spacing w:line="275" w:lineRule="exact"/>
              <w:ind w:right="282"/>
              <w:jc w:val="right"/>
              <w:rPr>
                <w:rFonts w:ascii="Times New Roman"/>
                <w:sz w:val="24"/>
              </w:rPr>
            </w:pPr>
            <w:r>
              <w:rPr>
                <w:rFonts w:ascii="Times New Roman"/>
                <w:spacing w:val="-10"/>
                <w:sz w:val="24"/>
              </w:rPr>
              <w:t>6</w:t>
            </w:r>
          </w:p>
        </w:tc>
        <w:tc>
          <w:tcPr>
            <w:tcW w:w="2112" w:type="dxa"/>
          </w:tcPr>
          <w:p>
            <w:pPr>
              <w:pStyle w:val="TableParagraph"/>
              <w:ind w:left="554" w:right="165" w:hanging="375"/>
              <w:rPr>
                <w:rFonts w:ascii="Times New Roman"/>
                <w:sz w:val="24"/>
              </w:rPr>
            </w:pPr>
            <w:r>
              <w:rPr>
                <w:rFonts w:ascii="Times New Roman"/>
                <w:sz w:val="24"/>
              </w:rPr>
              <w:t>Managerial</w:t>
            </w:r>
            <w:r>
              <w:rPr>
                <w:rFonts w:ascii="Times New Roman"/>
                <w:spacing w:val="-15"/>
                <w:sz w:val="24"/>
              </w:rPr>
              <w:t> </w:t>
            </w:r>
            <w:r>
              <w:rPr>
                <w:rFonts w:ascii="Times New Roman"/>
                <w:sz w:val="24"/>
              </w:rPr>
              <w:t>equity </w:t>
            </w:r>
            <w:r>
              <w:rPr>
                <w:rFonts w:ascii="Times New Roman"/>
                <w:spacing w:val="-2"/>
                <w:sz w:val="24"/>
              </w:rPr>
              <w:t>ownership</w:t>
            </w:r>
          </w:p>
        </w:tc>
        <w:tc>
          <w:tcPr>
            <w:tcW w:w="3401" w:type="dxa"/>
          </w:tcPr>
          <w:p>
            <w:pPr>
              <w:pStyle w:val="TableParagraph"/>
              <w:ind w:left="120" w:right="107" w:hanging="2"/>
              <w:jc w:val="center"/>
              <w:rPr>
                <w:rFonts w:ascii="Times New Roman"/>
                <w:sz w:val="24"/>
              </w:rPr>
            </w:pPr>
            <w:r>
              <w:rPr>
                <w:rFonts w:ascii="Times New Roman"/>
                <w:sz w:val="24"/>
              </w:rPr>
              <w:t>Percentage</w:t>
            </w:r>
            <w:r>
              <w:rPr>
                <w:rFonts w:ascii="Times New Roman"/>
                <w:spacing w:val="-10"/>
                <w:sz w:val="24"/>
              </w:rPr>
              <w:t> </w:t>
            </w:r>
            <w:r>
              <w:rPr>
                <w:rFonts w:ascii="Times New Roman"/>
                <w:sz w:val="24"/>
              </w:rPr>
              <w:t>of</w:t>
            </w:r>
            <w:r>
              <w:rPr>
                <w:rFonts w:ascii="Times New Roman"/>
                <w:spacing w:val="-9"/>
                <w:sz w:val="24"/>
              </w:rPr>
              <w:t> </w:t>
            </w:r>
            <w:r>
              <w:rPr>
                <w:rFonts w:ascii="Times New Roman"/>
                <w:sz w:val="24"/>
              </w:rPr>
              <w:t>equity</w:t>
            </w:r>
            <w:r>
              <w:rPr>
                <w:rFonts w:ascii="Times New Roman"/>
                <w:spacing w:val="-9"/>
                <w:sz w:val="24"/>
              </w:rPr>
              <w:t> </w:t>
            </w:r>
            <w:r>
              <w:rPr>
                <w:rFonts w:ascii="Times New Roman"/>
                <w:sz w:val="24"/>
              </w:rPr>
              <w:t>holdings</w:t>
            </w:r>
            <w:r>
              <w:rPr>
                <w:rFonts w:ascii="Times New Roman"/>
                <w:spacing w:val="-9"/>
                <w:sz w:val="24"/>
              </w:rPr>
              <w:t> </w:t>
            </w:r>
            <w:r>
              <w:rPr>
                <w:rFonts w:ascii="Times New Roman"/>
                <w:sz w:val="24"/>
              </w:rPr>
              <w:t>by CEO and board of directors members</w:t>
            </w:r>
            <w:r>
              <w:rPr>
                <w:rFonts w:ascii="Times New Roman"/>
                <w:spacing w:val="-10"/>
                <w:sz w:val="24"/>
              </w:rPr>
              <w:t> </w:t>
            </w:r>
            <w:r>
              <w:rPr>
                <w:rFonts w:ascii="Times New Roman"/>
                <w:sz w:val="24"/>
              </w:rPr>
              <w:t>to</w:t>
            </w:r>
            <w:r>
              <w:rPr>
                <w:rFonts w:ascii="Times New Roman"/>
                <w:spacing w:val="-10"/>
                <w:sz w:val="24"/>
              </w:rPr>
              <w:t> </w:t>
            </w:r>
            <w:r>
              <w:rPr>
                <w:rFonts w:ascii="Times New Roman"/>
                <w:sz w:val="24"/>
              </w:rPr>
              <w:t>total</w:t>
            </w:r>
            <w:r>
              <w:rPr>
                <w:rFonts w:ascii="Times New Roman"/>
                <w:spacing w:val="-10"/>
                <w:sz w:val="24"/>
              </w:rPr>
              <w:t> </w:t>
            </w:r>
            <w:r>
              <w:rPr>
                <w:rFonts w:ascii="Times New Roman"/>
                <w:sz w:val="24"/>
              </w:rPr>
              <w:t>equity</w:t>
            </w:r>
            <w:r>
              <w:rPr>
                <w:rFonts w:ascii="Times New Roman"/>
                <w:spacing w:val="-9"/>
                <w:sz w:val="24"/>
              </w:rPr>
              <w:t> </w:t>
            </w:r>
            <w:r>
              <w:rPr>
                <w:rFonts w:ascii="Times New Roman"/>
                <w:sz w:val="24"/>
              </w:rPr>
              <w:t>holdings of the company</w:t>
            </w:r>
          </w:p>
        </w:tc>
        <w:tc>
          <w:tcPr>
            <w:tcW w:w="2684" w:type="dxa"/>
          </w:tcPr>
          <w:p>
            <w:pPr>
              <w:pStyle w:val="TableParagraph"/>
              <w:ind w:left="1021" w:right="97" w:hanging="658"/>
              <w:rPr>
                <w:rFonts w:ascii="Times New Roman"/>
                <w:sz w:val="24"/>
              </w:rPr>
            </w:pPr>
            <w:r>
              <w:rPr>
                <w:rFonts w:ascii="Times New Roman"/>
                <w:sz w:val="24"/>
              </w:rPr>
              <w:t>Salehi</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Baezegar </w:t>
            </w:r>
            <w:r>
              <w:rPr>
                <w:rFonts w:ascii="Times New Roman"/>
                <w:spacing w:val="-2"/>
                <w:sz w:val="24"/>
              </w:rPr>
              <w:t>(2011)</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r>
        <w:trPr>
          <w:trHeight w:val="1026" w:hRule="atLeast"/>
        </w:trPr>
        <w:tc>
          <w:tcPr>
            <w:tcW w:w="708" w:type="dxa"/>
          </w:tcPr>
          <w:p>
            <w:pPr>
              <w:pStyle w:val="TableParagraph"/>
              <w:spacing w:line="275" w:lineRule="exact"/>
              <w:ind w:right="282"/>
              <w:jc w:val="right"/>
              <w:rPr>
                <w:rFonts w:ascii="Times New Roman"/>
                <w:sz w:val="24"/>
              </w:rPr>
            </w:pPr>
            <w:r>
              <w:rPr>
                <w:rFonts w:ascii="Times New Roman"/>
                <w:spacing w:val="-10"/>
                <w:sz w:val="24"/>
              </w:rPr>
              <w:t>7</w:t>
            </w:r>
          </w:p>
        </w:tc>
        <w:tc>
          <w:tcPr>
            <w:tcW w:w="2112" w:type="dxa"/>
          </w:tcPr>
          <w:p>
            <w:pPr>
              <w:pStyle w:val="TableParagraph"/>
              <w:spacing w:line="275" w:lineRule="exact"/>
              <w:ind w:left="10" w:right="5"/>
              <w:jc w:val="center"/>
              <w:rPr>
                <w:rFonts w:ascii="Times New Roman"/>
                <w:sz w:val="24"/>
              </w:rPr>
            </w:pPr>
            <w:r>
              <w:rPr>
                <w:rFonts w:ascii="Times New Roman"/>
                <w:sz w:val="24"/>
              </w:rPr>
              <w:t>Foreign</w:t>
            </w:r>
            <w:r>
              <w:rPr>
                <w:rFonts w:ascii="Times New Roman"/>
                <w:spacing w:val="-6"/>
                <w:sz w:val="24"/>
              </w:rPr>
              <w:t> </w:t>
            </w:r>
            <w:r>
              <w:rPr>
                <w:rFonts w:ascii="Times New Roman"/>
                <w:spacing w:val="-2"/>
                <w:sz w:val="24"/>
              </w:rPr>
              <w:t>ownership</w:t>
            </w:r>
          </w:p>
        </w:tc>
        <w:tc>
          <w:tcPr>
            <w:tcW w:w="3401" w:type="dxa"/>
          </w:tcPr>
          <w:p>
            <w:pPr>
              <w:pStyle w:val="TableParagraph"/>
              <w:ind w:left="120" w:right="108"/>
              <w:jc w:val="center"/>
              <w:rPr>
                <w:rFonts w:ascii="Times New Roman"/>
                <w:sz w:val="24"/>
              </w:rPr>
            </w:pPr>
            <w:r>
              <w:rPr>
                <w:rFonts w:ascii="Times New Roman"/>
                <w:sz w:val="24"/>
              </w:rPr>
              <w:t>Percentage</w:t>
            </w:r>
            <w:r>
              <w:rPr>
                <w:rFonts w:ascii="Times New Roman"/>
                <w:spacing w:val="-10"/>
                <w:sz w:val="24"/>
              </w:rPr>
              <w:t> </w:t>
            </w:r>
            <w:r>
              <w:rPr>
                <w:rFonts w:ascii="Times New Roman"/>
                <w:sz w:val="24"/>
              </w:rPr>
              <w:t>of</w:t>
            </w:r>
            <w:r>
              <w:rPr>
                <w:rFonts w:ascii="Times New Roman"/>
                <w:spacing w:val="-9"/>
                <w:sz w:val="24"/>
              </w:rPr>
              <w:t> </w:t>
            </w:r>
            <w:r>
              <w:rPr>
                <w:rFonts w:ascii="Times New Roman"/>
                <w:sz w:val="24"/>
              </w:rPr>
              <w:t>equity</w:t>
            </w:r>
            <w:r>
              <w:rPr>
                <w:rFonts w:ascii="Times New Roman"/>
                <w:spacing w:val="-9"/>
                <w:sz w:val="24"/>
              </w:rPr>
              <w:t> </w:t>
            </w:r>
            <w:r>
              <w:rPr>
                <w:rFonts w:ascii="Times New Roman"/>
                <w:sz w:val="24"/>
              </w:rPr>
              <w:t>holdings</w:t>
            </w:r>
            <w:r>
              <w:rPr>
                <w:rFonts w:ascii="Times New Roman"/>
                <w:spacing w:val="-9"/>
                <w:sz w:val="24"/>
              </w:rPr>
              <w:t> </w:t>
            </w:r>
            <w:r>
              <w:rPr>
                <w:rFonts w:ascii="Times New Roman"/>
                <w:sz w:val="24"/>
              </w:rPr>
              <w:t>by foreign shareholders to total equity holdings of the company</w:t>
            </w:r>
          </w:p>
        </w:tc>
        <w:tc>
          <w:tcPr>
            <w:tcW w:w="2684" w:type="dxa"/>
          </w:tcPr>
          <w:p>
            <w:pPr>
              <w:pStyle w:val="TableParagraph"/>
              <w:spacing w:line="275" w:lineRule="exact"/>
              <w:ind w:left="10" w:right="3"/>
              <w:jc w:val="center"/>
              <w:rPr>
                <w:rFonts w:ascii="Times New Roman"/>
                <w:sz w:val="24"/>
              </w:rPr>
            </w:pPr>
            <w:r>
              <w:rPr>
                <w:rFonts w:ascii="Times New Roman"/>
                <w:sz w:val="24"/>
              </w:rPr>
              <w:t>Lin </w:t>
            </w:r>
            <w:r>
              <w:rPr>
                <w:rFonts w:ascii="Times New Roman"/>
                <w:spacing w:val="-2"/>
                <w:sz w:val="24"/>
              </w:rPr>
              <w:t>(2013)</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bl>
    <w:p>
      <w:pPr>
        <w:spacing w:after="0" w:line="275" w:lineRule="exact"/>
        <w:jc w:val="center"/>
        <w:rPr>
          <w:rFonts w:ascii="Times New Roman"/>
          <w:sz w:val="24"/>
        </w:rPr>
        <w:sectPr>
          <w:pgSz w:w="11910" w:h="16840"/>
          <w:pgMar w:header="0" w:footer="971" w:top="1360" w:bottom="1160" w:left="500" w:right="0"/>
        </w:sectPr>
      </w:pPr>
    </w:p>
    <w:tbl>
      <w:tblPr>
        <w:tblW w:w="0" w:type="auto"/>
        <w:jc w:val="lef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112"/>
        <w:gridCol w:w="3401"/>
        <w:gridCol w:w="2684"/>
        <w:gridCol w:w="1443"/>
      </w:tblGrid>
      <w:tr>
        <w:trPr>
          <w:trHeight w:val="1579" w:hRule="atLeast"/>
        </w:trPr>
        <w:tc>
          <w:tcPr>
            <w:tcW w:w="708" w:type="dxa"/>
          </w:tcPr>
          <w:p>
            <w:pPr>
              <w:pStyle w:val="TableParagraph"/>
              <w:spacing w:line="275" w:lineRule="exact"/>
              <w:ind w:left="8"/>
              <w:jc w:val="center"/>
              <w:rPr>
                <w:rFonts w:ascii="Times New Roman"/>
                <w:sz w:val="24"/>
              </w:rPr>
            </w:pPr>
            <w:r>
              <w:rPr>
                <w:rFonts w:ascii="Times New Roman"/>
                <w:spacing w:val="-10"/>
                <w:sz w:val="24"/>
              </w:rPr>
              <w:t>8</w:t>
            </w:r>
          </w:p>
        </w:tc>
        <w:tc>
          <w:tcPr>
            <w:tcW w:w="2112" w:type="dxa"/>
          </w:tcPr>
          <w:p>
            <w:pPr>
              <w:pStyle w:val="TableParagraph"/>
              <w:ind w:left="362" w:right="352" w:firstLine="2"/>
              <w:jc w:val="center"/>
              <w:rPr>
                <w:rFonts w:ascii="Times New Roman"/>
                <w:sz w:val="24"/>
              </w:rPr>
            </w:pPr>
            <w:r>
              <w:rPr>
                <w:rFonts w:ascii="Times New Roman"/>
                <w:spacing w:val="-2"/>
                <w:sz w:val="24"/>
              </w:rPr>
              <w:t>Ownership concentration (medium-high ownership concentration)</w:t>
            </w:r>
          </w:p>
        </w:tc>
        <w:tc>
          <w:tcPr>
            <w:tcW w:w="3401" w:type="dxa"/>
          </w:tcPr>
          <w:p>
            <w:pPr>
              <w:pStyle w:val="TableParagraph"/>
              <w:ind w:left="49" w:right="36"/>
              <w:jc w:val="center"/>
              <w:rPr>
                <w:rFonts w:ascii="Times New Roman"/>
                <w:sz w:val="24"/>
              </w:rPr>
            </w:pPr>
            <w:r>
              <w:rPr>
                <w:rFonts w:ascii="Times New Roman"/>
                <w:sz w:val="24"/>
              </w:rPr>
              <w:t>Companies</w:t>
            </w:r>
            <w:r>
              <w:rPr>
                <w:rFonts w:ascii="Times New Roman"/>
                <w:spacing w:val="-14"/>
                <w:sz w:val="24"/>
              </w:rPr>
              <w:t> </w:t>
            </w:r>
            <w:r>
              <w:rPr>
                <w:rFonts w:ascii="Times New Roman"/>
                <w:sz w:val="24"/>
              </w:rPr>
              <w:t>with</w:t>
            </w:r>
            <w:r>
              <w:rPr>
                <w:rFonts w:ascii="Times New Roman"/>
                <w:spacing w:val="-14"/>
                <w:sz w:val="24"/>
              </w:rPr>
              <w:t> </w:t>
            </w:r>
            <w:r>
              <w:rPr>
                <w:rFonts w:ascii="Times New Roman"/>
                <w:sz w:val="24"/>
              </w:rPr>
              <w:t>known</w:t>
            </w:r>
            <w:r>
              <w:rPr>
                <w:rFonts w:ascii="Times New Roman"/>
                <w:spacing w:val="-14"/>
                <w:sz w:val="24"/>
              </w:rPr>
              <w:t> </w:t>
            </w:r>
            <w:r>
              <w:rPr>
                <w:rFonts w:ascii="Times New Roman"/>
                <w:sz w:val="24"/>
              </w:rPr>
              <w:t>recorded shareholders with ownership below 50% but above 25%</w:t>
            </w:r>
          </w:p>
        </w:tc>
        <w:tc>
          <w:tcPr>
            <w:tcW w:w="2684" w:type="dxa"/>
          </w:tcPr>
          <w:p>
            <w:pPr>
              <w:pStyle w:val="TableParagraph"/>
              <w:tabs>
                <w:tab w:pos="1138" w:val="left" w:leader="none"/>
                <w:tab w:pos="2227" w:val="left" w:leader="none"/>
              </w:tabs>
              <w:spacing w:line="276" w:lineRule="auto"/>
              <w:ind w:left="108" w:right="97" w:firstLine="720"/>
              <w:rPr>
                <w:rFonts w:ascii="Times New Roman"/>
                <w:sz w:val="24"/>
              </w:rPr>
            </w:pPr>
            <w:r>
              <w:rPr>
                <w:rFonts w:ascii="Times New Roman"/>
                <w:spacing w:val="-2"/>
                <w:sz w:val="24"/>
              </w:rPr>
              <w:t>Alexandra, Lucian,</w:t>
            </w:r>
            <w:r>
              <w:rPr>
                <w:rFonts w:ascii="Times New Roman"/>
                <w:sz w:val="24"/>
              </w:rPr>
              <w:tab/>
            </w:r>
            <w:r>
              <w:rPr>
                <w:rFonts w:ascii="Times New Roman"/>
                <w:spacing w:val="-2"/>
                <w:sz w:val="24"/>
              </w:rPr>
              <w:t>Stefania</w:t>
            </w:r>
            <w:r>
              <w:rPr>
                <w:rFonts w:ascii="Times New Roman"/>
                <w:sz w:val="24"/>
              </w:rPr>
              <w:tab/>
            </w:r>
            <w:r>
              <w:rPr>
                <w:rFonts w:ascii="Times New Roman"/>
                <w:spacing w:val="-4"/>
                <w:sz w:val="24"/>
              </w:rPr>
              <w:t>and </w:t>
            </w:r>
            <w:r>
              <w:rPr>
                <w:rFonts w:ascii="Times New Roman"/>
                <w:sz w:val="24"/>
              </w:rPr>
              <w:t>Alma (2019)</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r>
        <w:trPr>
          <w:trHeight w:val="477" w:hRule="atLeast"/>
        </w:trPr>
        <w:tc>
          <w:tcPr>
            <w:tcW w:w="708" w:type="dxa"/>
          </w:tcPr>
          <w:p>
            <w:pPr>
              <w:pStyle w:val="TableParagraph"/>
              <w:rPr>
                <w:rFonts w:ascii="Times New Roman"/>
                <w:sz w:val="22"/>
              </w:rPr>
            </w:pPr>
          </w:p>
        </w:tc>
        <w:tc>
          <w:tcPr>
            <w:tcW w:w="2112" w:type="dxa"/>
          </w:tcPr>
          <w:p>
            <w:pPr>
              <w:pStyle w:val="TableParagraph"/>
              <w:rPr>
                <w:rFonts w:ascii="Times New Roman"/>
                <w:sz w:val="22"/>
              </w:rPr>
            </w:pPr>
          </w:p>
        </w:tc>
        <w:tc>
          <w:tcPr>
            <w:tcW w:w="3401" w:type="dxa"/>
          </w:tcPr>
          <w:p>
            <w:pPr>
              <w:pStyle w:val="TableParagraph"/>
              <w:spacing w:before="1"/>
              <w:ind w:left="155" w:right="144"/>
              <w:jc w:val="center"/>
              <w:rPr>
                <w:rFonts w:ascii="Times New Roman"/>
                <w:b/>
                <w:sz w:val="24"/>
              </w:rPr>
            </w:pPr>
            <w:r>
              <w:rPr>
                <w:rFonts w:ascii="Times New Roman"/>
                <w:b/>
                <w:sz w:val="24"/>
              </w:rPr>
              <w:t>Control</w:t>
            </w:r>
            <w:r>
              <w:rPr>
                <w:rFonts w:ascii="Times New Roman"/>
                <w:b/>
                <w:spacing w:val="-2"/>
                <w:sz w:val="24"/>
              </w:rPr>
              <w:t> variables</w:t>
            </w:r>
          </w:p>
        </w:tc>
        <w:tc>
          <w:tcPr>
            <w:tcW w:w="2684" w:type="dxa"/>
          </w:tcPr>
          <w:p>
            <w:pPr>
              <w:pStyle w:val="TableParagraph"/>
              <w:rPr>
                <w:rFonts w:ascii="Times New Roman"/>
                <w:sz w:val="22"/>
              </w:rPr>
            </w:pPr>
          </w:p>
        </w:tc>
        <w:tc>
          <w:tcPr>
            <w:tcW w:w="1443" w:type="dxa"/>
          </w:tcPr>
          <w:p>
            <w:pPr>
              <w:pStyle w:val="TableParagraph"/>
              <w:rPr>
                <w:rFonts w:ascii="Times New Roman"/>
                <w:sz w:val="22"/>
              </w:rPr>
            </w:pPr>
          </w:p>
        </w:tc>
      </w:tr>
      <w:tr>
        <w:trPr>
          <w:trHeight w:val="750" w:hRule="atLeast"/>
        </w:trPr>
        <w:tc>
          <w:tcPr>
            <w:tcW w:w="708" w:type="dxa"/>
          </w:tcPr>
          <w:p>
            <w:pPr>
              <w:pStyle w:val="TableParagraph"/>
              <w:spacing w:line="275" w:lineRule="exact"/>
              <w:ind w:left="8"/>
              <w:jc w:val="center"/>
              <w:rPr>
                <w:rFonts w:ascii="Times New Roman"/>
                <w:sz w:val="24"/>
              </w:rPr>
            </w:pPr>
            <w:r>
              <w:rPr>
                <w:rFonts w:ascii="Times New Roman"/>
                <w:spacing w:val="-10"/>
                <w:sz w:val="24"/>
              </w:rPr>
              <w:t>9</w:t>
            </w:r>
          </w:p>
        </w:tc>
        <w:tc>
          <w:tcPr>
            <w:tcW w:w="2112" w:type="dxa"/>
          </w:tcPr>
          <w:p>
            <w:pPr>
              <w:pStyle w:val="TableParagraph"/>
              <w:spacing w:line="275" w:lineRule="exact"/>
              <w:ind w:left="10" w:right="4"/>
              <w:jc w:val="center"/>
              <w:rPr>
                <w:rFonts w:ascii="Times New Roman"/>
                <w:sz w:val="24"/>
              </w:rPr>
            </w:pPr>
            <w:r>
              <w:rPr>
                <w:rFonts w:ascii="Times New Roman"/>
                <w:sz w:val="24"/>
              </w:rPr>
              <w:t>Firm</w:t>
            </w:r>
            <w:r>
              <w:rPr>
                <w:rFonts w:ascii="Times New Roman"/>
                <w:spacing w:val="-2"/>
                <w:sz w:val="24"/>
              </w:rPr>
              <w:t> </w:t>
            </w:r>
            <w:r>
              <w:rPr>
                <w:rFonts w:ascii="Times New Roman"/>
                <w:spacing w:val="-4"/>
                <w:sz w:val="24"/>
              </w:rPr>
              <w:t>size</w:t>
            </w:r>
          </w:p>
        </w:tc>
        <w:tc>
          <w:tcPr>
            <w:tcW w:w="3401" w:type="dxa"/>
          </w:tcPr>
          <w:p>
            <w:pPr>
              <w:pStyle w:val="TableParagraph"/>
              <w:ind w:left="1421" w:hanging="1102"/>
              <w:rPr>
                <w:rFonts w:ascii="Times New Roman" w:hAnsi="Times New Roman"/>
                <w:sz w:val="24"/>
              </w:rPr>
            </w:pPr>
            <w:r>
              <w:rPr>
                <w:rFonts w:ascii="Times New Roman" w:hAnsi="Times New Roman"/>
                <w:sz w:val="24"/>
              </w:rPr>
              <w:t>The</w:t>
            </w:r>
            <w:r>
              <w:rPr>
                <w:rFonts w:ascii="Times New Roman" w:hAnsi="Times New Roman"/>
                <w:spacing w:val="-11"/>
                <w:sz w:val="24"/>
              </w:rPr>
              <w:t> </w:t>
            </w:r>
            <w:r>
              <w:rPr>
                <w:rFonts w:ascii="Times New Roman" w:hAnsi="Times New Roman"/>
                <w:sz w:val="24"/>
              </w:rPr>
              <w:t>logarithm</w:t>
            </w:r>
            <w:r>
              <w:rPr>
                <w:rFonts w:ascii="Times New Roman" w:hAnsi="Times New Roman"/>
                <w:spacing w:val="-9"/>
                <w:sz w:val="24"/>
              </w:rPr>
              <w:t> </w:t>
            </w:r>
            <w:r>
              <w:rPr>
                <w:rFonts w:ascii="Times New Roman" w:hAnsi="Times New Roman"/>
                <w:sz w:val="24"/>
              </w:rPr>
              <w:t>of</w:t>
            </w:r>
            <w:r>
              <w:rPr>
                <w:rFonts w:ascii="Times New Roman" w:hAnsi="Times New Roman"/>
                <w:spacing w:val="-9"/>
                <w:sz w:val="24"/>
              </w:rPr>
              <w:t> </w:t>
            </w:r>
            <w:r>
              <w:rPr>
                <w:rFonts w:ascii="Times New Roman" w:hAnsi="Times New Roman"/>
                <w:sz w:val="24"/>
              </w:rPr>
              <w:t>firms’</w:t>
            </w:r>
            <w:r>
              <w:rPr>
                <w:rFonts w:ascii="Times New Roman" w:hAnsi="Times New Roman"/>
                <w:spacing w:val="-10"/>
                <w:sz w:val="24"/>
              </w:rPr>
              <w:t> </w:t>
            </w:r>
            <w:r>
              <w:rPr>
                <w:rFonts w:ascii="Times New Roman" w:hAnsi="Times New Roman"/>
                <w:sz w:val="24"/>
              </w:rPr>
              <w:t>total </w:t>
            </w:r>
            <w:r>
              <w:rPr>
                <w:rFonts w:ascii="Times New Roman" w:hAnsi="Times New Roman"/>
                <w:spacing w:val="-2"/>
                <w:sz w:val="24"/>
              </w:rPr>
              <w:t>assets</w:t>
            </w:r>
          </w:p>
        </w:tc>
        <w:tc>
          <w:tcPr>
            <w:tcW w:w="2684" w:type="dxa"/>
          </w:tcPr>
          <w:p>
            <w:pPr>
              <w:pStyle w:val="TableParagraph"/>
              <w:spacing w:line="275" w:lineRule="exact"/>
              <w:ind w:left="10" w:right="4"/>
              <w:jc w:val="center"/>
              <w:rPr>
                <w:rFonts w:ascii="Times New Roman"/>
                <w:sz w:val="24"/>
              </w:rPr>
            </w:pPr>
            <w:r>
              <w:rPr>
                <w:rFonts w:ascii="Times New Roman"/>
                <w:sz w:val="24"/>
              </w:rPr>
              <w:t>Rahmawati</w:t>
            </w:r>
            <w:r>
              <w:rPr>
                <w:rFonts w:ascii="Times New Roman"/>
                <w:spacing w:val="-3"/>
                <w:sz w:val="24"/>
              </w:rPr>
              <w:t> </w:t>
            </w:r>
            <w:r>
              <w:rPr>
                <w:rFonts w:ascii="Times New Roman"/>
                <w:spacing w:val="-2"/>
                <w:sz w:val="24"/>
              </w:rPr>
              <w:t>(2013)</w:t>
            </w:r>
          </w:p>
        </w:tc>
        <w:tc>
          <w:tcPr>
            <w:tcW w:w="1443" w:type="dxa"/>
          </w:tcPr>
          <w:p>
            <w:pPr>
              <w:pStyle w:val="TableParagraph"/>
              <w:spacing w:line="275" w:lineRule="exact"/>
              <w:ind w:left="11" w:right="2"/>
              <w:jc w:val="center"/>
              <w:rPr>
                <w:rFonts w:ascii="Times New Roman"/>
                <w:sz w:val="24"/>
              </w:rPr>
            </w:pPr>
            <w:r>
              <w:rPr>
                <w:rFonts w:ascii="Times New Roman"/>
                <w:spacing w:val="-10"/>
                <w:sz w:val="24"/>
              </w:rPr>
              <w:t>+</w:t>
            </w:r>
          </w:p>
        </w:tc>
      </w:tr>
      <w:tr>
        <w:trPr>
          <w:trHeight w:val="753" w:hRule="atLeast"/>
        </w:trPr>
        <w:tc>
          <w:tcPr>
            <w:tcW w:w="708" w:type="dxa"/>
          </w:tcPr>
          <w:p>
            <w:pPr>
              <w:pStyle w:val="TableParagraph"/>
              <w:spacing w:before="1"/>
              <w:ind w:left="8" w:right="1"/>
              <w:jc w:val="center"/>
              <w:rPr>
                <w:rFonts w:ascii="Times New Roman"/>
                <w:sz w:val="24"/>
              </w:rPr>
            </w:pPr>
            <w:r>
              <w:rPr>
                <w:rFonts w:ascii="Times New Roman"/>
                <w:spacing w:val="-5"/>
                <w:sz w:val="24"/>
              </w:rPr>
              <w:t>10</w:t>
            </w:r>
          </w:p>
        </w:tc>
        <w:tc>
          <w:tcPr>
            <w:tcW w:w="2112" w:type="dxa"/>
          </w:tcPr>
          <w:p>
            <w:pPr>
              <w:pStyle w:val="TableParagraph"/>
              <w:spacing w:before="1"/>
              <w:ind w:left="10" w:right="2"/>
              <w:jc w:val="center"/>
              <w:rPr>
                <w:rFonts w:ascii="Times New Roman"/>
                <w:sz w:val="24"/>
              </w:rPr>
            </w:pPr>
            <w:r>
              <w:rPr>
                <w:rFonts w:ascii="Times New Roman"/>
                <w:sz w:val="24"/>
              </w:rPr>
              <w:t>Firm</w:t>
            </w:r>
            <w:r>
              <w:rPr>
                <w:rFonts w:ascii="Times New Roman"/>
                <w:spacing w:val="-2"/>
                <w:sz w:val="24"/>
              </w:rPr>
              <w:t> </w:t>
            </w:r>
            <w:r>
              <w:rPr>
                <w:rFonts w:ascii="Times New Roman"/>
                <w:spacing w:val="-5"/>
                <w:sz w:val="24"/>
              </w:rPr>
              <w:t>age</w:t>
            </w:r>
          </w:p>
        </w:tc>
        <w:tc>
          <w:tcPr>
            <w:tcW w:w="3401" w:type="dxa"/>
          </w:tcPr>
          <w:p>
            <w:pPr>
              <w:pStyle w:val="TableParagraph"/>
              <w:spacing w:before="1"/>
              <w:ind w:left="687" w:right="208" w:hanging="468"/>
              <w:rPr>
                <w:rFonts w:ascii="Times New Roman"/>
                <w:sz w:val="24"/>
              </w:rPr>
            </w:pPr>
            <w:r>
              <w:rPr>
                <w:rFonts w:ascii="Times New Roman"/>
                <w:sz w:val="24"/>
              </w:rPr>
              <w:t>Number</w:t>
            </w:r>
            <w:r>
              <w:rPr>
                <w:rFonts w:ascii="Times New Roman"/>
                <w:spacing w:val="-8"/>
                <w:sz w:val="24"/>
              </w:rPr>
              <w:t> </w:t>
            </w:r>
            <w:r>
              <w:rPr>
                <w:rFonts w:ascii="Times New Roman"/>
                <w:sz w:val="24"/>
              </w:rPr>
              <w:t>of</w:t>
            </w:r>
            <w:r>
              <w:rPr>
                <w:rFonts w:ascii="Times New Roman"/>
                <w:spacing w:val="-10"/>
                <w:sz w:val="24"/>
              </w:rPr>
              <w:t> </w:t>
            </w:r>
            <w:r>
              <w:rPr>
                <w:rFonts w:ascii="Times New Roman"/>
                <w:sz w:val="24"/>
              </w:rPr>
              <w:t>years</w:t>
            </w:r>
            <w:r>
              <w:rPr>
                <w:rFonts w:ascii="Times New Roman"/>
                <w:spacing w:val="-8"/>
                <w:sz w:val="24"/>
              </w:rPr>
              <w:t> </w:t>
            </w:r>
            <w:r>
              <w:rPr>
                <w:rFonts w:ascii="Times New Roman"/>
                <w:sz w:val="24"/>
              </w:rPr>
              <w:t>from</w:t>
            </w:r>
            <w:r>
              <w:rPr>
                <w:rFonts w:ascii="Times New Roman"/>
                <w:spacing w:val="-8"/>
                <w:sz w:val="24"/>
              </w:rPr>
              <w:t> </w:t>
            </w:r>
            <w:r>
              <w:rPr>
                <w:rFonts w:ascii="Times New Roman"/>
                <w:sz w:val="24"/>
              </w:rPr>
              <w:t>the</w:t>
            </w:r>
            <w:r>
              <w:rPr>
                <w:rFonts w:ascii="Times New Roman"/>
                <w:spacing w:val="-8"/>
                <w:sz w:val="24"/>
              </w:rPr>
              <w:t> </w:t>
            </w:r>
            <w:r>
              <w:rPr>
                <w:rFonts w:ascii="Times New Roman"/>
                <w:sz w:val="24"/>
              </w:rPr>
              <w:t>year of listing on the NSE</w:t>
            </w:r>
          </w:p>
        </w:tc>
        <w:tc>
          <w:tcPr>
            <w:tcW w:w="2684" w:type="dxa"/>
          </w:tcPr>
          <w:p>
            <w:pPr>
              <w:pStyle w:val="TableParagraph"/>
              <w:spacing w:before="1"/>
              <w:ind w:left="10" w:right="4"/>
              <w:jc w:val="center"/>
              <w:rPr>
                <w:rFonts w:ascii="Times New Roman"/>
                <w:sz w:val="24"/>
              </w:rPr>
            </w:pPr>
            <w:r>
              <w:rPr>
                <w:rFonts w:ascii="Times New Roman"/>
                <w:sz w:val="24"/>
              </w:rPr>
              <w:t>Aburime</w:t>
            </w:r>
            <w:r>
              <w:rPr>
                <w:rFonts w:ascii="Times New Roman"/>
                <w:spacing w:val="-3"/>
                <w:sz w:val="24"/>
              </w:rPr>
              <w:t> </w:t>
            </w:r>
            <w:r>
              <w:rPr>
                <w:rFonts w:ascii="Times New Roman"/>
                <w:spacing w:val="-2"/>
                <w:sz w:val="24"/>
              </w:rPr>
              <w:t>(2008)</w:t>
            </w:r>
          </w:p>
        </w:tc>
        <w:tc>
          <w:tcPr>
            <w:tcW w:w="1443" w:type="dxa"/>
          </w:tcPr>
          <w:p>
            <w:pPr>
              <w:pStyle w:val="TableParagraph"/>
              <w:spacing w:before="1"/>
              <w:ind w:left="11" w:right="2"/>
              <w:jc w:val="center"/>
              <w:rPr>
                <w:rFonts w:ascii="Times New Roman"/>
                <w:sz w:val="24"/>
              </w:rPr>
            </w:pPr>
            <w:r>
              <w:rPr>
                <w:rFonts w:ascii="Times New Roman"/>
                <w:spacing w:val="-10"/>
                <w:sz w:val="24"/>
              </w:rPr>
              <w:t>+</w:t>
            </w:r>
          </w:p>
        </w:tc>
      </w:tr>
      <w:tr>
        <w:trPr>
          <w:trHeight w:val="477" w:hRule="atLeast"/>
        </w:trPr>
        <w:tc>
          <w:tcPr>
            <w:tcW w:w="708" w:type="dxa"/>
          </w:tcPr>
          <w:p>
            <w:pPr>
              <w:pStyle w:val="TableParagraph"/>
              <w:spacing w:line="275" w:lineRule="exact"/>
              <w:ind w:left="8" w:right="1"/>
              <w:jc w:val="center"/>
              <w:rPr>
                <w:rFonts w:ascii="Times New Roman"/>
                <w:sz w:val="24"/>
              </w:rPr>
            </w:pPr>
            <w:r>
              <w:rPr>
                <w:rFonts w:ascii="Times New Roman"/>
                <w:spacing w:val="-5"/>
                <w:sz w:val="24"/>
              </w:rPr>
              <w:t>11</w:t>
            </w:r>
          </w:p>
        </w:tc>
        <w:tc>
          <w:tcPr>
            <w:tcW w:w="2112" w:type="dxa"/>
          </w:tcPr>
          <w:p>
            <w:pPr>
              <w:pStyle w:val="TableParagraph"/>
              <w:spacing w:line="275" w:lineRule="exact"/>
              <w:ind w:left="10" w:right="2"/>
              <w:jc w:val="center"/>
              <w:rPr>
                <w:rFonts w:ascii="Times New Roman"/>
                <w:sz w:val="24"/>
              </w:rPr>
            </w:pPr>
            <w:r>
              <w:rPr>
                <w:rFonts w:ascii="Times New Roman"/>
                <w:sz w:val="24"/>
              </w:rPr>
              <w:t>Financial</w:t>
            </w:r>
            <w:r>
              <w:rPr>
                <w:rFonts w:ascii="Times New Roman"/>
                <w:spacing w:val="-4"/>
                <w:sz w:val="24"/>
              </w:rPr>
              <w:t> </w:t>
            </w:r>
            <w:r>
              <w:rPr>
                <w:rFonts w:ascii="Times New Roman"/>
                <w:spacing w:val="-2"/>
                <w:sz w:val="24"/>
              </w:rPr>
              <w:t>leverage</w:t>
            </w:r>
          </w:p>
        </w:tc>
        <w:tc>
          <w:tcPr>
            <w:tcW w:w="3401" w:type="dxa"/>
          </w:tcPr>
          <w:p>
            <w:pPr>
              <w:pStyle w:val="TableParagraph"/>
              <w:spacing w:line="275" w:lineRule="exact"/>
              <w:ind w:left="9"/>
              <w:jc w:val="center"/>
              <w:rPr>
                <w:rFonts w:ascii="Times New Roman"/>
                <w:sz w:val="24"/>
              </w:rPr>
            </w:pPr>
            <w:r>
              <w:rPr>
                <w:rFonts w:ascii="Times New Roman"/>
                <w:sz w:val="24"/>
              </w:rPr>
              <w:t>Ratio</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total debt</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total </w:t>
            </w:r>
            <w:r>
              <w:rPr>
                <w:rFonts w:ascii="Times New Roman"/>
                <w:spacing w:val="-2"/>
                <w:sz w:val="24"/>
              </w:rPr>
              <w:t>assets</w:t>
            </w:r>
          </w:p>
        </w:tc>
        <w:tc>
          <w:tcPr>
            <w:tcW w:w="2684" w:type="dxa"/>
          </w:tcPr>
          <w:p>
            <w:pPr>
              <w:pStyle w:val="TableParagraph"/>
              <w:spacing w:line="275" w:lineRule="exact"/>
              <w:ind w:left="10" w:right="4"/>
              <w:jc w:val="center"/>
              <w:rPr>
                <w:rFonts w:ascii="Times New Roman"/>
                <w:sz w:val="24"/>
              </w:rPr>
            </w:pPr>
            <w:r>
              <w:rPr>
                <w:rFonts w:ascii="Times New Roman"/>
                <w:sz w:val="24"/>
              </w:rPr>
              <w:t>Ullah</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Kamal</w:t>
            </w:r>
            <w:r>
              <w:rPr>
                <w:rFonts w:ascii="Times New Roman"/>
                <w:spacing w:val="-1"/>
                <w:sz w:val="24"/>
              </w:rPr>
              <w:t> </w:t>
            </w:r>
            <w:r>
              <w:rPr>
                <w:rFonts w:ascii="Times New Roman"/>
                <w:spacing w:val="-2"/>
                <w:sz w:val="24"/>
              </w:rPr>
              <w:t>(2017)</w:t>
            </w:r>
          </w:p>
        </w:tc>
        <w:tc>
          <w:tcPr>
            <w:tcW w:w="1443" w:type="dxa"/>
          </w:tcPr>
          <w:p>
            <w:pPr>
              <w:pStyle w:val="TableParagraph"/>
              <w:spacing w:line="275" w:lineRule="exact"/>
              <w:ind w:left="11"/>
              <w:jc w:val="center"/>
              <w:rPr>
                <w:rFonts w:ascii="Times New Roman"/>
                <w:sz w:val="24"/>
              </w:rPr>
            </w:pPr>
            <w:r>
              <w:rPr>
                <w:rFonts w:ascii="Times New Roman"/>
                <w:spacing w:val="-5"/>
                <w:sz w:val="24"/>
              </w:rPr>
              <w:t>+/-</w:t>
            </w:r>
          </w:p>
        </w:tc>
      </w:tr>
    </w:tbl>
    <w:p>
      <w:pPr>
        <w:pStyle w:val="BodyText"/>
        <w:spacing w:before="22"/>
        <w:ind w:left="940"/>
        <w:jc w:val="both"/>
      </w:pPr>
      <w:r>
        <w:rPr/>
        <w:drawing>
          <wp:anchor distT="0" distB="0" distL="0" distR="0" allowOverlap="1" layoutInCell="1" locked="0" behindDoc="1" simplePos="0" relativeHeight="477727744">
            <wp:simplePos x="0" y="0"/>
            <wp:positionH relativeFrom="page">
              <wp:posOffset>1095451</wp:posOffset>
            </wp:positionH>
            <wp:positionV relativeFrom="paragraph">
              <wp:posOffset>-775588</wp:posOffset>
            </wp:positionV>
            <wp:extent cx="5106847" cy="5238115"/>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5" cstate="print"/>
                    <a:stretch>
                      <a:fillRect/>
                    </a:stretch>
                  </pic:blipFill>
                  <pic:spPr>
                    <a:xfrm>
                      <a:off x="0" y="0"/>
                      <a:ext cx="5106847" cy="5238115"/>
                    </a:xfrm>
                    <a:prstGeom prst="rect">
                      <a:avLst/>
                    </a:prstGeom>
                  </pic:spPr>
                </pic:pic>
              </a:graphicData>
            </a:graphic>
          </wp:anchor>
        </w:drawing>
      </w:r>
      <w:r>
        <w:rPr/>
        <w:t>Source:</w:t>
      </w:r>
      <w:r>
        <w:rPr>
          <w:spacing w:val="-3"/>
        </w:rPr>
        <w:t> </w:t>
      </w:r>
      <w:r>
        <w:rPr/>
        <w:t>Researcher’s</w:t>
      </w:r>
      <w:r>
        <w:rPr>
          <w:spacing w:val="-2"/>
        </w:rPr>
        <w:t> </w:t>
      </w:r>
      <w:r>
        <w:rPr/>
        <w:t>compilation</w:t>
      </w:r>
      <w:r>
        <w:rPr>
          <w:spacing w:val="-2"/>
        </w:rPr>
        <w:t> (2021)</w:t>
      </w:r>
    </w:p>
    <w:p>
      <w:pPr>
        <w:pStyle w:val="BodyText"/>
      </w:pPr>
    </w:p>
    <w:p>
      <w:pPr>
        <w:pStyle w:val="BodyText"/>
        <w:spacing w:before="123"/>
      </w:pPr>
    </w:p>
    <w:p>
      <w:pPr>
        <w:pStyle w:val="Heading3"/>
        <w:numPr>
          <w:ilvl w:val="1"/>
          <w:numId w:val="27"/>
        </w:numPr>
        <w:tabs>
          <w:tab w:pos="1360" w:val="left" w:leader="none"/>
        </w:tabs>
        <w:spacing w:line="240" w:lineRule="auto" w:before="0" w:after="0"/>
        <w:ind w:left="1360" w:right="0" w:hanging="420"/>
        <w:jc w:val="left"/>
      </w:pPr>
      <w:bookmarkStart w:name="_TOC_250030" w:id="40"/>
      <w:r>
        <w:rPr/>
        <w:t>Data</w:t>
      </w:r>
      <w:r>
        <w:rPr>
          <w:spacing w:val="-1"/>
        </w:rPr>
        <w:t> </w:t>
      </w:r>
      <w:r>
        <w:rPr/>
        <w:t>Estimation </w:t>
      </w:r>
      <w:bookmarkEnd w:id="40"/>
      <w:r>
        <w:rPr>
          <w:spacing w:val="-2"/>
        </w:rPr>
        <w:t>Techniques</w:t>
      </w:r>
    </w:p>
    <w:p>
      <w:pPr>
        <w:pStyle w:val="BodyText"/>
        <w:rPr>
          <w:b/>
        </w:rPr>
      </w:pPr>
    </w:p>
    <w:p>
      <w:pPr>
        <w:pStyle w:val="BodyText"/>
        <w:spacing w:line="480" w:lineRule="auto"/>
        <w:ind w:left="940" w:right="1435"/>
        <w:jc w:val="both"/>
      </w:pPr>
      <w:r>
        <w:rPr/>
        <w:t>The study adopted the panel and the Difference-In-Difference estimation techniques with the aid of E-View 10 software. In panel data analysis, there was the problem of unobserved heterogeneity. The reason for its choice was that the cross section study had heterogeneity problem, and there was the need to ascertain if that would undermine the estimation result. In </w:t>
      </w:r>
      <w:r>
        <w:rPr>
          <w:position w:val="2"/>
        </w:rPr>
        <w:t>analysing the panel model equation, the error term V</w:t>
      </w:r>
      <w:r>
        <w:rPr>
          <w:sz w:val="16"/>
        </w:rPr>
        <w:t>it </w:t>
      </w:r>
      <w:r>
        <w:rPr>
          <w:position w:val="2"/>
        </w:rPr>
        <w:t>consisted of two components, </w:t>
      </w:r>
      <w:r>
        <w:rPr/>
        <w:t>‘’idiosyncratic’’ component ‘</w:t>
      </w:r>
      <w:r>
        <w:rPr>
          <w:b/>
        </w:rPr>
        <w:t>’</w:t>
      </w:r>
      <w:r>
        <w:rPr/>
        <w:t>U’’ and ‘’observed’’ heterogeneity component ‘’C’’. When the unobserved heterogeneity in the panel data model was correlated with one or more of the explanatory variables, Ordinary Least Square (OLS) parameter estimates were biased and inconsistent. Thus, we employed the Hausman test to test for exogeneity of the unobserved error component. The test was necessary because the random effect ‘’C’’ needed to be uncorrelated with the explanatory variables (regressors) otherwise, there was endogeneity problem and the random effect estimator would be inconsistent. Panel data analysis could be in the form of fixed effect model (FEM) or random effect model (REM). The process was to first estimate the random estimation (REM) to ascertain if the correlation between the error term</w:t>
      </w:r>
      <w:r>
        <w:rPr>
          <w:spacing w:val="-5"/>
        </w:rPr>
        <w:t> </w:t>
      </w:r>
      <w:r>
        <w:rPr/>
        <w:t>and</w:t>
      </w:r>
      <w:r>
        <w:rPr>
          <w:spacing w:val="-4"/>
        </w:rPr>
        <w:t> </w:t>
      </w:r>
      <w:r>
        <w:rPr/>
        <w:t>the</w:t>
      </w:r>
      <w:r>
        <w:rPr>
          <w:spacing w:val="-4"/>
        </w:rPr>
        <w:t> </w:t>
      </w:r>
      <w:r>
        <w:rPr/>
        <w:t>unobserved</w:t>
      </w:r>
      <w:r>
        <w:rPr>
          <w:spacing w:val="-1"/>
        </w:rPr>
        <w:t> </w:t>
      </w:r>
      <w:r>
        <w:rPr/>
        <w:t>attributes</w:t>
      </w:r>
      <w:r>
        <w:rPr>
          <w:spacing w:val="-3"/>
        </w:rPr>
        <w:t> </w:t>
      </w:r>
      <w:r>
        <w:rPr/>
        <w:t>in</w:t>
      </w:r>
      <w:r>
        <w:rPr>
          <w:spacing w:val="-3"/>
        </w:rPr>
        <w:t> </w:t>
      </w:r>
      <w:r>
        <w:rPr/>
        <w:t>each</w:t>
      </w:r>
      <w:r>
        <w:rPr>
          <w:spacing w:val="-4"/>
        </w:rPr>
        <w:t> </w:t>
      </w:r>
      <w:r>
        <w:rPr/>
        <w:t>cross</w:t>
      </w:r>
      <w:r>
        <w:rPr>
          <w:spacing w:val="-2"/>
        </w:rPr>
        <w:t> </w:t>
      </w:r>
      <w:r>
        <w:rPr/>
        <w:t>section</w:t>
      </w:r>
      <w:r>
        <w:rPr>
          <w:spacing w:val="-3"/>
        </w:rPr>
        <w:t> </w:t>
      </w:r>
      <w:r>
        <w:rPr/>
        <w:t>undermined</w:t>
      </w:r>
      <w:r>
        <w:rPr>
          <w:spacing w:val="-4"/>
        </w:rPr>
        <w:t> </w:t>
      </w:r>
      <w:r>
        <w:rPr/>
        <w:t>the</w:t>
      </w:r>
      <w:r>
        <w:rPr>
          <w:spacing w:val="-1"/>
        </w:rPr>
        <w:t> </w:t>
      </w:r>
      <w:r>
        <w:rPr/>
        <w:t>regression</w:t>
      </w:r>
      <w:r>
        <w:rPr>
          <w:spacing w:val="-4"/>
        </w:rPr>
        <w:t> </w:t>
      </w:r>
      <w:r>
        <w:rPr/>
        <w:t>result.</w:t>
      </w:r>
      <w:r>
        <w:rPr>
          <w:spacing w:val="-3"/>
        </w:rPr>
        <w:t> </w:t>
      </w:r>
      <w:r>
        <w:rPr>
          <w:spacing w:val="-5"/>
        </w:rPr>
        <w:t>The</w:t>
      </w:r>
    </w:p>
    <w:p>
      <w:pPr>
        <w:spacing w:after="0" w:line="480" w:lineRule="auto"/>
        <w:jc w:val="both"/>
        <w:sectPr>
          <w:type w:val="continuous"/>
          <w:pgSz w:w="11910" w:h="16840"/>
          <w:pgMar w:header="0" w:footer="971" w:top="140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728256">
            <wp:simplePos x="0" y="0"/>
            <wp:positionH relativeFrom="page">
              <wp:posOffset>1095451</wp:posOffset>
            </wp:positionH>
            <wp:positionV relativeFrom="paragraph">
              <wp:posOffset>1850770</wp:posOffset>
            </wp:positionV>
            <wp:extent cx="5106847" cy="523811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 cstate="print"/>
                    <a:stretch>
                      <a:fillRect/>
                    </a:stretch>
                  </pic:blipFill>
                  <pic:spPr>
                    <a:xfrm>
                      <a:off x="0" y="0"/>
                      <a:ext cx="5106847" cy="5238115"/>
                    </a:xfrm>
                    <a:prstGeom prst="rect">
                      <a:avLst/>
                    </a:prstGeom>
                  </pic:spPr>
                </pic:pic>
              </a:graphicData>
            </a:graphic>
          </wp:anchor>
        </w:drawing>
      </w:r>
      <w:r>
        <w:rPr/>
        <w:t>decision was to accept huasman probability statistic with a value above 0.05 (Huaman p- value&gt;0.05). It indicated that the correlation between the error term and the unobserved attributes in each of the cross sections was insignificant, therefore, it did not undermine the estimation result. However, when the hausman probability value was less than 0.05 (Huaman p-value&lt;0.05), it indicated that the correlation between the error term and the unobserved attributes in each of the error term was significant to undermine the estimation result. Consequently, the fixed effect estimation was conducted, and it suggested an estimation done on the basis of mean-corrected values. The decision rule was that there was a significant relationship if a variable probability value was less than 0.05 (p values &lt;0.05) at 5%, which suggested significance, otherwise the variable was not significant. Other post diagnostic tests such as the tests for normality, multicollinearity, serial correlation, equality of variance and model Ramset Reset as well as co-integration were also carried out.</w:t>
      </w:r>
    </w:p>
    <w:p>
      <w:pPr>
        <w:pStyle w:val="Heading3"/>
        <w:numPr>
          <w:ilvl w:val="2"/>
          <w:numId w:val="27"/>
        </w:numPr>
        <w:tabs>
          <w:tab w:pos="1480" w:val="left" w:leader="none"/>
        </w:tabs>
        <w:spacing w:line="240" w:lineRule="auto" w:before="1" w:after="0"/>
        <w:ind w:left="1480" w:right="0" w:hanging="540"/>
        <w:jc w:val="both"/>
      </w:pPr>
      <w:bookmarkStart w:name="_TOC_250029" w:id="41"/>
      <w:r>
        <w:rPr/>
        <w:t>Normality</w:t>
      </w:r>
      <w:r>
        <w:rPr>
          <w:spacing w:val="-3"/>
        </w:rPr>
        <w:t> </w:t>
      </w:r>
      <w:bookmarkEnd w:id="41"/>
      <w:r>
        <w:rPr>
          <w:spacing w:val="-4"/>
        </w:rPr>
        <w:t>Test</w:t>
      </w:r>
    </w:p>
    <w:p>
      <w:pPr>
        <w:pStyle w:val="BodyText"/>
        <w:rPr>
          <w:b/>
        </w:rPr>
      </w:pPr>
    </w:p>
    <w:p>
      <w:pPr>
        <w:pStyle w:val="BodyText"/>
        <w:spacing w:line="480" w:lineRule="auto"/>
        <w:ind w:left="940" w:right="1435"/>
        <w:jc w:val="both"/>
      </w:pPr>
      <w:r>
        <w:rPr/>
        <w:t>Normality is a condition where the used variables follow the standard normal distribution. A normally</w:t>
      </w:r>
      <w:r>
        <w:rPr>
          <w:spacing w:val="-1"/>
        </w:rPr>
        <w:t> </w:t>
      </w:r>
      <w:r>
        <w:rPr/>
        <w:t>distributed</w:t>
      </w:r>
      <w:r>
        <w:rPr>
          <w:spacing w:val="-1"/>
        </w:rPr>
        <w:t> </w:t>
      </w:r>
      <w:r>
        <w:rPr/>
        <w:t>data</w:t>
      </w:r>
      <w:r>
        <w:rPr>
          <w:spacing w:val="-2"/>
        </w:rPr>
        <w:t> </w:t>
      </w:r>
      <w:r>
        <w:rPr/>
        <w:t>set</w:t>
      </w:r>
      <w:r>
        <w:rPr>
          <w:spacing w:val="-1"/>
        </w:rPr>
        <w:t> </w:t>
      </w:r>
      <w:r>
        <w:rPr/>
        <w:t>has</w:t>
      </w:r>
      <w:r>
        <w:rPr>
          <w:spacing w:val="-1"/>
        </w:rPr>
        <w:t> </w:t>
      </w:r>
      <w:r>
        <w:rPr/>
        <w:t>a</w:t>
      </w:r>
      <w:r>
        <w:rPr>
          <w:spacing w:val="-2"/>
        </w:rPr>
        <w:t> </w:t>
      </w:r>
      <w:r>
        <w:rPr/>
        <w:t>probability</w:t>
      </w:r>
      <w:r>
        <w:rPr>
          <w:spacing w:val="-1"/>
        </w:rPr>
        <w:t> </w:t>
      </w:r>
      <w:r>
        <w:rPr/>
        <w:t>density</w:t>
      </w:r>
      <w:r>
        <w:rPr>
          <w:spacing w:val="-1"/>
        </w:rPr>
        <w:t> </w:t>
      </w:r>
      <w:r>
        <w:rPr/>
        <w:t>function.</w:t>
      </w:r>
      <w:r>
        <w:rPr>
          <w:spacing w:val="-1"/>
        </w:rPr>
        <w:t> </w:t>
      </w:r>
      <w:r>
        <w:rPr/>
        <w:t>The</w:t>
      </w:r>
      <w:r>
        <w:rPr>
          <w:spacing w:val="-3"/>
        </w:rPr>
        <w:t> </w:t>
      </w:r>
      <w:r>
        <w:rPr/>
        <w:t>Jarque-Bera</w:t>
      </w:r>
      <w:r>
        <w:rPr>
          <w:spacing w:val="-3"/>
        </w:rPr>
        <w:t> </w:t>
      </w:r>
      <w:r>
        <w:rPr/>
        <w:t>statistic</w:t>
      </w:r>
      <w:r>
        <w:rPr>
          <w:spacing w:val="-2"/>
        </w:rPr>
        <w:t> </w:t>
      </w:r>
      <w:r>
        <w:rPr/>
        <w:t>tests whether the series is normally distributed by measuring the difference of the skewness and kurtosis of the series with those from the normal distribution. If the residuals are normally distributed, the histogram should be bell-shaped and the Jarque-Bera statistic insignificant. It thus follows that a series will be normally distributed if the probability of the J-B statistic is less than 0.05.</w:t>
      </w:r>
    </w:p>
    <w:p>
      <w:pPr>
        <w:pStyle w:val="Heading3"/>
        <w:numPr>
          <w:ilvl w:val="2"/>
          <w:numId w:val="27"/>
        </w:numPr>
        <w:tabs>
          <w:tab w:pos="1480" w:val="left" w:leader="none"/>
        </w:tabs>
        <w:spacing w:line="240" w:lineRule="auto" w:before="1" w:after="0"/>
        <w:ind w:left="1480" w:right="0" w:hanging="540"/>
        <w:jc w:val="both"/>
      </w:pPr>
      <w:bookmarkStart w:name="_TOC_250028" w:id="42"/>
      <w:r>
        <w:rPr/>
        <w:t>Testing</w:t>
      </w:r>
      <w:r>
        <w:rPr>
          <w:spacing w:val="-1"/>
        </w:rPr>
        <w:t> </w:t>
      </w:r>
      <w:r>
        <w:rPr/>
        <w:t>for</w:t>
      </w:r>
      <w:bookmarkEnd w:id="42"/>
      <w:r>
        <w:rPr>
          <w:spacing w:val="-2"/>
        </w:rPr>
        <w:t> multicollinearity</w:t>
      </w:r>
    </w:p>
    <w:p>
      <w:pPr>
        <w:pStyle w:val="BodyText"/>
        <w:rPr>
          <w:b/>
        </w:rPr>
      </w:pPr>
    </w:p>
    <w:p>
      <w:pPr>
        <w:pStyle w:val="BodyText"/>
        <w:spacing w:line="480" w:lineRule="auto"/>
        <w:ind w:left="940" w:right="1438"/>
        <w:jc w:val="both"/>
      </w:pPr>
      <w:r>
        <w:rPr/>
        <w:t>Multicollinearity</w:t>
      </w:r>
      <w:r>
        <w:rPr>
          <w:spacing w:val="-8"/>
        </w:rPr>
        <w:t> </w:t>
      </w:r>
      <w:r>
        <w:rPr/>
        <w:t>among</w:t>
      </w:r>
      <w:r>
        <w:rPr>
          <w:spacing w:val="-8"/>
        </w:rPr>
        <w:t> </w:t>
      </w:r>
      <w:r>
        <w:rPr/>
        <w:t>the</w:t>
      </w:r>
      <w:r>
        <w:rPr>
          <w:spacing w:val="-9"/>
        </w:rPr>
        <w:t> </w:t>
      </w:r>
      <w:r>
        <w:rPr/>
        <w:t>independent</w:t>
      </w:r>
      <w:r>
        <w:rPr>
          <w:spacing w:val="-8"/>
        </w:rPr>
        <w:t> </w:t>
      </w:r>
      <w:r>
        <w:rPr/>
        <w:t>variables</w:t>
      </w:r>
      <w:r>
        <w:rPr>
          <w:spacing w:val="-6"/>
        </w:rPr>
        <w:t> </w:t>
      </w:r>
      <w:r>
        <w:rPr/>
        <w:t>implies</w:t>
      </w:r>
      <w:r>
        <w:rPr>
          <w:spacing w:val="-8"/>
        </w:rPr>
        <w:t> </w:t>
      </w:r>
      <w:r>
        <w:rPr/>
        <w:t>that</w:t>
      </w:r>
      <w:r>
        <w:rPr>
          <w:spacing w:val="-8"/>
        </w:rPr>
        <w:t> </w:t>
      </w:r>
      <w:r>
        <w:rPr/>
        <w:t>they</w:t>
      </w:r>
      <w:r>
        <w:rPr>
          <w:spacing w:val="-9"/>
        </w:rPr>
        <w:t> </w:t>
      </w:r>
      <w:r>
        <w:rPr/>
        <w:t>are</w:t>
      </w:r>
      <w:r>
        <w:rPr>
          <w:spacing w:val="-10"/>
        </w:rPr>
        <w:t> </w:t>
      </w:r>
      <w:r>
        <w:rPr/>
        <w:t>perfectly</w:t>
      </w:r>
      <w:r>
        <w:rPr>
          <w:spacing w:val="-8"/>
        </w:rPr>
        <w:t> </w:t>
      </w:r>
      <w:r>
        <w:rPr/>
        <w:t>correlated.</w:t>
      </w:r>
      <w:r>
        <w:rPr>
          <w:spacing w:val="-6"/>
        </w:rPr>
        <w:t> </w:t>
      </w:r>
      <w:r>
        <w:rPr/>
        <w:t>If there</w:t>
      </w:r>
      <w:r>
        <w:rPr>
          <w:spacing w:val="-8"/>
        </w:rPr>
        <w:t> </w:t>
      </w:r>
      <w:r>
        <w:rPr/>
        <w:t>exists</w:t>
      </w:r>
      <w:r>
        <w:rPr>
          <w:spacing w:val="-6"/>
        </w:rPr>
        <w:t> </w:t>
      </w:r>
      <w:r>
        <w:rPr/>
        <w:t>a</w:t>
      </w:r>
      <w:r>
        <w:rPr>
          <w:spacing w:val="-8"/>
        </w:rPr>
        <w:t> </w:t>
      </w:r>
      <w:r>
        <w:rPr/>
        <w:t>perfect</w:t>
      </w:r>
      <w:r>
        <w:rPr>
          <w:spacing w:val="-6"/>
        </w:rPr>
        <w:t> </w:t>
      </w:r>
      <w:r>
        <w:rPr/>
        <w:t>correlation</w:t>
      </w:r>
      <w:r>
        <w:rPr>
          <w:spacing w:val="-6"/>
        </w:rPr>
        <w:t> </w:t>
      </w:r>
      <w:r>
        <w:rPr/>
        <w:t>between</w:t>
      </w:r>
      <w:r>
        <w:rPr>
          <w:spacing w:val="-7"/>
        </w:rPr>
        <w:t> </w:t>
      </w:r>
      <w:r>
        <w:rPr/>
        <w:t>the</w:t>
      </w:r>
      <w:r>
        <w:rPr>
          <w:spacing w:val="-7"/>
        </w:rPr>
        <w:t> </w:t>
      </w:r>
      <w:r>
        <w:rPr/>
        <w:t>independent</w:t>
      </w:r>
      <w:r>
        <w:rPr>
          <w:spacing w:val="-6"/>
        </w:rPr>
        <w:t> </w:t>
      </w:r>
      <w:r>
        <w:rPr/>
        <w:t>variables,</w:t>
      </w:r>
      <w:r>
        <w:rPr>
          <w:spacing w:val="-7"/>
        </w:rPr>
        <w:t> </w:t>
      </w:r>
      <w:r>
        <w:rPr/>
        <w:t>the</w:t>
      </w:r>
      <w:r>
        <w:rPr>
          <w:spacing w:val="-7"/>
        </w:rPr>
        <w:t> </w:t>
      </w:r>
      <w:r>
        <w:rPr/>
        <w:t>parameter</w:t>
      </w:r>
      <w:r>
        <w:rPr>
          <w:spacing w:val="-8"/>
        </w:rPr>
        <w:t> </w:t>
      </w:r>
      <w:r>
        <w:rPr/>
        <w:t>coefficients will be indeterminate. In the presence of multicollinearity, there will be large standard errors of</w:t>
      </w:r>
      <w:r>
        <w:rPr>
          <w:spacing w:val="9"/>
        </w:rPr>
        <w:t> </w:t>
      </w:r>
      <w:r>
        <w:rPr/>
        <w:t>the</w:t>
      </w:r>
      <w:r>
        <w:rPr>
          <w:spacing w:val="11"/>
        </w:rPr>
        <w:t> </w:t>
      </w:r>
      <w:r>
        <w:rPr/>
        <w:t>estimated</w:t>
      </w:r>
      <w:r>
        <w:rPr>
          <w:spacing w:val="14"/>
        </w:rPr>
        <w:t> </w:t>
      </w:r>
      <w:r>
        <w:rPr/>
        <w:t>coefficients.</w:t>
      </w:r>
      <w:r>
        <w:rPr>
          <w:spacing w:val="12"/>
        </w:rPr>
        <w:t> </w:t>
      </w:r>
      <w:r>
        <w:rPr/>
        <w:t>This</w:t>
      </w:r>
      <w:r>
        <w:rPr>
          <w:spacing w:val="12"/>
        </w:rPr>
        <w:t> </w:t>
      </w:r>
      <w:r>
        <w:rPr/>
        <w:t>violation</w:t>
      </w:r>
      <w:r>
        <w:rPr>
          <w:spacing w:val="11"/>
        </w:rPr>
        <w:t> </w:t>
      </w:r>
      <w:r>
        <w:rPr/>
        <w:t>is</w:t>
      </w:r>
      <w:r>
        <w:rPr>
          <w:spacing w:val="12"/>
        </w:rPr>
        <w:t> </w:t>
      </w:r>
      <w:r>
        <w:rPr/>
        <w:t>not</w:t>
      </w:r>
      <w:r>
        <w:rPr>
          <w:spacing w:val="12"/>
        </w:rPr>
        <w:t> </w:t>
      </w:r>
      <w:r>
        <w:rPr/>
        <w:t>a</w:t>
      </w:r>
      <w:r>
        <w:rPr>
          <w:spacing w:val="10"/>
        </w:rPr>
        <w:t> </w:t>
      </w:r>
      <w:r>
        <w:rPr/>
        <w:t>problem</w:t>
      </w:r>
      <w:r>
        <w:rPr>
          <w:spacing w:val="12"/>
        </w:rPr>
        <w:t> </w:t>
      </w:r>
      <w:r>
        <w:rPr/>
        <w:t>of</w:t>
      </w:r>
      <w:r>
        <w:rPr>
          <w:spacing w:val="13"/>
        </w:rPr>
        <w:t> </w:t>
      </w:r>
      <w:r>
        <w:rPr/>
        <w:t>the</w:t>
      </w:r>
      <w:r>
        <w:rPr>
          <w:spacing w:val="11"/>
        </w:rPr>
        <w:t> </w:t>
      </w:r>
      <w:r>
        <w:rPr/>
        <w:t>model</w:t>
      </w:r>
      <w:r>
        <w:rPr>
          <w:spacing w:val="13"/>
        </w:rPr>
        <w:t> </w:t>
      </w:r>
      <w:r>
        <w:rPr/>
        <w:t>or</w:t>
      </w:r>
      <w:r>
        <w:rPr>
          <w:spacing w:val="11"/>
        </w:rPr>
        <w:t> </w:t>
      </w:r>
      <w:r>
        <w:rPr/>
        <w:t>the</w:t>
      </w:r>
      <w:r>
        <w:rPr>
          <w:spacing w:val="12"/>
        </w:rPr>
        <w:t> </w:t>
      </w:r>
      <w:r>
        <w:rPr>
          <w:spacing w:val="-2"/>
        </w:rPr>
        <w:t>disturbance</w:t>
      </w:r>
    </w:p>
    <w:p>
      <w:pPr>
        <w:spacing w:after="0" w:line="480" w:lineRule="auto"/>
        <w:jc w:val="both"/>
        <w:sectPr>
          <w:pgSz w:w="11910" w:h="16840"/>
          <w:pgMar w:header="0" w:footer="971" w:top="1360" w:bottom="1160" w:left="500" w:right="0"/>
        </w:sectPr>
      </w:pPr>
    </w:p>
    <w:p>
      <w:pPr>
        <w:pStyle w:val="BodyText"/>
        <w:spacing w:line="480" w:lineRule="auto" w:before="61"/>
        <w:ind w:left="940" w:right="1441"/>
        <w:jc w:val="both"/>
      </w:pPr>
      <w:r>
        <w:rPr/>
        <w:t>term and therefore, does not affect the BLUE properties of the OLS estimates.</w:t>
      </w:r>
      <w:r>
        <w:rPr>
          <w:spacing w:val="40"/>
        </w:rPr>
        <w:t> </w:t>
      </w:r>
      <w:r>
        <w:rPr/>
        <w:t>Various statistical</w:t>
      </w:r>
      <w:r>
        <w:rPr>
          <w:spacing w:val="-4"/>
        </w:rPr>
        <w:t> </w:t>
      </w:r>
      <w:r>
        <w:rPr/>
        <w:t>methods</w:t>
      </w:r>
      <w:r>
        <w:rPr>
          <w:spacing w:val="-5"/>
        </w:rPr>
        <w:t> </w:t>
      </w:r>
      <w:r>
        <w:rPr/>
        <w:t>that</w:t>
      </w:r>
      <w:r>
        <w:rPr>
          <w:spacing w:val="-5"/>
        </w:rPr>
        <w:t> </w:t>
      </w:r>
      <w:r>
        <w:rPr/>
        <w:t>can</w:t>
      </w:r>
      <w:r>
        <w:rPr>
          <w:spacing w:val="-5"/>
        </w:rPr>
        <w:t> </w:t>
      </w:r>
      <w:r>
        <w:rPr/>
        <w:t>be</w:t>
      </w:r>
      <w:r>
        <w:rPr>
          <w:spacing w:val="-4"/>
        </w:rPr>
        <w:t> </w:t>
      </w:r>
      <w:r>
        <w:rPr/>
        <w:t>used</w:t>
      </w:r>
      <w:r>
        <w:rPr>
          <w:spacing w:val="-3"/>
        </w:rPr>
        <w:t> </w:t>
      </w:r>
      <w:r>
        <w:rPr/>
        <w:t>to</w:t>
      </w:r>
      <w:r>
        <w:rPr>
          <w:spacing w:val="-4"/>
        </w:rPr>
        <w:t> </w:t>
      </w:r>
      <w:r>
        <w:rPr/>
        <w:t>test</w:t>
      </w:r>
      <w:r>
        <w:rPr>
          <w:spacing w:val="-5"/>
        </w:rPr>
        <w:t> </w:t>
      </w:r>
      <w:r>
        <w:rPr/>
        <w:t>the</w:t>
      </w:r>
      <w:r>
        <w:rPr>
          <w:spacing w:val="-3"/>
        </w:rPr>
        <w:t> </w:t>
      </w:r>
      <w:r>
        <w:rPr/>
        <w:t>degree</w:t>
      </w:r>
      <w:r>
        <w:rPr>
          <w:spacing w:val="-4"/>
        </w:rPr>
        <w:t> </w:t>
      </w:r>
      <w:r>
        <w:rPr/>
        <w:t>of</w:t>
      </w:r>
      <w:r>
        <w:rPr>
          <w:spacing w:val="-6"/>
        </w:rPr>
        <w:t> </w:t>
      </w:r>
      <w:r>
        <w:rPr/>
        <w:t>multicollinearity</w:t>
      </w:r>
      <w:r>
        <w:rPr>
          <w:spacing w:val="-5"/>
        </w:rPr>
        <w:t> </w:t>
      </w:r>
      <w:r>
        <w:rPr/>
        <w:t>have</w:t>
      </w:r>
      <w:r>
        <w:rPr>
          <w:spacing w:val="-6"/>
        </w:rPr>
        <w:t> </w:t>
      </w:r>
      <w:r>
        <w:rPr/>
        <w:t>been</w:t>
      </w:r>
      <w:r>
        <w:rPr>
          <w:spacing w:val="-3"/>
        </w:rPr>
        <w:t> </w:t>
      </w:r>
      <w:r>
        <w:rPr/>
        <w:t>advanced. In this study, the variance inflation factor (VIF) test was used. Basically, VIFs above 10 are seen as a cause of concern (Landau &amp; Everitt, 2003).</w:t>
      </w:r>
    </w:p>
    <w:p>
      <w:pPr>
        <w:pStyle w:val="Heading3"/>
        <w:numPr>
          <w:ilvl w:val="2"/>
          <w:numId w:val="27"/>
        </w:numPr>
        <w:tabs>
          <w:tab w:pos="1480" w:val="left" w:leader="none"/>
        </w:tabs>
        <w:spacing w:line="240" w:lineRule="auto" w:before="0" w:after="0"/>
        <w:ind w:left="1480" w:right="0" w:hanging="540"/>
        <w:jc w:val="both"/>
      </w:pPr>
      <w:bookmarkStart w:name="_TOC_250027" w:id="43"/>
      <w:r>
        <w:rPr/>
        <w:t>Serial</w:t>
      </w:r>
      <w:r>
        <w:rPr>
          <w:spacing w:val="-4"/>
        </w:rPr>
        <w:t> </w:t>
      </w:r>
      <w:r>
        <w:rPr/>
        <w:t>correlation</w:t>
      </w:r>
      <w:r>
        <w:rPr>
          <w:spacing w:val="-2"/>
        </w:rPr>
        <w:t> </w:t>
      </w:r>
      <w:bookmarkEnd w:id="43"/>
      <w:r>
        <w:rPr>
          <w:spacing w:val="-4"/>
        </w:rPr>
        <w:t>test</w:t>
      </w:r>
    </w:p>
    <w:p>
      <w:pPr>
        <w:pStyle w:val="BodyText"/>
        <w:rPr>
          <w:b/>
        </w:rPr>
      </w:pPr>
    </w:p>
    <w:p>
      <w:pPr>
        <w:pStyle w:val="BodyText"/>
        <w:spacing w:line="480" w:lineRule="auto"/>
        <w:ind w:left="940" w:right="1439"/>
        <w:jc w:val="both"/>
      </w:pPr>
      <w:r>
        <w:rPr/>
        <w:drawing>
          <wp:anchor distT="0" distB="0" distL="0" distR="0" allowOverlap="1" layoutInCell="1" locked="0" behindDoc="1" simplePos="0" relativeHeight="477728768">
            <wp:simplePos x="0" y="0"/>
            <wp:positionH relativeFrom="page">
              <wp:posOffset>1095451</wp:posOffset>
            </wp:positionH>
            <wp:positionV relativeFrom="paragraph">
              <wp:posOffset>59584</wp:posOffset>
            </wp:positionV>
            <wp:extent cx="5106847" cy="5238115"/>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5" cstate="print"/>
                    <a:stretch>
                      <a:fillRect/>
                    </a:stretch>
                  </pic:blipFill>
                  <pic:spPr>
                    <a:xfrm>
                      <a:off x="0" y="0"/>
                      <a:ext cx="5106847" cy="5238115"/>
                    </a:xfrm>
                    <a:prstGeom prst="rect">
                      <a:avLst/>
                    </a:prstGeom>
                  </pic:spPr>
                </pic:pic>
              </a:graphicData>
            </a:graphic>
          </wp:anchor>
        </w:drawing>
      </w:r>
      <w:r>
        <w:rPr/>
        <w:t>Serial correlation is usually as a result of autocorrelation of the model error term. In the presence of serial correlation, ordinary least squares estimators are no longer Best Linear Unbiased Estimators (BLUE). Moreover, the R</w:t>
      </w:r>
      <w:r>
        <w:rPr>
          <w:vertAlign w:val="superscript"/>
        </w:rPr>
        <w:t>2</w:t>
      </w:r>
      <w:r>
        <w:rPr>
          <w:vertAlign w:val="baseline"/>
        </w:rPr>
        <w:t> may be overestimated, standard errors underestimated and t-statistics overestimated. If there are lagged dependent variables on the right hand side, OLS estimators are biased and inconsistent. There was therefore, the need to test for serial correlation. The Lagrange Multiplier (LM) test for serial correlation was conducted in this study. The</w:t>
      </w:r>
      <w:r>
        <w:rPr>
          <w:spacing w:val="-1"/>
          <w:vertAlign w:val="baseline"/>
        </w:rPr>
        <w:t> </w:t>
      </w:r>
      <w:r>
        <w:rPr>
          <w:vertAlign w:val="baseline"/>
        </w:rPr>
        <w:t>rule</w:t>
      </w:r>
      <w:r>
        <w:rPr>
          <w:spacing w:val="-1"/>
          <w:vertAlign w:val="baseline"/>
        </w:rPr>
        <w:t> </w:t>
      </w:r>
      <w:r>
        <w:rPr>
          <w:vertAlign w:val="baseline"/>
        </w:rPr>
        <w:t>is to reject the hypothesis of no autocorrelation in the model if the probabilities (Prob. F, Prob. Chi-Square) exceed 0.05.</w:t>
      </w:r>
    </w:p>
    <w:p>
      <w:pPr>
        <w:pStyle w:val="Heading3"/>
        <w:numPr>
          <w:ilvl w:val="2"/>
          <w:numId w:val="27"/>
        </w:numPr>
        <w:tabs>
          <w:tab w:pos="1480" w:val="left" w:leader="none"/>
        </w:tabs>
        <w:spacing w:line="240" w:lineRule="auto" w:before="1" w:after="0"/>
        <w:ind w:left="1480" w:right="0" w:hanging="540"/>
        <w:jc w:val="both"/>
      </w:pPr>
      <w:bookmarkStart w:name="_TOC_250026" w:id="44"/>
      <w:r>
        <w:rPr/>
        <w:t>Heteroscedasticity</w:t>
      </w:r>
      <w:r>
        <w:rPr>
          <w:spacing w:val="-6"/>
        </w:rPr>
        <w:t> </w:t>
      </w:r>
      <w:bookmarkEnd w:id="44"/>
      <w:r>
        <w:rPr>
          <w:spacing w:val="-4"/>
        </w:rPr>
        <w:t>Test</w:t>
      </w:r>
    </w:p>
    <w:p>
      <w:pPr>
        <w:pStyle w:val="BodyText"/>
        <w:rPr>
          <w:b/>
        </w:rPr>
      </w:pPr>
    </w:p>
    <w:p>
      <w:pPr>
        <w:pStyle w:val="BodyText"/>
        <w:spacing w:line="480" w:lineRule="auto"/>
        <w:ind w:left="940" w:right="1437"/>
        <w:jc w:val="both"/>
      </w:pPr>
      <w:r>
        <w:rPr/>
        <w:t>Heteroskedasticity means the absence of homoscedasticity, the constant variance assumption of</w:t>
      </w:r>
      <w:r>
        <w:rPr>
          <w:spacing w:val="-13"/>
        </w:rPr>
        <w:t> </w:t>
      </w:r>
      <w:r>
        <w:rPr/>
        <w:t>the</w:t>
      </w:r>
      <w:r>
        <w:rPr>
          <w:spacing w:val="-13"/>
        </w:rPr>
        <w:t> </w:t>
      </w:r>
      <w:r>
        <w:rPr/>
        <w:t>Ordinary</w:t>
      </w:r>
      <w:r>
        <w:rPr>
          <w:spacing w:val="-13"/>
        </w:rPr>
        <w:t> </w:t>
      </w:r>
      <w:r>
        <w:rPr/>
        <w:t>Least</w:t>
      </w:r>
      <w:r>
        <w:rPr>
          <w:spacing w:val="-11"/>
        </w:rPr>
        <w:t> </w:t>
      </w:r>
      <w:r>
        <w:rPr/>
        <w:t>Square</w:t>
      </w:r>
      <w:r>
        <w:rPr>
          <w:spacing w:val="-11"/>
        </w:rPr>
        <w:t> </w:t>
      </w:r>
      <w:r>
        <w:rPr/>
        <w:t>estimator.</w:t>
      </w:r>
      <w:r>
        <w:rPr>
          <w:spacing w:val="-10"/>
        </w:rPr>
        <w:t> </w:t>
      </w:r>
      <w:r>
        <w:rPr/>
        <w:t>It</w:t>
      </w:r>
      <w:r>
        <w:rPr>
          <w:spacing w:val="-12"/>
        </w:rPr>
        <w:t> </w:t>
      </w:r>
      <w:r>
        <w:rPr/>
        <w:t>implies</w:t>
      </w:r>
      <w:r>
        <w:rPr>
          <w:spacing w:val="-9"/>
        </w:rPr>
        <w:t> </w:t>
      </w:r>
      <w:r>
        <w:rPr/>
        <w:t>the</w:t>
      </w:r>
      <w:r>
        <w:rPr>
          <w:spacing w:val="-13"/>
        </w:rPr>
        <w:t> </w:t>
      </w:r>
      <w:r>
        <w:rPr/>
        <w:t>absence</w:t>
      </w:r>
      <w:r>
        <w:rPr>
          <w:spacing w:val="-13"/>
        </w:rPr>
        <w:t> </w:t>
      </w:r>
      <w:r>
        <w:rPr/>
        <w:t>of</w:t>
      </w:r>
      <w:r>
        <w:rPr>
          <w:spacing w:val="-11"/>
        </w:rPr>
        <w:t> </w:t>
      </w:r>
      <w:r>
        <w:rPr/>
        <w:t>non-constant</w:t>
      </w:r>
      <w:r>
        <w:rPr>
          <w:spacing w:val="-12"/>
        </w:rPr>
        <w:t> </w:t>
      </w:r>
      <w:r>
        <w:rPr/>
        <w:t>variance</w:t>
      </w:r>
      <w:r>
        <w:rPr>
          <w:spacing w:val="-13"/>
        </w:rPr>
        <w:t> </w:t>
      </w:r>
      <w:r>
        <w:rPr/>
        <w:t>leading to</w:t>
      </w:r>
      <w:r>
        <w:rPr>
          <w:spacing w:val="-5"/>
        </w:rPr>
        <w:t> </w:t>
      </w:r>
      <w:r>
        <w:rPr/>
        <w:t>the</w:t>
      </w:r>
      <w:r>
        <w:rPr>
          <w:spacing w:val="-6"/>
        </w:rPr>
        <w:t> </w:t>
      </w:r>
      <w:r>
        <w:rPr/>
        <w:t>breakdown</w:t>
      </w:r>
      <w:r>
        <w:rPr>
          <w:spacing w:val="-6"/>
        </w:rPr>
        <w:t> </w:t>
      </w:r>
      <w:r>
        <w:rPr/>
        <w:t>of</w:t>
      </w:r>
      <w:r>
        <w:rPr>
          <w:spacing w:val="-7"/>
        </w:rPr>
        <w:t> </w:t>
      </w:r>
      <w:r>
        <w:rPr/>
        <w:t>the</w:t>
      </w:r>
      <w:r>
        <w:rPr>
          <w:spacing w:val="-3"/>
        </w:rPr>
        <w:t> </w:t>
      </w:r>
      <w:r>
        <w:rPr/>
        <w:t>BLUE</w:t>
      </w:r>
      <w:r>
        <w:rPr>
          <w:spacing w:val="-7"/>
        </w:rPr>
        <w:t> </w:t>
      </w:r>
      <w:r>
        <w:rPr/>
        <w:t>properties</w:t>
      </w:r>
      <w:r>
        <w:rPr>
          <w:spacing w:val="-6"/>
        </w:rPr>
        <w:t> </w:t>
      </w:r>
      <w:r>
        <w:rPr/>
        <w:t>in</w:t>
      </w:r>
      <w:r>
        <w:rPr>
          <w:spacing w:val="-5"/>
        </w:rPr>
        <w:t> </w:t>
      </w:r>
      <w:r>
        <w:rPr/>
        <w:t>which</w:t>
      </w:r>
      <w:r>
        <w:rPr>
          <w:spacing w:val="-6"/>
        </w:rPr>
        <w:t> </w:t>
      </w:r>
      <w:r>
        <w:rPr/>
        <w:t>the</w:t>
      </w:r>
      <w:r>
        <w:rPr>
          <w:spacing w:val="-6"/>
        </w:rPr>
        <w:t> </w:t>
      </w:r>
      <w:r>
        <w:rPr/>
        <w:t>efficiency</w:t>
      </w:r>
      <w:r>
        <w:rPr>
          <w:spacing w:val="-6"/>
        </w:rPr>
        <w:t> </w:t>
      </w:r>
      <w:r>
        <w:rPr/>
        <w:t>and</w:t>
      </w:r>
      <w:r>
        <w:rPr>
          <w:spacing w:val="-6"/>
        </w:rPr>
        <w:t> </w:t>
      </w:r>
      <w:r>
        <w:rPr/>
        <w:t>consistency</w:t>
      </w:r>
      <w:r>
        <w:rPr>
          <w:spacing w:val="-6"/>
        </w:rPr>
        <w:t> </w:t>
      </w:r>
      <w:r>
        <w:rPr/>
        <w:t>property</w:t>
      </w:r>
      <w:r>
        <w:rPr>
          <w:spacing w:val="-6"/>
        </w:rPr>
        <w:t> </w:t>
      </w:r>
      <w:r>
        <w:rPr/>
        <w:t>are lost. Using the Breusch-pagan-Godfrey test, the decision rule is to conclude that there is no Heteroscedasticity</w:t>
      </w:r>
      <w:r>
        <w:rPr>
          <w:spacing w:val="-10"/>
        </w:rPr>
        <w:t> </w:t>
      </w:r>
      <w:r>
        <w:rPr/>
        <w:t>if</w:t>
      </w:r>
      <w:r>
        <w:rPr>
          <w:spacing w:val="-10"/>
        </w:rPr>
        <w:t> </w:t>
      </w:r>
      <w:r>
        <w:rPr/>
        <w:t>the</w:t>
      </w:r>
      <w:r>
        <w:rPr>
          <w:spacing w:val="-9"/>
        </w:rPr>
        <w:t> </w:t>
      </w:r>
      <w:r>
        <w:rPr/>
        <w:t>F-statistic</w:t>
      </w:r>
      <w:r>
        <w:rPr>
          <w:spacing w:val="-11"/>
        </w:rPr>
        <w:t> </w:t>
      </w:r>
      <w:r>
        <w:rPr/>
        <w:t>and</w:t>
      </w:r>
      <w:r>
        <w:rPr>
          <w:spacing w:val="-9"/>
        </w:rPr>
        <w:t> </w:t>
      </w:r>
      <w:r>
        <w:rPr/>
        <w:t>observed</w:t>
      </w:r>
      <w:r>
        <w:rPr>
          <w:spacing w:val="-8"/>
        </w:rPr>
        <w:t> </w:t>
      </w:r>
      <w:r>
        <w:rPr/>
        <w:t>R-</w:t>
      </w:r>
      <w:r>
        <w:rPr>
          <w:spacing w:val="-10"/>
        </w:rPr>
        <w:t> </w:t>
      </w:r>
      <w:r>
        <w:rPr/>
        <w:t>square</w:t>
      </w:r>
      <w:r>
        <w:rPr>
          <w:spacing w:val="-10"/>
        </w:rPr>
        <w:t> </w:t>
      </w:r>
      <w:r>
        <w:rPr/>
        <w:t>values</w:t>
      </w:r>
      <w:r>
        <w:rPr>
          <w:spacing w:val="-9"/>
        </w:rPr>
        <w:t> </w:t>
      </w:r>
      <w:r>
        <w:rPr/>
        <w:t>are</w:t>
      </w:r>
      <w:r>
        <w:rPr>
          <w:spacing w:val="-11"/>
        </w:rPr>
        <w:t> </w:t>
      </w:r>
      <w:r>
        <w:rPr/>
        <w:t>respectively</w:t>
      </w:r>
      <w:r>
        <w:rPr>
          <w:spacing w:val="-10"/>
        </w:rPr>
        <w:t> </w:t>
      </w:r>
      <w:r>
        <w:rPr/>
        <w:t>greater</w:t>
      </w:r>
      <w:r>
        <w:rPr>
          <w:spacing w:val="-10"/>
        </w:rPr>
        <w:t> </w:t>
      </w:r>
      <w:r>
        <w:rPr/>
        <w:t>than the</w:t>
      </w:r>
      <w:r>
        <w:rPr>
          <w:spacing w:val="-1"/>
        </w:rPr>
        <w:t> </w:t>
      </w:r>
      <w:r>
        <w:rPr/>
        <w:t>critical values</w:t>
      </w:r>
      <w:r>
        <w:rPr>
          <w:spacing w:val="-1"/>
        </w:rPr>
        <w:t> </w:t>
      </w:r>
      <w:r>
        <w:rPr/>
        <w:t>at 5%</w:t>
      </w:r>
      <w:r>
        <w:rPr>
          <w:spacing w:val="-1"/>
        </w:rPr>
        <w:t> </w:t>
      </w:r>
      <w:r>
        <w:rPr/>
        <w:t>level. In the</w:t>
      </w:r>
      <w:r>
        <w:rPr>
          <w:spacing w:val="-1"/>
        </w:rPr>
        <w:t> </w:t>
      </w:r>
      <w:r>
        <w:rPr/>
        <w:t>absence</w:t>
      </w:r>
      <w:r>
        <w:rPr>
          <w:spacing w:val="-1"/>
        </w:rPr>
        <w:t> </w:t>
      </w:r>
      <w:r>
        <w:rPr/>
        <w:t>of</w:t>
      </w:r>
      <w:r>
        <w:rPr>
          <w:spacing w:val="-1"/>
        </w:rPr>
        <w:t> </w:t>
      </w:r>
      <w:r>
        <w:rPr/>
        <w:t>this (i.e., if</w:t>
      </w:r>
      <w:r>
        <w:rPr>
          <w:spacing w:val="-1"/>
        </w:rPr>
        <w:t> </w:t>
      </w:r>
      <w:r>
        <w:rPr/>
        <w:t>the</w:t>
      </w:r>
      <w:r>
        <w:rPr>
          <w:spacing w:val="-3"/>
        </w:rPr>
        <w:t> </w:t>
      </w:r>
      <w:r>
        <w:rPr/>
        <w:t>critical values</w:t>
      </w:r>
      <w:r>
        <w:rPr>
          <w:spacing w:val="-1"/>
        </w:rPr>
        <w:t> </w:t>
      </w:r>
      <w:r>
        <w:rPr/>
        <w:t>at 5%</w:t>
      </w:r>
      <w:r>
        <w:rPr>
          <w:spacing w:val="-1"/>
        </w:rPr>
        <w:t> </w:t>
      </w:r>
      <w:r>
        <w:rPr/>
        <w:t>is greater than the F-statistic and observed R-square</w:t>
      </w:r>
      <w:r>
        <w:rPr>
          <w:spacing w:val="-1"/>
        </w:rPr>
        <w:t> </w:t>
      </w:r>
      <w:r>
        <w:rPr/>
        <w:t>value), we</w:t>
      </w:r>
      <w:r>
        <w:rPr>
          <w:spacing w:val="-1"/>
        </w:rPr>
        <w:t> </w:t>
      </w:r>
      <w:r>
        <w:rPr/>
        <w:t>conclude that there is homoscedasticity.</w:t>
      </w:r>
    </w:p>
    <w:p>
      <w:pPr>
        <w:pStyle w:val="BodyText"/>
      </w:pPr>
    </w:p>
    <w:p>
      <w:pPr>
        <w:pStyle w:val="BodyText"/>
      </w:pPr>
    </w:p>
    <w:p>
      <w:pPr>
        <w:pStyle w:val="BodyText"/>
      </w:pPr>
    </w:p>
    <w:p>
      <w:pPr>
        <w:pStyle w:val="BodyText"/>
        <w:spacing w:before="1"/>
      </w:pPr>
    </w:p>
    <w:p>
      <w:pPr>
        <w:pStyle w:val="Heading3"/>
        <w:numPr>
          <w:ilvl w:val="2"/>
          <w:numId w:val="28"/>
        </w:numPr>
        <w:tabs>
          <w:tab w:pos="1540" w:val="left" w:leader="none"/>
        </w:tabs>
        <w:spacing w:line="240" w:lineRule="auto" w:before="1" w:after="0"/>
        <w:ind w:left="1540" w:right="0" w:hanging="600"/>
        <w:jc w:val="both"/>
      </w:pPr>
      <w:bookmarkStart w:name="_TOC_250025" w:id="45"/>
      <w:r>
        <w:rPr/>
        <w:t>Ramsey</w:t>
      </w:r>
      <w:r>
        <w:rPr>
          <w:spacing w:val="-3"/>
        </w:rPr>
        <w:t> </w:t>
      </w:r>
      <w:r>
        <w:rPr/>
        <w:t>RESET</w:t>
      </w:r>
      <w:r>
        <w:rPr>
          <w:spacing w:val="-2"/>
        </w:rPr>
        <w:t> </w:t>
      </w:r>
      <w:bookmarkEnd w:id="45"/>
      <w:r>
        <w:rPr>
          <w:spacing w:val="-4"/>
        </w:rPr>
        <w:t>Test</w:t>
      </w:r>
    </w:p>
    <w:p>
      <w:pPr>
        <w:spacing w:after="0" w:line="240" w:lineRule="auto"/>
        <w:jc w:val="both"/>
        <w:sectPr>
          <w:pgSz w:w="11910" w:h="16840"/>
          <w:pgMar w:header="0" w:footer="971" w:top="1360" w:bottom="1160" w:left="500" w:right="0"/>
        </w:sectPr>
      </w:pPr>
    </w:p>
    <w:p>
      <w:pPr>
        <w:pStyle w:val="BodyText"/>
        <w:spacing w:line="480" w:lineRule="auto" w:before="61"/>
        <w:ind w:left="940" w:right="1435"/>
        <w:jc w:val="both"/>
      </w:pPr>
      <w:r>
        <w:rPr/>
        <w:t>This is often referred to as the regression model specification error test. Ramsey (1969) test was</w:t>
      </w:r>
      <w:r>
        <w:rPr>
          <w:spacing w:val="-12"/>
        </w:rPr>
        <w:t> </w:t>
      </w:r>
      <w:r>
        <w:rPr/>
        <w:t>conducted</w:t>
      </w:r>
      <w:r>
        <w:rPr>
          <w:spacing w:val="-12"/>
        </w:rPr>
        <w:t> </w:t>
      </w:r>
      <w:r>
        <w:rPr/>
        <w:t>in</w:t>
      </w:r>
      <w:r>
        <w:rPr>
          <w:spacing w:val="-12"/>
        </w:rPr>
        <w:t> </w:t>
      </w:r>
      <w:r>
        <w:rPr/>
        <w:t>this</w:t>
      </w:r>
      <w:r>
        <w:rPr>
          <w:spacing w:val="-12"/>
        </w:rPr>
        <w:t> </w:t>
      </w:r>
      <w:r>
        <w:rPr/>
        <w:t>study</w:t>
      </w:r>
      <w:r>
        <w:rPr>
          <w:spacing w:val="-12"/>
        </w:rPr>
        <w:t> </w:t>
      </w:r>
      <w:r>
        <w:rPr/>
        <w:t>to</w:t>
      </w:r>
      <w:r>
        <w:rPr>
          <w:spacing w:val="-12"/>
        </w:rPr>
        <w:t> </w:t>
      </w:r>
      <w:r>
        <w:rPr/>
        <w:t>test</w:t>
      </w:r>
      <w:r>
        <w:rPr>
          <w:spacing w:val="-12"/>
        </w:rPr>
        <w:t> </w:t>
      </w:r>
      <w:r>
        <w:rPr/>
        <w:t>for</w:t>
      </w:r>
      <w:r>
        <w:rPr>
          <w:spacing w:val="-14"/>
        </w:rPr>
        <w:t> </w:t>
      </w:r>
      <w:r>
        <w:rPr/>
        <w:t>a</w:t>
      </w:r>
      <w:r>
        <w:rPr>
          <w:spacing w:val="-13"/>
        </w:rPr>
        <w:t> </w:t>
      </w:r>
      <w:r>
        <w:rPr/>
        <w:t>regression</w:t>
      </w:r>
      <w:r>
        <w:rPr>
          <w:spacing w:val="-10"/>
        </w:rPr>
        <w:t> </w:t>
      </w:r>
      <w:r>
        <w:rPr/>
        <w:t>specification</w:t>
      </w:r>
      <w:r>
        <w:rPr>
          <w:spacing w:val="-12"/>
        </w:rPr>
        <w:t> </w:t>
      </w:r>
      <w:r>
        <w:rPr/>
        <w:t>error.</w:t>
      </w:r>
      <w:r>
        <w:rPr>
          <w:spacing w:val="-13"/>
        </w:rPr>
        <w:t> </w:t>
      </w:r>
      <w:r>
        <w:rPr/>
        <w:t>The</w:t>
      </w:r>
      <w:r>
        <w:rPr>
          <w:spacing w:val="-13"/>
        </w:rPr>
        <w:t> </w:t>
      </w:r>
      <w:r>
        <w:rPr/>
        <w:t>test</w:t>
      </w:r>
      <w:r>
        <w:rPr>
          <w:spacing w:val="-11"/>
        </w:rPr>
        <w:t> </w:t>
      </w:r>
      <w:r>
        <w:rPr/>
        <w:t>helped</w:t>
      </w:r>
      <w:r>
        <w:rPr>
          <w:spacing w:val="-11"/>
        </w:rPr>
        <w:t> </w:t>
      </w:r>
      <w:r>
        <w:rPr/>
        <w:t>to</w:t>
      </w:r>
      <w:r>
        <w:rPr>
          <w:spacing w:val="-12"/>
        </w:rPr>
        <w:t> </w:t>
      </w:r>
      <w:r>
        <w:rPr/>
        <w:t>ensure that our model was not mis-specified. The decision rule</w:t>
      </w:r>
      <w:r>
        <w:rPr>
          <w:spacing w:val="-1"/>
        </w:rPr>
        <w:t> </w:t>
      </w:r>
      <w:r>
        <w:rPr/>
        <w:t>is that if the F-statistic with a p-value is</w:t>
      </w:r>
      <w:r>
        <w:rPr>
          <w:spacing w:val="-4"/>
        </w:rPr>
        <w:t> </w:t>
      </w:r>
      <w:r>
        <w:rPr/>
        <w:t>greater</w:t>
      </w:r>
      <w:r>
        <w:rPr>
          <w:spacing w:val="-4"/>
        </w:rPr>
        <w:t> </w:t>
      </w:r>
      <w:r>
        <w:rPr/>
        <w:t>than</w:t>
      </w:r>
      <w:r>
        <w:rPr>
          <w:spacing w:val="-5"/>
        </w:rPr>
        <w:t> </w:t>
      </w:r>
      <w:r>
        <w:rPr/>
        <w:t>0.05,</w:t>
      </w:r>
      <w:r>
        <w:rPr>
          <w:spacing w:val="-5"/>
        </w:rPr>
        <w:t> </w:t>
      </w:r>
      <w:r>
        <w:rPr/>
        <w:t>it</w:t>
      </w:r>
      <w:r>
        <w:rPr>
          <w:spacing w:val="-4"/>
        </w:rPr>
        <w:t> </w:t>
      </w:r>
      <w:r>
        <w:rPr/>
        <w:t>indicates</w:t>
      </w:r>
      <w:r>
        <w:rPr>
          <w:spacing w:val="-5"/>
        </w:rPr>
        <w:t> </w:t>
      </w:r>
      <w:r>
        <w:rPr/>
        <w:t>no</w:t>
      </w:r>
      <w:r>
        <w:rPr>
          <w:spacing w:val="-5"/>
        </w:rPr>
        <w:t> </w:t>
      </w:r>
      <w:r>
        <w:rPr/>
        <w:t>misspecification</w:t>
      </w:r>
      <w:r>
        <w:rPr>
          <w:spacing w:val="-5"/>
        </w:rPr>
        <w:t> </w:t>
      </w:r>
      <w:r>
        <w:rPr/>
        <w:t>of</w:t>
      </w:r>
      <w:r>
        <w:rPr>
          <w:spacing w:val="-6"/>
        </w:rPr>
        <w:t> </w:t>
      </w:r>
      <w:r>
        <w:rPr/>
        <w:t>the</w:t>
      </w:r>
      <w:r>
        <w:rPr>
          <w:spacing w:val="-5"/>
        </w:rPr>
        <w:t> </w:t>
      </w:r>
      <w:r>
        <w:rPr/>
        <w:t>model</w:t>
      </w:r>
      <w:r>
        <w:rPr>
          <w:spacing w:val="-5"/>
        </w:rPr>
        <w:t> </w:t>
      </w:r>
      <w:r>
        <w:rPr/>
        <w:t>but</w:t>
      </w:r>
      <w:r>
        <w:rPr>
          <w:spacing w:val="-4"/>
        </w:rPr>
        <w:t> </w:t>
      </w:r>
      <w:r>
        <w:rPr/>
        <w:t>if</w:t>
      </w:r>
      <w:r>
        <w:rPr>
          <w:spacing w:val="-3"/>
        </w:rPr>
        <w:t> </w:t>
      </w:r>
      <w:r>
        <w:rPr/>
        <w:t>the</w:t>
      </w:r>
      <w:r>
        <w:rPr>
          <w:spacing w:val="-2"/>
        </w:rPr>
        <w:t> </w:t>
      </w:r>
      <w:r>
        <w:rPr/>
        <w:t>F-statistic</w:t>
      </w:r>
      <w:r>
        <w:rPr>
          <w:spacing w:val="-6"/>
        </w:rPr>
        <w:t> </w:t>
      </w:r>
      <w:r>
        <w:rPr/>
        <w:t>with</w:t>
      </w:r>
      <w:r>
        <w:rPr>
          <w:spacing w:val="-4"/>
        </w:rPr>
        <w:t> </w:t>
      </w:r>
      <w:r>
        <w:rPr/>
        <w:t>a</w:t>
      </w:r>
      <w:r>
        <w:rPr>
          <w:spacing w:val="-6"/>
        </w:rPr>
        <w:t> </w:t>
      </w:r>
      <w:r>
        <w:rPr/>
        <w:t>p- value is less than 0.05, it indicates that the model was misspecified.</w:t>
      </w:r>
    </w:p>
    <w:p>
      <w:pPr>
        <w:pStyle w:val="BodyText"/>
        <w:spacing w:line="480" w:lineRule="auto"/>
        <w:ind w:left="940" w:right="1435"/>
        <w:jc w:val="both"/>
      </w:pPr>
      <w:r>
        <w:rPr/>
        <w:drawing>
          <wp:anchor distT="0" distB="0" distL="0" distR="0" allowOverlap="1" layoutInCell="1" locked="0" behindDoc="1" simplePos="0" relativeHeight="477729280">
            <wp:simplePos x="0" y="0"/>
            <wp:positionH relativeFrom="page">
              <wp:posOffset>1095451</wp:posOffset>
            </wp:positionH>
            <wp:positionV relativeFrom="paragraph">
              <wp:posOffset>59584</wp:posOffset>
            </wp:positionV>
            <wp:extent cx="5106847" cy="5238115"/>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5" cstate="print"/>
                    <a:stretch>
                      <a:fillRect/>
                    </a:stretch>
                  </pic:blipFill>
                  <pic:spPr>
                    <a:xfrm>
                      <a:off x="0" y="0"/>
                      <a:ext cx="5106847" cy="5238115"/>
                    </a:xfrm>
                    <a:prstGeom prst="rect">
                      <a:avLst/>
                    </a:prstGeom>
                  </pic:spPr>
                </pic:pic>
              </a:graphicData>
            </a:graphic>
          </wp:anchor>
        </w:drawing>
      </w:r>
      <w:r>
        <w:rPr/>
        <w:t>However, a methodological issue arises in using the panel estimation in a study of this nature that involved pre and post analyses of a policy adoption (IFRS). For instance, there could be biases</w:t>
      </w:r>
      <w:r>
        <w:rPr>
          <w:spacing w:val="-10"/>
        </w:rPr>
        <w:t> </w:t>
      </w:r>
      <w:r>
        <w:rPr/>
        <w:t>from</w:t>
      </w:r>
      <w:r>
        <w:rPr>
          <w:spacing w:val="-10"/>
        </w:rPr>
        <w:t> </w:t>
      </w:r>
      <w:r>
        <w:rPr/>
        <w:t>comparisons</w:t>
      </w:r>
      <w:r>
        <w:rPr>
          <w:spacing w:val="-8"/>
        </w:rPr>
        <w:t> </w:t>
      </w:r>
      <w:r>
        <w:rPr/>
        <w:t>over</w:t>
      </w:r>
      <w:r>
        <w:rPr>
          <w:spacing w:val="-11"/>
        </w:rPr>
        <w:t> </w:t>
      </w:r>
      <w:r>
        <w:rPr/>
        <w:t>time</w:t>
      </w:r>
      <w:r>
        <w:rPr>
          <w:spacing w:val="-11"/>
        </w:rPr>
        <w:t> </w:t>
      </w:r>
      <w:r>
        <w:rPr/>
        <w:t>in</w:t>
      </w:r>
      <w:r>
        <w:rPr>
          <w:spacing w:val="-10"/>
        </w:rPr>
        <w:t> </w:t>
      </w:r>
      <w:r>
        <w:rPr/>
        <w:t>the</w:t>
      </w:r>
      <w:r>
        <w:rPr>
          <w:spacing w:val="-11"/>
        </w:rPr>
        <w:t> </w:t>
      </w:r>
      <w:r>
        <w:rPr/>
        <w:t>treatment</w:t>
      </w:r>
      <w:r>
        <w:rPr>
          <w:spacing w:val="-8"/>
        </w:rPr>
        <w:t> </w:t>
      </w:r>
      <w:r>
        <w:rPr/>
        <w:t>group</w:t>
      </w:r>
      <w:r>
        <w:rPr>
          <w:spacing w:val="-11"/>
        </w:rPr>
        <w:t> </w:t>
      </w:r>
      <w:r>
        <w:rPr/>
        <w:t>(post-IFRS</w:t>
      </w:r>
      <w:r>
        <w:rPr>
          <w:spacing w:val="-10"/>
        </w:rPr>
        <w:t> </w:t>
      </w:r>
      <w:r>
        <w:rPr/>
        <w:t>regime)</w:t>
      </w:r>
      <w:r>
        <w:rPr>
          <w:spacing w:val="-11"/>
        </w:rPr>
        <w:t> </w:t>
      </w:r>
      <w:r>
        <w:rPr/>
        <w:t>that</w:t>
      </w:r>
      <w:r>
        <w:rPr>
          <w:spacing w:val="-11"/>
        </w:rPr>
        <w:t> </w:t>
      </w:r>
      <w:r>
        <w:rPr/>
        <w:t>could</w:t>
      </w:r>
      <w:r>
        <w:rPr>
          <w:spacing w:val="-10"/>
        </w:rPr>
        <w:t> </w:t>
      </w:r>
      <w:r>
        <w:rPr/>
        <w:t>be</w:t>
      </w:r>
      <w:r>
        <w:rPr>
          <w:spacing w:val="-12"/>
        </w:rPr>
        <w:t> </w:t>
      </w:r>
      <w:r>
        <w:rPr/>
        <w:t>the result of trends due to other causes of the outcome. Again, there could be biases in post- intervention period comparisons between the treatment and control groups that could be the result from permanent differences between those groups Therefore, the study adopted the DD approach.</w:t>
      </w:r>
      <w:r>
        <w:rPr>
          <w:spacing w:val="-3"/>
        </w:rPr>
        <w:t> </w:t>
      </w:r>
      <w:r>
        <w:rPr/>
        <w:t>It</w:t>
      </w:r>
      <w:r>
        <w:rPr>
          <w:spacing w:val="-5"/>
        </w:rPr>
        <w:t> </w:t>
      </w:r>
      <w:r>
        <w:rPr/>
        <w:t>originated</w:t>
      </w:r>
      <w:r>
        <w:rPr>
          <w:spacing w:val="-8"/>
        </w:rPr>
        <w:t> </w:t>
      </w:r>
      <w:r>
        <w:rPr/>
        <w:t>in</w:t>
      </w:r>
      <w:r>
        <w:rPr>
          <w:spacing w:val="-5"/>
        </w:rPr>
        <w:t> </w:t>
      </w:r>
      <w:r>
        <w:rPr/>
        <w:t>the</w:t>
      </w:r>
      <w:r>
        <w:rPr>
          <w:spacing w:val="-8"/>
        </w:rPr>
        <w:t> </w:t>
      </w:r>
      <w:r>
        <w:rPr/>
        <w:t>field</w:t>
      </w:r>
      <w:r>
        <w:rPr>
          <w:spacing w:val="-7"/>
        </w:rPr>
        <w:t> </w:t>
      </w:r>
      <w:r>
        <w:rPr/>
        <w:t>of</w:t>
      </w:r>
      <w:r>
        <w:rPr>
          <w:spacing w:val="-6"/>
        </w:rPr>
        <w:t> </w:t>
      </w:r>
      <w:r>
        <w:rPr/>
        <w:t>econometrics,</w:t>
      </w:r>
      <w:r>
        <w:rPr>
          <w:spacing w:val="-7"/>
        </w:rPr>
        <w:t> </w:t>
      </w:r>
      <w:r>
        <w:rPr/>
        <w:t>but</w:t>
      </w:r>
      <w:r>
        <w:rPr>
          <w:spacing w:val="-7"/>
        </w:rPr>
        <w:t> </w:t>
      </w:r>
      <w:r>
        <w:rPr/>
        <w:t>the</w:t>
      </w:r>
      <w:r>
        <w:rPr>
          <w:spacing w:val="-4"/>
        </w:rPr>
        <w:t> </w:t>
      </w:r>
      <w:r>
        <w:rPr/>
        <w:t>logic</w:t>
      </w:r>
      <w:r>
        <w:rPr>
          <w:spacing w:val="-6"/>
        </w:rPr>
        <w:t> </w:t>
      </w:r>
      <w:r>
        <w:rPr/>
        <w:t>underlying</w:t>
      </w:r>
      <w:r>
        <w:rPr>
          <w:spacing w:val="-5"/>
        </w:rPr>
        <w:t> </w:t>
      </w:r>
      <w:r>
        <w:rPr/>
        <w:t>the</w:t>
      </w:r>
      <w:r>
        <w:rPr>
          <w:spacing w:val="-8"/>
        </w:rPr>
        <w:t> </w:t>
      </w:r>
      <w:r>
        <w:rPr/>
        <w:t>technique</w:t>
      </w:r>
      <w:r>
        <w:rPr>
          <w:spacing w:val="-5"/>
        </w:rPr>
        <w:t> </w:t>
      </w:r>
      <w:r>
        <w:rPr/>
        <w:t>was used</w:t>
      </w:r>
      <w:r>
        <w:rPr>
          <w:spacing w:val="-5"/>
        </w:rPr>
        <w:t> </w:t>
      </w:r>
      <w:r>
        <w:rPr/>
        <w:t>as</w:t>
      </w:r>
      <w:r>
        <w:rPr>
          <w:spacing w:val="-5"/>
        </w:rPr>
        <w:t> </w:t>
      </w:r>
      <w:r>
        <w:rPr/>
        <w:t>early</w:t>
      </w:r>
      <w:r>
        <w:rPr>
          <w:spacing w:val="-5"/>
        </w:rPr>
        <w:t> </w:t>
      </w:r>
      <w:r>
        <w:rPr/>
        <w:t>as</w:t>
      </w:r>
      <w:r>
        <w:rPr>
          <w:spacing w:val="-5"/>
        </w:rPr>
        <w:t> </w:t>
      </w:r>
      <w:r>
        <w:rPr/>
        <w:t>the</w:t>
      </w:r>
      <w:r>
        <w:rPr>
          <w:spacing w:val="-5"/>
        </w:rPr>
        <w:t> </w:t>
      </w:r>
      <w:r>
        <w:rPr/>
        <w:t>1850s</w:t>
      </w:r>
      <w:r>
        <w:rPr>
          <w:spacing w:val="-5"/>
        </w:rPr>
        <w:t> </w:t>
      </w:r>
      <w:r>
        <w:rPr/>
        <w:t>by</w:t>
      </w:r>
      <w:r>
        <w:rPr>
          <w:spacing w:val="-5"/>
        </w:rPr>
        <w:t> </w:t>
      </w:r>
      <w:r>
        <w:rPr/>
        <w:t>John</w:t>
      </w:r>
      <w:r>
        <w:rPr>
          <w:spacing w:val="-7"/>
        </w:rPr>
        <w:t> </w:t>
      </w:r>
      <w:r>
        <w:rPr/>
        <w:t>Snow.</w:t>
      </w:r>
      <w:r>
        <w:rPr>
          <w:spacing w:val="-5"/>
        </w:rPr>
        <w:t> </w:t>
      </w:r>
      <w:r>
        <w:rPr/>
        <w:t>It</w:t>
      </w:r>
      <w:r>
        <w:rPr>
          <w:spacing w:val="-4"/>
        </w:rPr>
        <w:t> </w:t>
      </w:r>
      <w:r>
        <w:rPr/>
        <w:t>is</w:t>
      </w:r>
      <w:r>
        <w:rPr>
          <w:spacing w:val="-4"/>
        </w:rPr>
        <w:t> </w:t>
      </w:r>
      <w:r>
        <w:rPr/>
        <w:t>typically</w:t>
      </w:r>
      <w:r>
        <w:rPr>
          <w:spacing w:val="-5"/>
        </w:rPr>
        <w:t> </w:t>
      </w:r>
      <w:r>
        <w:rPr/>
        <w:t>used</w:t>
      </w:r>
      <w:r>
        <w:rPr>
          <w:spacing w:val="-5"/>
        </w:rPr>
        <w:t> </w:t>
      </w:r>
      <w:r>
        <w:rPr/>
        <w:t>to</w:t>
      </w:r>
      <w:r>
        <w:rPr>
          <w:spacing w:val="-4"/>
        </w:rPr>
        <w:t> </w:t>
      </w:r>
      <w:r>
        <w:rPr/>
        <w:t>estimate</w:t>
      </w:r>
      <w:r>
        <w:rPr>
          <w:spacing w:val="-6"/>
        </w:rPr>
        <w:t> </w:t>
      </w:r>
      <w:r>
        <w:rPr/>
        <w:t>the</w:t>
      </w:r>
      <w:r>
        <w:rPr>
          <w:spacing w:val="-8"/>
        </w:rPr>
        <w:t> </w:t>
      </w:r>
      <w:r>
        <w:rPr/>
        <w:t>effect</w:t>
      </w:r>
      <w:r>
        <w:rPr>
          <w:spacing w:val="-4"/>
        </w:rPr>
        <w:t> </w:t>
      </w:r>
      <w:r>
        <w:rPr/>
        <w:t>of</w:t>
      </w:r>
      <w:r>
        <w:rPr>
          <w:spacing w:val="-6"/>
        </w:rPr>
        <w:t> </w:t>
      </w:r>
      <w:r>
        <w:rPr/>
        <w:t>a</w:t>
      </w:r>
      <w:r>
        <w:rPr>
          <w:spacing w:val="-6"/>
        </w:rPr>
        <w:t> </w:t>
      </w:r>
      <w:r>
        <w:rPr/>
        <w:t>specific intervention or treatment (such as passage of law, enactment of policy, or large-scale programme implementation). The DD has the advantage of removing biases in post- intervention period comparisons between the treatment and control groups that could be the result of the permanent differences between those groups as well as biases from comparisons over time in the treatment group that could be the result of trends due to other causes of the </w:t>
      </w:r>
      <w:r>
        <w:rPr>
          <w:spacing w:val="-2"/>
        </w:rPr>
        <w:t>outcome.</w:t>
      </w:r>
    </w:p>
    <w:p>
      <w:pPr>
        <w:pStyle w:val="Heading3"/>
        <w:numPr>
          <w:ilvl w:val="2"/>
          <w:numId w:val="28"/>
        </w:numPr>
        <w:tabs>
          <w:tab w:pos="1540" w:val="left" w:leader="none"/>
        </w:tabs>
        <w:spacing w:line="240" w:lineRule="auto" w:before="2" w:after="0"/>
        <w:ind w:left="1540" w:right="0" w:hanging="600"/>
        <w:jc w:val="both"/>
      </w:pPr>
      <w:bookmarkStart w:name="_TOC_250024" w:id="46"/>
      <w:r>
        <w:rPr/>
        <w:t>Co</w:t>
      </w:r>
      <w:r>
        <w:rPr>
          <w:spacing w:val="-4"/>
        </w:rPr>
        <w:t> </w:t>
      </w:r>
      <w:r>
        <w:rPr/>
        <w:t>integration</w:t>
      </w:r>
      <w:r>
        <w:rPr>
          <w:spacing w:val="-1"/>
        </w:rPr>
        <w:t> </w:t>
      </w:r>
      <w:bookmarkEnd w:id="46"/>
      <w:r>
        <w:rPr>
          <w:spacing w:val="-4"/>
        </w:rPr>
        <w:t>Test</w:t>
      </w:r>
    </w:p>
    <w:p>
      <w:pPr>
        <w:pStyle w:val="BodyText"/>
        <w:rPr>
          <w:b/>
        </w:rPr>
      </w:pPr>
    </w:p>
    <w:p>
      <w:pPr>
        <w:pStyle w:val="BodyText"/>
        <w:spacing w:line="480" w:lineRule="auto"/>
        <w:ind w:left="940" w:right="1435"/>
        <w:jc w:val="both"/>
      </w:pPr>
      <w:r>
        <w:rPr/>
        <w:t>The test is used to establish if there is a correlation between two or more variables between several</w:t>
      </w:r>
      <w:r>
        <w:rPr>
          <w:spacing w:val="-9"/>
        </w:rPr>
        <w:t> </w:t>
      </w:r>
      <w:r>
        <w:rPr/>
        <w:t>time</w:t>
      </w:r>
      <w:r>
        <w:rPr>
          <w:spacing w:val="-10"/>
        </w:rPr>
        <w:t> </w:t>
      </w:r>
      <w:r>
        <w:rPr/>
        <w:t>series.</w:t>
      </w:r>
      <w:r>
        <w:rPr>
          <w:spacing w:val="40"/>
        </w:rPr>
        <w:t> </w:t>
      </w:r>
      <w:r>
        <w:rPr/>
        <w:t>The</w:t>
      </w:r>
      <w:r>
        <w:rPr>
          <w:spacing w:val="-11"/>
        </w:rPr>
        <w:t> </w:t>
      </w:r>
      <w:r>
        <w:rPr/>
        <w:t>tests</w:t>
      </w:r>
      <w:r>
        <w:rPr>
          <w:spacing w:val="-9"/>
        </w:rPr>
        <w:t> </w:t>
      </w:r>
      <w:r>
        <w:rPr/>
        <w:t>are</w:t>
      </w:r>
      <w:r>
        <w:rPr>
          <w:spacing w:val="-11"/>
        </w:rPr>
        <w:t> </w:t>
      </w:r>
      <w:r>
        <w:rPr/>
        <w:t>used</w:t>
      </w:r>
      <w:r>
        <w:rPr>
          <w:spacing w:val="-10"/>
        </w:rPr>
        <w:t> </w:t>
      </w:r>
      <w:r>
        <w:rPr/>
        <w:t>to</w:t>
      </w:r>
      <w:r>
        <w:rPr>
          <w:spacing w:val="-9"/>
        </w:rPr>
        <w:t> </w:t>
      </w:r>
      <w:r>
        <w:rPr/>
        <w:t>identify</w:t>
      </w:r>
      <w:r>
        <w:rPr>
          <w:spacing w:val="-10"/>
        </w:rPr>
        <w:t> </w:t>
      </w:r>
      <w:r>
        <w:rPr/>
        <w:t>the</w:t>
      </w:r>
      <w:r>
        <w:rPr>
          <w:spacing w:val="-10"/>
        </w:rPr>
        <w:t> </w:t>
      </w:r>
      <w:r>
        <w:rPr/>
        <w:t>degree</w:t>
      </w:r>
      <w:r>
        <w:rPr>
          <w:spacing w:val="-11"/>
        </w:rPr>
        <w:t> </w:t>
      </w:r>
      <w:r>
        <w:rPr/>
        <w:t>of</w:t>
      </w:r>
      <w:r>
        <w:rPr>
          <w:spacing w:val="-10"/>
        </w:rPr>
        <w:t> </w:t>
      </w:r>
      <w:r>
        <w:rPr/>
        <w:t>sensitivity</w:t>
      </w:r>
      <w:r>
        <w:rPr>
          <w:spacing w:val="-9"/>
        </w:rPr>
        <w:t> </w:t>
      </w:r>
      <w:r>
        <w:rPr/>
        <w:t>of</w:t>
      </w:r>
      <w:r>
        <w:rPr>
          <w:spacing w:val="-10"/>
        </w:rPr>
        <w:t> </w:t>
      </w:r>
      <w:r>
        <w:rPr/>
        <w:t>two</w:t>
      </w:r>
      <w:r>
        <w:rPr>
          <w:spacing w:val="-10"/>
        </w:rPr>
        <w:t> </w:t>
      </w:r>
      <w:r>
        <w:rPr/>
        <w:t>variables,</w:t>
      </w:r>
      <w:r>
        <w:rPr>
          <w:spacing w:val="-10"/>
        </w:rPr>
        <w:t> </w:t>
      </w:r>
      <w:r>
        <w:rPr/>
        <w:t>i.e., if both variables have a long-run relationship. For the purpose of this study, panel co- integration test was carried out using Kao cointegration tests.</w:t>
      </w:r>
    </w:p>
    <w:p>
      <w:pPr>
        <w:spacing w:after="0" w:line="480" w:lineRule="auto"/>
        <w:jc w:val="both"/>
        <w:sectPr>
          <w:pgSz w:w="11910" w:h="16840"/>
          <w:pgMar w:header="0" w:footer="971" w:top="1360" w:bottom="1160" w:left="500" w:right="0"/>
        </w:sectPr>
      </w:pPr>
    </w:p>
    <w:p>
      <w:pPr>
        <w:pStyle w:val="BodyText"/>
      </w:pPr>
    </w:p>
    <w:p>
      <w:pPr>
        <w:pStyle w:val="BodyText"/>
      </w:pPr>
    </w:p>
    <w:p>
      <w:pPr>
        <w:pStyle w:val="BodyText"/>
        <w:spacing w:before="267"/>
      </w:pPr>
    </w:p>
    <w:p>
      <w:pPr>
        <w:pStyle w:val="ListParagraph"/>
        <w:numPr>
          <w:ilvl w:val="1"/>
          <w:numId w:val="29"/>
        </w:numPr>
        <w:tabs>
          <w:tab w:pos="1360" w:val="left" w:leader="none"/>
        </w:tabs>
        <w:spacing w:line="240" w:lineRule="auto" w:before="0" w:after="0"/>
        <w:ind w:left="1360" w:right="0" w:hanging="420"/>
        <w:jc w:val="left"/>
        <w:rPr>
          <w:b/>
          <w:sz w:val="24"/>
        </w:rPr>
      </w:pPr>
      <w:r>
        <w:rPr>
          <w:b/>
          <w:spacing w:val="-2"/>
          <w:sz w:val="24"/>
        </w:rPr>
        <w:t>Introduction</w:t>
      </w:r>
    </w:p>
    <w:p>
      <w:pPr>
        <w:pStyle w:val="Heading2"/>
        <w:spacing w:line="451" w:lineRule="auto"/>
        <w:ind w:left="64" w:right="3271" w:firstLine="1726"/>
        <w:jc w:val="left"/>
      </w:pPr>
      <w:bookmarkStart w:name="_TOC_250023" w:id="47"/>
      <w:r>
        <w:rPr>
          <w:b w:val="0"/>
        </w:rPr>
        <w:br w:type="column"/>
      </w:r>
      <w:r>
        <w:rPr/>
        <w:t>CHAPTER FOUR PRESENTATION</w:t>
      </w:r>
      <w:r>
        <w:rPr>
          <w:spacing w:val="-9"/>
        </w:rPr>
        <w:t> </w:t>
      </w:r>
      <w:r>
        <w:rPr/>
        <w:t>AND</w:t>
      </w:r>
      <w:r>
        <w:rPr>
          <w:spacing w:val="-9"/>
        </w:rPr>
        <w:t> </w:t>
      </w:r>
      <w:r>
        <w:rPr/>
        <w:t>ANALYSES</w:t>
      </w:r>
      <w:r>
        <w:rPr>
          <w:spacing w:val="-9"/>
        </w:rPr>
        <w:t> </w:t>
      </w:r>
      <w:r>
        <w:rPr/>
        <w:t>OF</w:t>
      </w:r>
      <w:r>
        <w:rPr>
          <w:spacing w:val="-9"/>
        </w:rPr>
        <w:t> </w:t>
      </w:r>
      <w:bookmarkEnd w:id="47"/>
      <w:r>
        <w:rPr/>
        <w:t>RESULTS</w:t>
      </w:r>
    </w:p>
    <w:p>
      <w:pPr>
        <w:spacing w:after="0" w:line="451" w:lineRule="auto"/>
        <w:jc w:val="left"/>
        <w:sectPr>
          <w:pgSz w:w="11910" w:h="16840"/>
          <w:pgMar w:header="0" w:footer="971" w:top="1360" w:bottom="1160" w:left="500" w:right="0"/>
          <w:cols w:num="2" w:equalWidth="0">
            <w:col w:w="2668" w:space="40"/>
            <w:col w:w="8702"/>
          </w:cols>
        </w:sectPr>
      </w:pPr>
    </w:p>
    <w:p>
      <w:pPr>
        <w:pStyle w:val="BodyText"/>
        <w:rPr>
          <w:b/>
        </w:rPr>
      </w:pPr>
    </w:p>
    <w:p>
      <w:pPr>
        <w:pStyle w:val="BodyText"/>
        <w:spacing w:line="480" w:lineRule="auto"/>
        <w:ind w:left="940" w:right="1436"/>
        <w:jc w:val="both"/>
      </w:pPr>
      <w:r>
        <w:rPr/>
        <mc:AlternateContent>
          <mc:Choice Requires="wps">
            <w:drawing>
              <wp:anchor distT="0" distB="0" distL="0" distR="0" allowOverlap="1" layoutInCell="1" locked="0" behindDoc="1" simplePos="0" relativeHeight="477730304">
                <wp:simplePos x="0" y="0"/>
                <wp:positionH relativeFrom="page">
                  <wp:posOffset>1269060</wp:posOffset>
                </wp:positionH>
                <wp:positionV relativeFrom="paragraph">
                  <wp:posOffset>805000</wp:posOffset>
                </wp:positionV>
                <wp:extent cx="4933315" cy="497649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4933315" cy="4976495"/>
                          <a:chExt cx="4933315" cy="4976495"/>
                        </a:xfrm>
                      </wpg:grpSpPr>
                      <wps:wsp>
                        <wps:cNvPr id="135" name="Graphic 135"/>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36" name="Image 136"/>
                          <pic:cNvPicPr/>
                        </pic:nvPicPr>
                        <pic:blipFill>
                          <a:blip r:embed="rId9" cstate="print"/>
                          <a:stretch>
                            <a:fillRect/>
                          </a:stretch>
                        </pic:blipFill>
                        <pic:spPr>
                          <a:xfrm>
                            <a:off x="1248333" y="3743197"/>
                            <a:ext cx="221995" cy="221614"/>
                          </a:xfrm>
                          <a:prstGeom prst="rect">
                            <a:avLst/>
                          </a:prstGeom>
                        </pic:spPr>
                      </pic:pic>
                      <wps:wsp>
                        <wps:cNvPr id="137" name="Graphic 137"/>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63.38586pt;width:388.45pt;height:391.85pt;mso-position-horizontal-relative:page;mso-position-vertical-relative:paragraph;z-index:-25586176" id="docshapegroup5" coordorigin="1999,1268" coordsize="7769,7837">
                <v:shape style="position:absolute;left:1998;top:7086;width:2142;height:2018" id="docshape6" coordorigin="1999,7087" coordsize="2142,2018" path="m3420,8797l3419,8755,3412,8712,3400,8668,3383,8623,3362,8577,3335,8530,3304,8483,3268,8436,3227,8388,3181,8339,2526,7685,2521,7681,2511,7677,2501,7678,2495,7680,2489,7683,2482,7687,2475,7692,2467,7699,2449,7717,2438,7731,2434,7739,2431,7745,2429,7750,2427,7757,2428,7761,2431,7771,2435,7776,3090,8431,3124,8467,3154,8501,3181,8535,3204,8568,3223,8600,3239,8631,3252,8661,3261,8690,3266,8719,3268,8746,3267,8772,3262,8798,3254,8822,3243,8845,3227,8866,3209,8887,3189,8905,3167,8919,3144,8930,3120,8938,3095,8943,3068,8944,3040,8942,3012,8936,2982,8927,2951,8915,2919,8899,2886,8879,2852,8855,2817,8828,2782,8796,2745,8761,2097,8113,2092,8110,2083,8106,2078,8106,2072,8107,2067,8109,2060,8112,2053,8116,2038,8128,2020,8145,2014,8154,2009,8160,2002,8174,2000,8179,1999,8186,1999,8190,2002,8200,2006,8205,2671,8870,2720,8916,2768,8957,2815,8993,2862,9025,2908,9051,2953,9071,2996,9087,3038,9097,3080,9103,3119,9104,3157,9101,3195,9093,3230,9080,3263,9062,3295,9040,3324,9014,3353,8982,3377,8948,3395,8913,3408,8875,3417,8837,3420,8797xm4140,8024l4134,7970,4120,7915,4100,7859,4073,7801,4041,7741,4002,7680,3983,7654,3983,8002,3983,8041,3977,8078,3963,8113,3943,8146,3916,8177,3885,8204,3852,8224,3819,8238,3783,8245,3747,8247,3709,8244,3670,8235,3630,8221,3589,8202,3547,8179,3504,8151,3460,8119,3415,8083,3370,8043,3324,8001,3277,7956,3236,7913,3197,7870,3160,7827,3126,7783,3095,7740,3068,7697,3046,7654,3028,7612,3013,7572,3004,7532,3000,7493,3001,7455,3007,7418,3020,7383,3040,7351,3067,7320,3097,7293,3130,7273,3163,7259,3199,7252,3236,7250,3274,7253,3313,7262,3353,7276,3394,7295,3436,7317,3479,7344,3523,7376,3567,7411,3612,7449,3657,7491,3702,7535,3744,7578,3783,7621,3820,7665,3855,7709,3887,7753,3914,7796,3936,7839,3955,7881,3970,7922,3979,7963,3983,8002,3983,7654,3957,7618,3907,7555,3851,7492,3789,7428,3725,7366,3662,7310,3601,7260,3588,7250,3541,7216,3483,7178,3426,7147,3371,7122,3317,7104,3265,7092,3215,7087,3167,7088,3120,7096,3075,7109,3032,7130,2991,7158,2952,7193,2916,7234,2887,7277,2866,7322,2852,7370,2846,7420,2845,7472,2852,7525,2865,7580,2885,7636,2911,7694,2943,7754,2981,7814,3025,7875,3075,7937,3130,8000,3190,8063,3255,8126,3319,8182,3381,8233,3441,8278,3500,8316,3557,8348,3613,8373,3666,8392,3718,8404,3768,8410,3817,8409,3864,8402,3910,8388,3953,8367,3995,8339,4035,8304,4071,8263,4081,8247,4099,8220,4120,8174,4133,8126,4140,8076,4140,8024xe" filled="true" fillcolor="#c0c0c0" stroked="false">
                  <v:path arrowok="t"/>
                  <v:fill opacity="32896f" type="solid"/>
                </v:shape>
                <v:shape style="position:absolute;left:3964;top:7162;width:350;height:349" type="#_x0000_t75" id="docshape7" stroked="false">
                  <v:imagedata r:id="rId9" o:title=""/>
                </v:shape>
                <v:shape style="position:absolute;left:3758;top:1267;width:6009;height:6216" id="docshape8" coordorigin="3759,1268" coordsize="6009,6216" path="m4895,7403l4895,7399,4892,7389,4888,7384,4884,7380,3857,6353,3852,6350,3843,6346,3838,6346,3832,6347,3826,6349,3821,6352,3813,6356,3806,6361,3798,6368,3781,6385,3770,6399,3762,6413,3760,6419,3759,6425,3759,6430,3762,6440,3765,6445,4796,7476,4801,7480,4811,7483,4815,7483,4821,7481,4827,7480,4833,7477,4841,7473,4848,7468,4856,7461,4873,7443,4880,7435,4885,7428,4889,7421,4892,7415,4893,7409,4895,7403xm5170,7123l5169,7119,5167,7114,5163,7109,5159,7105,4775,6721,4854,6643,4883,6610,4887,6605,4907,6577,4926,6543,4939,6508,4948,6472,4952,6437,4952,6398,4947,6360,4938,6321,4925,6282,4908,6242,4886,6202,4861,6161,4831,6121,4800,6084,4800,6392,4799,6414,4795,6437,4787,6458,4776,6480,4761,6501,4742,6522,4659,6605,4232,6178,4317,6093,4329,6081,4342,6070,4356,6060,4371,6050,4387,6042,4405,6035,4425,6031,4446,6029,4469,6030,4494,6035,4521,6043,4550,6055,4580,6072,4610,6093,4642,6118,4674,6149,4697,6173,4718,6197,4736,6221,4753,6246,4767,6271,4779,6296,4788,6321,4795,6345,4799,6368,4800,6392,4800,6084,4797,6081,4759,6040,4748,6029,4729,6012,4699,5986,4669,5962,4638,5941,4608,5923,4578,5908,4549,5895,4520,5885,4491,5877,4462,5872,4434,5870,4406,5870,4380,5872,4356,5877,4334,5883,4314,5892,4296,5901,4280,5910,4266,5919,4253,5928,4241,5937,4230,5947,4218,5958,4207,5969,4059,6116,4054,6124,4050,6133,4048,6143,4048,6155,4052,6168,4059,6182,4069,6197,4084,6213,5067,7197,5071,7201,5076,7204,5081,7206,5086,7208,5091,7208,5096,7206,5102,7205,5109,7202,5116,7197,5123,7192,5131,7186,5149,7168,5155,7160,5160,7153,5165,7146,5167,7140,5168,7133,5170,7129,5170,7123xm5863,6435l5863,6431,5860,6421,5856,6416,4928,5488,5125,5291,5127,5288,5127,5283,5126,5278,5125,5273,5122,5266,5119,5260,5114,5253,5092,5227,5081,5217,5070,5206,5061,5197,5044,5183,5036,5177,5023,5171,5018,5169,5008,5169,5005,5171,4519,5657,4517,5660,4518,5665,4517,5670,4519,5675,4526,5688,4531,5695,4538,5703,4545,5713,4554,5722,4575,5744,4585,5752,4593,5758,4601,5765,4609,5771,4621,5777,4626,5778,4631,5778,4636,5779,4639,5777,4836,5580,5764,6508,5769,6511,5779,6515,5783,6515,5789,6513,5795,6512,5809,6505,5824,6493,5842,6475,5848,6467,5853,6460,5857,6453,5860,6447,5861,6441,5863,6435xm6396,5903l6395,5898,6392,5889,6388,5884,5460,4956,5657,4759,5659,4756,5659,4750,5658,4740,5652,4728,5646,4720,5639,4713,5624,4695,5613,4684,5603,4674,5576,4650,5569,4645,5556,4638,5550,4637,5545,4637,5540,4637,5537,4639,5052,5124,5050,5128,5050,5132,5050,5137,5052,5142,5058,5155,5064,5163,5071,5171,5078,5180,5086,5190,5108,5211,5117,5220,5126,5226,5134,5233,5141,5239,5154,5244,5158,5246,5164,5246,5168,5246,5172,5244,5369,5048,6297,5976,6301,5979,6311,5983,6316,5983,6321,5981,6327,5980,6341,5972,6348,5967,6356,5961,6374,5943,6386,5928,6392,5915,6394,5908,6396,5903xm7102,5062l7095,5009,7081,4954,7061,4897,7035,4839,7003,4780,6964,4719,6945,4693,6945,5041,6945,5079,6938,5116,6925,5151,6905,5184,6878,5215,6847,5242,6814,5263,6780,5276,6745,5284,6708,5286,6671,5282,6632,5274,6591,5259,6551,5240,6509,5217,6466,5189,6422,5157,6377,5121,6332,5082,6285,5040,6239,4994,6198,4951,6159,4908,6122,4865,6087,4821,6056,4778,6030,4735,6008,4693,5989,4651,5975,4610,5966,4570,5962,4531,5963,4493,5969,4456,5982,4422,6002,4389,6028,4358,6059,4331,6091,4311,6125,4297,6161,4290,6198,4288,6236,4292,6275,4300,6315,4314,6356,4333,6398,4356,6441,4383,6484,4414,6529,4450,6573,4488,6618,4529,6663,4573,6705,4616,6745,4660,6782,4703,6817,4747,6848,4791,6875,4834,6898,4877,6917,4919,6932,4960,6941,5001,6945,5041,6945,4693,6919,4657,6869,4594,6812,4530,6751,4466,6687,4404,6624,4348,6563,4298,6549,4288,6503,4254,6444,4217,6388,4186,6332,4161,6279,4142,6227,4130,6177,4125,6129,4126,6081,4134,6036,4147,5993,4168,5952,4196,5913,4231,5877,4272,5849,4315,5828,4360,5814,4408,5807,4458,5807,4510,5813,4563,5826,4618,5846,4674,5872,4732,5904,4792,5942,4852,5987,4914,6036,4976,6091,5038,6152,5101,6217,5164,6280,5221,6342,5271,6403,5316,6462,5354,6519,5386,6574,5411,6628,5430,6680,5443,6730,5448,6778,5447,6826,5440,6871,5427,6915,5406,6957,5377,6996,5342,7032,5301,7042,5286,7061,5258,7082,5212,7095,5164,7102,5114,7102,5062xm8054,4135l8054,4107,8054,4097,8052,4088,8050,4079,8048,4073,8043,4061,8040,4056,8036,4050,8014,4024,7998,4008,7980,3991,7957,3970,7943,3960,7938,3957,7933,3955,7927,3955,7924,3957,7916,3965,7913,3977,7915,3997,7916,4012,7916,4029,7915,4047,7914,4067,7912,4088,7909,4109,7903,4132,7897,4155,7887,4178,7875,4200,7859,4222,7840,4243,7815,4265,7787,4282,7757,4295,7726,4303,7692,4307,7657,4306,7620,4300,7582,4289,7542,4273,7500,4254,7456,4229,7411,4199,7364,4165,7317,4126,7268,4083,7218,4035,7169,3984,7125,3935,7086,3886,7051,3838,7021,3792,6995,3747,6974,3704,6958,3663,6945,3623,6938,3585,6936,3548,6938,3514,6945,3482,6957,3453,6973,3426,6995,3402,7016,3382,7038,3366,7060,3354,7083,3345,7106,3339,7128,3334,7149,3331,7170,3329,7189,3328,7224,3329,7239,3330,7259,3332,7272,3331,7279,3323,7280,3319,7280,3314,7279,3310,7277,3305,7270,3291,7258,3275,7242,3257,7213,3228,7197,3214,7190,3210,7184,3204,7173,3197,7161,3192,7153,3189,7141,3187,7130,3185,7118,3184,7087,3185,7069,3186,7050,3188,7032,3192,7013,3197,6995,3203,6976,3210,6957,3218,6939,3227,6921,3237,6904,3249,6888,3262,6872,3277,6841,3312,6817,3351,6799,3393,6787,3438,6782,3486,6782,3536,6788,3589,6801,3643,6820,3701,6846,3759,6877,3820,6915,3882,6959,3945,7010,4009,7066,4074,7129,4140,7193,4202,7256,4257,7318,4305,7378,4348,7437,4384,7494,4414,7550,4438,7604,4456,7655,4468,7705,4473,7753,4473,7798,4466,7841,4453,7881,4435,7919,4410,7954,4380,7972,4360,7989,4339,8003,4318,8015,4297,8025,4274,8033,4253,8040,4231,8045,4211,8049,4191,8052,4171,8054,4153,8054,4135xm8654,3510l8648,3456,8634,3401,8614,3344,8588,3286,8555,3227,8517,3166,8498,3140,8498,3488,8497,3527,8491,3563,8477,3598,8457,3631,8430,3662,8399,3690,8367,3710,8333,3724,8297,3731,8261,3733,8223,3730,8184,3721,8144,3707,8103,3688,8061,3664,8018,3637,7974,3604,7930,3568,7884,3529,7838,3487,7791,3442,7750,3399,7711,3356,7675,3312,7640,3269,7609,3225,7583,3183,7560,3140,7542,3098,7528,3057,7519,3017,7515,2978,7515,2940,7521,2904,7534,2869,7554,2836,7581,2806,7612,2779,7644,2758,7678,2745,7713,2737,7750,2736,7788,2739,7827,2747,7867,2761,7909,2780,7951,2803,7993,2830,8037,2862,8081,2897,8126,2935,8171,2976,8216,3020,8258,3064,8297,3107,8334,3151,8369,3195,8401,3239,8428,3282,8451,3325,8469,3366,8484,3408,8493,3448,8498,3488,8498,3140,8472,3104,8421,3041,8365,2978,8303,2913,8239,2851,8176,2796,8115,2746,8102,2736,8055,2702,7997,2664,7940,2633,7885,2608,7831,2590,7780,2578,7730,2573,7681,2574,7634,2581,7589,2595,7546,2616,7505,2644,7466,2679,7430,2719,7401,2762,7380,2808,7366,2855,7360,2906,7360,2957,7366,3011,7379,3065,7399,3122,7425,3180,7457,3239,7495,3300,7539,3361,7589,3423,7644,3486,7704,3549,7769,3612,7833,3668,7895,3719,7955,3763,8014,3802,8072,3833,8127,3859,8181,3878,8232,3890,8282,3896,8331,3895,8378,3888,8424,3874,8468,3853,8509,3825,8549,3789,8585,3749,8595,3733,8613,3705,8634,3660,8647,3612,8654,3562,8654,3510xm9075,3219l9073,3214,9071,3209,9068,3204,8680,2817,8758,2738,8788,2706,8792,2700,8812,2672,8831,2638,8844,2603,8852,2567,8857,2532,8857,2493,8852,2455,8843,2416,8830,2377,8813,2337,8791,2297,8765,2257,8736,2216,8705,2180,8705,2487,8704,2510,8699,2532,8692,2554,8681,2575,8665,2597,8647,2618,8564,2700,8136,2273,8221,2188,8233,2177,8247,2166,8261,2155,8276,2146,8292,2137,8310,2131,8330,2127,8351,2125,8374,2126,8399,2130,8426,2139,8455,2151,8484,2167,8515,2188,8547,2214,8579,2244,8602,2268,8623,2292,8641,2317,8658,2342,8672,2367,8684,2392,8693,2416,8699,2440,8704,2464,8705,2487,8705,2180,8702,2176,8664,2136,8652,2125,8634,2107,8604,2081,8573,2057,8543,2036,8513,2018,8483,2003,8453,1991,8424,1980,8395,1973,8367,1968,8339,1965,8311,1965,8284,1968,8260,1972,8238,1979,8218,1987,8201,1996,8185,2006,8170,2015,8158,2023,8146,2033,8135,2042,8123,2053,8112,2064,7964,2212,7958,2219,7955,2228,7953,2239,7953,2251,7956,2264,7963,2278,7974,2293,7989,2309,8972,3292,8976,3296,8981,3300,8990,3303,8995,3303,9001,3301,9007,3300,9021,3293,9028,3288,9035,3282,9053,3263,9060,3255,9065,3248,9069,3241,9072,3235,9073,3229,9075,3224,9075,3219xm9767,2531l9767,2526,9764,2517,9760,2512,9363,2115,9289,1971,9068,1536,8957,1319,8941,1289,8936,1283,8929,1275,8923,1271,8910,1268,8902,1271,8893,1276,8886,1281,8870,1296,8852,1314,8845,1323,8835,1336,8832,1343,8830,1347,8829,1353,8829,1359,8831,1364,8833,1371,8836,1376,8840,1383,8876,1450,8981,1653,9052,1787,9151,1965,9186,2024,9185,2025,8944,1891,8877,1855,8542,1680,8534,1676,8528,1674,8523,1671,8517,1670,8505,1672,8500,1674,8493,1678,8469,1697,8446,1720,8438,1730,8426,1745,8423,1752,8426,1766,8430,1772,8445,1783,8454,1789,8475,1801,8620,1875,9055,2096,9272,2207,9668,2604,9673,2607,9678,2609,9682,2611,9687,2611,9693,2609,9699,2608,9713,2600,9720,2596,9727,2589,9745,2572,9752,2563,9757,2557,9761,2549,9764,2543,9765,2536,9767,2531xe" filled="true" fillcolor="#c0c0c0" stroked="false">
                  <v:path arrowok="t"/>
                  <v:fill opacity="32896f" type="solid"/>
                </v:shape>
                <w10:wrap type="none"/>
              </v:group>
            </w:pict>
          </mc:Fallback>
        </mc:AlternateContent>
      </w:r>
      <w:r>
        <w:rPr/>
        <w:t>This chapter presents the results from the analysis of the data and also goes further to discuss and</w:t>
      </w:r>
      <w:r>
        <w:rPr>
          <w:spacing w:val="-3"/>
        </w:rPr>
        <w:t> </w:t>
      </w:r>
      <w:r>
        <w:rPr/>
        <w:t>interpret</w:t>
      </w:r>
      <w:r>
        <w:rPr>
          <w:spacing w:val="-3"/>
        </w:rPr>
        <w:t> </w:t>
      </w:r>
      <w:r>
        <w:rPr/>
        <w:t>the</w:t>
      </w:r>
      <w:r>
        <w:rPr>
          <w:spacing w:val="-4"/>
        </w:rPr>
        <w:t> </w:t>
      </w:r>
      <w:r>
        <w:rPr/>
        <w:t>results.</w:t>
      </w:r>
      <w:r>
        <w:rPr>
          <w:spacing w:val="-3"/>
        </w:rPr>
        <w:t> </w:t>
      </w:r>
      <w:r>
        <w:rPr/>
        <w:t>The</w:t>
      </w:r>
      <w:r>
        <w:rPr>
          <w:spacing w:val="-4"/>
        </w:rPr>
        <w:t> </w:t>
      </w:r>
      <w:r>
        <w:rPr/>
        <w:t>chapter</w:t>
      </w:r>
      <w:r>
        <w:rPr>
          <w:spacing w:val="-3"/>
        </w:rPr>
        <w:t> </w:t>
      </w:r>
      <w:r>
        <w:rPr/>
        <w:t>is</w:t>
      </w:r>
      <w:r>
        <w:rPr>
          <w:spacing w:val="-3"/>
        </w:rPr>
        <w:t> </w:t>
      </w:r>
      <w:r>
        <w:rPr/>
        <w:t>integral</w:t>
      </w:r>
      <w:r>
        <w:rPr>
          <w:spacing w:val="-3"/>
        </w:rPr>
        <w:t> </w:t>
      </w:r>
      <w:r>
        <w:rPr/>
        <w:t>to</w:t>
      </w:r>
      <w:r>
        <w:rPr>
          <w:spacing w:val="-3"/>
        </w:rPr>
        <w:t> </w:t>
      </w:r>
      <w:r>
        <w:rPr/>
        <w:t>providing</w:t>
      </w:r>
      <w:r>
        <w:rPr>
          <w:spacing w:val="-3"/>
        </w:rPr>
        <w:t> </w:t>
      </w:r>
      <w:r>
        <w:rPr/>
        <w:t>answers</w:t>
      </w:r>
      <w:r>
        <w:rPr>
          <w:spacing w:val="-3"/>
        </w:rPr>
        <w:t> </w:t>
      </w:r>
      <w:r>
        <w:rPr/>
        <w:t>to</w:t>
      </w:r>
      <w:r>
        <w:rPr>
          <w:spacing w:val="-3"/>
        </w:rPr>
        <w:t> </w:t>
      </w:r>
      <w:r>
        <w:rPr/>
        <w:t>the</w:t>
      </w:r>
      <w:r>
        <w:rPr>
          <w:spacing w:val="-3"/>
        </w:rPr>
        <w:t> </w:t>
      </w:r>
      <w:r>
        <w:rPr/>
        <w:t>research</w:t>
      </w:r>
      <w:r>
        <w:rPr>
          <w:spacing w:val="-3"/>
        </w:rPr>
        <w:t> </w:t>
      </w:r>
      <w:r>
        <w:rPr/>
        <w:t>questions and</w:t>
      </w:r>
      <w:r>
        <w:rPr>
          <w:spacing w:val="-7"/>
        </w:rPr>
        <w:t> </w:t>
      </w:r>
      <w:r>
        <w:rPr/>
        <w:t>it</w:t>
      </w:r>
      <w:r>
        <w:rPr>
          <w:spacing w:val="-7"/>
        </w:rPr>
        <w:t> </w:t>
      </w:r>
      <w:r>
        <w:rPr/>
        <w:t>also</w:t>
      </w:r>
      <w:r>
        <w:rPr>
          <w:spacing w:val="-7"/>
        </w:rPr>
        <w:t> </w:t>
      </w:r>
      <w:r>
        <w:rPr/>
        <w:t>forms</w:t>
      </w:r>
      <w:r>
        <w:rPr>
          <w:spacing w:val="-7"/>
        </w:rPr>
        <w:t> </w:t>
      </w:r>
      <w:r>
        <w:rPr/>
        <w:t>the</w:t>
      </w:r>
      <w:r>
        <w:rPr>
          <w:spacing w:val="-6"/>
        </w:rPr>
        <w:t> </w:t>
      </w:r>
      <w:r>
        <w:rPr/>
        <w:t>basis</w:t>
      </w:r>
      <w:r>
        <w:rPr>
          <w:spacing w:val="-6"/>
        </w:rPr>
        <w:t> </w:t>
      </w:r>
      <w:r>
        <w:rPr/>
        <w:t>for</w:t>
      </w:r>
      <w:r>
        <w:rPr>
          <w:spacing w:val="-9"/>
        </w:rPr>
        <w:t> </w:t>
      </w:r>
      <w:r>
        <w:rPr/>
        <w:t>the</w:t>
      </w:r>
      <w:r>
        <w:rPr>
          <w:spacing w:val="-8"/>
        </w:rPr>
        <w:t> </w:t>
      </w:r>
      <w:r>
        <w:rPr/>
        <w:t>testing</w:t>
      </w:r>
      <w:r>
        <w:rPr>
          <w:spacing w:val="-7"/>
        </w:rPr>
        <w:t> </w:t>
      </w:r>
      <w:r>
        <w:rPr/>
        <w:t>of</w:t>
      </w:r>
      <w:r>
        <w:rPr>
          <w:spacing w:val="-6"/>
        </w:rPr>
        <w:t> </w:t>
      </w:r>
      <w:r>
        <w:rPr/>
        <w:t>the</w:t>
      </w:r>
      <w:r>
        <w:rPr>
          <w:spacing w:val="-8"/>
        </w:rPr>
        <w:t> </w:t>
      </w:r>
      <w:r>
        <w:rPr/>
        <w:t>hypotheses.</w:t>
      </w:r>
      <w:r>
        <w:rPr>
          <w:spacing w:val="-7"/>
        </w:rPr>
        <w:t> </w:t>
      </w:r>
      <w:r>
        <w:rPr/>
        <w:t>Several</w:t>
      </w:r>
      <w:r>
        <w:rPr>
          <w:spacing w:val="-7"/>
        </w:rPr>
        <w:t> </w:t>
      </w:r>
      <w:r>
        <w:rPr/>
        <w:t>statistical</w:t>
      </w:r>
      <w:r>
        <w:rPr>
          <w:spacing w:val="-7"/>
        </w:rPr>
        <w:t> </w:t>
      </w:r>
      <w:r>
        <w:rPr/>
        <w:t>and</w:t>
      </w:r>
      <w:r>
        <w:rPr>
          <w:spacing w:val="-7"/>
        </w:rPr>
        <w:t> </w:t>
      </w:r>
      <w:r>
        <w:rPr/>
        <w:t>econometric tools</w:t>
      </w:r>
      <w:r>
        <w:rPr>
          <w:spacing w:val="-7"/>
        </w:rPr>
        <w:t> </w:t>
      </w:r>
      <w:r>
        <w:rPr/>
        <w:t>were</w:t>
      </w:r>
      <w:r>
        <w:rPr>
          <w:spacing w:val="-9"/>
        </w:rPr>
        <w:t> </w:t>
      </w:r>
      <w:r>
        <w:rPr/>
        <w:t>employed</w:t>
      </w:r>
      <w:r>
        <w:rPr>
          <w:spacing w:val="-7"/>
        </w:rPr>
        <w:t> </w:t>
      </w:r>
      <w:r>
        <w:rPr/>
        <w:t>in</w:t>
      </w:r>
      <w:r>
        <w:rPr>
          <w:spacing w:val="-6"/>
        </w:rPr>
        <w:t> </w:t>
      </w:r>
      <w:r>
        <w:rPr/>
        <w:t>the</w:t>
      </w:r>
      <w:r>
        <w:rPr>
          <w:spacing w:val="-8"/>
        </w:rPr>
        <w:t> </w:t>
      </w:r>
      <w:r>
        <w:rPr/>
        <w:t>generation</w:t>
      </w:r>
      <w:r>
        <w:rPr>
          <w:spacing w:val="-7"/>
        </w:rPr>
        <w:t> </w:t>
      </w:r>
      <w:r>
        <w:rPr/>
        <w:t>of</w:t>
      </w:r>
      <w:r>
        <w:rPr>
          <w:spacing w:val="-8"/>
        </w:rPr>
        <w:t> </w:t>
      </w:r>
      <w:r>
        <w:rPr/>
        <w:t>the</w:t>
      </w:r>
      <w:r>
        <w:rPr>
          <w:spacing w:val="-8"/>
        </w:rPr>
        <w:t> </w:t>
      </w:r>
      <w:r>
        <w:rPr/>
        <w:t>empirical</w:t>
      </w:r>
      <w:r>
        <w:rPr>
          <w:spacing w:val="-7"/>
        </w:rPr>
        <w:t> </w:t>
      </w:r>
      <w:r>
        <w:rPr/>
        <w:t>results</w:t>
      </w:r>
      <w:r>
        <w:rPr>
          <w:spacing w:val="-7"/>
        </w:rPr>
        <w:t> </w:t>
      </w:r>
      <w:r>
        <w:rPr/>
        <w:t>discussed</w:t>
      </w:r>
      <w:r>
        <w:rPr>
          <w:spacing w:val="-7"/>
        </w:rPr>
        <w:t> </w:t>
      </w:r>
      <w:r>
        <w:rPr/>
        <w:t>in</w:t>
      </w:r>
      <w:r>
        <w:rPr>
          <w:spacing w:val="-7"/>
        </w:rPr>
        <w:t> </w:t>
      </w:r>
      <w:r>
        <w:rPr/>
        <w:t>this</w:t>
      </w:r>
      <w:r>
        <w:rPr>
          <w:spacing w:val="-7"/>
        </w:rPr>
        <w:t> </w:t>
      </w:r>
      <w:r>
        <w:rPr/>
        <w:t>chapter</w:t>
      </w:r>
      <w:r>
        <w:rPr>
          <w:spacing w:val="-8"/>
        </w:rPr>
        <w:t> </w:t>
      </w:r>
      <w:r>
        <w:rPr/>
        <w:t>and</w:t>
      </w:r>
      <w:r>
        <w:rPr>
          <w:spacing w:val="-7"/>
        </w:rPr>
        <w:t> </w:t>
      </w:r>
      <w:r>
        <w:rPr/>
        <w:t>the justification for the tools employed was provided in the previous chapter. The preliminary analyses results covering descriptive and correlation statistics is first presented and then the regression results are also presented and discussed. Finally, the hypothesis testing and implications of results are presented.</w:t>
      </w:r>
    </w:p>
    <w:p>
      <w:pPr>
        <w:pStyle w:val="Heading3"/>
        <w:numPr>
          <w:ilvl w:val="1"/>
          <w:numId w:val="29"/>
        </w:numPr>
        <w:tabs>
          <w:tab w:pos="1360" w:val="left" w:leader="none"/>
        </w:tabs>
        <w:spacing w:line="240" w:lineRule="auto" w:before="1" w:after="0"/>
        <w:ind w:left="1360" w:right="0" w:hanging="420"/>
        <w:jc w:val="both"/>
      </w:pPr>
      <w:bookmarkStart w:name="_TOC_250022" w:id="48"/>
      <w:r>
        <w:rPr/>
        <w:t>Presentation</w:t>
      </w:r>
      <w:r>
        <w:rPr>
          <w:spacing w:val="-5"/>
        </w:rPr>
        <w:t> </w:t>
      </w:r>
      <w:r>
        <w:rPr/>
        <w:t>of</w:t>
      </w:r>
      <w:bookmarkEnd w:id="48"/>
      <w:r>
        <w:rPr>
          <w:spacing w:val="-2"/>
        </w:rPr>
        <w:t> Results</w:t>
      </w:r>
    </w:p>
    <w:p>
      <w:pPr>
        <w:pStyle w:val="BodyText"/>
        <w:rPr>
          <w:b/>
        </w:rPr>
      </w:pPr>
    </w:p>
    <w:p>
      <w:pPr>
        <w:pStyle w:val="Heading3"/>
        <w:numPr>
          <w:ilvl w:val="2"/>
          <w:numId w:val="29"/>
        </w:numPr>
        <w:tabs>
          <w:tab w:pos="1420" w:val="left" w:leader="none"/>
        </w:tabs>
        <w:spacing w:line="240" w:lineRule="auto" w:before="0" w:after="0"/>
        <w:ind w:left="1420" w:right="0" w:hanging="480"/>
        <w:jc w:val="both"/>
      </w:pPr>
      <w:bookmarkStart w:name="_TOC_250021" w:id="49"/>
      <w:r>
        <w:rPr/>
        <w:t>:</w:t>
      </w:r>
      <w:r>
        <w:rPr>
          <w:spacing w:val="-2"/>
        </w:rPr>
        <w:t> </w:t>
      </w:r>
      <w:r>
        <w:rPr/>
        <w:t>Descriptive</w:t>
      </w:r>
      <w:r>
        <w:rPr>
          <w:spacing w:val="-1"/>
        </w:rPr>
        <w:t> </w:t>
      </w:r>
      <w:bookmarkEnd w:id="49"/>
      <w:r>
        <w:rPr>
          <w:spacing w:val="-2"/>
        </w:rPr>
        <w:t>Statistics</w:t>
      </w:r>
    </w:p>
    <w:p>
      <w:pPr>
        <w:pStyle w:val="BodyText"/>
        <w:spacing w:before="1"/>
        <w:rPr>
          <w:b/>
        </w:rPr>
      </w:pPr>
    </w:p>
    <w:p>
      <w:pPr>
        <w:pStyle w:val="BodyText"/>
        <w:spacing w:line="480" w:lineRule="auto"/>
        <w:ind w:left="940" w:right="1445"/>
        <w:jc w:val="both"/>
      </w:pPr>
      <w:r>
        <w:rPr/>
        <w:t>This section presents the descriptive statistics results for both the dependent and independent variables used in the study.</w:t>
      </w:r>
    </w:p>
    <w:p>
      <w:pPr>
        <w:pStyle w:val="BodyText"/>
        <w:spacing w:before="182"/>
      </w:pPr>
    </w:p>
    <w:p>
      <w:pPr>
        <w:pStyle w:val="BodyText"/>
        <w:ind w:left="940"/>
        <w:jc w:val="both"/>
      </w:pPr>
      <w:r>
        <w:rPr/>
        <w:t>Table</w:t>
      </w:r>
      <w:r>
        <w:rPr>
          <w:spacing w:val="-2"/>
        </w:rPr>
        <w:t> </w:t>
      </w:r>
      <w:r>
        <w:rPr/>
        <w:t>4.1:</w:t>
      </w:r>
      <w:r>
        <w:rPr>
          <w:spacing w:val="-1"/>
        </w:rPr>
        <w:t> </w:t>
      </w:r>
      <w:r>
        <w:rPr/>
        <w:t>Descriptive</w:t>
      </w:r>
      <w:r>
        <w:rPr>
          <w:spacing w:val="-1"/>
        </w:rPr>
        <w:t> </w:t>
      </w:r>
      <w:r>
        <w:rPr>
          <w:spacing w:val="-2"/>
        </w:rPr>
        <w:t>Statistics</w:t>
      </w:r>
    </w:p>
    <w:tbl>
      <w:tblPr>
        <w:tblW w:w="0" w:type="auto"/>
        <w:jc w:val="left"/>
        <w:tblInd w:w="9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421"/>
        <w:gridCol w:w="1069"/>
        <w:gridCol w:w="1068"/>
        <w:gridCol w:w="1068"/>
        <w:gridCol w:w="1207"/>
        <w:gridCol w:w="1068"/>
        <w:gridCol w:w="1067"/>
        <w:gridCol w:w="1067"/>
        <w:gridCol w:w="607"/>
      </w:tblGrid>
      <w:tr>
        <w:trPr>
          <w:trHeight w:val="457" w:hRule="atLeast"/>
        </w:trPr>
        <w:tc>
          <w:tcPr>
            <w:tcW w:w="1421" w:type="dxa"/>
            <w:tcBorders>
              <w:left w:val="nil"/>
            </w:tcBorders>
          </w:tcPr>
          <w:p>
            <w:pPr>
              <w:pStyle w:val="TableParagraph"/>
              <w:rPr>
                <w:rFonts w:ascii="Times New Roman"/>
                <w:sz w:val="22"/>
              </w:rPr>
            </w:pPr>
          </w:p>
        </w:tc>
        <w:tc>
          <w:tcPr>
            <w:tcW w:w="1069" w:type="dxa"/>
          </w:tcPr>
          <w:p>
            <w:pPr>
              <w:pStyle w:val="TableParagraph"/>
              <w:ind w:left="153"/>
              <w:rPr>
                <w:rFonts w:ascii="Times New Roman"/>
                <w:sz w:val="20"/>
              </w:rPr>
            </w:pPr>
            <w:r>
              <w:rPr>
                <w:rFonts w:ascii="Times New Roman"/>
                <w:spacing w:val="-4"/>
                <w:sz w:val="20"/>
              </w:rPr>
              <w:t>Mean</w:t>
            </w:r>
          </w:p>
        </w:tc>
        <w:tc>
          <w:tcPr>
            <w:tcW w:w="1068" w:type="dxa"/>
          </w:tcPr>
          <w:p>
            <w:pPr>
              <w:pStyle w:val="TableParagraph"/>
              <w:ind w:left="152"/>
              <w:rPr>
                <w:rFonts w:ascii="Times New Roman"/>
                <w:sz w:val="20"/>
              </w:rPr>
            </w:pPr>
            <w:r>
              <w:rPr>
                <w:rFonts w:ascii="Times New Roman"/>
                <w:spacing w:val="-5"/>
                <w:sz w:val="20"/>
              </w:rPr>
              <w:t>Max</w:t>
            </w:r>
          </w:p>
        </w:tc>
        <w:tc>
          <w:tcPr>
            <w:tcW w:w="1068" w:type="dxa"/>
          </w:tcPr>
          <w:p>
            <w:pPr>
              <w:pStyle w:val="TableParagraph"/>
              <w:ind w:left="152"/>
              <w:rPr>
                <w:rFonts w:ascii="Times New Roman"/>
                <w:sz w:val="20"/>
              </w:rPr>
            </w:pPr>
            <w:r>
              <w:rPr>
                <w:rFonts w:ascii="Times New Roman"/>
                <w:spacing w:val="-5"/>
                <w:sz w:val="20"/>
              </w:rPr>
              <w:t>Min</w:t>
            </w:r>
          </w:p>
        </w:tc>
        <w:tc>
          <w:tcPr>
            <w:tcW w:w="1207" w:type="dxa"/>
          </w:tcPr>
          <w:p>
            <w:pPr>
              <w:pStyle w:val="TableParagraph"/>
              <w:ind w:right="292"/>
              <w:jc w:val="right"/>
              <w:rPr>
                <w:rFonts w:ascii="Times New Roman"/>
                <w:sz w:val="20"/>
              </w:rPr>
            </w:pPr>
            <w:r>
              <w:rPr>
                <w:rFonts w:ascii="Times New Roman"/>
                <w:sz w:val="20"/>
              </w:rPr>
              <w:t>Std.</w:t>
            </w:r>
            <w:r>
              <w:rPr>
                <w:rFonts w:ascii="Times New Roman"/>
                <w:spacing w:val="-4"/>
                <w:sz w:val="20"/>
              </w:rPr>
              <w:t> Dev.</w:t>
            </w:r>
          </w:p>
        </w:tc>
        <w:tc>
          <w:tcPr>
            <w:tcW w:w="1068" w:type="dxa"/>
          </w:tcPr>
          <w:p>
            <w:pPr>
              <w:pStyle w:val="TableParagraph"/>
              <w:ind w:left="1" w:right="39"/>
              <w:jc w:val="center"/>
              <w:rPr>
                <w:rFonts w:ascii="Times New Roman"/>
                <w:sz w:val="20"/>
              </w:rPr>
            </w:pPr>
            <w:r>
              <w:rPr>
                <w:rFonts w:ascii="Times New Roman"/>
                <w:spacing w:val="-2"/>
                <w:sz w:val="20"/>
              </w:rPr>
              <w:t>Skewnes</w:t>
            </w:r>
          </w:p>
        </w:tc>
        <w:tc>
          <w:tcPr>
            <w:tcW w:w="1067" w:type="dxa"/>
          </w:tcPr>
          <w:p>
            <w:pPr>
              <w:pStyle w:val="TableParagraph"/>
              <w:ind w:left="153"/>
              <w:rPr>
                <w:rFonts w:ascii="Times New Roman"/>
                <w:sz w:val="20"/>
              </w:rPr>
            </w:pPr>
            <w:r>
              <w:rPr>
                <w:rFonts w:ascii="Times New Roman"/>
                <w:spacing w:val="-2"/>
                <w:sz w:val="20"/>
              </w:rPr>
              <w:t>J-</w:t>
            </w:r>
            <w:r>
              <w:rPr>
                <w:rFonts w:ascii="Times New Roman"/>
                <w:spacing w:val="-12"/>
                <w:sz w:val="20"/>
              </w:rPr>
              <w:t>B</w:t>
            </w:r>
          </w:p>
        </w:tc>
        <w:tc>
          <w:tcPr>
            <w:tcW w:w="1067" w:type="dxa"/>
          </w:tcPr>
          <w:p>
            <w:pPr>
              <w:pStyle w:val="TableParagraph"/>
              <w:ind w:left="154"/>
              <w:rPr>
                <w:rFonts w:ascii="Times New Roman"/>
                <w:sz w:val="20"/>
              </w:rPr>
            </w:pPr>
            <w:r>
              <w:rPr>
                <w:rFonts w:ascii="Times New Roman"/>
                <w:spacing w:val="-4"/>
                <w:sz w:val="20"/>
              </w:rPr>
              <w:t>Prob</w:t>
            </w:r>
          </w:p>
        </w:tc>
        <w:tc>
          <w:tcPr>
            <w:tcW w:w="607" w:type="dxa"/>
            <w:tcBorders>
              <w:right w:val="nil"/>
            </w:tcBorders>
          </w:tcPr>
          <w:p>
            <w:pPr>
              <w:pStyle w:val="TableParagraph"/>
              <w:ind w:right="66"/>
              <w:jc w:val="center"/>
              <w:rPr>
                <w:rFonts w:ascii="Times New Roman"/>
                <w:sz w:val="20"/>
              </w:rPr>
            </w:pPr>
            <w:r>
              <w:rPr>
                <w:rFonts w:ascii="Times New Roman"/>
                <w:spacing w:val="-5"/>
                <w:sz w:val="20"/>
              </w:rPr>
              <w:t>Obs</w:t>
            </w:r>
          </w:p>
        </w:tc>
      </w:tr>
      <w:tr>
        <w:trPr>
          <w:trHeight w:val="460" w:hRule="atLeast"/>
        </w:trPr>
        <w:tc>
          <w:tcPr>
            <w:tcW w:w="1421" w:type="dxa"/>
            <w:tcBorders>
              <w:left w:val="nil"/>
            </w:tcBorders>
          </w:tcPr>
          <w:p>
            <w:pPr>
              <w:pStyle w:val="TableParagraph"/>
              <w:spacing w:before="2"/>
              <w:ind w:left="122"/>
              <w:rPr>
                <w:rFonts w:ascii="Times New Roman"/>
                <w:sz w:val="20"/>
              </w:rPr>
            </w:pPr>
            <w:r>
              <w:rPr>
                <w:rFonts w:ascii="Times New Roman"/>
                <w:spacing w:val="-2"/>
                <w:sz w:val="20"/>
              </w:rPr>
              <w:t>DIS-</w:t>
            </w:r>
            <w:r>
              <w:rPr>
                <w:rFonts w:ascii="Times New Roman"/>
                <w:spacing w:val="-5"/>
                <w:sz w:val="20"/>
              </w:rPr>
              <w:t>ACC</w:t>
            </w:r>
          </w:p>
        </w:tc>
        <w:tc>
          <w:tcPr>
            <w:tcW w:w="1069" w:type="dxa"/>
          </w:tcPr>
          <w:p>
            <w:pPr>
              <w:pStyle w:val="TableParagraph"/>
              <w:spacing w:before="2"/>
              <w:ind w:left="169"/>
              <w:rPr>
                <w:rFonts w:ascii="Times New Roman"/>
                <w:sz w:val="20"/>
              </w:rPr>
            </w:pPr>
            <w:r>
              <w:rPr>
                <w:rFonts w:ascii="Times New Roman"/>
                <w:spacing w:val="-2"/>
                <w:sz w:val="20"/>
              </w:rPr>
              <w:t>-0.12058</w:t>
            </w:r>
          </w:p>
        </w:tc>
        <w:tc>
          <w:tcPr>
            <w:tcW w:w="1068" w:type="dxa"/>
          </w:tcPr>
          <w:p>
            <w:pPr>
              <w:pStyle w:val="TableParagraph"/>
              <w:spacing w:before="2"/>
              <w:ind w:left="152"/>
              <w:rPr>
                <w:rFonts w:ascii="Times New Roman"/>
                <w:sz w:val="20"/>
              </w:rPr>
            </w:pPr>
            <w:r>
              <w:rPr>
                <w:rFonts w:ascii="Times New Roman"/>
                <w:spacing w:val="-2"/>
                <w:sz w:val="20"/>
              </w:rPr>
              <w:t>3.252439</w:t>
            </w:r>
          </w:p>
        </w:tc>
        <w:tc>
          <w:tcPr>
            <w:tcW w:w="1068" w:type="dxa"/>
          </w:tcPr>
          <w:p>
            <w:pPr>
              <w:pStyle w:val="TableParagraph"/>
              <w:spacing w:before="2"/>
              <w:ind w:left="169"/>
              <w:rPr>
                <w:rFonts w:ascii="Times New Roman"/>
                <w:sz w:val="20"/>
              </w:rPr>
            </w:pPr>
            <w:r>
              <w:rPr>
                <w:rFonts w:ascii="Times New Roman"/>
                <w:spacing w:val="-2"/>
                <w:sz w:val="20"/>
              </w:rPr>
              <w:t>-2.81433</w:t>
            </w:r>
          </w:p>
        </w:tc>
        <w:tc>
          <w:tcPr>
            <w:tcW w:w="1207" w:type="dxa"/>
          </w:tcPr>
          <w:p>
            <w:pPr>
              <w:pStyle w:val="TableParagraph"/>
              <w:spacing w:before="2"/>
              <w:ind w:right="221"/>
              <w:jc w:val="right"/>
              <w:rPr>
                <w:rFonts w:ascii="Times New Roman"/>
                <w:sz w:val="20"/>
              </w:rPr>
            </w:pPr>
            <w:r>
              <w:rPr>
                <w:rFonts w:ascii="Times New Roman"/>
                <w:spacing w:val="-2"/>
                <w:sz w:val="20"/>
              </w:rPr>
              <w:t>0.570904</w:t>
            </w:r>
          </w:p>
        </w:tc>
        <w:tc>
          <w:tcPr>
            <w:tcW w:w="1068" w:type="dxa"/>
          </w:tcPr>
          <w:p>
            <w:pPr>
              <w:pStyle w:val="TableParagraph"/>
              <w:spacing w:before="2"/>
              <w:ind w:left="38" w:right="38"/>
              <w:jc w:val="center"/>
              <w:rPr>
                <w:rFonts w:ascii="Times New Roman"/>
                <w:sz w:val="20"/>
              </w:rPr>
            </w:pPr>
            <w:r>
              <w:rPr>
                <w:rFonts w:ascii="Times New Roman"/>
                <w:spacing w:val="-2"/>
                <w:sz w:val="20"/>
              </w:rPr>
              <w:t>0.638294</w:t>
            </w:r>
          </w:p>
        </w:tc>
        <w:tc>
          <w:tcPr>
            <w:tcW w:w="1067" w:type="dxa"/>
          </w:tcPr>
          <w:p>
            <w:pPr>
              <w:pStyle w:val="TableParagraph"/>
              <w:spacing w:before="2"/>
              <w:ind w:left="153"/>
              <w:rPr>
                <w:rFonts w:ascii="Times New Roman"/>
                <w:sz w:val="20"/>
              </w:rPr>
            </w:pPr>
            <w:r>
              <w:rPr>
                <w:rFonts w:ascii="Times New Roman"/>
                <w:spacing w:val="-2"/>
                <w:sz w:val="20"/>
              </w:rPr>
              <w:t>607.9773</w:t>
            </w:r>
          </w:p>
        </w:tc>
        <w:tc>
          <w:tcPr>
            <w:tcW w:w="1067" w:type="dxa"/>
          </w:tcPr>
          <w:p>
            <w:pPr>
              <w:pStyle w:val="TableParagraph"/>
              <w:spacing w:before="2"/>
              <w:ind w:left="2" w:right="2"/>
              <w:jc w:val="center"/>
              <w:rPr>
                <w:rFonts w:ascii="Times New Roman"/>
                <w:sz w:val="20"/>
              </w:rPr>
            </w:pPr>
            <w:r>
              <w:rPr>
                <w:rFonts w:ascii="Times New Roman"/>
                <w:spacing w:val="-10"/>
                <w:sz w:val="20"/>
              </w:rPr>
              <w:t>0</w:t>
            </w:r>
          </w:p>
        </w:tc>
        <w:tc>
          <w:tcPr>
            <w:tcW w:w="607" w:type="dxa"/>
            <w:tcBorders>
              <w:right w:val="nil"/>
            </w:tcBorders>
          </w:tcPr>
          <w:p>
            <w:pPr>
              <w:pStyle w:val="TableParagraph"/>
              <w:spacing w:before="2"/>
              <w:ind w:left="66" w:right="66"/>
              <w:jc w:val="center"/>
              <w:rPr>
                <w:rFonts w:ascii="Times New Roman"/>
                <w:sz w:val="20"/>
              </w:rPr>
            </w:pPr>
            <w:r>
              <w:rPr>
                <w:rFonts w:ascii="Times New Roman"/>
                <w:spacing w:val="-5"/>
                <w:sz w:val="20"/>
              </w:rPr>
              <w:t>195</w:t>
            </w:r>
          </w:p>
        </w:tc>
      </w:tr>
      <w:tr>
        <w:trPr>
          <w:trHeight w:val="460" w:hRule="atLeast"/>
        </w:trPr>
        <w:tc>
          <w:tcPr>
            <w:tcW w:w="1421" w:type="dxa"/>
            <w:tcBorders>
              <w:left w:val="nil"/>
            </w:tcBorders>
          </w:tcPr>
          <w:p>
            <w:pPr>
              <w:pStyle w:val="TableParagraph"/>
              <w:ind w:left="122"/>
              <w:rPr>
                <w:rFonts w:ascii="Times New Roman"/>
                <w:sz w:val="20"/>
              </w:rPr>
            </w:pPr>
            <w:r>
              <w:rPr/>
              <mc:AlternateContent>
                <mc:Choice Requires="wps">
                  <w:drawing>
                    <wp:anchor distT="0" distB="0" distL="0" distR="0" allowOverlap="1" layoutInCell="1" locked="0" behindDoc="1" simplePos="0" relativeHeight="477729792">
                      <wp:simplePos x="0" y="0"/>
                      <wp:positionH relativeFrom="column">
                        <wp:posOffset>186842</wp:posOffset>
                      </wp:positionH>
                      <wp:positionV relativeFrom="paragraph">
                        <wp:posOffset>44525</wp:posOffset>
                      </wp:positionV>
                      <wp:extent cx="721995" cy="72263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721995" cy="722630"/>
                                <a:chExt cx="721995" cy="722630"/>
                              </a:xfrm>
                            </wpg:grpSpPr>
                            <wps:wsp>
                              <wps:cNvPr id="139" name="Graphic 139"/>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712pt;margin-top:3.505944pt;width:56.85pt;height:56.9pt;mso-position-horizontal-relative:column;mso-position-vertical-relative:paragraph;z-index:-25586688" id="docshapegroup9" coordorigin="294,70" coordsize="1137,1138">
                      <v:shape style="position:absolute;left:294;top:70;width:1137;height:1138" id="docshape10" coordorigin="294,70" coordsize="1137,1138" path="m378,70l316,109,294,154,298,164,1332,1200,1351,1207,1356,1205,1362,1204,1421,1153,1429,1133,1431,1127,393,78,388,74,378,70xe" filled="true" fillcolor="#c0c0c0" stroked="false">
                        <v:path arrowok="t"/>
                        <v:fill opacity="32896f" type="solid"/>
                      </v:shape>
                      <w10:wrap type="none"/>
                    </v:group>
                  </w:pict>
                </mc:Fallback>
              </mc:AlternateContent>
            </w:r>
            <w:r>
              <w:rPr>
                <w:rFonts w:ascii="Times New Roman"/>
                <w:spacing w:val="-4"/>
                <w:sz w:val="20"/>
              </w:rPr>
              <w:t>VREL</w:t>
            </w:r>
          </w:p>
        </w:tc>
        <w:tc>
          <w:tcPr>
            <w:tcW w:w="1069" w:type="dxa"/>
          </w:tcPr>
          <w:p>
            <w:pPr>
              <w:pStyle w:val="TableParagraph"/>
              <w:ind w:left="153"/>
              <w:rPr>
                <w:rFonts w:ascii="Times New Roman"/>
                <w:sz w:val="20"/>
              </w:rPr>
            </w:pPr>
            <w:r>
              <w:rPr>
                <w:rFonts w:ascii="Times New Roman"/>
                <w:spacing w:val="-2"/>
                <w:sz w:val="20"/>
              </w:rPr>
              <w:t>0.591796</w:t>
            </w:r>
          </w:p>
        </w:tc>
        <w:tc>
          <w:tcPr>
            <w:tcW w:w="1068" w:type="dxa"/>
          </w:tcPr>
          <w:p>
            <w:pPr>
              <w:pStyle w:val="TableParagraph"/>
              <w:ind w:left="152"/>
              <w:rPr>
                <w:rFonts w:ascii="Times New Roman"/>
                <w:sz w:val="20"/>
              </w:rPr>
            </w:pPr>
            <w:r>
              <w:rPr>
                <w:rFonts w:ascii="Times New Roman"/>
                <w:spacing w:val="-2"/>
                <w:sz w:val="20"/>
              </w:rPr>
              <w:t>0.766667</w:t>
            </w:r>
          </w:p>
        </w:tc>
        <w:tc>
          <w:tcPr>
            <w:tcW w:w="1068" w:type="dxa"/>
          </w:tcPr>
          <w:p>
            <w:pPr>
              <w:pStyle w:val="TableParagraph"/>
              <w:ind w:left="152"/>
              <w:rPr>
                <w:rFonts w:ascii="Times New Roman"/>
                <w:sz w:val="20"/>
              </w:rPr>
            </w:pPr>
            <w:r>
              <w:rPr>
                <w:rFonts w:ascii="Times New Roman"/>
                <w:spacing w:val="-2"/>
                <w:sz w:val="20"/>
              </w:rPr>
              <w:t>0.483871</w:t>
            </w:r>
          </w:p>
        </w:tc>
        <w:tc>
          <w:tcPr>
            <w:tcW w:w="1207" w:type="dxa"/>
          </w:tcPr>
          <w:p>
            <w:pPr>
              <w:pStyle w:val="TableParagraph"/>
              <w:ind w:right="221"/>
              <w:jc w:val="right"/>
              <w:rPr>
                <w:rFonts w:ascii="Times New Roman"/>
                <w:sz w:val="20"/>
              </w:rPr>
            </w:pPr>
            <w:r>
              <w:rPr>
                <w:rFonts w:ascii="Times New Roman"/>
                <w:spacing w:val="-2"/>
                <w:sz w:val="20"/>
              </w:rPr>
              <w:t>0.063993</w:t>
            </w:r>
          </w:p>
        </w:tc>
        <w:tc>
          <w:tcPr>
            <w:tcW w:w="1068" w:type="dxa"/>
          </w:tcPr>
          <w:p>
            <w:pPr>
              <w:pStyle w:val="TableParagraph"/>
              <w:ind w:left="38" w:right="38"/>
              <w:jc w:val="center"/>
              <w:rPr>
                <w:rFonts w:ascii="Times New Roman"/>
                <w:sz w:val="20"/>
              </w:rPr>
            </w:pPr>
            <w:r>
              <w:rPr>
                <w:rFonts w:ascii="Times New Roman"/>
                <w:spacing w:val="-2"/>
                <w:sz w:val="20"/>
              </w:rPr>
              <w:t>0.417859</w:t>
            </w:r>
          </w:p>
        </w:tc>
        <w:tc>
          <w:tcPr>
            <w:tcW w:w="1067" w:type="dxa"/>
          </w:tcPr>
          <w:p>
            <w:pPr>
              <w:pStyle w:val="TableParagraph"/>
              <w:ind w:left="153"/>
              <w:rPr>
                <w:rFonts w:ascii="Times New Roman"/>
                <w:sz w:val="20"/>
              </w:rPr>
            </w:pPr>
            <w:r>
              <w:rPr>
                <w:rFonts w:ascii="Times New Roman"/>
                <w:spacing w:val="-2"/>
                <w:sz w:val="20"/>
              </w:rPr>
              <w:t>11.09249</w:t>
            </w:r>
          </w:p>
        </w:tc>
        <w:tc>
          <w:tcPr>
            <w:tcW w:w="1067" w:type="dxa"/>
          </w:tcPr>
          <w:p>
            <w:pPr>
              <w:pStyle w:val="TableParagraph"/>
              <w:ind w:left="154"/>
              <w:rPr>
                <w:rFonts w:ascii="Times New Roman"/>
                <w:sz w:val="20"/>
              </w:rPr>
            </w:pPr>
            <w:r>
              <w:rPr>
                <w:rFonts w:ascii="Times New Roman"/>
                <w:spacing w:val="-2"/>
                <w:sz w:val="20"/>
              </w:rPr>
              <w:t>0.003902</w:t>
            </w:r>
          </w:p>
        </w:tc>
        <w:tc>
          <w:tcPr>
            <w:tcW w:w="607" w:type="dxa"/>
            <w:tcBorders>
              <w:right w:val="nil"/>
            </w:tcBorders>
          </w:tcPr>
          <w:p>
            <w:pPr>
              <w:pStyle w:val="TableParagraph"/>
              <w:ind w:left="66" w:right="66"/>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5"/>
                <w:sz w:val="20"/>
              </w:rPr>
              <w:t>FRQ</w:t>
            </w:r>
          </w:p>
        </w:tc>
        <w:tc>
          <w:tcPr>
            <w:tcW w:w="1069" w:type="dxa"/>
          </w:tcPr>
          <w:p>
            <w:pPr>
              <w:pStyle w:val="TableParagraph"/>
              <w:ind w:left="203"/>
              <w:rPr>
                <w:rFonts w:ascii="Times New Roman"/>
                <w:sz w:val="20"/>
              </w:rPr>
            </w:pPr>
            <w:r>
              <w:rPr>
                <w:rFonts w:ascii="Times New Roman"/>
                <w:spacing w:val="-2"/>
                <w:sz w:val="20"/>
              </w:rPr>
              <w:t>0.58994</w:t>
            </w:r>
          </w:p>
        </w:tc>
        <w:tc>
          <w:tcPr>
            <w:tcW w:w="1068" w:type="dxa"/>
          </w:tcPr>
          <w:p>
            <w:pPr>
              <w:pStyle w:val="TableParagraph"/>
              <w:ind w:left="253"/>
              <w:rPr>
                <w:rFonts w:ascii="Times New Roman"/>
                <w:sz w:val="20"/>
              </w:rPr>
            </w:pPr>
            <w:r>
              <w:rPr>
                <w:rFonts w:ascii="Times New Roman"/>
                <w:spacing w:val="-2"/>
                <w:sz w:val="20"/>
              </w:rPr>
              <w:t>0.7666</w:t>
            </w:r>
          </w:p>
        </w:tc>
        <w:tc>
          <w:tcPr>
            <w:tcW w:w="1068" w:type="dxa"/>
          </w:tcPr>
          <w:p>
            <w:pPr>
              <w:pStyle w:val="TableParagraph"/>
              <w:ind w:left="203"/>
              <w:rPr>
                <w:rFonts w:ascii="Times New Roman"/>
                <w:sz w:val="20"/>
              </w:rPr>
            </w:pPr>
            <w:r>
              <w:rPr>
                <w:rFonts w:ascii="Times New Roman"/>
                <w:spacing w:val="-2"/>
                <w:sz w:val="20"/>
              </w:rPr>
              <w:t>0.48387</w:t>
            </w:r>
          </w:p>
        </w:tc>
        <w:tc>
          <w:tcPr>
            <w:tcW w:w="1207" w:type="dxa"/>
          </w:tcPr>
          <w:p>
            <w:pPr>
              <w:pStyle w:val="TableParagraph"/>
              <w:ind w:right="271"/>
              <w:jc w:val="right"/>
              <w:rPr>
                <w:rFonts w:ascii="Times New Roman"/>
                <w:sz w:val="20"/>
              </w:rPr>
            </w:pPr>
            <w:r>
              <w:rPr>
                <w:rFonts w:ascii="Times New Roman"/>
                <w:spacing w:val="-2"/>
                <w:sz w:val="20"/>
              </w:rPr>
              <w:t>0.06331</w:t>
            </w:r>
          </w:p>
        </w:tc>
        <w:tc>
          <w:tcPr>
            <w:tcW w:w="1068" w:type="dxa"/>
          </w:tcPr>
          <w:p>
            <w:pPr>
              <w:pStyle w:val="TableParagraph"/>
              <w:ind w:left="38" w:right="38"/>
              <w:jc w:val="center"/>
              <w:rPr>
                <w:rFonts w:ascii="Times New Roman"/>
                <w:sz w:val="20"/>
              </w:rPr>
            </w:pPr>
            <w:r>
              <w:rPr>
                <w:rFonts w:ascii="Times New Roman"/>
                <w:spacing w:val="-2"/>
                <w:sz w:val="20"/>
              </w:rPr>
              <w:t>0.45058</w:t>
            </w:r>
          </w:p>
        </w:tc>
        <w:tc>
          <w:tcPr>
            <w:tcW w:w="1067" w:type="dxa"/>
          </w:tcPr>
          <w:p>
            <w:pPr>
              <w:pStyle w:val="TableParagraph"/>
              <w:ind w:left="204"/>
              <w:rPr>
                <w:rFonts w:ascii="Times New Roman"/>
                <w:sz w:val="20"/>
              </w:rPr>
            </w:pPr>
            <w:r>
              <w:rPr>
                <w:rFonts w:ascii="Times New Roman"/>
                <w:spacing w:val="-2"/>
                <w:sz w:val="20"/>
              </w:rPr>
              <w:t>11.8643</w:t>
            </w:r>
          </w:p>
        </w:tc>
        <w:tc>
          <w:tcPr>
            <w:tcW w:w="1067" w:type="dxa"/>
          </w:tcPr>
          <w:p>
            <w:pPr>
              <w:pStyle w:val="TableParagraph"/>
              <w:ind w:right="199"/>
              <w:jc w:val="right"/>
              <w:rPr>
                <w:rFonts w:ascii="Times New Roman"/>
                <w:sz w:val="20"/>
              </w:rPr>
            </w:pPr>
            <w:r>
              <w:rPr>
                <w:rFonts w:ascii="Times New Roman"/>
                <w:spacing w:val="-2"/>
                <w:sz w:val="20"/>
              </w:rPr>
              <w:t>0.00265</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5"/>
                <w:sz w:val="20"/>
              </w:rPr>
              <w:t>BDS</w:t>
            </w:r>
          </w:p>
        </w:tc>
        <w:tc>
          <w:tcPr>
            <w:tcW w:w="1069" w:type="dxa"/>
          </w:tcPr>
          <w:p>
            <w:pPr>
              <w:pStyle w:val="TableParagraph"/>
              <w:ind w:left="203"/>
              <w:rPr>
                <w:rFonts w:ascii="Times New Roman"/>
                <w:sz w:val="20"/>
              </w:rPr>
            </w:pPr>
            <w:r>
              <w:rPr>
                <w:rFonts w:ascii="Times New Roman"/>
                <w:spacing w:val="-2"/>
                <w:sz w:val="20"/>
              </w:rPr>
              <w:t>13.7897</w:t>
            </w:r>
          </w:p>
        </w:tc>
        <w:tc>
          <w:tcPr>
            <w:tcW w:w="1068" w:type="dxa"/>
          </w:tcPr>
          <w:p>
            <w:pPr>
              <w:pStyle w:val="TableParagraph"/>
              <w:ind w:left="39" w:right="38"/>
              <w:jc w:val="center"/>
              <w:rPr>
                <w:rFonts w:ascii="Times New Roman"/>
                <w:sz w:val="20"/>
              </w:rPr>
            </w:pPr>
            <w:r>
              <w:rPr>
                <w:rFonts w:ascii="Times New Roman"/>
                <w:spacing w:val="-5"/>
                <w:sz w:val="20"/>
              </w:rPr>
              <w:t>20</w:t>
            </w:r>
          </w:p>
        </w:tc>
        <w:tc>
          <w:tcPr>
            <w:tcW w:w="1068" w:type="dxa"/>
          </w:tcPr>
          <w:p>
            <w:pPr>
              <w:pStyle w:val="TableParagraph"/>
              <w:ind w:left="36" w:right="38"/>
              <w:jc w:val="center"/>
              <w:rPr>
                <w:rFonts w:ascii="Times New Roman"/>
                <w:sz w:val="20"/>
              </w:rPr>
            </w:pPr>
            <w:r>
              <w:rPr>
                <w:rFonts w:ascii="Times New Roman"/>
                <w:spacing w:val="-10"/>
                <w:sz w:val="20"/>
              </w:rPr>
              <w:t>6</w:t>
            </w:r>
          </w:p>
        </w:tc>
        <w:tc>
          <w:tcPr>
            <w:tcW w:w="1207" w:type="dxa"/>
          </w:tcPr>
          <w:p>
            <w:pPr>
              <w:pStyle w:val="TableParagraph"/>
              <w:ind w:right="271"/>
              <w:jc w:val="right"/>
              <w:rPr>
                <w:rFonts w:ascii="Times New Roman"/>
                <w:sz w:val="20"/>
              </w:rPr>
            </w:pPr>
            <w:r>
              <w:rPr>
                <w:rFonts w:ascii="Times New Roman"/>
                <w:spacing w:val="-2"/>
                <w:sz w:val="20"/>
              </w:rPr>
              <w:t>2.99860</w:t>
            </w:r>
          </w:p>
        </w:tc>
        <w:tc>
          <w:tcPr>
            <w:tcW w:w="1068" w:type="dxa"/>
          </w:tcPr>
          <w:p>
            <w:pPr>
              <w:pStyle w:val="TableParagraph"/>
              <w:ind w:left="38" w:right="38"/>
              <w:jc w:val="center"/>
              <w:rPr>
                <w:rFonts w:ascii="Times New Roman"/>
                <w:sz w:val="20"/>
              </w:rPr>
            </w:pPr>
            <w:r>
              <w:rPr>
                <w:rFonts w:ascii="Times New Roman"/>
                <w:spacing w:val="-2"/>
                <w:sz w:val="20"/>
              </w:rPr>
              <w:t>0.07918</w:t>
            </w:r>
          </w:p>
        </w:tc>
        <w:tc>
          <w:tcPr>
            <w:tcW w:w="1067" w:type="dxa"/>
          </w:tcPr>
          <w:p>
            <w:pPr>
              <w:pStyle w:val="TableParagraph"/>
              <w:ind w:left="204"/>
              <w:rPr>
                <w:rFonts w:ascii="Times New Roman"/>
                <w:sz w:val="20"/>
              </w:rPr>
            </w:pPr>
            <w:r>
              <w:rPr>
                <w:rFonts w:ascii="Times New Roman"/>
                <w:spacing w:val="-2"/>
                <w:sz w:val="20"/>
              </w:rPr>
              <w:t>1.79050</w:t>
            </w:r>
          </w:p>
        </w:tc>
        <w:tc>
          <w:tcPr>
            <w:tcW w:w="1067" w:type="dxa"/>
          </w:tcPr>
          <w:p>
            <w:pPr>
              <w:pStyle w:val="TableParagraph"/>
              <w:ind w:right="199"/>
              <w:jc w:val="right"/>
              <w:rPr>
                <w:rFonts w:ascii="Times New Roman"/>
                <w:sz w:val="20"/>
              </w:rPr>
            </w:pPr>
            <w:r>
              <w:rPr>
                <w:rFonts w:ascii="Times New Roman"/>
                <w:spacing w:val="-2"/>
                <w:sz w:val="20"/>
              </w:rPr>
              <w:t>0.40850</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r>
        <w:trPr>
          <w:trHeight w:val="493" w:hRule="atLeast"/>
        </w:trPr>
        <w:tc>
          <w:tcPr>
            <w:tcW w:w="1421" w:type="dxa"/>
            <w:tcBorders>
              <w:left w:val="nil"/>
            </w:tcBorders>
          </w:tcPr>
          <w:p>
            <w:pPr>
              <w:pStyle w:val="TableParagraph"/>
              <w:spacing w:before="2"/>
              <w:ind w:left="122"/>
              <w:rPr>
                <w:rFonts w:ascii="Times New Roman"/>
                <w:sz w:val="20"/>
              </w:rPr>
            </w:pPr>
            <w:r>
              <w:rPr>
                <w:rFonts w:ascii="Times New Roman"/>
                <w:spacing w:val="-2"/>
                <w:sz w:val="20"/>
              </w:rPr>
              <w:t>BDIND</w:t>
            </w:r>
          </w:p>
        </w:tc>
        <w:tc>
          <w:tcPr>
            <w:tcW w:w="1069" w:type="dxa"/>
          </w:tcPr>
          <w:p>
            <w:pPr>
              <w:pStyle w:val="TableParagraph"/>
              <w:spacing w:before="2"/>
              <w:ind w:left="203"/>
              <w:rPr>
                <w:rFonts w:ascii="Times New Roman"/>
                <w:sz w:val="20"/>
              </w:rPr>
            </w:pPr>
            <w:r>
              <w:rPr>
                <w:rFonts w:ascii="Times New Roman"/>
                <w:spacing w:val="-2"/>
                <w:sz w:val="20"/>
              </w:rPr>
              <w:t>0.57061</w:t>
            </w:r>
          </w:p>
        </w:tc>
        <w:tc>
          <w:tcPr>
            <w:tcW w:w="1068" w:type="dxa"/>
          </w:tcPr>
          <w:p>
            <w:pPr>
              <w:pStyle w:val="TableParagraph"/>
              <w:spacing w:before="2"/>
              <w:ind w:left="38" w:right="38"/>
              <w:jc w:val="center"/>
              <w:rPr>
                <w:rFonts w:ascii="Times New Roman"/>
                <w:sz w:val="20"/>
              </w:rPr>
            </w:pPr>
            <w:r>
              <w:rPr>
                <w:rFonts w:ascii="Times New Roman"/>
                <w:spacing w:val="-5"/>
                <w:sz w:val="20"/>
              </w:rPr>
              <w:t>0.9</w:t>
            </w:r>
          </w:p>
        </w:tc>
        <w:tc>
          <w:tcPr>
            <w:tcW w:w="1068" w:type="dxa"/>
          </w:tcPr>
          <w:p>
            <w:pPr>
              <w:pStyle w:val="TableParagraph"/>
              <w:spacing w:before="2"/>
              <w:ind w:left="351"/>
              <w:rPr>
                <w:rFonts w:ascii="Times New Roman"/>
                <w:sz w:val="20"/>
              </w:rPr>
            </w:pPr>
            <w:r>
              <w:rPr>
                <w:rFonts w:ascii="Times New Roman"/>
                <w:spacing w:val="-4"/>
                <w:sz w:val="20"/>
              </w:rPr>
              <w:t>0.33</w:t>
            </w:r>
          </w:p>
        </w:tc>
        <w:tc>
          <w:tcPr>
            <w:tcW w:w="1207" w:type="dxa"/>
          </w:tcPr>
          <w:p>
            <w:pPr>
              <w:pStyle w:val="TableParagraph"/>
              <w:spacing w:before="2"/>
              <w:ind w:right="321"/>
              <w:jc w:val="right"/>
              <w:rPr>
                <w:rFonts w:ascii="Times New Roman"/>
                <w:sz w:val="20"/>
              </w:rPr>
            </w:pPr>
            <w:r>
              <w:rPr>
                <w:rFonts w:ascii="Times New Roman"/>
                <w:spacing w:val="-2"/>
                <w:sz w:val="20"/>
              </w:rPr>
              <w:t>0.1112</w:t>
            </w:r>
          </w:p>
        </w:tc>
        <w:tc>
          <w:tcPr>
            <w:tcW w:w="1068" w:type="dxa"/>
          </w:tcPr>
          <w:p>
            <w:pPr>
              <w:pStyle w:val="TableParagraph"/>
              <w:spacing w:before="2"/>
              <w:ind w:left="38" w:right="38"/>
              <w:jc w:val="center"/>
              <w:rPr>
                <w:rFonts w:ascii="Times New Roman"/>
                <w:sz w:val="20"/>
              </w:rPr>
            </w:pPr>
            <w:r>
              <w:rPr>
                <w:rFonts w:ascii="Times New Roman"/>
                <w:spacing w:val="-2"/>
                <w:sz w:val="20"/>
              </w:rPr>
              <w:t>0.69342</w:t>
            </w:r>
          </w:p>
        </w:tc>
        <w:tc>
          <w:tcPr>
            <w:tcW w:w="1067" w:type="dxa"/>
          </w:tcPr>
          <w:p>
            <w:pPr>
              <w:pStyle w:val="TableParagraph"/>
              <w:spacing w:before="2"/>
              <w:ind w:left="153"/>
              <w:rPr>
                <w:rFonts w:ascii="Times New Roman"/>
                <w:sz w:val="20"/>
              </w:rPr>
            </w:pPr>
            <w:r>
              <w:rPr>
                <w:rFonts w:ascii="Times New Roman"/>
                <w:spacing w:val="-2"/>
                <w:sz w:val="20"/>
              </w:rPr>
              <w:t>17.64638</w:t>
            </w:r>
          </w:p>
        </w:tc>
        <w:tc>
          <w:tcPr>
            <w:tcW w:w="1067" w:type="dxa"/>
          </w:tcPr>
          <w:p>
            <w:pPr>
              <w:pStyle w:val="TableParagraph"/>
              <w:spacing w:before="2"/>
              <w:ind w:left="154"/>
              <w:rPr>
                <w:rFonts w:ascii="Times New Roman"/>
                <w:sz w:val="20"/>
              </w:rPr>
            </w:pPr>
            <w:r>
              <w:rPr>
                <w:rFonts w:ascii="Times New Roman"/>
                <w:spacing w:val="-2"/>
                <w:sz w:val="20"/>
              </w:rPr>
              <w:t>0.000147</w:t>
            </w:r>
          </w:p>
        </w:tc>
        <w:tc>
          <w:tcPr>
            <w:tcW w:w="607" w:type="dxa"/>
            <w:tcBorders>
              <w:right w:val="nil"/>
            </w:tcBorders>
          </w:tcPr>
          <w:p>
            <w:pPr>
              <w:pStyle w:val="TableParagraph"/>
              <w:spacing w:before="2"/>
              <w:ind w:left="62" w:right="66"/>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2"/>
                <w:sz w:val="20"/>
              </w:rPr>
              <w:t>BFEXP</w:t>
            </w:r>
          </w:p>
        </w:tc>
        <w:tc>
          <w:tcPr>
            <w:tcW w:w="1069" w:type="dxa"/>
          </w:tcPr>
          <w:p>
            <w:pPr>
              <w:pStyle w:val="TableParagraph"/>
              <w:ind w:left="203"/>
              <w:rPr>
                <w:rFonts w:ascii="Times New Roman"/>
                <w:sz w:val="20"/>
              </w:rPr>
            </w:pPr>
            <w:r>
              <w:rPr>
                <w:rFonts w:ascii="Times New Roman"/>
                <w:spacing w:val="-2"/>
                <w:sz w:val="20"/>
              </w:rPr>
              <w:t>0.57134</w:t>
            </w:r>
          </w:p>
        </w:tc>
        <w:tc>
          <w:tcPr>
            <w:tcW w:w="1068" w:type="dxa"/>
          </w:tcPr>
          <w:p>
            <w:pPr>
              <w:pStyle w:val="TableParagraph"/>
              <w:ind w:left="38" w:right="38"/>
              <w:jc w:val="center"/>
              <w:rPr>
                <w:rFonts w:ascii="Times New Roman"/>
                <w:sz w:val="20"/>
              </w:rPr>
            </w:pPr>
            <w:r>
              <w:rPr>
                <w:rFonts w:ascii="Times New Roman"/>
                <w:spacing w:val="-5"/>
                <w:sz w:val="20"/>
              </w:rPr>
              <w:t>0.8</w:t>
            </w:r>
          </w:p>
        </w:tc>
        <w:tc>
          <w:tcPr>
            <w:tcW w:w="1068" w:type="dxa"/>
          </w:tcPr>
          <w:p>
            <w:pPr>
              <w:pStyle w:val="TableParagraph"/>
              <w:ind w:left="203"/>
              <w:rPr>
                <w:rFonts w:ascii="Times New Roman"/>
                <w:sz w:val="20"/>
              </w:rPr>
            </w:pPr>
            <w:r>
              <w:rPr>
                <w:rFonts w:ascii="Times New Roman"/>
                <w:spacing w:val="-2"/>
                <w:sz w:val="20"/>
              </w:rPr>
              <w:t>0.29411</w:t>
            </w:r>
          </w:p>
        </w:tc>
        <w:tc>
          <w:tcPr>
            <w:tcW w:w="1207" w:type="dxa"/>
          </w:tcPr>
          <w:p>
            <w:pPr>
              <w:pStyle w:val="TableParagraph"/>
              <w:ind w:right="271"/>
              <w:jc w:val="right"/>
              <w:rPr>
                <w:rFonts w:ascii="Times New Roman"/>
                <w:sz w:val="20"/>
              </w:rPr>
            </w:pPr>
            <w:r>
              <w:rPr>
                <w:rFonts w:ascii="Times New Roman"/>
                <w:spacing w:val="-2"/>
                <w:sz w:val="20"/>
              </w:rPr>
              <w:t>0.10138</w:t>
            </w:r>
          </w:p>
        </w:tc>
        <w:tc>
          <w:tcPr>
            <w:tcW w:w="1068" w:type="dxa"/>
          </w:tcPr>
          <w:p>
            <w:pPr>
              <w:pStyle w:val="TableParagraph"/>
              <w:ind w:left="38" w:right="38"/>
              <w:jc w:val="center"/>
              <w:rPr>
                <w:rFonts w:ascii="Times New Roman"/>
                <w:sz w:val="20"/>
              </w:rPr>
            </w:pPr>
            <w:r>
              <w:rPr>
                <w:rFonts w:ascii="Times New Roman"/>
                <w:spacing w:val="-2"/>
                <w:sz w:val="20"/>
              </w:rPr>
              <w:t>-0.53044</w:t>
            </w:r>
          </w:p>
        </w:tc>
        <w:tc>
          <w:tcPr>
            <w:tcW w:w="1067" w:type="dxa"/>
          </w:tcPr>
          <w:p>
            <w:pPr>
              <w:pStyle w:val="TableParagraph"/>
              <w:ind w:left="153"/>
              <w:rPr>
                <w:rFonts w:ascii="Times New Roman"/>
                <w:sz w:val="20"/>
              </w:rPr>
            </w:pPr>
            <w:r>
              <w:rPr>
                <w:rFonts w:ascii="Times New Roman"/>
                <w:spacing w:val="-2"/>
                <w:sz w:val="20"/>
              </w:rPr>
              <w:t>9.151275</w:t>
            </w:r>
          </w:p>
        </w:tc>
        <w:tc>
          <w:tcPr>
            <w:tcW w:w="1067" w:type="dxa"/>
          </w:tcPr>
          <w:p>
            <w:pPr>
              <w:pStyle w:val="TableParagraph"/>
              <w:ind w:right="249"/>
              <w:jc w:val="right"/>
              <w:rPr>
                <w:rFonts w:ascii="Times New Roman"/>
                <w:sz w:val="20"/>
              </w:rPr>
            </w:pPr>
            <w:r>
              <w:rPr>
                <w:rFonts w:ascii="Times New Roman"/>
                <w:spacing w:val="-2"/>
                <w:sz w:val="20"/>
              </w:rPr>
              <w:t>0.0103</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4"/>
                <w:sz w:val="20"/>
              </w:rPr>
              <w:t>MOWN</w:t>
            </w:r>
          </w:p>
        </w:tc>
        <w:tc>
          <w:tcPr>
            <w:tcW w:w="1069" w:type="dxa"/>
          </w:tcPr>
          <w:p>
            <w:pPr>
              <w:pStyle w:val="TableParagraph"/>
              <w:ind w:left="153"/>
              <w:rPr>
                <w:rFonts w:ascii="Times New Roman"/>
                <w:sz w:val="20"/>
              </w:rPr>
            </w:pPr>
            <w:r>
              <w:rPr>
                <w:rFonts w:ascii="Times New Roman"/>
                <w:spacing w:val="-2"/>
                <w:sz w:val="20"/>
              </w:rPr>
              <w:t>11.54892</w:t>
            </w:r>
          </w:p>
        </w:tc>
        <w:tc>
          <w:tcPr>
            <w:tcW w:w="1068" w:type="dxa"/>
          </w:tcPr>
          <w:p>
            <w:pPr>
              <w:pStyle w:val="TableParagraph"/>
              <w:ind w:left="301"/>
              <w:rPr>
                <w:rFonts w:ascii="Times New Roman"/>
                <w:sz w:val="20"/>
              </w:rPr>
            </w:pPr>
            <w:r>
              <w:rPr>
                <w:rFonts w:ascii="Times New Roman"/>
                <w:spacing w:val="-2"/>
                <w:sz w:val="20"/>
              </w:rPr>
              <w:t>71.56</w:t>
            </w:r>
          </w:p>
        </w:tc>
        <w:tc>
          <w:tcPr>
            <w:tcW w:w="1068" w:type="dxa"/>
          </w:tcPr>
          <w:p>
            <w:pPr>
              <w:pStyle w:val="TableParagraph"/>
              <w:ind w:left="36" w:right="38"/>
              <w:jc w:val="center"/>
              <w:rPr>
                <w:rFonts w:ascii="Times New Roman"/>
                <w:sz w:val="20"/>
              </w:rPr>
            </w:pPr>
            <w:r>
              <w:rPr>
                <w:rFonts w:ascii="Times New Roman"/>
                <w:spacing w:val="-10"/>
                <w:sz w:val="20"/>
              </w:rPr>
              <w:t>0</w:t>
            </w:r>
          </w:p>
        </w:tc>
        <w:tc>
          <w:tcPr>
            <w:tcW w:w="1207" w:type="dxa"/>
          </w:tcPr>
          <w:p>
            <w:pPr>
              <w:pStyle w:val="TableParagraph"/>
              <w:ind w:right="221"/>
              <w:jc w:val="right"/>
              <w:rPr>
                <w:rFonts w:ascii="Times New Roman"/>
                <w:sz w:val="20"/>
              </w:rPr>
            </w:pPr>
            <w:r>
              <w:rPr>
                <w:rFonts w:ascii="Times New Roman"/>
                <w:spacing w:val="-2"/>
                <w:sz w:val="20"/>
              </w:rPr>
              <w:t>13.99922</w:t>
            </w:r>
          </w:p>
        </w:tc>
        <w:tc>
          <w:tcPr>
            <w:tcW w:w="1068" w:type="dxa"/>
          </w:tcPr>
          <w:p>
            <w:pPr>
              <w:pStyle w:val="TableParagraph"/>
              <w:ind w:left="38" w:right="38"/>
              <w:jc w:val="center"/>
              <w:rPr>
                <w:rFonts w:ascii="Times New Roman"/>
                <w:sz w:val="20"/>
              </w:rPr>
            </w:pPr>
            <w:r>
              <w:rPr>
                <w:rFonts w:ascii="Times New Roman"/>
                <w:spacing w:val="-2"/>
                <w:sz w:val="20"/>
              </w:rPr>
              <w:t>1.67333</w:t>
            </w:r>
          </w:p>
        </w:tc>
        <w:tc>
          <w:tcPr>
            <w:tcW w:w="1067" w:type="dxa"/>
          </w:tcPr>
          <w:p>
            <w:pPr>
              <w:pStyle w:val="TableParagraph"/>
              <w:ind w:left="153"/>
              <w:rPr>
                <w:rFonts w:ascii="Times New Roman"/>
                <w:sz w:val="20"/>
              </w:rPr>
            </w:pPr>
            <w:r>
              <w:rPr>
                <w:rFonts w:ascii="Times New Roman"/>
                <w:spacing w:val="-2"/>
                <w:sz w:val="20"/>
              </w:rPr>
              <w:t>194.2023</w:t>
            </w:r>
          </w:p>
        </w:tc>
        <w:tc>
          <w:tcPr>
            <w:tcW w:w="1067" w:type="dxa"/>
          </w:tcPr>
          <w:p>
            <w:pPr>
              <w:pStyle w:val="TableParagraph"/>
              <w:ind w:left="354"/>
              <w:rPr>
                <w:rFonts w:ascii="Times New Roman"/>
                <w:sz w:val="20"/>
              </w:rPr>
            </w:pPr>
            <w:r>
              <w:rPr>
                <w:rFonts w:ascii="Times New Roman"/>
                <w:spacing w:val="-4"/>
                <w:sz w:val="20"/>
              </w:rPr>
              <w:t>0.00</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2"/>
                <w:sz w:val="20"/>
              </w:rPr>
              <w:t>INSTOWN</w:t>
            </w:r>
          </w:p>
        </w:tc>
        <w:tc>
          <w:tcPr>
            <w:tcW w:w="1069" w:type="dxa"/>
          </w:tcPr>
          <w:p>
            <w:pPr>
              <w:pStyle w:val="TableParagraph"/>
              <w:ind w:left="253"/>
              <w:rPr>
                <w:rFonts w:ascii="Times New Roman"/>
                <w:sz w:val="20"/>
              </w:rPr>
            </w:pPr>
            <w:r>
              <w:rPr>
                <w:rFonts w:ascii="Times New Roman"/>
                <w:spacing w:val="-2"/>
                <w:sz w:val="20"/>
              </w:rPr>
              <w:t>36.316</w:t>
            </w:r>
          </w:p>
        </w:tc>
        <w:tc>
          <w:tcPr>
            <w:tcW w:w="1068" w:type="dxa"/>
          </w:tcPr>
          <w:p>
            <w:pPr>
              <w:pStyle w:val="TableParagraph"/>
              <w:ind w:left="39" w:right="38"/>
              <w:jc w:val="center"/>
              <w:rPr>
                <w:rFonts w:ascii="Times New Roman"/>
                <w:sz w:val="20"/>
              </w:rPr>
            </w:pPr>
            <w:r>
              <w:rPr>
                <w:rFonts w:ascii="Times New Roman"/>
                <w:spacing w:val="-5"/>
                <w:sz w:val="20"/>
              </w:rPr>
              <w:t>99</w:t>
            </w:r>
          </w:p>
        </w:tc>
        <w:tc>
          <w:tcPr>
            <w:tcW w:w="1068" w:type="dxa"/>
          </w:tcPr>
          <w:p>
            <w:pPr>
              <w:pStyle w:val="TableParagraph"/>
              <w:ind w:left="36" w:right="38"/>
              <w:jc w:val="center"/>
              <w:rPr>
                <w:rFonts w:ascii="Times New Roman"/>
                <w:sz w:val="20"/>
              </w:rPr>
            </w:pPr>
            <w:r>
              <w:rPr>
                <w:rFonts w:ascii="Times New Roman"/>
                <w:spacing w:val="-10"/>
                <w:sz w:val="20"/>
              </w:rPr>
              <w:t>0</w:t>
            </w:r>
          </w:p>
        </w:tc>
        <w:tc>
          <w:tcPr>
            <w:tcW w:w="1207" w:type="dxa"/>
          </w:tcPr>
          <w:p>
            <w:pPr>
              <w:pStyle w:val="TableParagraph"/>
              <w:ind w:right="221"/>
              <w:jc w:val="right"/>
              <w:rPr>
                <w:rFonts w:ascii="Times New Roman"/>
                <w:sz w:val="20"/>
              </w:rPr>
            </w:pPr>
            <w:r>
              <w:rPr>
                <w:rFonts w:ascii="Times New Roman"/>
                <w:spacing w:val="-2"/>
                <w:sz w:val="20"/>
              </w:rPr>
              <w:t>27.56789</w:t>
            </w:r>
          </w:p>
        </w:tc>
        <w:tc>
          <w:tcPr>
            <w:tcW w:w="1068" w:type="dxa"/>
          </w:tcPr>
          <w:p>
            <w:pPr>
              <w:pStyle w:val="TableParagraph"/>
              <w:ind w:left="38" w:right="38"/>
              <w:jc w:val="center"/>
              <w:rPr>
                <w:rFonts w:ascii="Times New Roman"/>
                <w:sz w:val="20"/>
              </w:rPr>
            </w:pPr>
            <w:r>
              <w:rPr>
                <w:rFonts w:ascii="Times New Roman"/>
                <w:spacing w:val="-2"/>
                <w:sz w:val="20"/>
              </w:rPr>
              <w:t>0.682622</w:t>
            </w:r>
          </w:p>
        </w:tc>
        <w:tc>
          <w:tcPr>
            <w:tcW w:w="1067" w:type="dxa"/>
          </w:tcPr>
          <w:p>
            <w:pPr>
              <w:pStyle w:val="TableParagraph"/>
              <w:ind w:left="153"/>
              <w:rPr>
                <w:rFonts w:ascii="Times New Roman"/>
                <w:sz w:val="20"/>
              </w:rPr>
            </w:pPr>
            <w:r>
              <w:rPr>
                <w:rFonts w:ascii="Times New Roman"/>
                <w:spacing w:val="-2"/>
                <w:sz w:val="20"/>
              </w:rPr>
              <w:t>16.97396</w:t>
            </w:r>
          </w:p>
        </w:tc>
        <w:tc>
          <w:tcPr>
            <w:tcW w:w="1067" w:type="dxa"/>
          </w:tcPr>
          <w:p>
            <w:pPr>
              <w:pStyle w:val="TableParagraph"/>
              <w:ind w:left="303"/>
              <w:rPr>
                <w:rFonts w:ascii="Times New Roman"/>
                <w:sz w:val="20"/>
              </w:rPr>
            </w:pPr>
            <w:r>
              <w:rPr>
                <w:rFonts w:ascii="Times New Roman"/>
                <w:spacing w:val="-2"/>
                <w:sz w:val="20"/>
              </w:rPr>
              <w:t>0.000</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r>
        <w:trPr>
          <w:trHeight w:val="492" w:hRule="atLeast"/>
        </w:trPr>
        <w:tc>
          <w:tcPr>
            <w:tcW w:w="1421" w:type="dxa"/>
            <w:tcBorders>
              <w:left w:val="nil"/>
            </w:tcBorders>
          </w:tcPr>
          <w:p>
            <w:pPr>
              <w:pStyle w:val="TableParagraph"/>
              <w:ind w:left="122"/>
              <w:rPr>
                <w:rFonts w:ascii="Times New Roman"/>
                <w:sz w:val="20"/>
              </w:rPr>
            </w:pPr>
            <w:r>
              <w:rPr>
                <w:rFonts w:ascii="Times New Roman"/>
                <w:spacing w:val="-4"/>
                <w:sz w:val="20"/>
              </w:rPr>
              <w:t>FOWN</w:t>
            </w:r>
          </w:p>
        </w:tc>
        <w:tc>
          <w:tcPr>
            <w:tcW w:w="1069" w:type="dxa"/>
          </w:tcPr>
          <w:p>
            <w:pPr>
              <w:pStyle w:val="TableParagraph"/>
              <w:ind w:left="153"/>
              <w:rPr>
                <w:rFonts w:ascii="Times New Roman"/>
                <w:sz w:val="20"/>
              </w:rPr>
            </w:pPr>
            <w:r>
              <w:rPr>
                <w:rFonts w:ascii="Times New Roman"/>
                <w:spacing w:val="-2"/>
                <w:sz w:val="20"/>
              </w:rPr>
              <w:t>20.95641</w:t>
            </w:r>
          </w:p>
        </w:tc>
        <w:tc>
          <w:tcPr>
            <w:tcW w:w="1068" w:type="dxa"/>
          </w:tcPr>
          <w:p>
            <w:pPr>
              <w:pStyle w:val="TableParagraph"/>
              <w:ind w:left="351"/>
              <w:rPr>
                <w:rFonts w:ascii="Times New Roman"/>
                <w:sz w:val="20"/>
              </w:rPr>
            </w:pPr>
            <w:r>
              <w:rPr>
                <w:rFonts w:ascii="Times New Roman"/>
                <w:spacing w:val="-4"/>
                <w:sz w:val="20"/>
              </w:rPr>
              <w:t>99.9</w:t>
            </w:r>
          </w:p>
        </w:tc>
        <w:tc>
          <w:tcPr>
            <w:tcW w:w="1068" w:type="dxa"/>
          </w:tcPr>
          <w:p>
            <w:pPr>
              <w:pStyle w:val="TableParagraph"/>
              <w:ind w:left="36" w:right="38"/>
              <w:jc w:val="center"/>
              <w:rPr>
                <w:rFonts w:ascii="Times New Roman"/>
                <w:sz w:val="20"/>
              </w:rPr>
            </w:pPr>
            <w:r>
              <w:rPr>
                <w:rFonts w:ascii="Times New Roman"/>
                <w:spacing w:val="-10"/>
                <w:sz w:val="20"/>
              </w:rPr>
              <w:t>0</w:t>
            </w:r>
          </w:p>
        </w:tc>
        <w:tc>
          <w:tcPr>
            <w:tcW w:w="1207" w:type="dxa"/>
          </w:tcPr>
          <w:p>
            <w:pPr>
              <w:pStyle w:val="TableParagraph"/>
              <w:ind w:right="221"/>
              <w:jc w:val="right"/>
              <w:rPr>
                <w:rFonts w:ascii="Times New Roman"/>
                <w:sz w:val="20"/>
              </w:rPr>
            </w:pPr>
            <w:r>
              <w:rPr>
                <w:rFonts w:ascii="Times New Roman"/>
                <w:spacing w:val="-2"/>
                <w:sz w:val="20"/>
              </w:rPr>
              <w:t>30.22207</w:t>
            </w:r>
          </w:p>
        </w:tc>
        <w:tc>
          <w:tcPr>
            <w:tcW w:w="1068" w:type="dxa"/>
          </w:tcPr>
          <w:p>
            <w:pPr>
              <w:pStyle w:val="TableParagraph"/>
              <w:ind w:left="38" w:right="38"/>
              <w:jc w:val="center"/>
              <w:rPr>
                <w:rFonts w:ascii="Times New Roman"/>
                <w:sz w:val="20"/>
              </w:rPr>
            </w:pPr>
            <w:r>
              <w:rPr>
                <w:rFonts w:ascii="Times New Roman"/>
                <w:spacing w:val="-2"/>
                <w:sz w:val="20"/>
              </w:rPr>
              <w:t>1.433865</w:t>
            </w:r>
          </w:p>
        </w:tc>
        <w:tc>
          <w:tcPr>
            <w:tcW w:w="1067" w:type="dxa"/>
          </w:tcPr>
          <w:p>
            <w:pPr>
              <w:pStyle w:val="TableParagraph"/>
              <w:ind w:left="153"/>
              <w:rPr>
                <w:rFonts w:ascii="Times New Roman"/>
                <w:sz w:val="20"/>
              </w:rPr>
            </w:pPr>
            <w:r>
              <w:rPr>
                <w:rFonts w:ascii="Times New Roman"/>
                <w:spacing w:val="-2"/>
                <w:sz w:val="20"/>
              </w:rPr>
              <w:t>71.06839</w:t>
            </w:r>
          </w:p>
        </w:tc>
        <w:tc>
          <w:tcPr>
            <w:tcW w:w="1067" w:type="dxa"/>
          </w:tcPr>
          <w:p>
            <w:pPr>
              <w:pStyle w:val="TableParagraph"/>
              <w:ind w:left="354"/>
              <w:rPr>
                <w:rFonts w:ascii="Times New Roman"/>
                <w:sz w:val="20"/>
              </w:rPr>
            </w:pPr>
            <w:r>
              <w:rPr>
                <w:rFonts w:ascii="Times New Roman"/>
                <w:spacing w:val="-4"/>
                <w:sz w:val="20"/>
              </w:rPr>
              <w:t>0.00</w:t>
            </w:r>
          </w:p>
        </w:tc>
        <w:tc>
          <w:tcPr>
            <w:tcW w:w="607" w:type="dxa"/>
            <w:tcBorders>
              <w:right w:val="nil"/>
            </w:tcBorders>
          </w:tcPr>
          <w:p>
            <w:pPr>
              <w:pStyle w:val="TableParagraph"/>
              <w:ind w:left="62" w:right="66"/>
              <w:jc w:val="center"/>
              <w:rPr>
                <w:rFonts w:ascii="Times New Roman"/>
                <w:sz w:val="20"/>
              </w:rPr>
            </w:pPr>
            <w:r>
              <w:rPr>
                <w:rFonts w:ascii="Times New Roman"/>
                <w:spacing w:val="-5"/>
                <w:sz w:val="20"/>
              </w:rPr>
              <w:t>195</w:t>
            </w:r>
          </w:p>
        </w:tc>
      </w:tr>
    </w:tbl>
    <w:p>
      <w:pPr>
        <w:spacing w:after="0"/>
        <w:jc w:val="center"/>
        <w:rPr>
          <w:rFonts w:ascii="Times New Roman"/>
          <w:sz w:val="20"/>
        </w:rPr>
        <w:sectPr>
          <w:type w:val="continuous"/>
          <w:pgSz w:w="11910" w:h="16840"/>
          <w:pgMar w:header="0" w:footer="971" w:top="1360" w:bottom="280" w:left="500" w:right="0"/>
        </w:sectPr>
      </w:pPr>
    </w:p>
    <w:tbl>
      <w:tblPr>
        <w:tblW w:w="0" w:type="auto"/>
        <w:jc w:val="left"/>
        <w:tblInd w:w="9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421"/>
        <w:gridCol w:w="1069"/>
        <w:gridCol w:w="1068"/>
        <w:gridCol w:w="1068"/>
        <w:gridCol w:w="1207"/>
        <w:gridCol w:w="1068"/>
        <w:gridCol w:w="1067"/>
        <w:gridCol w:w="1067"/>
        <w:gridCol w:w="597"/>
      </w:tblGrid>
      <w:tr>
        <w:trPr>
          <w:trHeight w:val="492" w:hRule="atLeast"/>
        </w:trPr>
        <w:tc>
          <w:tcPr>
            <w:tcW w:w="1421" w:type="dxa"/>
            <w:tcBorders>
              <w:left w:val="nil"/>
            </w:tcBorders>
          </w:tcPr>
          <w:p>
            <w:pPr>
              <w:pStyle w:val="TableParagraph"/>
              <w:ind w:left="122"/>
              <w:rPr>
                <w:rFonts w:ascii="Times New Roman"/>
                <w:sz w:val="20"/>
              </w:rPr>
            </w:pPr>
            <w:r>
              <w:rPr>
                <w:rFonts w:ascii="Times New Roman"/>
                <w:spacing w:val="-2"/>
                <w:sz w:val="20"/>
              </w:rPr>
              <w:t>BLOWN</w:t>
            </w:r>
          </w:p>
        </w:tc>
        <w:tc>
          <w:tcPr>
            <w:tcW w:w="1069" w:type="dxa"/>
          </w:tcPr>
          <w:p>
            <w:pPr>
              <w:pStyle w:val="TableParagraph"/>
              <w:ind w:right="1"/>
              <w:jc w:val="center"/>
              <w:rPr>
                <w:rFonts w:ascii="Times New Roman"/>
                <w:sz w:val="20"/>
              </w:rPr>
            </w:pPr>
            <w:r>
              <w:rPr>
                <w:rFonts w:ascii="Times New Roman"/>
                <w:spacing w:val="-2"/>
                <w:sz w:val="20"/>
              </w:rPr>
              <w:t>34.69154</w:t>
            </w:r>
          </w:p>
        </w:tc>
        <w:tc>
          <w:tcPr>
            <w:tcW w:w="1068" w:type="dxa"/>
          </w:tcPr>
          <w:p>
            <w:pPr>
              <w:pStyle w:val="TableParagraph"/>
              <w:ind w:left="39" w:right="38"/>
              <w:jc w:val="center"/>
              <w:rPr>
                <w:rFonts w:ascii="Times New Roman"/>
                <w:sz w:val="20"/>
              </w:rPr>
            </w:pPr>
            <w:r>
              <w:rPr>
                <w:rFonts w:ascii="Times New Roman"/>
                <w:spacing w:val="-5"/>
                <w:sz w:val="20"/>
              </w:rPr>
              <w:t>99</w:t>
            </w:r>
          </w:p>
        </w:tc>
        <w:tc>
          <w:tcPr>
            <w:tcW w:w="1068" w:type="dxa"/>
          </w:tcPr>
          <w:p>
            <w:pPr>
              <w:pStyle w:val="TableParagraph"/>
              <w:ind w:left="36" w:right="38"/>
              <w:jc w:val="center"/>
              <w:rPr>
                <w:rFonts w:ascii="Times New Roman"/>
                <w:sz w:val="20"/>
              </w:rPr>
            </w:pPr>
            <w:r>
              <w:rPr>
                <w:rFonts w:ascii="Times New Roman"/>
                <w:spacing w:val="-10"/>
                <w:sz w:val="20"/>
              </w:rPr>
              <w:t>0</w:t>
            </w:r>
          </w:p>
        </w:tc>
        <w:tc>
          <w:tcPr>
            <w:tcW w:w="1207" w:type="dxa"/>
          </w:tcPr>
          <w:p>
            <w:pPr>
              <w:pStyle w:val="TableParagraph"/>
              <w:jc w:val="center"/>
              <w:rPr>
                <w:rFonts w:ascii="Times New Roman"/>
                <w:sz w:val="20"/>
              </w:rPr>
            </w:pPr>
            <w:r>
              <w:rPr>
                <w:rFonts w:ascii="Times New Roman"/>
                <w:spacing w:val="-2"/>
                <w:sz w:val="20"/>
              </w:rPr>
              <w:t>29.3364</w:t>
            </w:r>
          </w:p>
        </w:tc>
        <w:tc>
          <w:tcPr>
            <w:tcW w:w="1068" w:type="dxa"/>
          </w:tcPr>
          <w:p>
            <w:pPr>
              <w:pStyle w:val="TableParagraph"/>
              <w:ind w:left="38" w:right="38"/>
              <w:jc w:val="center"/>
              <w:rPr>
                <w:rFonts w:ascii="Times New Roman"/>
                <w:sz w:val="20"/>
              </w:rPr>
            </w:pPr>
            <w:r>
              <w:rPr>
                <w:rFonts w:ascii="Times New Roman"/>
                <w:spacing w:val="-2"/>
                <w:sz w:val="20"/>
              </w:rPr>
              <w:t>0.61393</w:t>
            </w:r>
          </w:p>
        </w:tc>
        <w:tc>
          <w:tcPr>
            <w:tcW w:w="1067" w:type="dxa"/>
          </w:tcPr>
          <w:p>
            <w:pPr>
              <w:pStyle w:val="TableParagraph"/>
              <w:ind w:left="2"/>
              <w:jc w:val="center"/>
              <w:rPr>
                <w:rFonts w:ascii="Times New Roman"/>
                <w:sz w:val="20"/>
              </w:rPr>
            </w:pPr>
            <w:r>
              <w:rPr>
                <w:rFonts w:ascii="Times New Roman"/>
                <w:spacing w:val="-2"/>
                <w:sz w:val="20"/>
              </w:rPr>
              <w:t>15.1296</w:t>
            </w:r>
          </w:p>
        </w:tc>
        <w:tc>
          <w:tcPr>
            <w:tcW w:w="1067" w:type="dxa"/>
          </w:tcPr>
          <w:p>
            <w:pPr>
              <w:pStyle w:val="TableParagraph"/>
              <w:ind w:left="303"/>
              <w:rPr>
                <w:rFonts w:ascii="Times New Roman"/>
                <w:sz w:val="20"/>
              </w:rPr>
            </w:pPr>
            <w:r>
              <w:rPr>
                <w:rFonts w:ascii="Times New Roman"/>
                <w:spacing w:val="-2"/>
                <w:sz w:val="20"/>
              </w:rPr>
              <w:t>0.000</w:t>
            </w:r>
          </w:p>
        </w:tc>
        <w:tc>
          <w:tcPr>
            <w:tcW w:w="597" w:type="dxa"/>
            <w:tcBorders>
              <w:right w:val="nil"/>
            </w:tcBorders>
          </w:tcPr>
          <w:p>
            <w:pPr>
              <w:pStyle w:val="TableParagraph"/>
              <w:ind w:left="3"/>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4"/>
                <w:sz w:val="20"/>
              </w:rPr>
              <w:t>FAGE</w:t>
            </w:r>
          </w:p>
        </w:tc>
        <w:tc>
          <w:tcPr>
            <w:tcW w:w="1069" w:type="dxa"/>
          </w:tcPr>
          <w:p>
            <w:pPr>
              <w:pStyle w:val="TableParagraph"/>
              <w:ind w:right="1"/>
              <w:jc w:val="center"/>
              <w:rPr>
                <w:rFonts w:ascii="Times New Roman"/>
                <w:sz w:val="20"/>
              </w:rPr>
            </w:pPr>
            <w:r>
              <w:rPr>
                <w:rFonts w:ascii="Times New Roman"/>
                <w:spacing w:val="-2"/>
                <w:sz w:val="20"/>
              </w:rPr>
              <w:t>30.6923</w:t>
            </w:r>
          </w:p>
        </w:tc>
        <w:tc>
          <w:tcPr>
            <w:tcW w:w="1068" w:type="dxa"/>
          </w:tcPr>
          <w:p>
            <w:pPr>
              <w:pStyle w:val="TableParagraph"/>
              <w:ind w:left="39" w:right="38"/>
              <w:jc w:val="center"/>
              <w:rPr>
                <w:rFonts w:ascii="Times New Roman"/>
                <w:sz w:val="20"/>
              </w:rPr>
            </w:pPr>
            <w:r>
              <w:rPr>
                <w:rFonts w:ascii="Times New Roman"/>
                <w:spacing w:val="-5"/>
                <w:sz w:val="20"/>
              </w:rPr>
              <w:t>59</w:t>
            </w:r>
          </w:p>
        </w:tc>
        <w:tc>
          <w:tcPr>
            <w:tcW w:w="1068" w:type="dxa"/>
          </w:tcPr>
          <w:p>
            <w:pPr>
              <w:pStyle w:val="TableParagraph"/>
              <w:ind w:left="39" w:right="38"/>
              <w:jc w:val="center"/>
              <w:rPr>
                <w:rFonts w:ascii="Times New Roman"/>
                <w:sz w:val="20"/>
              </w:rPr>
            </w:pPr>
            <w:r>
              <w:rPr>
                <w:rFonts w:ascii="Times New Roman"/>
                <w:spacing w:val="-5"/>
                <w:sz w:val="20"/>
              </w:rPr>
              <w:t>15</w:t>
            </w:r>
          </w:p>
        </w:tc>
        <w:tc>
          <w:tcPr>
            <w:tcW w:w="1207" w:type="dxa"/>
          </w:tcPr>
          <w:p>
            <w:pPr>
              <w:pStyle w:val="TableParagraph"/>
              <w:jc w:val="center"/>
              <w:rPr>
                <w:rFonts w:ascii="Times New Roman"/>
                <w:sz w:val="20"/>
              </w:rPr>
            </w:pPr>
            <w:r>
              <w:rPr>
                <w:rFonts w:ascii="Times New Roman"/>
                <w:spacing w:val="-2"/>
                <w:sz w:val="20"/>
              </w:rPr>
              <w:t>11.1275</w:t>
            </w:r>
          </w:p>
        </w:tc>
        <w:tc>
          <w:tcPr>
            <w:tcW w:w="1068" w:type="dxa"/>
          </w:tcPr>
          <w:p>
            <w:pPr>
              <w:pStyle w:val="TableParagraph"/>
              <w:ind w:left="38" w:right="38"/>
              <w:jc w:val="center"/>
              <w:rPr>
                <w:rFonts w:ascii="Times New Roman"/>
                <w:sz w:val="20"/>
              </w:rPr>
            </w:pPr>
            <w:r>
              <w:rPr>
                <w:rFonts w:ascii="Times New Roman"/>
                <w:spacing w:val="-2"/>
                <w:sz w:val="20"/>
              </w:rPr>
              <w:t>0.91866</w:t>
            </w:r>
          </w:p>
        </w:tc>
        <w:tc>
          <w:tcPr>
            <w:tcW w:w="1067" w:type="dxa"/>
          </w:tcPr>
          <w:p>
            <w:pPr>
              <w:pStyle w:val="TableParagraph"/>
              <w:ind w:left="2"/>
              <w:jc w:val="center"/>
              <w:rPr>
                <w:rFonts w:ascii="Times New Roman"/>
                <w:sz w:val="20"/>
              </w:rPr>
            </w:pPr>
            <w:r>
              <w:rPr>
                <w:rFonts w:ascii="Times New Roman"/>
                <w:spacing w:val="-2"/>
                <w:sz w:val="20"/>
              </w:rPr>
              <w:t>27.531</w:t>
            </w:r>
          </w:p>
        </w:tc>
        <w:tc>
          <w:tcPr>
            <w:tcW w:w="1067" w:type="dxa"/>
          </w:tcPr>
          <w:p>
            <w:pPr>
              <w:pStyle w:val="TableParagraph"/>
              <w:ind w:left="303"/>
              <w:rPr>
                <w:rFonts w:ascii="Times New Roman"/>
                <w:sz w:val="20"/>
              </w:rPr>
            </w:pPr>
            <w:r>
              <w:rPr>
                <w:rFonts w:ascii="Times New Roman"/>
                <w:spacing w:val="-2"/>
                <w:sz w:val="20"/>
              </w:rPr>
              <w:t>0.000</w:t>
            </w:r>
          </w:p>
        </w:tc>
        <w:tc>
          <w:tcPr>
            <w:tcW w:w="597" w:type="dxa"/>
            <w:tcBorders>
              <w:right w:val="nil"/>
            </w:tcBorders>
          </w:tcPr>
          <w:p>
            <w:pPr>
              <w:pStyle w:val="TableParagraph"/>
              <w:ind w:left="3"/>
              <w:jc w:val="center"/>
              <w:rPr>
                <w:rFonts w:ascii="Times New Roman"/>
                <w:sz w:val="20"/>
              </w:rPr>
            </w:pPr>
            <w:r>
              <w:rPr>
                <w:rFonts w:ascii="Times New Roman"/>
                <w:spacing w:val="-5"/>
                <w:sz w:val="20"/>
              </w:rPr>
              <w:t>195</w:t>
            </w:r>
          </w:p>
        </w:tc>
      </w:tr>
      <w:tr>
        <w:trPr>
          <w:trHeight w:val="494" w:hRule="atLeast"/>
        </w:trPr>
        <w:tc>
          <w:tcPr>
            <w:tcW w:w="1421" w:type="dxa"/>
            <w:tcBorders>
              <w:left w:val="nil"/>
            </w:tcBorders>
          </w:tcPr>
          <w:p>
            <w:pPr>
              <w:pStyle w:val="TableParagraph"/>
              <w:spacing w:before="2"/>
              <w:ind w:left="122"/>
              <w:rPr>
                <w:rFonts w:ascii="Times New Roman"/>
                <w:sz w:val="20"/>
              </w:rPr>
            </w:pPr>
            <w:r>
              <w:rPr>
                <w:rFonts w:ascii="Times New Roman"/>
                <w:spacing w:val="-2"/>
                <w:sz w:val="20"/>
              </w:rPr>
              <w:t>FSIZE</w:t>
            </w:r>
          </w:p>
        </w:tc>
        <w:tc>
          <w:tcPr>
            <w:tcW w:w="1069" w:type="dxa"/>
          </w:tcPr>
          <w:p>
            <w:pPr>
              <w:pStyle w:val="TableParagraph"/>
              <w:spacing w:before="2"/>
              <w:ind w:right="1"/>
              <w:jc w:val="center"/>
              <w:rPr>
                <w:rFonts w:ascii="Times New Roman"/>
                <w:sz w:val="20"/>
              </w:rPr>
            </w:pPr>
            <w:r>
              <w:rPr>
                <w:rFonts w:ascii="Times New Roman"/>
                <w:spacing w:val="-2"/>
                <w:sz w:val="20"/>
              </w:rPr>
              <w:t>8.943735</w:t>
            </w:r>
          </w:p>
        </w:tc>
        <w:tc>
          <w:tcPr>
            <w:tcW w:w="1068" w:type="dxa"/>
          </w:tcPr>
          <w:p>
            <w:pPr>
              <w:pStyle w:val="TableParagraph"/>
              <w:spacing w:before="2"/>
              <w:ind w:left="38" w:right="38"/>
              <w:jc w:val="center"/>
              <w:rPr>
                <w:rFonts w:ascii="Times New Roman"/>
                <w:sz w:val="20"/>
              </w:rPr>
            </w:pPr>
            <w:r>
              <w:rPr>
                <w:rFonts w:ascii="Times New Roman"/>
                <w:spacing w:val="-2"/>
                <w:sz w:val="20"/>
              </w:rPr>
              <w:t>9.9356</w:t>
            </w:r>
          </w:p>
        </w:tc>
        <w:tc>
          <w:tcPr>
            <w:tcW w:w="1068" w:type="dxa"/>
          </w:tcPr>
          <w:p>
            <w:pPr>
              <w:pStyle w:val="TableParagraph"/>
              <w:spacing w:before="2"/>
              <w:ind w:left="37" w:right="38"/>
              <w:jc w:val="center"/>
              <w:rPr>
                <w:rFonts w:ascii="Times New Roman"/>
                <w:sz w:val="20"/>
              </w:rPr>
            </w:pPr>
            <w:r>
              <w:rPr>
                <w:rFonts w:ascii="Times New Roman"/>
                <w:spacing w:val="-2"/>
                <w:sz w:val="20"/>
              </w:rPr>
              <w:t>7.32923</w:t>
            </w:r>
          </w:p>
        </w:tc>
        <w:tc>
          <w:tcPr>
            <w:tcW w:w="1207" w:type="dxa"/>
          </w:tcPr>
          <w:p>
            <w:pPr>
              <w:pStyle w:val="TableParagraph"/>
              <w:spacing w:before="2"/>
              <w:jc w:val="center"/>
              <w:rPr>
                <w:rFonts w:ascii="Times New Roman"/>
                <w:sz w:val="20"/>
              </w:rPr>
            </w:pPr>
            <w:r>
              <w:rPr>
                <w:rFonts w:ascii="Times New Roman"/>
                <w:spacing w:val="-2"/>
                <w:sz w:val="20"/>
              </w:rPr>
              <w:t>0.52252</w:t>
            </w:r>
          </w:p>
        </w:tc>
        <w:tc>
          <w:tcPr>
            <w:tcW w:w="1068" w:type="dxa"/>
          </w:tcPr>
          <w:p>
            <w:pPr>
              <w:pStyle w:val="TableParagraph"/>
              <w:spacing w:before="2"/>
              <w:ind w:left="38" w:right="38"/>
              <w:jc w:val="center"/>
              <w:rPr>
                <w:rFonts w:ascii="Times New Roman"/>
                <w:sz w:val="20"/>
              </w:rPr>
            </w:pPr>
            <w:r>
              <w:rPr>
                <w:rFonts w:ascii="Times New Roman"/>
                <w:spacing w:val="-2"/>
                <w:sz w:val="20"/>
              </w:rPr>
              <w:t>-0.30974</w:t>
            </w:r>
          </w:p>
        </w:tc>
        <w:tc>
          <w:tcPr>
            <w:tcW w:w="1067" w:type="dxa"/>
          </w:tcPr>
          <w:p>
            <w:pPr>
              <w:pStyle w:val="TableParagraph"/>
              <w:spacing w:before="2"/>
              <w:ind w:left="2"/>
              <w:jc w:val="center"/>
              <w:rPr>
                <w:rFonts w:ascii="Times New Roman"/>
                <w:sz w:val="20"/>
              </w:rPr>
            </w:pPr>
            <w:r>
              <w:rPr>
                <w:rFonts w:ascii="Times New Roman"/>
                <w:spacing w:val="-2"/>
                <w:sz w:val="20"/>
              </w:rPr>
              <w:t>3.7635</w:t>
            </w:r>
          </w:p>
        </w:tc>
        <w:tc>
          <w:tcPr>
            <w:tcW w:w="1067" w:type="dxa"/>
          </w:tcPr>
          <w:p>
            <w:pPr>
              <w:pStyle w:val="TableParagraph"/>
              <w:spacing w:before="2"/>
              <w:ind w:left="303"/>
              <w:rPr>
                <w:rFonts w:ascii="Times New Roman"/>
                <w:sz w:val="20"/>
              </w:rPr>
            </w:pPr>
            <w:r>
              <w:rPr>
                <w:rFonts w:ascii="Times New Roman"/>
                <w:spacing w:val="-2"/>
                <w:sz w:val="20"/>
              </w:rPr>
              <w:t>0.152</w:t>
            </w:r>
          </w:p>
        </w:tc>
        <w:tc>
          <w:tcPr>
            <w:tcW w:w="597" w:type="dxa"/>
            <w:tcBorders>
              <w:right w:val="nil"/>
            </w:tcBorders>
          </w:tcPr>
          <w:p>
            <w:pPr>
              <w:pStyle w:val="TableParagraph"/>
              <w:spacing w:before="2"/>
              <w:ind w:left="3"/>
              <w:jc w:val="center"/>
              <w:rPr>
                <w:rFonts w:ascii="Times New Roman"/>
                <w:sz w:val="20"/>
              </w:rPr>
            </w:pPr>
            <w:r>
              <w:rPr>
                <w:rFonts w:ascii="Times New Roman"/>
                <w:spacing w:val="-5"/>
                <w:sz w:val="20"/>
              </w:rPr>
              <w:t>195</w:t>
            </w:r>
          </w:p>
        </w:tc>
      </w:tr>
      <w:tr>
        <w:trPr>
          <w:trHeight w:val="491" w:hRule="atLeast"/>
        </w:trPr>
        <w:tc>
          <w:tcPr>
            <w:tcW w:w="1421" w:type="dxa"/>
            <w:tcBorders>
              <w:left w:val="nil"/>
            </w:tcBorders>
          </w:tcPr>
          <w:p>
            <w:pPr>
              <w:pStyle w:val="TableParagraph"/>
              <w:ind w:left="122"/>
              <w:rPr>
                <w:rFonts w:ascii="Times New Roman"/>
                <w:sz w:val="20"/>
              </w:rPr>
            </w:pPr>
            <w:r>
              <w:rPr>
                <w:rFonts w:ascii="Times New Roman"/>
                <w:spacing w:val="-5"/>
                <w:sz w:val="20"/>
              </w:rPr>
              <w:t>LEV</w:t>
            </w:r>
          </w:p>
        </w:tc>
        <w:tc>
          <w:tcPr>
            <w:tcW w:w="1069" w:type="dxa"/>
          </w:tcPr>
          <w:p>
            <w:pPr>
              <w:pStyle w:val="TableParagraph"/>
              <w:ind w:right="1"/>
              <w:jc w:val="center"/>
              <w:rPr>
                <w:rFonts w:ascii="Times New Roman"/>
                <w:sz w:val="20"/>
              </w:rPr>
            </w:pPr>
            <w:r>
              <w:rPr>
                <w:rFonts w:ascii="Times New Roman"/>
                <w:spacing w:val="-2"/>
                <w:sz w:val="20"/>
              </w:rPr>
              <w:t>0.96509</w:t>
            </w:r>
          </w:p>
        </w:tc>
        <w:tc>
          <w:tcPr>
            <w:tcW w:w="1068" w:type="dxa"/>
          </w:tcPr>
          <w:p>
            <w:pPr>
              <w:pStyle w:val="TableParagraph"/>
              <w:ind w:left="37" w:right="38"/>
              <w:jc w:val="center"/>
              <w:rPr>
                <w:rFonts w:ascii="Times New Roman"/>
                <w:sz w:val="20"/>
              </w:rPr>
            </w:pPr>
            <w:r>
              <w:rPr>
                <w:rFonts w:ascii="Times New Roman"/>
                <w:spacing w:val="-2"/>
                <w:sz w:val="20"/>
              </w:rPr>
              <w:t>7.992495</w:t>
            </w:r>
          </w:p>
        </w:tc>
        <w:tc>
          <w:tcPr>
            <w:tcW w:w="1068" w:type="dxa"/>
          </w:tcPr>
          <w:p>
            <w:pPr>
              <w:pStyle w:val="TableParagraph"/>
              <w:ind w:left="38" w:right="38"/>
              <w:jc w:val="center"/>
              <w:rPr>
                <w:rFonts w:ascii="Times New Roman"/>
                <w:sz w:val="20"/>
              </w:rPr>
            </w:pPr>
            <w:r>
              <w:rPr>
                <w:rFonts w:ascii="Times New Roman"/>
                <w:spacing w:val="-2"/>
                <w:sz w:val="20"/>
              </w:rPr>
              <w:t>0.0132</w:t>
            </w:r>
          </w:p>
        </w:tc>
        <w:tc>
          <w:tcPr>
            <w:tcW w:w="1207" w:type="dxa"/>
          </w:tcPr>
          <w:p>
            <w:pPr>
              <w:pStyle w:val="TableParagraph"/>
              <w:jc w:val="center"/>
              <w:rPr>
                <w:rFonts w:ascii="Times New Roman"/>
                <w:sz w:val="20"/>
              </w:rPr>
            </w:pPr>
            <w:r>
              <w:rPr>
                <w:rFonts w:ascii="Times New Roman"/>
                <w:spacing w:val="-2"/>
                <w:sz w:val="20"/>
              </w:rPr>
              <w:t>0.7555</w:t>
            </w:r>
          </w:p>
        </w:tc>
        <w:tc>
          <w:tcPr>
            <w:tcW w:w="1068" w:type="dxa"/>
          </w:tcPr>
          <w:p>
            <w:pPr>
              <w:pStyle w:val="TableParagraph"/>
              <w:ind w:left="38" w:right="38"/>
              <w:jc w:val="center"/>
              <w:rPr>
                <w:rFonts w:ascii="Times New Roman"/>
                <w:sz w:val="20"/>
              </w:rPr>
            </w:pPr>
            <w:r>
              <w:rPr>
                <w:rFonts w:ascii="Times New Roman"/>
                <w:spacing w:val="-2"/>
                <w:sz w:val="20"/>
              </w:rPr>
              <w:t>5.9363</w:t>
            </w:r>
          </w:p>
        </w:tc>
        <w:tc>
          <w:tcPr>
            <w:tcW w:w="1067" w:type="dxa"/>
          </w:tcPr>
          <w:p>
            <w:pPr>
              <w:pStyle w:val="TableParagraph"/>
              <w:ind w:left="2"/>
              <w:jc w:val="center"/>
              <w:rPr>
                <w:rFonts w:ascii="Times New Roman"/>
                <w:sz w:val="20"/>
              </w:rPr>
            </w:pPr>
            <w:r>
              <w:rPr>
                <w:rFonts w:ascii="Times New Roman"/>
                <w:spacing w:val="-2"/>
                <w:sz w:val="20"/>
              </w:rPr>
              <w:t>17433.55</w:t>
            </w:r>
          </w:p>
        </w:tc>
        <w:tc>
          <w:tcPr>
            <w:tcW w:w="1067" w:type="dxa"/>
          </w:tcPr>
          <w:p>
            <w:pPr>
              <w:pStyle w:val="TableParagraph"/>
              <w:ind w:left="354"/>
              <w:rPr>
                <w:rFonts w:ascii="Times New Roman"/>
                <w:sz w:val="20"/>
              </w:rPr>
            </w:pPr>
            <w:r>
              <w:rPr>
                <w:rFonts w:ascii="Times New Roman"/>
                <w:spacing w:val="-4"/>
                <w:sz w:val="20"/>
              </w:rPr>
              <w:t>0.00</w:t>
            </w:r>
          </w:p>
        </w:tc>
        <w:tc>
          <w:tcPr>
            <w:tcW w:w="597" w:type="dxa"/>
            <w:tcBorders>
              <w:right w:val="nil"/>
            </w:tcBorders>
          </w:tcPr>
          <w:p>
            <w:pPr>
              <w:pStyle w:val="TableParagraph"/>
              <w:ind w:left="3"/>
              <w:jc w:val="center"/>
              <w:rPr>
                <w:rFonts w:ascii="Times New Roman"/>
                <w:sz w:val="20"/>
              </w:rPr>
            </w:pPr>
            <w:r>
              <w:rPr>
                <w:rFonts w:ascii="Times New Roman"/>
                <w:spacing w:val="-5"/>
                <w:sz w:val="20"/>
              </w:rPr>
              <w:t>195</w:t>
            </w:r>
          </w:p>
        </w:tc>
      </w:tr>
    </w:tbl>
    <w:p>
      <w:pPr>
        <w:spacing w:before="23"/>
        <w:ind w:left="940" w:right="0" w:firstLine="0"/>
        <w:jc w:val="both"/>
        <w:rPr>
          <w:sz w:val="22"/>
        </w:rPr>
      </w:pPr>
      <w:r>
        <w:rPr>
          <w:sz w:val="22"/>
        </w:rPr>
        <w:t>Source:</w:t>
      </w:r>
      <w:r>
        <w:rPr>
          <w:spacing w:val="-7"/>
          <w:sz w:val="22"/>
        </w:rPr>
        <w:t> </w:t>
      </w:r>
      <w:r>
        <w:rPr>
          <w:sz w:val="22"/>
        </w:rPr>
        <w:t>Researcher’s</w:t>
      </w:r>
      <w:r>
        <w:rPr>
          <w:spacing w:val="-7"/>
          <w:sz w:val="22"/>
        </w:rPr>
        <w:t> </w:t>
      </w:r>
      <w:r>
        <w:rPr>
          <w:sz w:val="22"/>
        </w:rPr>
        <w:t>compilation</w:t>
      </w:r>
      <w:r>
        <w:rPr>
          <w:spacing w:val="-6"/>
          <w:sz w:val="22"/>
        </w:rPr>
        <w:t> </w:t>
      </w:r>
      <w:r>
        <w:rPr>
          <w:spacing w:val="-2"/>
          <w:sz w:val="22"/>
        </w:rPr>
        <w:t>(2021)</w:t>
      </w:r>
    </w:p>
    <w:p>
      <w:pPr>
        <w:pStyle w:val="BodyText"/>
        <w:spacing w:line="480" w:lineRule="auto" w:before="252"/>
        <w:ind w:left="940" w:right="1435"/>
        <w:jc w:val="both"/>
      </w:pPr>
      <w:r>
        <w:rPr/>
        <w:drawing>
          <wp:anchor distT="0" distB="0" distL="0" distR="0" allowOverlap="1" layoutInCell="1" locked="0" behindDoc="1" simplePos="0" relativeHeight="477730816">
            <wp:simplePos x="0" y="0"/>
            <wp:positionH relativeFrom="page">
              <wp:posOffset>1095451</wp:posOffset>
            </wp:positionH>
            <wp:positionV relativeFrom="paragraph">
              <wp:posOffset>368694</wp:posOffset>
            </wp:positionV>
            <wp:extent cx="5106847" cy="5238115"/>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5" cstate="print"/>
                    <a:stretch>
                      <a:fillRect/>
                    </a:stretch>
                  </pic:blipFill>
                  <pic:spPr>
                    <a:xfrm>
                      <a:off x="0" y="0"/>
                      <a:ext cx="5106847" cy="5238115"/>
                    </a:xfrm>
                    <a:prstGeom prst="rect">
                      <a:avLst/>
                    </a:prstGeom>
                  </pic:spPr>
                </pic:pic>
              </a:graphicData>
            </a:graphic>
          </wp:anchor>
        </w:drawing>
      </w:r>
      <w:r>
        <w:rPr/>
        <w:t>Table 4.1 showed the descriptive statistics for the variables and as observed, the mean FRQ stood at 0.5889 with maximum and minimum values of 0.7666 and 0.4839 respectively. The standard deviation stood at 0.451 which indicated a clustering around the mean. The mean of DIS-ACC stood at -0.121 with maximum and minimum values of 3.252 and -2.8143 respectively and a standard deviation of 0.570. The mean for VREL stood at 0.592 with maximum</w:t>
      </w:r>
      <w:r>
        <w:rPr>
          <w:spacing w:val="16"/>
        </w:rPr>
        <w:t> </w:t>
      </w:r>
      <w:r>
        <w:rPr/>
        <w:t>and</w:t>
      </w:r>
      <w:r>
        <w:rPr>
          <w:spacing w:val="17"/>
        </w:rPr>
        <w:t> </w:t>
      </w:r>
      <w:r>
        <w:rPr/>
        <w:t>minimum</w:t>
      </w:r>
      <w:r>
        <w:rPr>
          <w:spacing w:val="16"/>
        </w:rPr>
        <w:t> </w:t>
      </w:r>
      <w:r>
        <w:rPr/>
        <w:t>values</w:t>
      </w:r>
      <w:r>
        <w:rPr>
          <w:spacing w:val="17"/>
        </w:rPr>
        <w:t> </w:t>
      </w:r>
      <w:r>
        <w:rPr/>
        <w:t>of</w:t>
      </w:r>
      <w:r>
        <w:rPr>
          <w:spacing w:val="17"/>
        </w:rPr>
        <w:t> </w:t>
      </w:r>
      <w:r>
        <w:rPr/>
        <w:t>0.767</w:t>
      </w:r>
      <w:r>
        <w:rPr>
          <w:spacing w:val="17"/>
        </w:rPr>
        <w:t> </w:t>
      </w:r>
      <w:r>
        <w:rPr/>
        <w:t>and</w:t>
      </w:r>
      <w:r>
        <w:rPr>
          <w:spacing w:val="17"/>
        </w:rPr>
        <w:t> </w:t>
      </w:r>
      <w:r>
        <w:rPr/>
        <w:t>0.766</w:t>
      </w:r>
      <w:r>
        <w:rPr>
          <w:spacing w:val="17"/>
        </w:rPr>
        <w:t> </w:t>
      </w:r>
      <w:r>
        <w:rPr/>
        <w:t>respectively</w:t>
      </w:r>
      <w:r>
        <w:rPr>
          <w:spacing w:val="18"/>
        </w:rPr>
        <w:t> </w:t>
      </w:r>
      <w:r>
        <w:rPr/>
        <w:t>and</w:t>
      </w:r>
      <w:r>
        <w:rPr>
          <w:spacing w:val="17"/>
        </w:rPr>
        <w:t> </w:t>
      </w:r>
      <w:r>
        <w:rPr/>
        <w:t>a</w:t>
      </w:r>
      <w:r>
        <w:rPr>
          <w:spacing w:val="17"/>
        </w:rPr>
        <w:t> </w:t>
      </w:r>
      <w:r>
        <w:rPr/>
        <w:t>standard</w:t>
      </w:r>
      <w:r>
        <w:rPr>
          <w:spacing w:val="17"/>
        </w:rPr>
        <w:t> </w:t>
      </w:r>
      <w:r>
        <w:rPr/>
        <w:t>deviation</w:t>
      </w:r>
      <w:r>
        <w:rPr>
          <w:spacing w:val="19"/>
        </w:rPr>
        <w:t> </w:t>
      </w:r>
      <w:r>
        <w:rPr>
          <w:spacing w:val="-5"/>
        </w:rPr>
        <w:t>of</w:t>
      </w:r>
    </w:p>
    <w:p>
      <w:pPr>
        <w:pStyle w:val="BodyText"/>
        <w:spacing w:line="480" w:lineRule="auto" w:before="1"/>
        <w:ind w:left="940" w:right="1433"/>
        <w:jc w:val="both"/>
      </w:pPr>
      <w:r>
        <w:rPr/>
        <w:t>0.063. BDS had mean value of 13.79 which indicated that, on average, there were approximately fourteen individuals on the board with maximum and minimum values of 20 and</w:t>
      </w:r>
      <w:r>
        <w:rPr>
          <w:spacing w:val="-6"/>
        </w:rPr>
        <w:t> </w:t>
      </w:r>
      <w:r>
        <w:rPr/>
        <w:t>6</w:t>
      </w:r>
      <w:r>
        <w:rPr>
          <w:spacing w:val="-6"/>
        </w:rPr>
        <w:t> </w:t>
      </w:r>
      <w:r>
        <w:rPr/>
        <w:t>respectively</w:t>
      </w:r>
      <w:r>
        <w:rPr>
          <w:spacing w:val="-5"/>
        </w:rPr>
        <w:t> </w:t>
      </w:r>
      <w:r>
        <w:rPr/>
        <w:t>with</w:t>
      </w:r>
      <w:r>
        <w:rPr>
          <w:spacing w:val="-5"/>
        </w:rPr>
        <w:t> </w:t>
      </w:r>
      <w:r>
        <w:rPr/>
        <w:t>a</w:t>
      </w:r>
      <w:r>
        <w:rPr>
          <w:spacing w:val="-7"/>
        </w:rPr>
        <w:t> </w:t>
      </w:r>
      <w:r>
        <w:rPr/>
        <w:t>standard</w:t>
      </w:r>
      <w:r>
        <w:rPr>
          <w:spacing w:val="-7"/>
        </w:rPr>
        <w:t> </w:t>
      </w:r>
      <w:r>
        <w:rPr/>
        <w:t>deviation</w:t>
      </w:r>
      <w:r>
        <w:rPr>
          <w:spacing w:val="-5"/>
        </w:rPr>
        <w:t> </w:t>
      </w:r>
      <w:r>
        <w:rPr/>
        <w:t>of</w:t>
      </w:r>
      <w:r>
        <w:rPr>
          <w:spacing w:val="-7"/>
        </w:rPr>
        <w:t> </w:t>
      </w:r>
      <w:r>
        <w:rPr/>
        <w:t>2.999.</w:t>
      </w:r>
      <w:r>
        <w:rPr>
          <w:spacing w:val="-4"/>
        </w:rPr>
        <w:t> </w:t>
      </w:r>
      <w:r>
        <w:rPr/>
        <w:t>Although</w:t>
      </w:r>
      <w:r>
        <w:rPr>
          <w:spacing w:val="-6"/>
        </w:rPr>
        <w:t> </w:t>
      </w:r>
      <w:r>
        <w:rPr/>
        <w:t>there</w:t>
      </w:r>
      <w:r>
        <w:rPr>
          <w:spacing w:val="-7"/>
        </w:rPr>
        <w:t> </w:t>
      </w:r>
      <w:r>
        <w:rPr/>
        <w:t>was</w:t>
      </w:r>
      <w:r>
        <w:rPr>
          <w:spacing w:val="-6"/>
        </w:rPr>
        <w:t> </w:t>
      </w:r>
      <w:r>
        <w:rPr/>
        <w:t>yet</w:t>
      </w:r>
      <w:r>
        <w:rPr>
          <w:spacing w:val="-5"/>
        </w:rPr>
        <w:t> </w:t>
      </w:r>
      <w:r>
        <w:rPr/>
        <w:t>no</w:t>
      </w:r>
      <w:r>
        <w:rPr>
          <w:spacing w:val="-6"/>
        </w:rPr>
        <w:t> </w:t>
      </w:r>
      <w:r>
        <w:rPr/>
        <w:t>consensus</w:t>
      </w:r>
      <w:r>
        <w:rPr>
          <w:spacing w:val="-5"/>
        </w:rPr>
        <w:t> </w:t>
      </w:r>
      <w:r>
        <w:rPr/>
        <w:t>on what an optimal board size should be, the argument was that board size should reflect all stakeholders/shareholders’</w:t>
      </w:r>
      <w:r>
        <w:rPr>
          <w:spacing w:val="-3"/>
        </w:rPr>
        <w:t> </w:t>
      </w:r>
      <w:r>
        <w:rPr/>
        <w:t>interest.</w:t>
      </w:r>
      <w:r>
        <w:rPr>
          <w:spacing w:val="-3"/>
        </w:rPr>
        <w:t> </w:t>
      </w:r>
      <w:r>
        <w:rPr/>
        <w:t>BDIND</w:t>
      </w:r>
      <w:r>
        <w:rPr>
          <w:spacing w:val="-4"/>
        </w:rPr>
        <w:t> </w:t>
      </w:r>
      <w:r>
        <w:rPr/>
        <w:t>had</w:t>
      </w:r>
      <w:r>
        <w:rPr>
          <w:spacing w:val="-2"/>
        </w:rPr>
        <w:t> </w:t>
      </w:r>
      <w:r>
        <w:rPr/>
        <w:t>a</w:t>
      </w:r>
      <w:r>
        <w:rPr>
          <w:spacing w:val="-2"/>
        </w:rPr>
        <w:t> </w:t>
      </w:r>
      <w:r>
        <w:rPr/>
        <w:t>mean</w:t>
      </w:r>
      <w:r>
        <w:rPr>
          <w:spacing w:val="-3"/>
        </w:rPr>
        <w:t> </w:t>
      </w:r>
      <w:r>
        <w:rPr/>
        <w:t>ratio</w:t>
      </w:r>
      <w:r>
        <w:rPr>
          <w:spacing w:val="-3"/>
        </w:rPr>
        <w:t> </w:t>
      </w:r>
      <w:r>
        <w:rPr/>
        <w:t>of</w:t>
      </w:r>
      <w:r>
        <w:rPr>
          <w:spacing w:val="-3"/>
        </w:rPr>
        <w:t> </w:t>
      </w:r>
      <w:r>
        <w:rPr/>
        <w:t>0.57061</w:t>
      </w:r>
      <w:r>
        <w:rPr>
          <w:spacing w:val="-1"/>
        </w:rPr>
        <w:t> </w:t>
      </w:r>
      <w:r>
        <w:rPr/>
        <w:t>which</w:t>
      </w:r>
      <w:r>
        <w:rPr>
          <w:spacing w:val="-3"/>
        </w:rPr>
        <w:t> </w:t>
      </w:r>
      <w:r>
        <w:rPr/>
        <w:t>indicated</w:t>
      </w:r>
      <w:r>
        <w:rPr>
          <w:spacing w:val="-2"/>
        </w:rPr>
        <w:t> </w:t>
      </w:r>
      <w:r>
        <w:rPr/>
        <w:t>that, on</w:t>
      </w:r>
      <w:r>
        <w:rPr>
          <w:spacing w:val="-15"/>
        </w:rPr>
        <w:t> </w:t>
      </w:r>
      <w:r>
        <w:rPr/>
        <w:t>average,</w:t>
      </w:r>
      <w:r>
        <w:rPr>
          <w:spacing w:val="-15"/>
        </w:rPr>
        <w:t> </w:t>
      </w:r>
      <w:r>
        <w:rPr/>
        <w:t>about</w:t>
      </w:r>
      <w:r>
        <w:rPr>
          <w:spacing w:val="-14"/>
        </w:rPr>
        <w:t> </w:t>
      </w:r>
      <w:r>
        <w:rPr/>
        <w:t>57%</w:t>
      </w:r>
      <w:r>
        <w:rPr>
          <w:spacing w:val="-15"/>
        </w:rPr>
        <w:t> </w:t>
      </w:r>
      <w:r>
        <w:rPr/>
        <w:t>of</w:t>
      </w:r>
      <w:r>
        <w:rPr>
          <w:spacing w:val="-14"/>
        </w:rPr>
        <w:t> </w:t>
      </w:r>
      <w:r>
        <w:rPr/>
        <w:t>board</w:t>
      </w:r>
      <w:r>
        <w:rPr>
          <w:spacing w:val="-15"/>
        </w:rPr>
        <w:t> </w:t>
      </w:r>
      <w:r>
        <w:rPr/>
        <w:t>members</w:t>
      </w:r>
      <w:r>
        <w:rPr>
          <w:spacing w:val="-14"/>
        </w:rPr>
        <w:t> </w:t>
      </w:r>
      <w:r>
        <w:rPr/>
        <w:t>were</w:t>
      </w:r>
      <w:r>
        <w:rPr>
          <w:spacing w:val="-15"/>
        </w:rPr>
        <w:t> </w:t>
      </w:r>
      <w:r>
        <w:rPr/>
        <w:t>independent</w:t>
      </w:r>
      <w:r>
        <w:rPr>
          <w:spacing w:val="-15"/>
        </w:rPr>
        <w:t> </w:t>
      </w:r>
      <w:r>
        <w:rPr/>
        <w:t>members</w:t>
      </w:r>
      <w:r>
        <w:rPr>
          <w:spacing w:val="-15"/>
        </w:rPr>
        <w:t> </w:t>
      </w:r>
      <w:r>
        <w:rPr/>
        <w:t>with</w:t>
      </w:r>
      <w:r>
        <w:rPr>
          <w:spacing w:val="-14"/>
        </w:rPr>
        <w:t> </w:t>
      </w:r>
      <w:r>
        <w:rPr/>
        <w:t>a</w:t>
      </w:r>
      <w:r>
        <w:rPr>
          <w:spacing w:val="-14"/>
        </w:rPr>
        <w:t> </w:t>
      </w:r>
      <w:r>
        <w:rPr/>
        <w:t>standard</w:t>
      </w:r>
      <w:r>
        <w:rPr>
          <w:spacing w:val="-15"/>
        </w:rPr>
        <w:t> </w:t>
      </w:r>
      <w:r>
        <w:rPr/>
        <w:t>deviation of 0.111. The ratio was commendable and, if properly engaged, could improve the board objectivity, reduce agency cost and improve board and corporate reputation. The maximum and minimum values stood at 23 and 4 respectively.</w:t>
      </w:r>
    </w:p>
    <w:p>
      <w:pPr>
        <w:pStyle w:val="BodyText"/>
        <w:spacing w:line="480" w:lineRule="auto"/>
        <w:ind w:left="940" w:right="1436"/>
        <w:jc w:val="both"/>
      </w:pPr>
      <w:r>
        <w:rPr/>
        <w:t>The mean for BFEXP was 0.571 and it suggested that, on average, 57.1% of board members had financial expertise. That represented more than half of the board with maximum and minimum values of 0.8 and 0.294 respectively and hence, that was expected to result in more companies.</w:t>
      </w:r>
      <w:r>
        <w:rPr>
          <w:spacing w:val="-7"/>
        </w:rPr>
        <w:t> </w:t>
      </w:r>
      <w:r>
        <w:rPr/>
        <w:t>MOWN</w:t>
      </w:r>
      <w:r>
        <w:rPr>
          <w:spacing w:val="-8"/>
        </w:rPr>
        <w:t> </w:t>
      </w:r>
      <w:r>
        <w:rPr/>
        <w:t>had</w:t>
      </w:r>
      <w:r>
        <w:rPr>
          <w:spacing w:val="-4"/>
        </w:rPr>
        <w:t> </w:t>
      </w:r>
      <w:r>
        <w:rPr/>
        <w:t>the</w:t>
      </w:r>
      <w:r>
        <w:rPr>
          <w:spacing w:val="-8"/>
        </w:rPr>
        <w:t> </w:t>
      </w:r>
      <w:r>
        <w:rPr/>
        <w:t>mean</w:t>
      </w:r>
      <w:r>
        <w:rPr>
          <w:spacing w:val="-5"/>
        </w:rPr>
        <w:t> </w:t>
      </w:r>
      <w:r>
        <w:rPr/>
        <w:t>of</w:t>
      </w:r>
      <w:r>
        <w:rPr>
          <w:spacing w:val="-8"/>
        </w:rPr>
        <w:t> </w:t>
      </w:r>
      <w:r>
        <w:rPr/>
        <w:t>11.549</w:t>
      </w:r>
      <w:r>
        <w:rPr>
          <w:spacing w:val="-5"/>
        </w:rPr>
        <w:t> </w:t>
      </w:r>
      <w:r>
        <w:rPr/>
        <w:t>which</w:t>
      </w:r>
      <w:r>
        <w:rPr>
          <w:spacing w:val="-5"/>
        </w:rPr>
        <w:t> </w:t>
      </w:r>
      <w:r>
        <w:rPr/>
        <w:t>was</w:t>
      </w:r>
      <w:r>
        <w:rPr>
          <w:spacing w:val="-7"/>
        </w:rPr>
        <w:t> </w:t>
      </w:r>
      <w:r>
        <w:rPr/>
        <w:t>low</w:t>
      </w:r>
      <w:r>
        <w:rPr>
          <w:spacing w:val="-7"/>
        </w:rPr>
        <w:t> </w:t>
      </w:r>
      <w:r>
        <w:rPr/>
        <w:t>on</w:t>
      </w:r>
      <w:r>
        <w:rPr>
          <w:spacing w:val="-5"/>
        </w:rPr>
        <w:t> </w:t>
      </w:r>
      <w:r>
        <w:rPr/>
        <w:t>average</w:t>
      </w:r>
      <w:r>
        <w:rPr>
          <w:spacing w:val="-8"/>
        </w:rPr>
        <w:t> </w:t>
      </w:r>
      <w:r>
        <w:rPr/>
        <w:t>but</w:t>
      </w:r>
      <w:r>
        <w:rPr>
          <w:spacing w:val="-3"/>
        </w:rPr>
        <w:t> </w:t>
      </w:r>
      <w:r>
        <w:rPr/>
        <w:t>could</w:t>
      </w:r>
      <w:r>
        <w:rPr>
          <w:spacing w:val="-7"/>
        </w:rPr>
        <w:t> </w:t>
      </w:r>
      <w:r>
        <w:rPr/>
        <w:t>also</w:t>
      </w:r>
      <w:r>
        <w:rPr>
          <w:spacing w:val="-7"/>
        </w:rPr>
        <w:t> </w:t>
      </w:r>
      <w:r>
        <w:rPr/>
        <w:t>be</w:t>
      </w:r>
      <w:r>
        <w:rPr>
          <w:spacing w:val="-6"/>
        </w:rPr>
        <w:t> </w:t>
      </w:r>
      <w:r>
        <w:rPr/>
        <w:t>good in</w:t>
      </w:r>
      <w:r>
        <w:rPr>
          <w:spacing w:val="11"/>
        </w:rPr>
        <w:t> </w:t>
      </w:r>
      <w:r>
        <w:rPr/>
        <w:t>terms</w:t>
      </w:r>
      <w:r>
        <w:rPr>
          <w:spacing w:val="13"/>
        </w:rPr>
        <w:t> </w:t>
      </w:r>
      <w:r>
        <w:rPr/>
        <w:t>of</w:t>
      </w:r>
      <w:r>
        <w:rPr>
          <w:spacing w:val="14"/>
        </w:rPr>
        <w:t> </w:t>
      </w:r>
      <w:r>
        <w:rPr/>
        <w:t>reducing</w:t>
      </w:r>
      <w:r>
        <w:rPr>
          <w:spacing w:val="14"/>
        </w:rPr>
        <w:t> </w:t>
      </w:r>
      <w:r>
        <w:rPr/>
        <w:t>managerial</w:t>
      </w:r>
      <w:r>
        <w:rPr>
          <w:spacing w:val="16"/>
        </w:rPr>
        <w:t> </w:t>
      </w:r>
      <w:r>
        <w:rPr/>
        <w:t>entrenchment.</w:t>
      </w:r>
      <w:r>
        <w:rPr>
          <w:spacing w:val="13"/>
        </w:rPr>
        <w:t> </w:t>
      </w:r>
      <w:r>
        <w:rPr/>
        <w:t>The</w:t>
      </w:r>
      <w:r>
        <w:rPr>
          <w:spacing w:val="12"/>
        </w:rPr>
        <w:t> </w:t>
      </w:r>
      <w:r>
        <w:rPr/>
        <w:t>maximum</w:t>
      </w:r>
      <w:r>
        <w:rPr>
          <w:spacing w:val="13"/>
        </w:rPr>
        <w:t> </w:t>
      </w:r>
      <w:r>
        <w:rPr/>
        <w:t>and</w:t>
      </w:r>
      <w:r>
        <w:rPr>
          <w:spacing w:val="14"/>
        </w:rPr>
        <w:t> </w:t>
      </w:r>
      <w:r>
        <w:rPr/>
        <w:t>minimum</w:t>
      </w:r>
      <w:r>
        <w:rPr>
          <w:spacing w:val="13"/>
        </w:rPr>
        <w:t> </w:t>
      </w:r>
      <w:r>
        <w:rPr/>
        <w:t>values</w:t>
      </w:r>
      <w:r>
        <w:rPr>
          <w:spacing w:val="12"/>
        </w:rPr>
        <w:t> </w:t>
      </w:r>
      <w:r>
        <w:rPr/>
        <w:t>stood</w:t>
      </w:r>
      <w:r>
        <w:rPr>
          <w:spacing w:val="14"/>
        </w:rPr>
        <w:t> </w:t>
      </w:r>
      <w:r>
        <w:rPr>
          <w:spacing w:val="-5"/>
        </w:rPr>
        <w:t>at</w:t>
      </w:r>
    </w:p>
    <w:p>
      <w:pPr>
        <w:pStyle w:val="BodyText"/>
        <w:ind w:left="940"/>
        <w:jc w:val="both"/>
      </w:pPr>
      <w:r>
        <w:rPr/>
        <w:t>71.56 and</w:t>
      </w:r>
      <w:r>
        <w:rPr>
          <w:spacing w:val="1"/>
        </w:rPr>
        <w:t> </w:t>
      </w:r>
      <w:r>
        <w:rPr/>
        <w:t>0</w:t>
      </w:r>
      <w:r>
        <w:rPr>
          <w:spacing w:val="1"/>
        </w:rPr>
        <w:t> </w:t>
      </w:r>
      <w:r>
        <w:rPr/>
        <w:t>respectively.</w:t>
      </w:r>
      <w:r>
        <w:rPr>
          <w:spacing w:val="3"/>
        </w:rPr>
        <w:t> </w:t>
      </w:r>
      <w:r>
        <w:rPr/>
        <w:t>The</w:t>
      </w:r>
      <w:r>
        <w:rPr>
          <w:spacing w:val="-1"/>
        </w:rPr>
        <w:t> </w:t>
      </w:r>
      <w:r>
        <w:rPr/>
        <w:t>mean</w:t>
      </w:r>
      <w:r>
        <w:rPr>
          <w:spacing w:val="1"/>
        </w:rPr>
        <w:t> </w:t>
      </w:r>
      <w:r>
        <w:rPr/>
        <w:t>for</w:t>
      </w:r>
      <w:r>
        <w:rPr>
          <w:spacing w:val="2"/>
        </w:rPr>
        <w:t> </w:t>
      </w:r>
      <w:r>
        <w:rPr/>
        <w:t>INSTOWN</w:t>
      </w:r>
      <w:r>
        <w:rPr>
          <w:spacing w:val="3"/>
        </w:rPr>
        <w:t> </w:t>
      </w:r>
      <w:r>
        <w:rPr/>
        <w:t>stood</w:t>
      </w:r>
      <w:r>
        <w:rPr>
          <w:spacing w:val="1"/>
        </w:rPr>
        <w:t> </w:t>
      </w:r>
      <w:r>
        <w:rPr/>
        <w:t>at</w:t>
      </w:r>
      <w:r>
        <w:rPr>
          <w:spacing w:val="1"/>
        </w:rPr>
        <w:t> </w:t>
      </w:r>
      <w:r>
        <w:rPr/>
        <w:t>36.316</w:t>
      </w:r>
      <w:r>
        <w:rPr>
          <w:spacing w:val="1"/>
        </w:rPr>
        <w:t> </w:t>
      </w:r>
      <w:r>
        <w:rPr/>
        <w:t>which</w:t>
      </w:r>
      <w:r>
        <w:rPr>
          <w:spacing w:val="-1"/>
        </w:rPr>
        <w:t> </w:t>
      </w:r>
      <w:r>
        <w:rPr/>
        <w:t>indicated</w:t>
      </w:r>
      <w:r>
        <w:rPr>
          <w:spacing w:val="3"/>
        </w:rPr>
        <w:t> </w:t>
      </w:r>
      <w:r>
        <w:rPr/>
        <w:t>that</w:t>
      </w:r>
      <w:r>
        <w:rPr>
          <w:spacing w:val="1"/>
        </w:rPr>
        <w:t> </w:t>
      </w:r>
      <w:r>
        <w:rPr>
          <w:spacing w:val="-2"/>
        </w:rPr>
        <w:t>there</w:t>
      </w:r>
    </w:p>
    <w:p>
      <w:pPr>
        <w:spacing w:after="0"/>
        <w:jc w:val="both"/>
        <w:sectPr>
          <w:type w:val="continuous"/>
          <w:pgSz w:w="11910" w:h="16840"/>
          <w:pgMar w:header="0" w:footer="971" w:top="1400" w:bottom="1160" w:left="500" w:right="0"/>
        </w:sectPr>
      </w:pPr>
    </w:p>
    <w:p>
      <w:pPr>
        <w:pStyle w:val="BodyText"/>
        <w:spacing w:line="480" w:lineRule="auto" w:before="61"/>
        <w:ind w:left="940" w:right="1433"/>
        <w:jc w:val="both"/>
      </w:pPr>
      <w:r>
        <w:rPr/>
        <mc:AlternateContent>
          <mc:Choice Requires="wps">
            <w:drawing>
              <wp:anchor distT="0" distB="0" distL="0" distR="0" allowOverlap="1" layoutInCell="1" locked="0" behindDoc="1" simplePos="0" relativeHeight="477731840">
                <wp:simplePos x="0" y="0"/>
                <wp:positionH relativeFrom="page">
                  <wp:posOffset>1269060</wp:posOffset>
                </wp:positionH>
                <wp:positionV relativeFrom="paragraph">
                  <wp:posOffset>1850770</wp:posOffset>
                </wp:positionV>
                <wp:extent cx="4933315" cy="4976495"/>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4933315" cy="4976495"/>
                          <a:chExt cx="4933315" cy="4976495"/>
                        </a:xfrm>
                      </wpg:grpSpPr>
                      <wps:wsp>
                        <wps:cNvPr id="142" name="Graphic 142"/>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43" name="Image 143"/>
                          <pic:cNvPicPr/>
                        </pic:nvPicPr>
                        <pic:blipFill>
                          <a:blip r:embed="rId9" cstate="print"/>
                          <a:stretch>
                            <a:fillRect/>
                          </a:stretch>
                        </pic:blipFill>
                        <pic:spPr>
                          <a:xfrm>
                            <a:off x="1248333" y="3743197"/>
                            <a:ext cx="221995" cy="221614"/>
                          </a:xfrm>
                          <a:prstGeom prst="rect">
                            <a:avLst/>
                          </a:prstGeom>
                        </pic:spPr>
                      </pic:pic>
                      <wps:wsp>
                        <wps:cNvPr id="144" name="Graphic 144"/>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145.729996pt;width:388.45pt;height:391.85pt;mso-position-horizontal-relative:page;mso-position-vertical-relative:paragraph;z-index:-25584640" id="docshapegroup11" coordorigin="1999,2915" coordsize="7769,7837">
                <v:shape style="position:absolute;left:1998;top:8733;width:2142;height:2018" id="docshape12" coordorigin="1999,8734" coordsize="2142,2018" path="m3420,10443l3419,10402,3412,10359,3400,10315,3383,10270,3362,10224,3335,10177,3304,10130,3268,10082,3227,10034,3181,9986,2526,9331,2521,9328,2511,9324,2501,9325,2495,9327,2489,9330,2482,9334,2475,9339,2467,9346,2449,9363,2438,9378,2434,9385,2431,9392,2429,9397,2427,9403,2428,9408,2431,9418,2435,9423,3090,10078,3124,10113,3154,10148,3181,10182,3204,10214,3223,10246,3239,10278,3252,10308,3261,10337,3266,10365,3268,10393,3267,10419,3262,10444,3254,10469,3243,10492,3227,10513,3209,10534,3189,10552,3167,10566,3144,10577,3120,10585,3095,10589,3068,10591,3040,10589,3012,10583,2982,10574,2951,10562,2919,10546,2886,10526,2852,10502,2817,10475,2782,10443,2745,10408,2097,9760,2092,9757,2083,9753,2078,9753,2072,9754,2067,9756,2060,9759,2053,9763,2038,9775,2020,9792,2014,9800,2009,9807,2002,9821,2000,9826,1999,9832,1999,9837,2002,9847,2006,9851,2671,10517,2720,10563,2768,10604,2815,10640,2862,10672,2908,10697,2953,10718,2996,10734,3038,10744,3080,10750,3119,10751,3157,10748,3195,10739,3230,10727,3263,10709,3295,10687,3324,10661,3353,10629,3377,10595,3395,10559,3408,10522,3417,10483,3420,10443xm4140,9671l4134,9617,4120,9562,4100,9506,4073,9448,4041,9388,4002,9327,3983,9301,3983,9649,3983,9688,3977,9724,3963,9759,3943,9792,3916,9823,3885,9851,3852,9871,3819,9885,3783,9892,3747,9894,3709,9891,3670,9882,3630,9868,3589,9849,3547,9826,3504,9798,3460,9765,3415,9729,3370,9690,3324,9648,3277,9603,3236,9560,3197,9517,3160,9474,3126,9430,3095,9387,3068,9344,3046,9301,3028,9259,3013,9218,3004,9179,3000,9140,3001,9102,3007,9065,3020,9030,3040,8997,3067,8967,3097,8940,3130,8920,3163,8906,3199,8898,3236,8897,3274,8900,3313,8909,3353,8922,3394,8941,3436,8964,3479,8991,3523,9023,3567,9058,3612,9096,3657,9138,3702,9181,3744,9225,3783,9268,3820,9312,3855,9356,3887,9400,3914,9443,3936,9486,3955,9528,3970,9569,3979,9610,3983,9649,3983,9301,3957,9265,3907,9202,3851,9139,3789,9074,3725,9013,3662,8957,3601,8907,3588,8897,3541,8863,3483,8825,3426,8794,3371,8769,3317,8751,3265,8739,3215,8734,3167,8735,3120,8742,3075,8756,3032,8777,2991,8805,2952,8840,2916,8880,2887,8924,2866,8969,2852,9017,2846,9067,2845,9119,2852,9172,2865,9226,2885,9283,2911,9341,2943,9400,2981,9461,3025,9522,3075,9584,3130,9647,3190,9710,3255,9773,3319,9829,3381,9880,3441,9925,3500,9963,3557,9995,3613,10020,3666,10039,3718,10051,3768,10057,3817,10056,3864,10049,3910,10035,3953,10014,3995,9986,4035,9951,4071,9910,4081,9894,4099,9867,4120,9821,4133,9773,4140,9723,4140,9671xe" filled="true" fillcolor="#c0c0c0" stroked="false">
                  <v:path arrowok="t"/>
                  <v:fill opacity="32896f" type="solid"/>
                </v:shape>
                <v:shape style="position:absolute;left:3964;top:8809;width:350;height:349" type="#_x0000_t75" id="docshape13" stroked="false">
                  <v:imagedata r:id="rId9" o:title=""/>
                </v:shape>
                <v:shape style="position:absolute;left:3758;top:2914;width:6009;height:6216" id="docshape14" coordorigin="3759,2915" coordsize="6009,6216" path="m4895,9050l4895,9045,4892,9036,4888,9031,4884,9027,3857,8000,3852,7997,3843,7993,3838,7993,3832,7994,3826,7996,3821,7999,3813,8003,3806,8008,3798,8015,3781,8032,3770,8046,3762,8060,3760,8065,3759,8072,3759,8077,3762,8087,3765,8092,4796,9123,4801,9126,4811,9130,4815,9130,4821,9128,4827,9127,4833,9124,4841,9119,4848,9114,4856,9108,4873,9090,4880,9082,4885,9075,4889,9068,4892,9062,4893,9055,4895,9050xm5170,8770l5169,8765,5167,8760,5163,8756,5159,8752,4775,8368,4854,8290,4883,8257,4887,8252,4907,8224,4926,8190,4939,8155,4948,8119,4952,8083,4952,8045,4947,8007,4938,7968,4925,7929,4908,7889,4886,7848,4861,7808,4831,7768,4800,7731,4800,8039,4799,8061,4795,8083,4787,8105,4776,8127,4761,8148,4742,8169,4659,8252,4232,7824,4317,7740,4329,7728,4342,7717,4356,7707,4371,7697,4387,7689,4405,7682,4425,7678,4446,7676,4469,7677,4494,7682,4521,7690,4550,7702,4580,7719,4610,7739,4642,7765,4674,7795,4697,7820,4718,7844,4736,7868,4753,7893,4767,7918,4779,7943,4788,7968,4795,7991,4799,8015,4800,8039,4800,7731,4797,7727,4759,7687,4748,7676,4729,7658,4699,7632,4669,7609,4638,7588,4608,7570,4578,7555,4549,7542,4520,7532,4491,7524,4462,7519,4434,7517,4406,7517,4380,7519,4356,7524,4334,7530,4314,7538,4296,7548,4280,7557,4266,7566,4253,7575,4241,7584,4230,7594,4218,7604,4207,7615,4059,7763,4054,7771,4050,7780,4048,7790,4048,7802,4052,7815,4059,7829,4069,7844,4084,7860,5067,8843,5071,8848,5076,8851,5081,8853,5086,8854,5091,8855,5096,8853,5102,8852,5109,8848,5116,8844,5123,8839,5131,8833,5149,8815,5155,8807,5160,8800,5165,8792,5167,8787,5168,8780,5170,8775,5170,8770xm5863,8082l5863,8077,5860,8068,5856,8063,4928,7135,5125,6938,5127,6935,5127,6930,5126,6925,5125,6919,5122,6913,5119,6907,5114,6900,5092,6874,5081,6863,5070,6853,5061,6844,5044,6830,5036,6824,5023,6817,5018,6816,5008,6816,5005,6818,4519,7303,4517,7307,4518,7311,4517,7317,4519,7321,4526,7334,4531,7342,4538,7350,4545,7359,4554,7369,4575,7390,4585,7399,4593,7405,4601,7412,4609,7418,4621,7423,4626,7425,4631,7425,4636,7425,4639,7423,4836,7227,5764,8155,5769,8158,5779,8162,5783,8162,5789,8160,5795,8159,5809,8151,5824,8140,5842,8122,5848,8114,5853,8107,5857,8100,5860,8094,5861,8087,5863,8082xm6396,7550l6395,7545,6392,7535,6388,7531,5460,6603,5657,6406,5659,6402,5659,6397,5658,6387,5652,6375,5646,6367,5639,6359,5624,6342,5613,6331,5603,6320,5576,6297,5569,6292,5556,6285,5550,6284,5545,6284,5540,6284,5537,6286,5052,6771,5050,6775,5050,6779,5050,6784,5052,6789,5058,6802,5064,6810,5071,6818,5078,6827,5086,6837,5108,6858,5117,6867,5126,6873,5134,6880,5141,6885,5154,6891,5158,6893,5164,6893,5168,6893,5172,6891,5369,6694,6297,7622,6301,7626,6311,7629,6316,7630,6321,7628,6327,7627,6341,7619,6348,7614,6356,7607,6374,7590,6386,7575,6392,7561,6394,7555,6396,7550xm7102,6709l7095,6656,7081,6600,7061,6544,7035,6486,7003,6427,6964,6366,6945,6340,6945,6688,6945,6726,6938,6763,6925,6798,6905,6831,6878,6862,6847,6889,6814,6910,6780,6923,6745,6930,6708,6932,6671,6929,6632,6920,6591,6906,6551,6887,6509,6864,6466,6836,6422,6804,6377,6768,6332,6729,6285,6686,6239,6641,6198,6598,6159,6555,6122,6512,6087,6468,6056,6425,6030,6382,6008,6340,5989,6298,5975,6257,5966,6217,5962,6178,5963,6140,5969,6103,5982,6068,6002,6036,6028,6005,6059,5978,6091,5958,6125,5944,6161,5937,6198,5935,6236,5939,6275,5947,6315,5961,6356,5980,6398,6003,6441,6030,6484,6061,6529,6096,6573,6135,6618,6176,6663,6220,6705,6263,6745,6307,6782,6350,6817,6394,6848,6438,6875,6481,6898,6524,6917,6566,6932,6607,6941,6648,6945,6688,6945,6340,6919,6303,6869,6241,6812,6177,6751,6113,6687,6051,6624,5995,6563,5945,6549,5935,6503,5901,6444,5864,6388,5832,6332,5808,6279,5789,6227,5777,6177,5772,6129,5773,6081,5781,6036,5794,5993,5815,5952,5843,5913,5878,5877,5919,5849,5962,5828,6007,5814,6055,5807,6105,5807,6157,5813,6210,5826,6265,5846,6321,5872,6379,5904,6439,5942,6499,5987,6561,6036,6623,6091,6685,6152,6748,6217,6811,6280,6868,6342,6918,6403,6963,6462,7001,6519,7033,6574,7058,6628,7077,6680,7089,6730,7095,6778,7094,6826,7087,6871,7073,6915,7052,6957,7024,6996,6989,7032,6948,7042,6932,7061,6905,7082,6859,7095,6811,7102,6761,7102,6709xm8054,5782l8054,5754,8054,5743,8052,5735,8050,5726,8048,5719,8043,5708,8040,5703,8036,5697,8014,5671,7998,5654,7980,5638,7957,5616,7943,5607,7938,5604,7933,5602,7927,5602,7924,5603,7916,5611,7913,5624,7915,5644,7916,5659,7916,5676,7915,5694,7914,5714,7912,5735,7909,5756,7903,5778,7897,5802,7887,5825,7875,5847,7859,5869,7840,5889,7815,5911,7787,5929,7757,5942,7726,5950,7692,5954,7657,5953,7620,5947,7582,5936,7542,5920,7500,5900,7456,5876,7411,5846,7364,5812,7317,5773,7268,5730,7218,5682,7169,5631,7125,5582,7086,5533,7051,5485,7021,5439,6995,5394,6974,5351,6958,5310,6945,5270,6938,5231,6936,5195,6938,5161,6945,5129,6957,5100,6973,5073,6995,5049,7016,5029,7038,5013,7060,5001,7083,4992,7106,4986,7128,4981,7149,4977,7170,4975,7189,4975,7224,4976,7239,4977,7259,4979,7272,4977,7279,4970,7280,4966,7280,4961,7279,4957,7277,4952,7270,4938,7258,4922,7242,4904,7213,4875,7197,4861,7190,4856,7184,4851,7173,4844,7161,4839,7153,4836,7141,4833,7130,4832,7118,4831,7087,4832,7069,4833,7050,4835,7032,4839,7013,4844,6995,4849,6976,4856,6957,4865,6939,4874,6921,4884,6904,4896,6888,4909,6872,4924,6841,4959,6817,4998,6799,5040,6787,5085,6782,5133,6782,5183,6788,5236,6801,5290,6820,5347,6846,5406,6877,5467,6915,5528,6959,5592,7010,5656,7066,5721,7129,5787,7193,5849,7256,5904,7318,5952,7378,5994,7437,6031,7494,6061,7550,6085,7604,6103,7655,6115,7705,6120,7753,6119,7798,6113,7841,6100,7881,6082,7919,6057,7954,6026,7972,6007,7989,5986,8003,5965,8015,5944,8025,5921,8033,5900,8040,5878,8045,5857,8049,5837,8052,5818,8054,5800,8054,5782xm8654,5157l8648,5103,8634,5048,8614,4991,8588,4933,8555,4874,8517,4813,8498,4787,8498,5135,8497,5173,8491,5210,8477,5245,8457,5278,8430,5309,8399,5336,8367,5357,8333,5371,8297,5378,8261,5380,8223,5377,8184,5368,8144,5353,8103,5335,8061,5311,8018,5284,7974,5251,7930,5215,7884,5176,7838,5134,7791,5088,7750,5046,7711,5003,7675,4959,7640,4916,7609,4872,7583,4829,7560,4787,7542,4745,7528,4704,7519,4664,7515,4625,7515,4587,7521,4550,7534,4516,7554,4483,7581,4452,7612,4426,7644,4405,7678,4391,7713,4384,7750,4383,7788,4386,7827,4394,7867,4408,7909,4427,7951,4450,7993,4477,8037,4508,8081,4544,8126,4582,8171,4623,8216,4667,8258,4711,8297,4754,8334,4798,8369,4842,8401,4885,8428,4929,8451,4971,8469,5013,8484,5055,8493,5095,8498,5135,8498,4787,8472,4751,8421,4688,8365,4625,8303,4560,8239,4498,8176,4442,8115,4393,8102,4383,8055,4349,7997,4311,7940,4280,7885,4255,7831,4237,7780,4225,7730,4219,7681,4221,7634,4228,7589,4242,7546,4263,7505,4291,7466,4325,7430,4366,7401,4409,7380,4455,7366,4502,7360,4552,7360,4604,7366,4658,7379,4712,7399,4769,7425,4827,7457,4886,7495,4947,7539,5008,7589,5070,7644,5133,7704,5195,7769,5258,7833,5315,7895,5366,7955,5410,8014,5449,8072,5480,8127,5506,8181,5524,8232,5537,8282,5542,8331,5541,8378,5534,8424,5521,8468,5500,8509,5472,8549,5436,8585,5395,8595,5380,8613,5352,8634,5307,8647,5258,8654,5209,8654,5157xm9075,4866l9073,4861,9071,4856,9068,4851,8680,4463,8758,4385,8788,4353,8792,4347,8812,4319,8831,4285,8844,4250,8852,4214,8857,4179,8857,4140,8852,4102,8843,4063,8830,4024,8813,3984,8791,3944,8765,3904,8736,3863,8705,3827,8705,4134,8704,4157,8699,4179,8692,4201,8681,4222,8665,4244,8647,4264,8564,4347,8136,3920,8221,3835,8233,3824,8247,3813,8261,3802,8276,3792,8292,3784,8310,3778,8330,3773,8351,3771,8374,3772,8399,3777,8426,3786,8455,3798,8484,3814,8515,3835,8547,3861,8579,3891,8602,3915,8623,3939,8641,3964,8658,3989,8672,4014,8684,4039,8693,4063,8699,4087,8704,4111,8705,4134,8705,3827,8702,3823,8664,3783,8652,3771,8634,3754,8604,3728,8573,3704,8543,3683,8513,3665,8483,3650,8453,3638,8424,3627,8395,3619,8367,3614,8339,3612,8311,3612,8284,3615,8260,3619,8238,3626,8218,3634,8201,3643,8185,3653,8170,3662,8158,3670,8146,3679,8135,3689,8123,3700,8112,3711,7964,3858,7958,3866,7955,3875,7953,3886,7953,3898,7956,3910,7963,3924,7974,3939,7989,3956,8972,4939,8976,4943,8981,4946,8990,4950,8995,4950,9001,4948,9007,4947,9021,4940,9028,4935,9035,4928,9053,4910,9060,4902,9065,4895,9069,4888,9072,4882,9073,4876,9075,4871,9075,4866xm9767,4178l9767,4173,9764,4164,9760,4159,9363,3762,9289,3617,9068,3183,8957,2966,8941,2936,8936,2929,8929,2921,8923,2918,8910,2915,8902,2918,8893,2923,8886,2928,8870,2943,8852,2961,8845,2969,8835,2983,8832,2989,8830,2994,8829,3000,8829,3005,8831,3011,8833,3017,8836,3023,8840,3030,8876,3097,8981,3299,9052,3434,9151,3612,9186,3671,9185,3672,8944,3538,8877,3502,8542,3327,8534,3323,8528,3321,8523,3318,8517,3317,8505,3319,8500,3321,8493,3325,8469,3344,8446,3366,8438,3376,8426,3392,8423,3399,8426,3413,8430,3419,8445,3430,8454,3436,8475,3448,8620,3522,9055,3743,9272,3854,9668,4251,9673,4254,9678,4256,9682,4258,9687,4258,9693,4256,9699,4255,9713,4247,9720,4242,9727,4236,9745,4219,9752,4210,9757,4203,9761,4196,9764,4190,9765,4183,9767,4178xe" filled="true" fillcolor="#c0c0c0" stroked="false">
                  <v:path arrowok="t"/>
                  <v:fill opacity="32896f" type="solid"/>
                </v:shape>
                <w10:wrap type="none"/>
              </v:group>
            </w:pict>
          </mc:Fallback>
        </mc:AlternateContent>
      </w:r>
      <w:r>
        <w:rPr/>
        <w:t>was substantial institutional presence in the sampled banks with maximum and minimum values of 99% and 0% respectively. The mean for FOROWN stood at 20.96 with maximum and</w:t>
      </w:r>
      <w:r>
        <w:rPr>
          <w:spacing w:val="-2"/>
        </w:rPr>
        <w:t> </w:t>
      </w:r>
      <w:r>
        <w:rPr/>
        <w:t>minimum</w:t>
      </w:r>
      <w:r>
        <w:rPr>
          <w:spacing w:val="-2"/>
        </w:rPr>
        <w:t> </w:t>
      </w:r>
      <w:r>
        <w:rPr/>
        <w:t>values</w:t>
      </w:r>
      <w:r>
        <w:rPr>
          <w:spacing w:val="-2"/>
        </w:rPr>
        <w:t> </w:t>
      </w:r>
      <w:r>
        <w:rPr/>
        <w:t>of</w:t>
      </w:r>
      <w:r>
        <w:rPr>
          <w:spacing w:val="-2"/>
        </w:rPr>
        <w:t> </w:t>
      </w:r>
      <w:r>
        <w:rPr/>
        <w:t>99%</w:t>
      </w:r>
      <w:r>
        <w:rPr>
          <w:spacing w:val="-4"/>
        </w:rPr>
        <w:t> </w:t>
      </w:r>
      <w:r>
        <w:rPr/>
        <w:t>and</w:t>
      </w:r>
      <w:r>
        <w:rPr>
          <w:spacing w:val="-2"/>
        </w:rPr>
        <w:t> </w:t>
      </w:r>
      <w:r>
        <w:rPr/>
        <w:t>0%</w:t>
      </w:r>
      <w:r>
        <w:rPr>
          <w:spacing w:val="-3"/>
        </w:rPr>
        <w:t> </w:t>
      </w:r>
      <w:r>
        <w:rPr/>
        <w:t>respectively.</w:t>
      </w:r>
      <w:r>
        <w:rPr>
          <w:spacing w:val="-1"/>
        </w:rPr>
        <w:t> </w:t>
      </w:r>
      <w:r>
        <w:rPr/>
        <w:t>The</w:t>
      </w:r>
      <w:r>
        <w:rPr>
          <w:spacing w:val="-4"/>
        </w:rPr>
        <w:t> </w:t>
      </w:r>
      <w:r>
        <w:rPr/>
        <w:t>mean</w:t>
      </w:r>
      <w:r>
        <w:rPr>
          <w:spacing w:val="-2"/>
        </w:rPr>
        <w:t> </w:t>
      </w:r>
      <w:r>
        <w:rPr/>
        <w:t>for</w:t>
      </w:r>
      <w:r>
        <w:rPr>
          <w:spacing w:val="-4"/>
        </w:rPr>
        <w:t> </w:t>
      </w:r>
      <w:r>
        <w:rPr/>
        <w:t>BLOWN</w:t>
      </w:r>
      <w:r>
        <w:rPr>
          <w:spacing w:val="-2"/>
        </w:rPr>
        <w:t> </w:t>
      </w:r>
      <w:r>
        <w:rPr/>
        <w:t>stood</w:t>
      </w:r>
      <w:r>
        <w:rPr>
          <w:spacing w:val="-2"/>
        </w:rPr>
        <w:t> </w:t>
      </w:r>
      <w:r>
        <w:rPr/>
        <w:t>at</w:t>
      </w:r>
      <w:r>
        <w:rPr>
          <w:spacing w:val="-2"/>
        </w:rPr>
        <w:t> </w:t>
      </w:r>
      <w:r>
        <w:rPr/>
        <w:t>34.69</w:t>
      </w:r>
      <w:r>
        <w:rPr>
          <w:spacing w:val="-2"/>
        </w:rPr>
        <w:t> </w:t>
      </w:r>
      <w:r>
        <w:rPr/>
        <w:t>with a standard deviation of 29.33 and then with maximum and minimum values of 99% and 0% respectively. The mean for firm size (FSIZE) as measured using the log of total assets was 8.94,</w:t>
      </w:r>
      <w:r>
        <w:rPr>
          <w:spacing w:val="-6"/>
        </w:rPr>
        <w:t> </w:t>
      </w:r>
      <w:r>
        <w:rPr/>
        <w:t>with</w:t>
      </w:r>
      <w:r>
        <w:rPr>
          <w:spacing w:val="-5"/>
        </w:rPr>
        <w:t> </w:t>
      </w:r>
      <w:r>
        <w:rPr/>
        <w:t>a</w:t>
      </w:r>
      <w:r>
        <w:rPr>
          <w:spacing w:val="-7"/>
        </w:rPr>
        <w:t> </w:t>
      </w:r>
      <w:r>
        <w:rPr/>
        <w:t>standard</w:t>
      </w:r>
      <w:r>
        <w:rPr>
          <w:spacing w:val="-7"/>
        </w:rPr>
        <w:t> </w:t>
      </w:r>
      <w:r>
        <w:rPr/>
        <w:t>deviation</w:t>
      </w:r>
      <w:r>
        <w:rPr>
          <w:spacing w:val="-5"/>
        </w:rPr>
        <w:t> </w:t>
      </w:r>
      <w:r>
        <w:rPr/>
        <w:t>of</w:t>
      </w:r>
      <w:r>
        <w:rPr>
          <w:spacing w:val="-7"/>
        </w:rPr>
        <w:t> </w:t>
      </w:r>
      <w:r>
        <w:rPr/>
        <w:t>0.522</w:t>
      </w:r>
      <w:r>
        <w:rPr>
          <w:spacing w:val="-6"/>
        </w:rPr>
        <w:t> </w:t>
      </w:r>
      <w:r>
        <w:rPr/>
        <w:t>and</w:t>
      </w:r>
      <w:r>
        <w:rPr>
          <w:spacing w:val="-8"/>
        </w:rPr>
        <w:t> </w:t>
      </w:r>
      <w:r>
        <w:rPr/>
        <w:t>maximum</w:t>
      </w:r>
      <w:r>
        <w:rPr>
          <w:spacing w:val="-5"/>
        </w:rPr>
        <w:t> </w:t>
      </w:r>
      <w:r>
        <w:rPr/>
        <w:t>and</w:t>
      </w:r>
      <w:r>
        <w:rPr>
          <w:spacing w:val="-6"/>
        </w:rPr>
        <w:t> </w:t>
      </w:r>
      <w:r>
        <w:rPr/>
        <w:t>minimum</w:t>
      </w:r>
      <w:r>
        <w:rPr>
          <w:spacing w:val="-5"/>
        </w:rPr>
        <w:t> </w:t>
      </w:r>
      <w:r>
        <w:rPr/>
        <w:t>values</w:t>
      </w:r>
      <w:r>
        <w:rPr>
          <w:spacing w:val="-6"/>
        </w:rPr>
        <w:t> </w:t>
      </w:r>
      <w:r>
        <w:rPr/>
        <w:t>of</w:t>
      </w:r>
      <w:r>
        <w:rPr>
          <w:spacing w:val="-7"/>
        </w:rPr>
        <w:t> </w:t>
      </w:r>
      <w:r>
        <w:rPr/>
        <w:t>9.93</w:t>
      </w:r>
      <w:r>
        <w:rPr>
          <w:spacing w:val="-6"/>
        </w:rPr>
        <w:t> </w:t>
      </w:r>
      <w:r>
        <w:rPr/>
        <w:t>and</w:t>
      </w:r>
      <w:r>
        <w:rPr>
          <w:spacing w:val="-6"/>
        </w:rPr>
        <w:t> </w:t>
      </w:r>
      <w:r>
        <w:rPr/>
        <w:t>7.329 respectively. The mean for firm age (FAGE) for firms in the sample stood at approximately 31yrs</w:t>
      </w:r>
      <w:r>
        <w:rPr>
          <w:spacing w:val="-10"/>
        </w:rPr>
        <w:t> </w:t>
      </w:r>
      <w:r>
        <w:rPr/>
        <w:t>with</w:t>
      </w:r>
      <w:r>
        <w:rPr>
          <w:spacing w:val="-9"/>
        </w:rPr>
        <w:t> </w:t>
      </w:r>
      <w:r>
        <w:rPr/>
        <w:t>a</w:t>
      </w:r>
      <w:r>
        <w:rPr>
          <w:spacing w:val="-11"/>
        </w:rPr>
        <w:t> </w:t>
      </w:r>
      <w:r>
        <w:rPr/>
        <w:t>standard</w:t>
      </w:r>
      <w:r>
        <w:rPr>
          <w:spacing w:val="-10"/>
        </w:rPr>
        <w:t> </w:t>
      </w:r>
      <w:r>
        <w:rPr/>
        <w:t>deviation</w:t>
      </w:r>
      <w:r>
        <w:rPr>
          <w:spacing w:val="-9"/>
        </w:rPr>
        <w:t> </w:t>
      </w:r>
      <w:r>
        <w:rPr/>
        <w:t>of</w:t>
      </w:r>
      <w:r>
        <w:rPr>
          <w:spacing w:val="-10"/>
        </w:rPr>
        <w:t> </w:t>
      </w:r>
      <w:r>
        <w:rPr/>
        <w:t>11.1275.</w:t>
      </w:r>
      <w:r>
        <w:rPr>
          <w:spacing w:val="-10"/>
        </w:rPr>
        <w:t> </w:t>
      </w:r>
      <w:r>
        <w:rPr/>
        <w:t>The</w:t>
      </w:r>
      <w:r>
        <w:rPr>
          <w:spacing w:val="-9"/>
        </w:rPr>
        <w:t> </w:t>
      </w:r>
      <w:r>
        <w:rPr/>
        <w:t>maximum</w:t>
      </w:r>
      <w:r>
        <w:rPr>
          <w:spacing w:val="-9"/>
        </w:rPr>
        <w:t> </w:t>
      </w:r>
      <w:r>
        <w:rPr/>
        <w:t>and</w:t>
      </w:r>
      <w:r>
        <w:rPr>
          <w:spacing w:val="-10"/>
        </w:rPr>
        <w:t> </w:t>
      </w:r>
      <w:r>
        <w:rPr/>
        <w:t>minimum</w:t>
      </w:r>
      <w:r>
        <w:rPr>
          <w:spacing w:val="-9"/>
        </w:rPr>
        <w:t> </w:t>
      </w:r>
      <w:r>
        <w:rPr/>
        <w:t>values</w:t>
      </w:r>
      <w:r>
        <w:rPr>
          <w:spacing w:val="-10"/>
        </w:rPr>
        <w:t> </w:t>
      </w:r>
      <w:r>
        <w:rPr/>
        <w:t>stood</w:t>
      </w:r>
      <w:r>
        <w:rPr>
          <w:spacing w:val="-9"/>
        </w:rPr>
        <w:t> </w:t>
      </w:r>
      <w:r>
        <w:rPr/>
        <w:t>at</w:t>
      </w:r>
      <w:r>
        <w:rPr>
          <w:spacing w:val="-9"/>
        </w:rPr>
        <w:t> </w:t>
      </w:r>
      <w:r>
        <w:rPr/>
        <w:t>59yrs and</w:t>
      </w:r>
      <w:r>
        <w:rPr>
          <w:spacing w:val="-7"/>
        </w:rPr>
        <w:t> </w:t>
      </w:r>
      <w:r>
        <w:rPr/>
        <w:t>15yrs</w:t>
      </w:r>
      <w:r>
        <w:rPr>
          <w:spacing w:val="-5"/>
        </w:rPr>
        <w:t> </w:t>
      </w:r>
      <w:r>
        <w:rPr/>
        <w:t>respectively.</w:t>
      </w:r>
      <w:r>
        <w:rPr>
          <w:spacing w:val="-6"/>
        </w:rPr>
        <w:t> </w:t>
      </w:r>
      <w:r>
        <w:rPr/>
        <w:t>The</w:t>
      </w:r>
      <w:r>
        <w:rPr>
          <w:spacing w:val="-8"/>
        </w:rPr>
        <w:t> </w:t>
      </w:r>
      <w:r>
        <w:rPr/>
        <w:t>average</w:t>
      </w:r>
      <w:r>
        <w:rPr>
          <w:spacing w:val="-8"/>
        </w:rPr>
        <w:t> </w:t>
      </w:r>
      <w:r>
        <w:rPr/>
        <w:t>value</w:t>
      </w:r>
      <w:r>
        <w:rPr>
          <w:spacing w:val="-6"/>
        </w:rPr>
        <w:t> </w:t>
      </w:r>
      <w:r>
        <w:rPr/>
        <w:t>for</w:t>
      </w:r>
      <w:r>
        <w:rPr>
          <w:spacing w:val="-7"/>
        </w:rPr>
        <w:t> </w:t>
      </w:r>
      <w:r>
        <w:rPr/>
        <w:t>leverage</w:t>
      </w:r>
      <w:r>
        <w:rPr>
          <w:spacing w:val="-6"/>
        </w:rPr>
        <w:t> </w:t>
      </w:r>
      <w:r>
        <w:rPr/>
        <w:t>was</w:t>
      </w:r>
      <w:r>
        <w:rPr>
          <w:spacing w:val="-7"/>
        </w:rPr>
        <w:t> </w:t>
      </w:r>
      <w:r>
        <w:rPr/>
        <w:t>0.965,</w:t>
      </w:r>
      <w:r>
        <w:rPr>
          <w:spacing w:val="-5"/>
        </w:rPr>
        <w:t> </w:t>
      </w:r>
      <w:r>
        <w:rPr/>
        <w:t>with</w:t>
      </w:r>
      <w:r>
        <w:rPr>
          <w:spacing w:val="-7"/>
        </w:rPr>
        <w:t> </w:t>
      </w:r>
      <w:r>
        <w:rPr/>
        <w:t>a</w:t>
      </w:r>
      <w:r>
        <w:rPr>
          <w:spacing w:val="-8"/>
        </w:rPr>
        <w:t> </w:t>
      </w:r>
      <w:r>
        <w:rPr/>
        <w:t>standard</w:t>
      </w:r>
      <w:r>
        <w:rPr>
          <w:spacing w:val="-8"/>
        </w:rPr>
        <w:t> </w:t>
      </w:r>
      <w:r>
        <w:rPr/>
        <w:t>deviation</w:t>
      </w:r>
      <w:r>
        <w:rPr>
          <w:spacing w:val="-7"/>
        </w:rPr>
        <w:t> </w:t>
      </w:r>
      <w:r>
        <w:rPr/>
        <w:t>of 0.756, ranging from a minimum of 0.0132 to a maximum of 7.992. The Jacque-bera statistics of</w:t>
      </w:r>
      <w:r>
        <w:rPr>
          <w:spacing w:val="-1"/>
        </w:rPr>
        <w:t> </w:t>
      </w:r>
      <w:r>
        <w:rPr/>
        <w:t>most of</w:t>
      </w:r>
      <w:r>
        <w:rPr>
          <w:spacing w:val="-1"/>
        </w:rPr>
        <w:t> </w:t>
      </w:r>
      <w:r>
        <w:rPr/>
        <w:t>the</w:t>
      </w:r>
      <w:r>
        <w:rPr>
          <w:spacing w:val="-1"/>
        </w:rPr>
        <w:t> </w:t>
      </w:r>
      <w:r>
        <w:rPr/>
        <w:t>variables had p-values in excess of 0.05 and thus suggested that the</w:t>
      </w:r>
      <w:r>
        <w:rPr>
          <w:spacing w:val="-1"/>
        </w:rPr>
        <w:t> </w:t>
      </w:r>
      <w:r>
        <w:rPr/>
        <w:t>dominance of outliers in the estimations were unlikely.</w:t>
      </w:r>
    </w:p>
    <w:p>
      <w:pPr>
        <w:pStyle w:val="Heading3"/>
        <w:numPr>
          <w:ilvl w:val="2"/>
          <w:numId w:val="29"/>
        </w:numPr>
        <w:tabs>
          <w:tab w:pos="1420" w:val="left" w:leader="none"/>
        </w:tabs>
        <w:spacing w:line="240" w:lineRule="auto" w:before="1" w:after="0"/>
        <w:ind w:left="1420" w:right="0" w:hanging="480"/>
        <w:jc w:val="both"/>
      </w:pPr>
      <w:bookmarkStart w:name="_TOC_250020" w:id="50"/>
      <w:r>
        <w:rPr/>
        <w:t>:</w:t>
      </w:r>
      <w:r>
        <w:rPr>
          <w:spacing w:val="-2"/>
        </w:rPr>
        <w:t> </w:t>
      </w:r>
      <w:r>
        <w:rPr/>
        <w:t>Pearson</w:t>
      </w:r>
      <w:r>
        <w:rPr>
          <w:spacing w:val="-1"/>
        </w:rPr>
        <w:t> </w:t>
      </w:r>
      <w:r>
        <w:rPr/>
        <w:t>Correlation</w:t>
      </w:r>
      <w:r>
        <w:rPr>
          <w:spacing w:val="-1"/>
        </w:rPr>
        <w:t> </w:t>
      </w:r>
      <w:bookmarkEnd w:id="50"/>
      <w:r>
        <w:rPr>
          <w:spacing w:val="-2"/>
        </w:rPr>
        <w:t>Statistics</w:t>
      </w:r>
    </w:p>
    <w:p>
      <w:pPr>
        <w:pStyle w:val="BodyText"/>
        <w:rPr>
          <w:b/>
        </w:rPr>
      </w:pPr>
    </w:p>
    <w:p>
      <w:pPr>
        <w:pStyle w:val="BodyText"/>
        <w:spacing w:line="480" w:lineRule="auto"/>
        <w:ind w:left="940" w:right="1437"/>
        <w:jc w:val="both"/>
      </w:pPr>
      <w:r>
        <w:rPr/>
        <mc:AlternateContent>
          <mc:Choice Requires="wps">
            <w:drawing>
              <wp:anchor distT="0" distB="0" distL="0" distR="0" allowOverlap="1" layoutInCell="1" locked="0" behindDoc="1" simplePos="0" relativeHeight="477731328">
                <wp:simplePos x="0" y="0"/>
                <wp:positionH relativeFrom="page">
                  <wp:posOffset>1095451</wp:posOffset>
                </wp:positionH>
                <wp:positionV relativeFrom="paragraph">
                  <wp:posOffset>1771020</wp:posOffset>
                </wp:positionV>
                <wp:extent cx="721995" cy="72263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139.45047pt;width:56.85pt;height:56.9pt;mso-position-horizontal-relative:page;mso-position-vertical-relative:paragraph;z-index:-25585152" id="docshape15" coordorigin="1725,2789" coordsize="1137,1138" path="m1809,2789l1747,2828,1725,2873,1729,2883,2763,3919,2782,3926,2787,3924,2793,3923,2852,3871,2860,3852,2862,3846,1823,2796,1819,2793,1809,2789xe" filled="true" fillcolor="#c0c0c0" stroked="false">
                <v:path arrowok="t"/>
                <v:fill opacity="32896f" type="solid"/>
                <w10:wrap type="none"/>
              </v:shape>
            </w:pict>
          </mc:Fallback>
        </mc:AlternateContent>
      </w:r>
      <w:r>
        <w:rPr/>
        <w:t>The correlation results provided some preliminary insight into the nature and direction of the relationship between the dependent and independent variables. Although the correlation coefficient</w:t>
      </w:r>
      <w:r>
        <w:rPr>
          <w:spacing w:val="-8"/>
        </w:rPr>
        <w:t> </w:t>
      </w:r>
      <w:r>
        <w:rPr/>
        <w:t>did</w:t>
      </w:r>
      <w:r>
        <w:rPr>
          <w:spacing w:val="-7"/>
        </w:rPr>
        <w:t> </w:t>
      </w:r>
      <w:r>
        <w:rPr/>
        <w:t>not</w:t>
      </w:r>
      <w:r>
        <w:rPr>
          <w:spacing w:val="-8"/>
        </w:rPr>
        <w:t> </w:t>
      </w:r>
      <w:r>
        <w:rPr/>
        <w:t>in</w:t>
      </w:r>
      <w:r>
        <w:rPr>
          <w:spacing w:val="-8"/>
        </w:rPr>
        <w:t> </w:t>
      </w:r>
      <w:r>
        <w:rPr/>
        <w:t>itself</w:t>
      </w:r>
      <w:r>
        <w:rPr>
          <w:spacing w:val="-9"/>
        </w:rPr>
        <w:t> </w:t>
      </w:r>
      <w:r>
        <w:rPr/>
        <w:t>imply</w:t>
      </w:r>
      <w:r>
        <w:rPr>
          <w:spacing w:val="-8"/>
        </w:rPr>
        <w:t> </w:t>
      </w:r>
      <w:r>
        <w:rPr/>
        <w:t>functional</w:t>
      </w:r>
      <w:r>
        <w:rPr>
          <w:spacing w:val="-8"/>
        </w:rPr>
        <w:t> </w:t>
      </w:r>
      <w:r>
        <w:rPr/>
        <w:t>dependence</w:t>
      </w:r>
      <w:r>
        <w:rPr>
          <w:spacing w:val="-9"/>
        </w:rPr>
        <w:t> </w:t>
      </w:r>
      <w:r>
        <w:rPr/>
        <w:t>between</w:t>
      </w:r>
      <w:r>
        <w:rPr>
          <w:spacing w:val="-8"/>
        </w:rPr>
        <w:t> </w:t>
      </w:r>
      <w:r>
        <w:rPr/>
        <w:t>the</w:t>
      </w:r>
      <w:r>
        <w:rPr>
          <w:spacing w:val="-9"/>
        </w:rPr>
        <w:t> </w:t>
      </w:r>
      <w:r>
        <w:rPr/>
        <w:t>variables,</w:t>
      </w:r>
      <w:r>
        <w:rPr>
          <w:spacing w:val="-9"/>
        </w:rPr>
        <w:t> </w:t>
      </w:r>
      <w:r>
        <w:rPr/>
        <w:t>it</w:t>
      </w:r>
      <w:r>
        <w:rPr>
          <w:spacing w:val="-8"/>
        </w:rPr>
        <w:t> </w:t>
      </w:r>
      <w:r>
        <w:rPr/>
        <w:t>nevertheless, was a good starting point to examine the degree and direction of the relationship between the variables. The results were presented and discussed below:</w:t>
      </w:r>
    </w:p>
    <w:p>
      <w:pPr>
        <w:pStyle w:val="BodyText"/>
        <w:spacing w:before="1"/>
      </w:pPr>
    </w:p>
    <w:p>
      <w:pPr>
        <w:pStyle w:val="BodyText"/>
        <w:ind w:left="940"/>
        <w:jc w:val="both"/>
      </w:pPr>
      <w:r>
        <w:rPr/>
        <w:t>Table</w:t>
      </w:r>
      <w:r>
        <w:rPr>
          <w:spacing w:val="-3"/>
        </w:rPr>
        <w:t> </w:t>
      </w:r>
      <w:r>
        <w:rPr/>
        <w:t>4.2:</w:t>
      </w:r>
      <w:r>
        <w:rPr>
          <w:spacing w:val="-1"/>
        </w:rPr>
        <w:t> </w:t>
      </w:r>
      <w:r>
        <w:rPr/>
        <w:t>Pearson</w:t>
      </w:r>
      <w:r>
        <w:rPr>
          <w:spacing w:val="-1"/>
        </w:rPr>
        <w:t> </w:t>
      </w:r>
      <w:r>
        <w:rPr/>
        <w:t>Correlation </w:t>
      </w:r>
      <w:r>
        <w:rPr>
          <w:spacing w:val="-2"/>
        </w:rPr>
        <w:t>Result</w:t>
      </w:r>
    </w:p>
    <w:tbl>
      <w:tblPr>
        <w:tblW w:w="0" w:type="auto"/>
        <w:jc w:val="righ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99"/>
        <w:gridCol w:w="826"/>
        <w:gridCol w:w="677"/>
        <w:gridCol w:w="678"/>
        <w:gridCol w:w="675"/>
        <w:gridCol w:w="747"/>
        <w:gridCol w:w="596"/>
        <w:gridCol w:w="738"/>
        <w:gridCol w:w="826"/>
        <w:gridCol w:w="711"/>
        <w:gridCol w:w="983"/>
        <w:gridCol w:w="886"/>
        <w:gridCol w:w="593"/>
        <w:gridCol w:w="759"/>
        <w:gridCol w:w="610"/>
      </w:tblGrid>
      <w:tr>
        <w:trPr>
          <w:trHeight w:val="390" w:hRule="atLeast"/>
        </w:trPr>
        <w:tc>
          <w:tcPr>
            <w:tcW w:w="999" w:type="dxa"/>
            <w:tcBorders>
              <w:left w:val="nil"/>
            </w:tcBorders>
          </w:tcPr>
          <w:p>
            <w:pPr>
              <w:pStyle w:val="TableParagraph"/>
              <w:spacing w:before="1"/>
              <w:ind w:left="122"/>
              <w:rPr>
                <w:rFonts w:ascii="Calibri"/>
                <w:sz w:val="16"/>
              </w:rPr>
            </w:pPr>
            <w:r>
              <w:rPr>
                <w:rFonts w:ascii="Calibri"/>
                <w:spacing w:val="-2"/>
                <w:sz w:val="16"/>
              </w:rPr>
              <w:t>Probability</w:t>
            </w:r>
          </w:p>
        </w:tc>
        <w:tc>
          <w:tcPr>
            <w:tcW w:w="826" w:type="dxa"/>
          </w:tcPr>
          <w:p>
            <w:pPr>
              <w:pStyle w:val="TableParagraph"/>
              <w:spacing w:before="1"/>
              <w:ind w:left="102"/>
              <w:rPr>
                <w:rFonts w:ascii="Calibri"/>
                <w:sz w:val="16"/>
              </w:rPr>
            </w:pPr>
            <w:r>
              <w:rPr>
                <w:rFonts w:ascii="Calibri"/>
                <w:spacing w:val="-2"/>
                <w:sz w:val="16"/>
              </w:rPr>
              <w:t>DISACC</w:t>
            </w:r>
          </w:p>
        </w:tc>
        <w:tc>
          <w:tcPr>
            <w:tcW w:w="677" w:type="dxa"/>
          </w:tcPr>
          <w:p>
            <w:pPr>
              <w:pStyle w:val="TableParagraph"/>
              <w:spacing w:before="1"/>
              <w:ind w:left="102"/>
              <w:rPr>
                <w:rFonts w:ascii="Calibri"/>
                <w:sz w:val="16"/>
              </w:rPr>
            </w:pPr>
            <w:r>
              <w:rPr>
                <w:rFonts w:ascii="Calibri"/>
                <w:spacing w:val="-5"/>
                <w:sz w:val="16"/>
              </w:rPr>
              <w:t>FRQ</w:t>
            </w:r>
          </w:p>
        </w:tc>
        <w:tc>
          <w:tcPr>
            <w:tcW w:w="678" w:type="dxa"/>
          </w:tcPr>
          <w:p>
            <w:pPr>
              <w:pStyle w:val="TableParagraph"/>
              <w:spacing w:before="1"/>
              <w:ind w:left="102"/>
              <w:rPr>
                <w:rFonts w:ascii="Calibri"/>
                <w:sz w:val="16"/>
              </w:rPr>
            </w:pPr>
            <w:r>
              <w:rPr>
                <w:rFonts w:ascii="Calibri"/>
                <w:spacing w:val="-4"/>
                <w:sz w:val="16"/>
              </w:rPr>
              <w:t>VREL</w:t>
            </w:r>
          </w:p>
        </w:tc>
        <w:tc>
          <w:tcPr>
            <w:tcW w:w="675" w:type="dxa"/>
          </w:tcPr>
          <w:p>
            <w:pPr>
              <w:pStyle w:val="TableParagraph"/>
              <w:spacing w:before="1"/>
              <w:ind w:right="288"/>
              <w:jc w:val="right"/>
              <w:rPr>
                <w:rFonts w:ascii="Calibri"/>
                <w:sz w:val="16"/>
              </w:rPr>
            </w:pPr>
            <w:r>
              <w:rPr>
                <w:rFonts w:ascii="Calibri"/>
                <w:spacing w:val="-4"/>
                <w:sz w:val="16"/>
              </w:rPr>
              <w:t>IFRS</w:t>
            </w:r>
          </w:p>
        </w:tc>
        <w:tc>
          <w:tcPr>
            <w:tcW w:w="747" w:type="dxa"/>
          </w:tcPr>
          <w:p>
            <w:pPr>
              <w:pStyle w:val="TableParagraph"/>
              <w:spacing w:before="1"/>
              <w:ind w:left="100"/>
              <w:rPr>
                <w:rFonts w:ascii="Calibri"/>
                <w:sz w:val="16"/>
              </w:rPr>
            </w:pPr>
            <w:r>
              <w:rPr>
                <w:rFonts w:ascii="Calibri"/>
                <w:spacing w:val="-2"/>
                <w:sz w:val="16"/>
              </w:rPr>
              <w:t>BDIND</w:t>
            </w:r>
          </w:p>
        </w:tc>
        <w:tc>
          <w:tcPr>
            <w:tcW w:w="596" w:type="dxa"/>
          </w:tcPr>
          <w:p>
            <w:pPr>
              <w:pStyle w:val="TableParagraph"/>
              <w:spacing w:before="1"/>
              <w:ind w:left="100"/>
              <w:rPr>
                <w:rFonts w:ascii="Calibri"/>
                <w:sz w:val="16"/>
              </w:rPr>
            </w:pPr>
            <w:r>
              <w:rPr>
                <w:rFonts w:ascii="Calibri"/>
                <w:spacing w:val="-5"/>
                <w:sz w:val="16"/>
              </w:rPr>
              <w:t>BDS</w:t>
            </w:r>
          </w:p>
        </w:tc>
        <w:tc>
          <w:tcPr>
            <w:tcW w:w="738" w:type="dxa"/>
          </w:tcPr>
          <w:p>
            <w:pPr>
              <w:pStyle w:val="TableParagraph"/>
              <w:spacing w:before="1"/>
              <w:ind w:left="99"/>
              <w:rPr>
                <w:rFonts w:ascii="Calibri"/>
                <w:sz w:val="16"/>
              </w:rPr>
            </w:pPr>
            <w:r>
              <w:rPr>
                <w:rFonts w:ascii="Calibri"/>
                <w:spacing w:val="-2"/>
                <w:sz w:val="16"/>
              </w:rPr>
              <w:t>BFEXP</w:t>
            </w:r>
          </w:p>
        </w:tc>
        <w:tc>
          <w:tcPr>
            <w:tcW w:w="826" w:type="dxa"/>
          </w:tcPr>
          <w:p>
            <w:pPr>
              <w:pStyle w:val="TableParagraph"/>
              <w:spacing w:before="1"/>
              <w:ind w:left="98"/>
              <w:rPr>
                <w:rFonts w:ascii="Calibri"/>
                <w:sz w:val="16"/>
              </w:rPr>
            </w:pPr>
            <w:r>
              <w:rPr>
                <w:rFonts w:ascii="Calibri"/>
                <w:spacing w:val="-2"/>
                <w:sz w:val="16"/>
              </w:rPr>
              <w:t>BLOWN</w:t>
            </w:r>
          </w:p>
        </w:tc>
        <w:tc>
          <w:tcPr>
            <w:tcW w:w="711" w:type="dxa"/>
          </w:tcPr>
          <w:p>
            <w:pPr>
              <w:pStyle w:val="TableParagraph"/>
              <w:spacing w:before="1"/>
              <w:ind w:left="98"/>
              <w:rPr>
                <w:rFonts w:ascii="Calibri"/>
                <w:sz w:val="16"/>
              </w:rPr>
            </w:pPr>
            <w:r>
              <w:rPr>
                <w:rFonts w:ascii="Calibri"/>
                <w:spacing w:val="-4"/>
                <w:sz w:val="16"/>
              </w:rPr>
              <w:t>FOWN</w:t>
            </w:r>
          </w:p>
        </w:tc>
        <w:tc>
          <w:tcPr>
            <w:tcW w:w="983" w:type="dxa"/>
          </w:tcPr>
          <w:p>
            <w:pPr>
              <w:pStyle w:val="TableParagraph"/>
              <w:spacing w:before="1"/>
              <w:ind w:left="97"/>
              <w:rPr>
                <w:rFonts w:ascii="Calibri"/>
                <w:sz w:val="16"/>
              </w:rPr>
            </w:pPr>
            <w:r>
              <w:rPr>
                <w:rFonts w:ascii="Calibri"/>
                <w:spacing w:val="-2"/>
                <w:sz w:val="16"/>
              </w:rPr>
              <w:t>INSTOWN</w:t>
            </w:r>
          </w:p>
        </w:tc>
        <w:tc>
          <w:tcPr>
            <w:tcW w:w="886" w:type="dxa"/>
          </w:tcPr>
          <w:p>
            <w:pPr>
              <w:pStyle w:val="TableParagraph"/>
              <w:spacing w:before="1"/>
              <w:ind w:left="96"/>
              <w:rPr>
                <w:rFonts w:ascii="Calibri"/>
                <w:sz w:val="16"/>
              </w:rPr>
            </w:pPr>
            <w:r>
              <w:rPr>
                <w:rFonts w:ascii="Calibri"/>
                <w:spacing w:val="-4"/>
                <w:sz w:val="16"/>
              </w:rPr>
              <w:t>MOWN</w:t>
            </w:r>
          </w:p>
        </w:tc>
        <w:tc>
          <w:tcPr>
            <w:tcW w:w="593" w:type="dxa"/>
          </w:tcPr>
          <w:p>
            <w:pPr>
              <w:pStyle w:val="TableParagraph"/>
              <w:spacing w:before="1"/>
              <w:ind w:left="96"/>
              <w:rPr>
                <w:rFonts w:ascii="Calibri"/>
                <w:sz w:val="16"/>
              </w:rPr>
            </w:pPr>
            <w:r>
              <w:rPr>
                <w:rFonts w:ascii="Calibri"/>
                <w:spacing w:val="-5"/>
                <w:sz w:val="16"/>
              </w:rPr>
              <w:t>LEV</w:t>
            </w:r>
          </w:p>
        </w:tc>
        <w:tc>
          <w:tcPr>
            <w:tcW w:w="759" w:type="dxa"/>
          </w:tcPr>
          <w:p>
            <w:pPr>
              <w:pStyle w:val="TableParagraph"/>
              <w:spacing w:before="1"/>
              <w:ind w:left="96"/>
              <w:rPr>
                <w:rFonts w:ascii="Calibri"/>
                <w:sz w:val="16"/>
              </w:rPr>
            </w:pPr>
            <w:r>
              <w:rPr>
                <w:rFonts w:ascii="Calibri"/>
                <w:spacing w:val="-2"/>
                <w:sz w:val="16"/>
              </w:rPr>
              <w:t>FSIZE</w:t>
            </w:r>
          </w:p>
        </w:tc>
        <w:tc>
          <w:tcPr>
            <w:tcW w:w="610" w:type="dxa"/>
            <w:tcBorders>
              <w:right w:val="nil"/>
            </w:tcBorders>
          </w:tcPr>
          <w:p>
            <w:pPr>
              <w:pStyle w:val="TableParagraph"/>
              <w:spacing w:before="1"/>
              <w:ind w:left="96"/>
              <w:rPr>
                <w:rFonts w:ascii="Calibri"/>
                <w:sz w:val="16"/>
              </w:rPr>
            </w:pPr>
            <w:r>
              <w:rPr>
                <w:rFonts w:ascii="Calibri"/>
                <w:spacing w:val="-4"/>
                <w:sz w:val="16"/>
              </w:rPr>
              <w:t>FAGE</w:t>
            </w:r>
          </w:p>
        </w:tc>
      </w:tr>
      <w:tr>
        <w:trPr>
          <w:trHeight w:val="388" w:hRule="atLeast"/>
        </w:trPr>
        <w:tc>
          <w:tcPr>
            <w:tcW w:w="999" w:type="dxa"/>
            <w:tcBorders>
              <w:left w:val="nil"/>
            </w:tcBorders>
          </w:tcPr>
          <w:p>
            <w:pPr>
              <w:pStyle w:val="TableParagraph"/>
              <w:spacing w:before="1"/>
              <w:ind w:left="122"/>
              <w:rPr>
                <w:rFonts w:ascii="Calibri"/>
                <w:sz w:val="16"/>
              </w:rPr>
            </w:pPr>
            <w:r>
              <w:rPr>
                <w:rFonts w:ascii="Calibri"/>
                <w:spacing w:val="-2"/>
                <w:sz w:val="16"/>
              </w:rPr>
              <w:t>DISACC</w:t>
            </w:r>
          </w:p>
        </w:tc>
        <w:tc>
          <w:tcPr>
            <w:tcW w:w="826" w:type="dxa"/>
          </w:tcPr>
          <w:p>
            <w:pPr>
              <w:pStyle w:val="TableParagraph"/>
              <w:spacing w:before="1"/>
              <w:ind w:right="99"/>
              <w:jc w:val="right"/>
              <w:rPr>
                <w:rFonts w:ascii="Calibri"/>
                <w:sz w:val="16"/>
              </w:rPr>
            </w:pPr>
            <w:r>
              <w:rPr>
                <w:rFonts w:ascii="Calibri"/>
                <w:spacing w:val="-10"/>
                <w:sz w:val="16"/>
              </w:rPr>
              <w:t>1</w:t>
            </w:r>
          </w:p>
        </w:tc>
        <w:tc>
          <w:tcPr>
            <w:tcW w:w="677" w:type="dxa"/>
          </w:tcPr>
          <w:p>
            <w:pPr>
              <w:pStyle w:val="TableParagraph"/>
              <w:rPr>
                <w:rFonts w:ascii="Times New Roman"/>
                <w:sz w:val="22"/>
              </w:rPr>
            </w:pPr>
          </w:p>
        </w:tc>
        <w:tc>
          <w:tcPr>
            <w:tcW w:w="678" w:type="dxa"/>
          </w:tcPr>
          <w:p>
            <w:pPr>
              <w:pStyle w:val="TableParagraph"/>
              <w:rPr>
                <w:rFonts w:ascii="Times New Roman"/>
                <w:sz w:val="22"/>
              </w:rPr>
            </w:pPr>
          </w:p>
        </w:tc>
        <w:tc>
          <w:tcPr>
            <w:tcW w:w="675" w:type="dxa"/>
          </w:tcPr>
          <w:p>
            <w:pPr>
              <w:pStyle w:val="TableParagraph"/>
              <w:rPr>
                <w:rFonts w:ascii="Times New Roman"/>
                <w:sz w:val="22"/>
              </w:rPr>
            </w:pP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r>
        <w:trPr>
          <w:trHeight w:val="390" w:hRule="atLeast"/>
        </w:trPr>
        <w:tc>
          <w:tcPr>
            <w:tcW w:w="999" w:type="dxa"/>
            <w:tcBorders>
              <w:left w:val="nil"/>
            </w:tcBorders>
          </w:tcPr>
          <w:p>
            <w:pPr>
              <w:pStyle w:val="TableParagraph"/>
              <w:spacing w:before="3"/>
              <w:ind w:left="122"/>
              <w:rPr>
                <w:rFonts w:ascii="Calibri"/>
                <w:sz w:val="16"/>
              </w:rPr>
            </w:pPr>
            <w:r>
              <w:rPr>
                <w:rFonts w:ascii="Calibri"/>
                <w:spacing w:val="-5"/>
                <w:sz w:val="16"/>
              </w:rPr>
              <w:t>FRQ</w:t>
            </w:r>
          </w:p>
        </w:tc>
        <w:tc>
          <w:tcPr>
            <w:tcW w:w="826" w:type="dxa"/>
          </w:tcPr>
          <w:p>
            <w:pPr>
              <w:pStyle w:val="TableParagraph"/>
              <w:spacing w:before="3"/>
              <w:ind w:left="143"/>
              <w:rPr>
                <w:rFonts w:ascii="Calibri"/>
                <w:sz w:val="16"/>
              </w:rPr>
            </w:pPr>
            <w:r>
              <w:rPr>
                <w:rFonts w:ascii="Calibri"/>
                <w:spacing w:val="-2"/>
                <w:sz w:val="16"/>
              </w:rPr>
              <w:t>0.08617</w:t>
            </w:r>
          </w:p>
        </w:tc>
        <w:tc>
          <w:tcPr>
            <w:tcW w:w="677" w:type="dxa"/>
          </w:tcPr>
          <w:p>
            <w:pPr>
              <w:pStyle w:val="TableParagraph"/>
              <w:spacing w:before="3"/>
              <w:ind w:right="1"/>
              <w:jc w:val="center"/>
              <w:rPr>
                <w:rFonts w:ascii="Calibri"/>
                <w:sz w:val="16"/>
              </w:rPr>
            </w:pPr>
            <w:r>
              <w:rPr>
                <w:rFonts w:ascii="Calibri"/>
                <w:spacing w:val="-10"/>
                <w:sz w:val="16"/>
              </w:rPr>
              <w:t>1</w:t>
            </w:r>
          </w:p>
        </w:tc>
        <w:tc>
          <w:tcPr>
            <w:tcW w:w="678" w:type="dxa"/>
          </w:tcPr>
          <w:p>
            <w:pPr>
              <w:pStyle w:val="TableParagraph"/>
              <w:rPr>
                <w:rFonts w:ascii="Times New Roman"/>
                <w:sz w:val="22"/>
              </w:rPr>
            </w:pPr>
          </w:p>
        </w:tc>
        <w:tc>
          <w:tcPr>
            <w:tcW w:w="675" w:type="dxa"/>
          </w:tcPr>
          <w:p>
            <w:pPr>
              <w:pStyle w:val="TableParagraph"/>
              <w:rPr>
                <w:rFonts w:ascii="Times New Roman"/>
                <w:sz w:val="22"/>
              </w:rPr>
            </w:pP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r>
        <w:trPr>
          <w:trHeight w:val="489" w:hRule="atLeast"/>
        </w:trPr>
        <w:tc>
          <w:tcPr>
            <w:tcW w:w="999" w:type="dxa"/>
            <w:tcBorders>
              <w:left w:val="nil"/>
            </w:tcBorders>
          </w:tcPr>
          <w:p>
            <w:pPr>
              <w:pStyle w:val="TableParagraph"/>
              <w:spacing w:before="1"/>
              <w:ind w:left="122"/>
              <w:rPr>
                <w:rFonts w:ascii="Calibri"/>
                <w:sz w:val="20"/>
              </w:rPr>
            </w:pPr>
            <w:r>
              <w:rPr>
                <w:rFonts w:ascii="Calibri"/>
                <w:spacing w:val="-2"/>
                <w:sz w:val="20"/>
              </w:rPr>
              <w:t>P-value</w:t>
            </w:r>
          </w:p>
        </w:tc>
        <w:tc>
          <w:tcPr>
            <w:tcW w:w="826" w:type="dxa"/>
          </w:tcPr>
          <w:p>
            <w:pPr>
              <w:pStyle w:val="TableParagraph"/>
              <w:spacing w:before="3"/>
              <w:ind w:left="184"/>
              <w:rPr>
                <w:rFonts w:ascii="Calibri"/>
                <w:sz w:val="16"/>
              </w:rPr>
            </w:pPr>
            <w:r>
              <w:rPr>
                <w:rFonts w:ascii="Calibri"/>
                <w:spacing w:val="-2"/>
                <w:sz w:val="16"/>
              </w:rPr>
              <w:t>0.2488</w:t>
            </w:r>
          </w:p>
        </w:tc>
        <w:tc>
          <w:tcPr>
            <w:tcW w:w="677" w:type="dxa"/>
          </w:tcPr>
          <w:p>
            <w:pPr>
              <w:pStyle w:val="TableParagraph"/>
              <w:spacing w:before="3"/>
              <w:ind w:right="1"/>
              <w:jc w:val="center"/>
              <w:rPr>
                <w:rFonts w:ascii="Calibri"/>
                <w:sz w:val="16"/>
              </w:rPr>
            </w:pPr>
            <w:r>
              <w:rPr>
                <w:rFonts w:ascii="Calibri"/>
                <w:sz w:val="16"/>
              </w:rPr>
              <w:t>-</w:t>
            </w:r>
            <w:r>
              <w:rPr>
                <w:rFonts w:ascii="Calibri"/>
                <w:spacing w:val="-10"/>
                <w:sz w:val="16"/>
              </w:rPr>
              <w:t>-</w:t>
            </w:r>
          </w:p>
        </w:tc>
        <w:tc>
          <w:tcPr>
            <w:tcW w:w="678" w:type="dxa"/>
          </w:tcPr>
          <w:p>
            <w:pPr>
              <w:pStyle w:val="TableParagraph"/>
              <w:rPr>
                <w:rFonts w:ascii="Times New Roman"/>
                <w:sz w:val="22"/>
              </w:rPr>
            </w:pPr>
          </w:p>
        </w:tc>
        <w:tc>
          <w:tcPr>
            <w:tcW w:w="675" w:type="dxa"/>
          </w:tcPr>
          <w:p>
            <w:pPr>
              <w:pStyle w:val="TableParagraph"/>
              <w:rPr>
                <w:rFonts w:ascii="Times New Roman"/>
                <w:sz w:val="22"/>
              </w:rPr>
            </w:pP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4"/>
                <w:sz w:val="16"/>
              </w:rPr>
              <w:t>VREL</w:t>
            </w:r>
          </w:p>
        </w:tc>
        <w:tc>
          <w:tcPr>
            <w:tcW w:w="826" w:type="dxa"/>
          </w:tcPr>
          <w:p>
            <w:pPr>
              <w:pStyle w:val="TableParagraph"/>
              <w:spacing w:before="1"/>
              <w:ind w:left="160"/>
              <w:rPr>
                <w:rFonts w:ascii="Calibri"/>
                <w:sz w:val="16"/>
              </w:rPr>
            </w:pPr>
            <w:r>
              <w:rPr>
                <w:rFonts w:ascii="Calibri"/>
                <w:sz w:val="16"/>
              </w:rPr>
              <w:t>-</w:t>
            </w:r>
            <w:r>
              <w:rPr>
                <w:rFonts w:ascii="Calibri"/>
                <w:spacing w:val="-2"/>
                <w:sz w:val="16"/>
              </w:rPr>
              <w:t>0.1565</w:t>
            </w:r>
          </w:p>
        </w:tc>
        <w:tc>
          <w:tcPr>
            <w:tcW w:w="677" w:type="dxa"/>
          </w:tcPr>
          <w:p>
            <w:pPr>
              <w:pStyle w:val="TableParagraph"/>
              <w:spacing w:before="1"/>
              <w:ind w:left="109"/>
              <w:rPr>
                <w:rFonts w:ascii="Calibri"/>
                <w:sz w:val="16"/>
              </w:rPr>
            </w:pPr>
            <w:r>
              <w:rPr>
                <w:rFonts w:ascii="Calibri"/>
                <w:spacing w:val="-2"/>
                <w:sz w:val="16"/>
              </w:rPr>
              <w:t>0.2754</w:t>
            </w:r>
          </w:p>
        </w:tc>
        <w:tc>
          <w:tcPr>
            <w:tcW w:w="678" w:type="dxa"/>
          </w:tcPr>
          <w:p>
            <w:pPr>
              <w:pStyle w:val="TableParagraph"/>
              <w:spacing w:before="1"/>
              <w:ind w:left="1" w:right="1"/>
              <w:jc w:val="center"/>
              <w:rPr>
                <w:rFonts w:ascii="Calibri"/>
                <w:sz w:val="16"/>
              </w:rPr>
            </w:pPr>
            <w:r>
              <w:rPr>
                <w:rFonts w:ascii="Calibri"/>
                <w:spacing w:val="-10"/>
                <w:sz w:val="16"/>
              </w:rPr>
              <w:t>1</w:t>
            </w:r>
          </w:p>
        </w:tc>
        <w:tc>
          <w:tcPr>
            <w:tcW w:w="675" w:type="dxa"/>
          </w:tcPr>
          <w:p>
            <w:pPr>
              <w:pStyle w:val="TableParagraph"/>
              <w:rPr>
                <w:rFonts w:ascii="Times New Roman"/>
                <w:sz w:val="22"/>
              </w:rPr>
            </w:pP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r>
        <w:trPr>
          <w:trHeight w:val="489"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184"/>
              <w:rPr>
                <w:rFonts w:ascii="Calibri"/>
                <w:sz w:val="16"/>
              </w:rPr>
            </w:pPr>
            <w:r>
              <w:rPr>
                <w:rFonts w:ascii="Calibri"/>
                <w:spacing w:val="-2"/>
                <w:sz w:val="16"/>
              </w:rPr>
              <w:t>0.0354</w:t>
            </w:r>
          </w:p>
        </w:tc>
        <w:tc>
          <w:tcPr>
            <w:tcW w:w="677" w:type="dxa"/>
          </w:tcPr>
          <w:p>
            <w:pPr>
              <w:pStyle w:val="TableParagraph"/>
              <w:spacing w:before="1"/>
              <w:ind w:left="109"/>
              <w:rPr>
                <w:rFonts w:ascii="Calibri"/>
                <w:sz w:val="16"/>
              </w:rPr>
            </w:pPr>
            <w:r>
              <w:rPr>
                <w:rFonts w:ascii="Calibri"/>
                <w:spacing w:val="-2"/>
                <w:sz w:val="16"/>
              </w:rPr>
              <w:t>0.0002</w:t>
            </w:r>
          </w:p>
        </w:tc>
        <w:tc>
          <w:tcPr>
            <w:tcW w:w="678" w:type="dxa"/>
          </w:tcPr>
          <w:p>
            <w:pPr>
              <w:pStyle w:val="TableParagraph"/>
              <w:rPr>
                <w:rFonts w:ascii="Times New Roman"/>
                <w:sz w:val="22"/>
              </w:rPr>
            </w:pPr>
          </w:p>
        </w:tc>
        <w:tc>
          <w:tcPr>
            <w:tcW w:w="675" w:type="dxa"/>
          </w:tcPr>
          <w:p>
            <w:pPr>
              <w:pStyle w:val="TableParagraph"/>
              <w:rPr>
                <w:rFonts w:ascii="Times New Roman"/>
                <w:sz w:val="22"/>
              </w:rPr>
            </w:pP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4"/>
                <w:sz w:val="16"/>
              </w:rPr>
              <w:t>IFRS</w:t>
            </w:r>
          </w:p>
        </w:tc>
        <w:tc>
          <w:tcPr>
            <w:tcW w:w="826" w:type="dxa"/>
          </w:tcPr>
          <w:p>
            <w:pPr>
              <w:pStyle w:val="TableParagraph"/>
              <w:spacing w:before="1"/>
              <w:ind w:left="143"/>
              <w:rPr>
                <w:rFonts w:ascii="Calibri"/>
                <w:sz w:val="16"/>
              </w:rPr>
            </w:pPr>
            <w:r>
              <w:rPr>
                <w:rFonts w:ascii="Calibri"/>
                <w:spacing w:val="-2"/>
                <w:sz w:val="16"/>
              </w:rPr>
              <w:t>0.03832</w:t>
            </w:r>
          </w:p>
        </w:tc>
        <w:tc>
          <w:tcPr>
            <w:tcW w:w="677" w:type="dxa"/>
          </w:tcPr>
          <w:p>
            <w:pPr>
              <w:pStyle w:val="TableParagraph"/>
              <w:spacing w:before="1"/>
              <w:ind w:left="109"/>
              <w:rPr>
                <w:rFonts w:ascii="Calibri"/>
                <w:sz w:val="16"/>
              </w:rPr>
            </w:pPr>
            <w:r>
              <w:rPr>
                <w:rFonts w:ascii="Calibri"/>
                <w:spacing w:val="-2"/>
                <w:sz w:val="16"/>
              </w:rPr>
              <w:t>0.6175</w:t>
            </w:r>
          </w:p>
        </w:tc>
        <w:tc>
          <w:tcPr>
            <w:tcW w:w="678" w:type="dxa"/>
          </w:tcPr>
          <w:p>
            <w:pPr>
              <w:pStyle w:val="TableParagraph"/>
              <w:spacing w:before="1"/>
              <w:ind w:left="126"/>
              <w:rPr>
                <w:rFonts w:ascii="Calibri"/>
                <w:sz w:val="16"/>
              </w:rPr>
            </w:pPr>
            <w:r>
              <w:rPr>
                <w:rFonts w:ascii="Calibri"/>
                <w:sz w:val="16"/>
              </w:rPr>
              <w:t>-</w:t>
            </w:r>
            <w:r>
              <w:rPr>
                <w:rFonts w:ascii="Calibri"/>
                <w:spacing w:val="-2"/>
                <w:sz w:val="16"/>
              </w:rPr>
              <w:t>0.067</w:t>
            </w:r>
          </w:p>
        </w:tc>
        <w:tc>
          <w:tcPr>
            <w:tcW w:w="675" w:type="dxa"/>
          </w:tcPr>
          <w:p>
            <w:pPr>
              <w:pStyle w:val="TableParagraph"/>
              <w:spacing w:before="1"/>
              <w:ind w:right="292"/>
              <w:jc w:val="right"/>
              <w:rPr>
                <w:rFonts w:ascii="Calibri"/>
                <w:sz w:val="16"/>
              </w:rPr>
            </w:pPr>
            <w:r>
              <w:rPr>
                <w:rFonts w:ascii="Calibri"/>
                <w:spacing w:val="-10"/>
                <w:sz w:val="16"/>
              </w:rPr>
              <w:t>1</w:t>
            </w:r>
          </w:p>
        </w:tc>
        <w:tc>
          <w:tcPr>
            <w:tcW w:w="747" w:type="dxa"/>
          </w:tcPr>
          <w:p>
            <w:pPr>
              <w:pStyle w:val="TableParagraph"/>
              <w:rPr>
                <w:rFonts w:ascii="Times New Roman"/>
                <w:sz w:val="22"/>
              </w:rPr>
            </w:pPr>
          </w:p>
        </w:tc>
        <w:tc>
          <w:tcPr>
            <w:tcW w:w="596" w:type="dxa"/>
          </w:tcPr>
          <w:p>
            <w:pPr>
              <w:pStyle w:val="TableParagraph"/>
              <w:rPr>
                <w:rFonts w:ascii="Times New Roman"/>
                <w:sz w:val="22"/>
              </w:rPr>
            </w:pPr>
          </w:p>
        </w:tc>
        <w:tc>
          <w:tcPr>
            <w:tcW w:w="738" w:type="dxa"/>
          </w:tcPr>
          <w:p>
            <w:pPr>
              <w:pStyle w:val="TableParagraph"/>
              <w:rPr>
                <w:rFonts w:ascii="Times New Roman"/>
                <w:sz w:val="22"/>
              </w:rPr>
            </w:pPr>
          </w:p>
        </w:tc>
        <w:tc>
          <w:tcPr>
            <w:tcW w:w="826" w:type="dxa"/>
          </w:tcPr>
          <w:p>
            <w:pPr>
              <w:pStyle w:val="TableParagraph"/>
              <w:rPr>
                <w:rFonts w:ascii="Times New Roman"/>
                <w:sz w:val="22"/>
              </w:rPr>
            </w:pPr>
          </w:p>
        </w:tc>
        <w:tc>
          <w:tcPr>
            <w:tcW w:w="711" w:type="dxa"/>
          </w:tcPr>
          <w:p>
            <w:pPr>
              <w:pStyle w:val="TableParagraph"/>
              <w:rPr>
                <w:rFonts w:ascii="Times New Roman"/>
                <w:sz w:val="22"/>
              </w:rPr>
            </w:pPr>
          </w:p>
        </w:tc>
        <w:tc>
          <w:tcPr>
            <w:tcW w:w="983" w:type="dxa"/>
          </w:tcPr>
          <w:p>
            <w:pPr>
              <w:pStyle w:val="TableParagraph"/>
              <w:rPr>
                <w:rFonts w:ascii="Times New Roman"/>
                <w:sz w:val="22"/>
              </w:rPr>
            </w:pPr>
          </w:p>
        </w:tc>
        <w:tc>
          <w:tcPr>
            <w:tcW w:w="886" w:type="dxa"/>
          </w:tcPr>
          <w:p>
            <w:pPr>
              <w:pStyle w:val="TableParagraph"/>
              <w:rPr>
                <w:rFonts w:ascii="Times New Roman"/>
                <w:sz w:val="22"/>
              </w:rPr>
            </w:pPr>
          </w:p>
        </w:tc>
        <w:tc>
          <w:tcPr>
            <w:tcW w:w="593" w:type="dxa"/>
          </w:tcPr>
          <w:p>
            <w:pPr>
              <w:pStyle w:val="TableParagraph"/>
              <w:rPr>
                <w:rFonts w:ascii="Times New Roman"/>
                <w:sz w:val="22"/>
              </w:rPr>
            </w:pPr>
          </w:p>
        </w:tc>
        <w:tc>
          <w:tcPr>
            <w:tcW w:w="759" w:type="dxa"/>
          </w:tcPr>
          <w:p>
            <w:pPr>
              <w:pStyle w:val="TableParagraph"/>
              <w:rPr>
                <w:rFonts w:ascii="Times New Roman"/>
                <w:sz w:val="22"/>
              </w:rPr>
            </w:pPr>
          </w:p>
        </w:tc>
        <w:tc>
          <w:tcPr>
            <w:tcW w:w="610" w:type="dxa"/>
            <w:tcBorders>
              <w:right w:val="nil"/>
            </w:tcBorders>
          </w:tcPr>
          <w:p>
            <w:pPr>
              <w:pStyle w:val="TableParagraph"/>
              <w:rPr>
                <w:rFonts w:ascii="Times New Roman"/>
                <w:sz w:val="22"/>
              </w:rPr>
            </w:pPr>
          </w:p>
        </w:tc>
      </w:tr>
    </w:tbl>
    <w:p>
      <w:pPr>
        <w:spacing w:after="0"/>
        <w:rPr>
          <w:rFonts w:ascii="Times New Roman"/>
          <w:sz w:val="22"/>
        </w:rPr>
        <w:sectPr>
          <w:pgSz w:w="11910" w:h="16840"/>
          <w:pgMar w:header="0" w:footer="971" w:top="1360" w:bottom="1678" w:left="500" w:right="0"/>
        </w:sectPr>
      </w:pPr>
    </w:p>
    <w:tbl>
      <w:tblPr>
        <w:tblW w:w="0" w:type="auto"/>
        <w:jc w:val="right"/>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99"/>
        <w:gridCol w:w="826"/>
        <w:gridCol w:w="677"/>
        <w:gridCol w:w="678"/>
        <w:gridCol w:w="675"/>
        <w:gridCol w:w="747"/>
        <w:gridCol w:w="596"/>
        <w:gridCol w:w="738"/>
        <w:gridCol w:w="826"/>
        <w:gridCol w:w="711"/>
        <w:gridCol w:w="983"/>
        <w:gridCol w:w="886"/>
        <w:gridCol w:w="593"/>
        <w:gridCol w:w="759"/>
        <w:gridCol w:w="610"/>
      </w:tblGrid>
      <w:tr>
        <w:trPr>
          <w:trHeight w:val="489" w:hRule="atLeast"/>
        </w:trPr>
        <w:tc>
          <w:tcPr>
            <w:tcW w:w="999" w:type="dxa"/>
            <w:tcBorders>
              <w:left w:val="nil"/>
            </w:tcBorders>
          </w:tcPr>
          <w:p>
            <w:pPr>
              <w:pStyle w:val="TableParagraph"/>
              <w:spacing w:line="244"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0.6086</w:t>
            </w:r>
          </w:p>
        </w:tc>
        <w:tc>
          <w:tcPr>
            <w:tcW w:w="677" w:type="dxa"/>
          </w:tcPr>
          <w:p>
            <w:pPr>
              <w:pStyle w:val="TableParagraph"/>
              <w:spacing w:before="1"/>
              <w:ind w:right="1"/>
              <w:jc w:val="center"/>
              <w:rPr>
                <w:rFonts w:ascii="Calibri"/>
                <w:sz w:val="16"/>
              </w:rPr>
            </w:pPr>
            <w:r>
              <w:rPr>
                <w:rFonts w:ascii="Calibri"/>
                <w:spacing w:val="-10"/>
                <w:sz w:val="16"/>
              </w:rPr>
              <w:t>0</w:t>
            </w:r>
          </w:p>
        </w:tc>
        <w:tc>
          <w:tcPr>
            <w:tcW w:w="678" w:type="dxa"/>
          </w:tcPr>
          <w:p>
            <w:pPr>
              <w:pStyle w:val="TableParagraph"/>
              <w:spacing w:before="1"/>
              <w:ind w:left="1" w:right="1"/>
              <w:jc w:val="center"/>
              <w:rPr>
                <w:rFonts w:ascii="Calibri"/>
                <w:sz w:val="16"/>
              </w:rPr>
            </w:pPr>
            <w:r>
              <w:rPr>
                <w:rFonts w:ascii="Calibri"/>
                <w:spacing w:val="-2"/>
                <w:sz w:val="16"/>
              </w:rPr>
              <w:t>0.3697</w:t>
            </w:r>
          </w:p>
        </w:tc>
        <w:tc>
          <w:tcPr>
            <w:tcW w:w="675" w:type="dxa"/>
          </w:tcPr>
          <w:p>
            <w:pPr>
              <w:pStyle w:val="TableParagraph"/>
              <w:rPr>
                <w:rFonts w:ascii="Times New Roman"/>
                <w:sz w:val="18"/>
              </w:rPr>
            </w:pPr>
          </w:p>
        </w:tc>
        <w:tc>
          <w:tcPr>
            <w:tcW w:w="747" w:type="dxa"/>
          </w:tcPr>
          <w:p>
            <w:pPr>
              <w:pStyle w:val="TableParagraph"/>
              <w:rPr>
                <w:rFonts w:ascii="Times New Roman"/>
                <w:sz w:val="18"/>
              </w:rPr>
            </w:pPr>
          </w:p>
        </w:tc>
        <w:tc>
          <w:tcPr>
            <w:tcW w:w="596" w:type="dxa"/>
          </w:tcPr>
          <w:p>
            <w:pPr>
              <w:pStyle w:val="TableParagraph"/>
              <w:rPr>
                <w:rFonts w:ascii="Times New Roman"/>
                <w:sz w:val="18"/>
              </w:rPr>
            </w:pP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2"/>
                <w:sz w:val="16"/>
              </w:rPr>
              <w:t>BDIND</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0.0315</w:t>
            </w:r>
          </w:p>
        </w:tc>
        <w:tc>
          <w:tcPr>
            <w:tcW w:w="677" w:type="dxa"/>
          </w:tcPr>
          <w:p>
            <w:pPr>
              <w:pStyle w:val="TableParagraph"/>
              <w:spacing w:before="1"/>
              <w:ind w:left="1" w:right="1"/>
              <w:jc w:val="center"/>
              <w:rPr>
                <w:rFonts w:ascii="Calibri"/>
                <w:sz w:val="16"/>
              </w:rPr>
            </w:pPr>
            <w:r>
              <w:rPr>
                <w:rFonts w:ascii="Calibri"/>
                <w:sz w:val="16"/>
              </w:rPr>
              <w:t>-</w:t>
            </w:r>
            <w:r>
              <w:rPr>
                <w:rFonts w:ascii="Calibri"/>
                <w:spacing w:val="-2"/>
                <w:sz w:val="16"/>
              </w:rPr>
              <w:t>0.059</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0.128</w:t>
            </w:r>
          </w:p>
        </w:tc>
        <w:tc>
          <w:tcPr>
            <w:tcW w:w="675" w:type="dxa"/>
          </w:tcPr>
          <w:p>
            <w:pPr>
              <w:pStyle w:val="TableParagraph"/>
              <w:spacing w:before="1"/>
              <w:ind w:left="3" w:right="4"/>
              <w:jc w:val="center"/>
              <w:rPr>
                <w:rFonts w:ascii="Calibri"/>
                <w:sz w:val="16"/>
              </w:rPr>
            </w:pPr>
            <w:r>
              <w:rPr>
                <w:rFonts w:ascii="Calibri"/>
                <w:spacing w:val="-2"/>
                <w:sz w:val="16"/>
              </w:rPr>
              <w:t>0.0644</w:t>
            </w:r>
          </w:p>
        </w:tc>
        <w:tc>
          <w:tcPr>
            <w:tcW w:w="747" w:type="dxa"/>
          </w:tcPr>
          <w:p>
            <w:pPr>
              <w:pStyle w:val="TableParagraph"/>
              <w:spacing w:before="1"/>
              <w:ind w:right="5"/>
              <w:jc w:val="center"/>
              <w:rPr>
                <w:rFonts w:ascii="Calibri"/>
                <w:sz w:val="16"/>
              </w:rPr>
            </w:pPr>
            <w:r>
              <w:rPr>
                <w:rFonts w:ascii="Calibri"/>
                <w:spacing w:val="-10"/>
                <w:sz w:val="16"/>
              </w:rPr>
              <w:t>1</w:t>
            </w:r>
          </w:p>
        </w:tc>
        <w:tc>
          <w:tcPr>
            <w:tcW w:w="596" w:type="dxa"/>
          </w:tcPr>
          <w:p>
            <w:pPr>
              <w:pStyle w:val="TableParagraph"/>
              <w:rPr>
                <w:rFonts w:ascii="Times New Roman"/>
                <w:sz w:val="18"/>
              </w:rPr>
            </w:pP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6"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0.674</w:t>
            </w:r>
          </w:p>
        </w:tc>
        <w:tc>
          <w:tcPr>
            <w:tcW w:w="677" w:type="dxa"/>
          </w:tcPr>
          <w:p>
            <w:pPr>
              <w:pStyle w:val="TableParagraph"/>
              <w:spacing w:before="1"/>
              <w:ind w:left="1" w:right="1"/>
              <w:jc w:val="center"/>
              <w:rPr>
                <w:rFonts w:ascii="Calibri"/>
                <w:sz w:val="16"/>
              </w:rPr>
            </w:pPr>
            <w:r>
              <w:rPr>
                <w:rFonts w:ascii="Calibri"/>
                <w:spacing w:val="-2"/>
                <w:sz w:val="16"/>
              </w:rPr>
              <w:t>0.4263</w:t>
            </w:r>
          </w:p>
        </w:tc>
        <w:tc>
          <w:tcPr>
            <w:tcW w:w="678" w:type="dxa"/>
          </w:tcPr>
          <w:p>
            <w:pPr>
              <w:pStyle w:val="TableParagraph"/>
              <w:spacing w:before="1"/>
              <w:ind w:left="1" w:right="1"/>
              <w:jc w:val="center"/>
              <w:rPr>
                <w:rFonts w:ascii="Calibri"/>
                <w:sz w:val="16"/>
              </w:rPr>
            </w:pPr>
            <w:r>
              <w:rPr>
                <w:rFonts w:ascii="Calibri"/>
                <w:spacing w:val="-2"/>
                <w:sz w:val="16"/>
              </w:rPr>
              <w:t>0.0851</w:t>
            </w:r>
          </w:p>
        </w:tc>
        <w:tc>
          <w:tcPr>
            <w:tcW w:w="675" w:type="dxa"/>
          </w:tcPr>
          <w:p>
            <w:pPr>
              <w:pStyle w:val="TableParagraph"/>
              <w:spacing w:before="1"/>
              <w:ind w:left="3" w:right="4"/>
              <w:jc w:val="center"/>
              <w:rPr>
                <w:rFonts w:ascii="Calibri"/>
                <w:sz w:val="16"/>
              </w:rPr>
            </w:pPr>
            <w:r>
              <w:rPr>
                <w:rFonts w:ascii="Calibri"/>
                <w:spacing w:val="-2"/>
                <w:sz w:val="16"/>
              </w:rPr>
              <w:t>0.3893</w:t>
            </w:r>
          </w:p>
        </w:tc>
        <w:tc>
          <w:tcPr>
            <w:tcW w:w="747" w:type="dxa"/>
          </w:tcPr>
          <w:p>
            <w:pPr>
              <w:pStyle w:val="TableParagraph"/>
              <w:rPr>
                <w:rFonts w:ascii="Times New Roman"/>
                <w:sz w:val="18"/>
              </w:rPr>
            </w:pPr>
          </w:p>
        </w:tc>
        <w:tc>
          <w:tcPr>
            <w:tcW w:w="596" w:type="dxa"/>
          </w:tcPr>
          <w:p>
            <w:pPr>
              <w:pStyle w:val="TableParagraph"/>
              <w:rPr>
                <w:rFonts w:ascii="Times New Roman"/>
                <w:sz w:val="18"/>
              </w:rPr>
            </w:pP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5"/>
                <w:sz w:val="16"/>
              </w:rPr>
              <w:t>BDS</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0.0612</w:t>
            </w:r>
          </w:p>
        </w:tc>
        <w:tc>
          <w:tcPr>
            <w:tcW w:w="677" w:type="dxa"/>
          </w:tcPr>
          <w:p>
            <w:pPr>
              <w:pStyle w:val="TableParagraph"/>
              <w:spacing w:before="1"/>
              <w:ind w:left="1" w:right="1"/>
              <w:jc w:val="center"/>
              <w:rPr>
                <w:rFonts w:ascii="Calibri"/>
                <w:sz w:val="16"/>
              </w:rPr>
            </w:pPr>
            <w:r>
              <w:rPr>
                <w:rFonts w:ascii="Calibri"/>
                <w:sz w:val="16"/>
              </w:rPr>
              <w:t>-</w:t>
            </w:r>
            <w:r>
              <w:rPr>
                <w:rFonts w:ascii="Calibri"/>
                <w:spacing w:val="-2"/>
                <w:sz w:val="16"/>
              </w:rPr>
              <w:t>0.025</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0.036</w:t>
            </w:r>
          </w:p>
        </w:tc>
        <w:tc>
          <w:tcPr>
            <w:tcW w:w="675" w:type="dxa"/>
          </w:tcPr>
          <w:p>
            <w:pPr>
              <w:pStyle w:val="TableParagraph"/>
              <w:spacing w:before="1"/>
              <w:ind w:left="3" w:right="4"/>
              <w:jc w:val="center"/>
              <w:rPr>
                <w:rFonts w:ascii="Calibri"/>
                <w:sz w:val="16"/>
              </w:rPr>
            </w:pPr>
            <w:r>
              <w:rPr>
                <w:rFonts w:ascii="Calibri"/>
                <w:spacing w:val="-2"/>
                <w:sz w:val="16"/>
              </w:rPr>
              <w:t>0.0199</w:t>
            </w:r>
          </w:p>
        </w:tc>
        <w:tc>
          <w:tcPr>
            <w:tcW w:w="747" w:type="dxa"/>
          </w:tcPr>
          <w:p>
            <w:pPr>
              <w:pStyle w:val="TableParagraph"/>
              <w:spacing w:before="1"/>
              <w:ind w:left="3" w:right="5"/>
              <w:jc w:val="center"/>
              <w:rPr>
                <w:rFonts w:ascii="Calibri"/>
                <w:sz w:val="16"/>
              </w:rPr>
            </w:pPr>
            <w:r>
              <w:rPr>
                <w:rFonts w:ascii="Calibri"/>
                <w:sz w:val="16"/>
              </w:rPr>
              <w:t>-</w:t>
            </w:r>
            <w:r>
              <w:rPr>
                <w:rFonts w:ascii="Calibri"/>
                <w:spacing w:val="-2"/>
                <w:sz w:val="16"/>
              </w:rPr>
              <w:t>0.288</w:t>
            </w:r>
          </w:p>
        </w:tc>
        <w:tc>
          <w:tcPr>
            <w:tcW w:w="596" w:type="dxa"/>
          </w:tcPr>
          <w:p>
            <w:pPr>
              <w:pStyle w:val="TableParagraph"/>
              <w:spacing w:before="1"/>
              <w:ind w:right="4"/>
              <w:jc w:val="center"/>
              <w:rPr>
                <w:rFonts w:ascii="Calibri"/>
                <w:sz w:val="16"/>
              </w:rPr>
            </w:pPr>
            <w:r>
              <w:rPr>
                <w:rFonts w:ascii="Calibri"/>
                <w:spacing w:val="-10"/>
                <w:sz w:val="16"/>
              </w:rPr>
              <w:t>1</w:t>
            </w: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9"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0.4131</w:t>
            </w:r>
          </w:p>
        </w:tc>
        <w:tc>
          <w:tcPr>
            <w:tcW w:w="677" w:type="dxa"/>
          </w:tcPr>
          <w:p>
            <w:pPr>
              <w:pStyle w:val="TableParagraph"/>
              <w:spacing w:before="1"/>
              <w:ind w:left="1" w:right="1"/>
              <w:jc w:val="center"/>
              <w:rPr>
                <w:rFonts w:ascii="Calibri"/>
                <w:sz w:val="16"/>
              </w:rPr>
            </w:pPr>
            <w:r>
              <w:rPr>
                <w:rFonts w:ascii="Calibri"/>
                <w:spacing w:val="-2"/>
                <w:sz w:val="16"/>
              </w:rPr>
              <w:t>0.7363</w:t>
            </w:r>
          </w:p>
        </w:tc>
        <w:tc>
          <w:tcPr>
            <w:tcW w:w="678" w:type="dxa"/>
          </w:tcPr>
          <w:p>
            <w:pPr>
              <w:pStyle w:val="TableParagraph"/>
              <w:spacing w:before="1"/>
              <w:ind w:left="1" w:right="1"/>
              <w:jc w:val="center"/>
              <w:rPr>
                <w:rFonts w:ascii="Calibri"/>
                <w:sz w:val="16"/>
              </w:rPr>
            </w:pPr>
            <w:r>
              <w:rPr>
                <w:rFonts w:ascii="Calibri"/>
                <w:spacing w:val="-2"/>
                <w:sz w:val="16"/>
              </w:rPr>
              <w:t>0.6322</w:t>
            </w:r>
          </w:p>
        </w:tc>
        <w:tc>
          <w:tcPr>
            <w:tcW w:w="675" w:type="dxa"/>
          </w:tcPr>
          <w:p>
            <w:pPr>
              <w:pStyle w:val="TableParagraph"/>
              <w:spacing w:before="1"/>
              <w:ind w:left="3" w:right="4"/>
              <w:jc w:val="center"/>
              <w:rPr>
                <w:rFonts w:ascii="Calibri"/>
                <w:sz w:val="16"/>
              </w:rPr>
            </w:pPr>
            <w:r>
              <w:rPr>
                <w:rFonts w:ascii="Calibri"/>
                <w:spacing w:val="-2"/>
                <w:sz w:val="16"/>
              </w:rPr>
              <w:t>0.7903</w:t>
            </w:r>
          </w:p>
        </w:tc>
        <w:tc>
          <w:tcPr>
            <w:tcW w:w="747" w:type="dxa"/>
          </w:tcPr>
          <w:p>
            <w:pPr>
              <w:pStyle w:val="TableParagraph"/>
              <w:spacing w:before="1"/>
              <w:ind w:left="3" w:right="5"/>
              <w:jc w:val="center"/>
              <w:rPr>
                <w:rFonts w:ascii="Calibri"/>
                <w:sz w:val="16"/>
              </w:rPr>
            </w:pPr>
            <w:r>
              <w:rPr>
                <w:rFonts w:ascii="Calibri"/>
                <w:spacing w:val="-2"/>
                <w:sz w:val="16"/>
              </w:rPr>
              <w:t>0.0001</w:t>
            </w:r>
          </w:p>
        </w:tc>
        <w:tc>
          <w:tcPr>
            <w:tcW w:w="596" w:type="dxa"/>
          </w:tcPr>
          <w:p>
            <w:pPr>
              <w:pStyle w:val="TableParagraph"/>
              <w:rPr>
                <w:rFonts w:ascii="Times New Roman"/>
                <w:sz w:val="18"/>
              </w:rPr>
            </w:pP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2"/>
                <w:sz w:val="16"/>
              </w:rPr>
              <w:t>BFEXP</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0.0141</w:t>
            </w:r>
          </w:p>
        </w:tc>
        <w:tc>
          <w:tcPr>
            <w:tcW w:w="677" w:type="dxa"/>
          </w:tcPr>
          <w:p>
            <w:pPr>
              <w:pStyle w:val="TableParagraph"/>
              <w:spacing w:before="1"/>
              <w:ind w:left="1" w:right="1"/>
              <w:jc w:val="center"/>
              <w:rPr>
                <w:rFonts w:ascii="Calibri"/>
                <w:sz w:val="16"/>
              </w:rPr>
            </w:pPr>
            <w:r>
              <w:rPr>
                <w:rFonts w:ascii="Calibri"/>
                <w:spacing w:val="-2"/>
                <w:sz w:val="16"/>
              </w:rPr>
              <w:t>0.1083</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0.098</w:t>
            </w:r>
          </w:p>
        </w:tc>
        <w:tc>
          <w:tcPr>
            <w:tcW w:w="675" w:type="dxa"/>
          </w:tcPr>
          <w:p>
            <w:pPr>
              <w:pStyle w:val="TableParagraph"/>
              <w:spacing w:before="1"/>
              <w:ind w:left="3" w:right="4"/>
              <w:jc w:val="center"/>
              <w:rPr>
                <w:rFonts w:ascii="Calibri"/>
                <w:sz w:val="16"/>
              </w:rPr>
            </w:pPr>
            <w:r>
              <w:rPr>
                <w:rFonts w:ascii="Calibri"/>
                <w:spacing w:val="-2"/>
                <w:sz w:val="16"/>
              </w:rPr>
              <w:t>0.0813</w:t>
            </w:r>
          </w:p>
        </w:tc>
        <w:tc>
          <w:tcPr>
            <w:tcW w:w="747" w:type="dxa"/>
          </w:tcPr>
          <w:p>
            <w:pPr>
              <w:pStyle w:val="TableParagraph"/>
              <w:spacing w:before="1"/>
              <w:ind w:left="3" w:right="5"/>
              <w:jc w:val="center"/>
              <w:rPr>
                <w:rFonts w:ascii="Calibri"/>
                <w:sz w:val="16"/>
              </w:rPr>
            </w:pPr>
            <w:r>
              <w:rPr>
                <w:rFonts w:ascii="Calibri"/>
                <w:spacing w:val="-2"/>
                <w:sz w:val="16"/>
              </w:rPr>
              <w:t>0.0905</w:t>
            </w:r>
          </w:p>
        </w:tc>
        <w:tc>
          <w:tcPr>
            <w:tcW w:w="596" w:type="dxa"/>
          </w:tcPr>
          <w:p>
            <w:pPr>
              <w:pStyle w:val="TableParagraph"/>
              <w:spacing w:before="1"/>
              <w:ind w:left="3" w:right="4"/>
              <w:jc w:val="center"/>
              <w:rPr>
                <w:rFonts w:ascii="Calibri"/>
                <w:sz w:val="16"/>
              </w:rPr>
            </w:pPr>
            <w:r>
              <w:rPr>
                <w:rFonts w:ascii="Calibri"/>
                <w:sz w:val="16"/>
              </w:rPr>
              <w:t>-</w:t>
            </w:r>
            <w:r>
              <w:rPr>
                <w:rFonts w:ascii="Calibri"/>
                <w:spacing w:val="-4"/>
                <w:sz w:val="16"/>
              </w:rPr>
              <w:t>0.07</w:t>
            </w:r>
          </w:p>
        </w:tc>
        <w:tc>
          <w:tcPr>
            <w:tcW w:w="738" w:type="dxa"/>
          </w:tcPr>
          <w:p>
            <w:pPr>
              <w:pStyle w:val="TableParagraph"/>
              <w:spacing w:before="1"/>
              <w:ind w:right="7"/>
              <w:jc w:val="center"/>
              <w:rPr>
                <w:rFonts w:ascii="Calibri"/>
                <w:sz w:val="16"/>
              </w:rPr>
            </w:pPr>
            <w:r>
              <w:rPr>
                <w:rFonts w:ascii="Calibri"/>
                <w:spacing w:val="-10"/>
                <w:sz w:val="16"/>
              </w:rPr>
              <w:t>1</w:t>
            </w: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6"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0.8504</w:t>
            </w:r>
          </w:p>
        </w:tc>
        <w:tc>
          <w:tcPr>
            <w:tcW w:w="677" w:type="dxa"/>
          </w:tcPr>
          <w:p>
            <w:pPr>
              <w:pStyle w:val="TableParagraph"/>
              <w:spacing w:before="1"/>
              <w:ind w:left="1" w:right="1"/>
              <w:jc w:val="center"/>
              <w:rPr>
                <w:rFonts w:ascii="Calibri"/>
                <w:sz w:val="16"/>
              </w:rPr>
            </w:pPr>
            <w:r>
              <w:rPr>
                <w:rFonts w:ascii="Calibri"/>
                <w:spacing w:val="-2"/>
                <w:sz w:val="16"/>
              </w:rPr>
              <w:t>0.1467</w:t>
            </w:r>
          </w:p>
        </w:tc>
        <w:tc>
          <w:tcPr>
            <w:tcW w:w="678" w:type="dxa"/>
          </w:tcPr>
          <w:p>
            <w:pPr>
              <w:pStyle w:val="TableParagraph"/>
              <w:spacing w:before="1"/>
              <w:ind w:left="1" w:right="1"/>
              <w:jc w:val="center"/>
              <w:rPr>
                <w:rFonts w:ascii="Calibri"/>
                <w:sz w:val="16"/>
              </w:rPr>
            </w:pPr>
            <w:r>
              <w:rPr>
                <w:rFonts w:ascii="Calibri"/>
                <w:spacing w:val="-2"/>
                <w:sz w:val="16"/>
              </w:rPr>
              <w:t>0.188</w:t>
            </w:r>
          </w:p>
        </w:tc>
        <w:tc>
          <w:tcPr>
            <w:tcW w:w="675" w:type="dxa"/>
          </w:tcPr>
          <w:p>
            <w:pPr>
              <w:pStyle w:val="TableParagraph"/>
              <w:spacing w:before="1"/>
              <w:ind w:left="3" w:right="4"/>
              <w:jc w:val="center"/>
              <w:rPr>
                <w:rFonts w:ascii="Calibri"/>
                <w:sz w:val="16"/>
              </w:rPr>
            </w:pPr>
            <w:r>
              <w:rPr/>
              <mc:AlternateContent>
                <mc:Choice Requires="wps">
                  <w:drawing>
                    <wp:anchor distT="0" distB="0" distL="0" distR="0" allowOverlap="1" layoutInCell="1" locked="0" behindDoc="1" simplePos="0" relativeHeight="477733376">
                      <wp:simplePos x="0" y="0"/>
                      <wp:positionH relativeFrom="column">
                        <wp:posOffset>-18669</wp:posOffset>
                      </wp:positionH>
                      <wp:positionV relativeFrom="paragraph">
                        <wp:posOffset>92166</wp:posOffset>
                      </wp:positionV>
                      <wp:extent cx="3815715" cy="396494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3815715" cy="3964940"/>
                                <a:chExt cx="3815715" cy="3964940"/>
                              </a:xfrm>
                            </wpg:grpSpPr>
                            <pic:pic>
                              <pic:nvPicPr>
                                <pic:cNvPr id="147" name="Image 147"/>
                                <pic:cNvPicPr/>
                              </pic:nvPicPr>
                              <pic:blipFill>
                                <a:blip r:embed="rId9" cstate="print"/>
                                <a:stretch>
                                  <a:fillRect/>
                                </a:stretch>
                              </pic:blipFill>
                              <pic:spPr>
                                <a:xfrm>
                                  <a:off x="130555" y="3743197"/>
                                  <a:ext cx="221995" cy="221614"/>
                                </a:xfrm>
                                <a:prstGeom prst="rect">
                                  <a:avLst/>
                                </a:prstGeom>
                              </pic:spPr>
                            </pic:pic>
                            <wps:wsp>
                              <wps:cNvPr id="148" name="Graphic 148"/>
                              <wps:cNvSpPr/>
                              <wps:spPr>
                                <a:xfrm>
                                  <a:off x="0"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7pt;margin-top:7.257173pt;width:300.45pt;height:312.2pt;mso-position-horizontal-relative:column;mso-position-vertical-relative:paragraph;z-index:-25583104" id="docshapegroup16" coordorigin="-29,145" coordsize="6009,6244">
                      <v:shape style="position:absolute;left:176;top:6039;width:350;height:349" type="#_x0000_t75" id="docshape17" stroked="false">
                        <v:imagedata r:id="rId9" o:title=""/>
                      </v:shape>
                      <v:shape style="position:absolute;left:-30;top:145;width:6009;height:6216" id="docshape18" coordorigin="-29,145" coordsize="6009,6216" path="m1107,6281l1107,6276,1103,6266,1100,6262,1096,6258,69,5231,64,5227,54,5224,50,5223,44,5225,38,5227,32,5229,25,5234,18,5239,10,5245,-7,5262,-18,5277,-26,5291,-28,5296,-29,5302,-29,5307,-26,5317,-23,5322,1008,6353,1013,6357,1022,6360,1027,6361,1032,6359,1039,6357,1045,6354,1053,6350,1059,6345,1068,6338,1085,6321,1092,6313,1097,6306,1101,6298,1104,6292,1105,6286,1107,6281xm1382,6001l1380,5996,1379,5991,1375,5986,1371,5982,987,5599,1066,5520,1095,5488,1099,5482,1119,5454,1138,5420,1151,5385,1160,5349,1164,5314,1164,5275,1159,5237,1150,5198,1137,5159,1120,5119,1098,5079,1072,5039,1043,4998,1012,4962,1012,5269,1011,5292,1007,5314,999,5336,988,5357,973,5379,954,5400,871,5482,444,5055,529,4970,541,4959,554,4948,568,4937,583,4928,599,4919,617,4913,637,4909,658,4907,681,4908,706,4912,733,4921,762,4933,792,4949,822,4970,854,4996,886,5026,909,5050,930,5075,948,5099,965,5124,979,5149,991,5174,1000,5198,1006,5222,1011,5246,1012,5269,1012,4962,1009,4958,971,4918,960,4907,941,4889,911,4863,880,4839,850,4818,820,4801,790,4785,761,4773,731,4763,702,4755,674,4750,646,4747,618,4747,592,4750,567,4754,545,4761,525,4769,508,4778,492,4788,478,4797,465,4805,453,4815,442,4825,430,4835,419,4846,271,4994,265,5001,262,5010,260,5021,260,5033,263,5046,270,5060,281,5075,296,5091,1279,6074,1283,6078,1288,6082,1293,6084,1298,6085,1302,6085,1308,6083,1314,6082,1320,6079,1328,6075,1335,6070,1342,6064,1361,6045,1367,6037,1372,6031,1376,6023,1379,6017,1380,6011,1382,6006,1382,6001xm2075,5313l2075,5308,2071,5298,2068,5294,1140,4366,1337,4169,1338,4165,1339,4160,1338,4155,1337,4150,1334,4144,1331,4138,1326,4130,1304,4105,1293,4094,1282,4083,1273,4075,1256,4060,1248,4055,1235,4048,1230,4047,1220,4047,1216,4049,731,4534,729,4537,730,4542,729,4547,731,4552,738,4565,743,4573,750,4581,757,4590,766,4600,787,4621,797,4630,805,4636,813,4643,821,4648,833,4654,838,4656,843,4656,848,4656,851,4654,1048,4457,1976,5385,1981,5389,1991,5392,1995,5393,2001,5391,2007,5389,2021,5382,2036,5370,2053,5353,2060,5344,2065,5338,2069,5330,2072,5324,2073,5318,2075,5313xm2607,4780l2607,4776,2604,4766,2600,4761,1672,3833,1869,3636,1871,3633,1871,3628,1869,3618,1864,3606,1858,3598,1851,3590,1836,3572,1825,3562,1814,3551,1788,3528,1780,3522,1767,3516,1762,3515,1757,3514,1752,3514,1749,3516,1263,4002,1261,4005,1262,4010,1262,4015,1263,4020,1270,4033,1275,4040,1282,4048,1290,4058,1298,4067,1319,4089,1329,4097,1338,4104,1345,4111,1353,4116,1365,4122,1370,4123,1375,4123,1380,4124,1383,4122,1580,3925,2508,4853,2513,4857,2523,4860,2527,4860,2533,4858,2539,4857,2553,4850,2560,4845,2568,4838,2586,4820,2597,4805,2604,4792,2605,4786,2607,4780xm3314,3940l3307,3886,3293,3831,3273,3774,3247,3716,3214,3657,3176,3596,3157,3570,3157,3918,3156,3957,3150,3993,3137,4028,3116,4061,3090,4092,3058,4120,3026,4140,2992,4154,2957,4161,2920,4163,2882,4160,2843,4151,2803,4137,2762,4118,2720,4095,2677,4067,2634,4034,2589,3998,2543,3959,2497,3917,2451,3872,2409,3829,2370,3786,2334,3742,2299,3699,2268,3655,2242,3613,2219,3570,2201,3528,2187,3487,2178,3447,2174,3409,2175,3370,2181,3334,2194,3299,2214,3266,2240,3235,2271,3209,2303,3188,2337,3175,2373,3167,2410,3166,2448,3169,2487,3178,2527,3191,2568,3210,2610,3233,2653,3260,2696,3292,2741,3327,2785,3365,2830,3407,2875,3450,2917,3494,2957,3537,2994,3581,3028,3625,3060,3669,3087,3712,3110,3755,3129,3796,3143,3838,3153,3879,3157,3918,3157,3570,3131,3534,3080,3471,3024,3408,2962,3343,2898,3282,2836,3226,2774,3176,2761,3166,2715,3132,2656,3094,2599,3063,2544,3038,2491,3020,2439,3008,2389,3003,2340,3004,2293,3011,2248,3025,2205,3046,2164,3074,2125,3109,2089,3149,2061,3192,2039,3238,2026,3285,2019,3336,2019,3387,2025,3441,2038,3495,2058,3552,2084,3610,2116,3669,2154,3730,2198,3791,2248,3853,2303,3916,2364,3979,2429,4042,2492,4098,2554,4149,2615,4193,2674,4232,2731,4264,2786,4289,2840,4308,2891,4320,2942,4326,2990,4325,3037,4317,3083,4304,3127,4283,3168,4255,3208,4219,3244,4179,3254,4163,3272,4135,3293,4090,3307,4042,3313,3992,3314,3940xm4266,3013l4266,2985,4265,2974,4264,2966,4262,2956,4260,2950,4255,2939,4252,2933,4248,2927,4226,2901,4210,2885,4192,2868,4169,2847,4155,2838,4150,2835,4145,2833,4138,2833,4135,2834,4127,2842,4125,2855,4127,2874,4127,2890,4128,2907,4127,2925,4126,2944,4124,2965,4120,2987,4115,3009,4108,3032,4099,3055,4087,3078,4071,3099,4052,3120,4027,3142,3999,3160,3969,3172,3937,3180,3904,3184,3869,3183,3832,3177,3793,3166,3753,3151,3711,3131,3668,3106,3623,3077,3576,3043,3529,3004,3480,2961,3430,2912,3381,2862,3337,2812,3297,2763,3263,2715,3233,2669,3207,2625,3186,2582,3169,2540,3157,2500,3150,2462,3148,2426,3150,2392,3157,2360,3169,2331,3185,2304,3206,2279,3228,2260,3249,2244,3272,2231,3294,2222,3317,2216,3340,2211,3361,2208,3382,2206,3401,2206,3436,2206,3451,2207,3471,2209,3484,2208,3491,2200,3492,2196,3492,2192,3491,2187,3489,2183,3482,2169,3470,2153,3453,2134,3425,2105,3409,2092,3402,2087,3396,2082,3385,2075,3373,2070,3365,2067,3352,2064,3342,2062,3330,2062,3298,2062,3280,2063,3262,2066,3244,2070,3225,2074,3206,2080,3188,2087,3169,2095,3151,2104,3133,2115,3116,2127,3099,2140,3084,2154,3053,2190,3029,2228,3010,2270,2999,2315,2993,2364,2993,2414,3000,2466,3013,2521,3032,2578,3058,2637,3089,2697,3127,2759,3171,2822,3221,2887,3278,2952,3341,3018,3405,3079,3468,3134,3529,3183,3590,3225,3649,3262,3706,3292,3762,3315,3816,3333,3867,3345,3917,3351,3964,3350,4010,3343,4053,3331,4093,3312,4131,3288,4166,3257,4184,3237,4201,3217,4215,3196,4227,3174,4236,3152,4245,3130,4252,3109,4257,3088,4261,3068,4264,3049,4266,3030,4266,3013xm4866,2387l4860,2334,4846,2278,4826,2222,4800,2164,4767,2104,4728,2043,4709,2017,4709,2366,4709,2404,4703,2441,4689,2476,4669,2509,4642,2540,4611,2567,4579,2588,4545,2601,4509,2609,4473,2610,4435,2607,4396,2598,4356,2584,4315,2565,4273,2542,4230,2514,4186,2482,4141,2446,4096,2407,4050,2364,4003,2319,3962,2276,3923,2233,3886,2190,3852,2146,3821,2103,3794,2060,3772,2018,3754,1976,3740,1935,3731,1895,3727,1856,3727,1818,3733,1781,3746,1746,3766,1714,3793,1683,3824,1656,3856,1636,3890,1622,3925,1615,3962,1613,4000,1617,4039,1625,4079,1639,4120,1658,4163,1681,4205,1708,4249,1739,4293,1774,4338,1813,4383,1854,4428,1898,4470,1941,4509,1985,4546,2028,4581,2072,4613,2116,4640,2159,4662,2202,4681,2244,4696,2285,4705,2326,4709,2366,4709,2017,4683,1981,4633,1919,4577,1855,4515,1791,4451,1729,4388,1673,4327,1623,4314,1613,4267,1579,4209,1541,4152,1510,4097,1486,4043,1467,3991,1455,3941,1450,3893,1451,3846,1459,3801,1472,3757,1493,3717,1521,3678,1556,3642,1597,3613,1640,3592,1685,3578,1733,3572,1783,3571,1835,3578,1888,3591,1943,3611,1999,3637,2057,3669,2117,3707,2177,3751,2239,3801,2301,3856,2363,3916,2426,3981,2489,4045,2546,4107,2596,4167,2641,4226,2679,4283,2711,4339,2736,4392,2755,4444,2767,4494,2773,4543,2772,4590,2765,4636,2752,4679,2731,4721,2702,4761,2667,4797,2626,4807,2610,4825,2583,4846,2537,4859,2489,4866,2439,4866,2387xm5287,2096l5285,2091,5283,2087,5280,2082,4892,1694,4970,1616,5000,1583,5003,1578,5024,1550,5043,1516,5056,1480,5064,1445,5068,1409,5069,1371,5064,1333,5054,1294,5041,1255,5024,1215,5003,1175,4977,1134,4947,1094,4917,1057,4917,1364,4915,1387,4911,1409,4904,1431,4892,1453,4877,1474,4858,1495,4776,1578,4348,1151,4433,1066,4445,1054,4458,1043,4472,1033,4488,1023,4504,1015,4522,1008,4541,1004,4563,1002,4586,1003,4611,1008,4638,1016,4667,1028,4696,1045,4727,1066,4758,1091,4791,1121,4814,1146,4834,1170,4853,1194,4869,1219,4884,1244,4895,1269,4904,1294,4911,1317,4915,1341,4917,1364,4917,1057,4914,1053,4876,1013,4864,1002,4845,985,4815,958,4785,935,4755,914,4725,896,4695,881,4665,868,4636,858,4607,850,4579,845,4550,843,4523,843,4496,845,4472,850,4450,856,4430,864,4413,874,4397,883,4382,892,4369,901,4358,910,4346,920,4335,930,4324,941,4176,1089,4170,1097,4166,1106,4165,1116,4165,1128,4168,1141,4175,1155,4186,1170,4201,1186,5184,2169,5188,2174,5193,2177,5202,2181,5207,2181,5212,2179,5219,2178,5233,2170,5239,2165,5247,2159,5265,2141,5272,2133,5277,2126,5281,2118,5284,2112,5285,2106,5286,2101,5287,2096xm5979,1409l5979,1404,5976,1394,5972,1389,5575,993,5501,848,5280,413,5169,196,5153,167,5148,160,5141,152,5135,148,5121,145,5113,148,5105,153,5098,159,5082,173,5064,191,5057,200,5047,213,5043,220,5042,225,5041,231,5040,236,5043,242,5045,248,5047,254,5052,261,5088,328,5193,530,5264,665,5363,842,5398,902,5397,903,5156,768,5089,733,4754,557,4746,553,4740,551,4734,549,4729,548,4717,550,4712,552,4705,555,4680,575,4658,597,4650,607,4638,623,4635,630,4638,643,4642,649,4657,661,4666,666,4687,678,4832,753,5266,973,5483,1084,5880,1481,5885,1485,5890,1487,5894,1489,5899,1489,5905,1486,5911,1485,5925,1478,5932,1473,5939,1467,5957,1449,5964,1441,5969,1434,5973,1427,5976,1420,5977,1414,5979,1409xe" filled="true" fillcolor="#c0c0c0" stroked="false">
                        <v:path arrowok="t"/>
                        <v:fill opacity="32896f" type="solid"/>
                      </v:shape>
                      <w10:wrap type="none"/>
                    </v:group>
                  </w:pict>
                </mc:Fallback>
              </mc:AlternateContent>
            </w:r>
            <w:r>
              <w:rPr>
                <w:rFonts w:ascii="Calibri"/>
                <w:spacing w:val="-2"/>
                <w:sz w:val="16"/>
              </w:rPr>
              <w:t>0.2767</w:t>
            </w:r>
          </w:p>
        </w:tc>
        <w:tc>
          <w:tcPr>
            <w:tcW w:w="747" w:type="dxa"/>
          </w:tcPr>
          <w:p>
            <w:pPr>
              <w:pStyle w:val="TableParagraph"/>
              <w:spacing w:before="1"/>
              <w:ind w:left="3" w:right="5"/>
              <w:jc w:val="center"/>
              <w:rPr>
                <w:rFonts w:ascii="Calibri"/>
                <w:sz w:val="16"/>
              </w:rPr>
            </w:pPr>
            <w:r>
              <w:rPr>
                <w:rFonts w:ascii="Calibri"/>
                <w:spacing w:val="-2"/>
                <w:sz w:val="16"/>
              </w:rPr>
              <w:t>0.2259</w:t>
            </w:r>
          </w:p>
        </w:tc>
        <w:tc>
          <w:tcPr>
            <w:tcW w:w="596" w:type="dxa"/>
          </w:tcPr>
          <w:p>
            <w:pPr>
              <w:pStyle w:val="TableParagraph"/>
              <w:spacing w:before="1"/>
              <w:ind w:left="3" w:right="4"/>
              <w:jc w:val="center"/>
              <w:rPr>
                <w:rFonts w:ascii="Calibri"/>
                <w:sz w:val="16"/>
              </w:rPr>
            </w:pPr>
            <w:r>
              <w:rPr>
                <w:rFonts w:ascii="Calibri"/>
                <w:spacing w:val="-2"/>
                <w:sz w:val="16"/>
              </w:rPr>
              <w:t>0.324</w:t>
            </w:r>
          </w:p>
        </w:tc>
        <w:tc>
          <w:tcPr>
            <w:tcW w:w="738" w:type="dxa"/>
          </w:tcPr>
          <w:p>
            <w:pPr>
              <w:pStyle w:val="TableParagraph"/>
              <w:rPr>
                <w:rFonts w:ascii="Times New Roman"/>
                <w:sz w:val="18"/>
              </w:rPr>
            </w:pP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1" w:hRule="atLeast"/>
        </w:trPr>
        <w:tc>
          <w:tcPr>
            <w:tcW w:w="999" w:type="dxa"/>
            <w:tcBorders>
              <w:left w:val="nil"/>
            </w:tcBorders>
          </w:tcPr>
          <w:p>
            <w:pPr>
              <w:pStyle w:val="TableParagraph"/>
              <w:spacing w:before="1"/>
              <w:ind w:left="122"/>
              <w:rPr>
                <w:rFonts w:ascii="Calibri"/>
                <w:sz w:val="16"/>
              </w:rPr>
            </w:pPr>
            <w:r>
              <w:rPr>
                <w:rFonts w:ascii="Calibri"/>
                <w:spacing w:val="-2"/>
                <w:sz w:val="16"/>
              </w:rPr>
              <w:t>BLOWN</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0.0312</w:t>
            </w:r>
          </w:p>
        </w:tc>
        <w:tc>
          <w:tcPr>
            <w:tcW w:w="677" w:type="dxa"/>
          </w:tcPr>
          <w:p>
            <w:pPr>
              <w:pStyle w:val="TableParagraph"/>
              <w:spacing w:before="1"/>
              <w:ind w:left="1" w:right="1"/>
              <w:jc w:val="center"/>
              <w:rPr>
                <w:rFonts w:ascii="Calibri"/>
                <w:sz w:val="16"/>
              </w:rPr>
            </w:pPr>
            <w:r>
              <w:rPr>
                <w:rFonts w:ascii="Calibri"/>
                <w:spacing w:val="-2"/>
                <w:sz w:val="16"/>
              </w:rPr>
              <w:t>0.0056</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0.094</w:t>
            </w:r>
          </w:p>
        </w:tc>
        <w:tc>
          <w:tcPr>
            <w:tcW w:w="675" w:type="dxa"/>
          </w:tcPr>
          <w:p>
            <w:pPr>
              <w:pStyle w:val="TableParagraph"/>
              <w:spacing w:before="1"/>
              <w:ind w:left="3" w:right="4"/>
              <w:jc w:val="center"/>
              <w:rPr>
                <w:rFonts w:ascii="Calibri"/>
                <w:sz w:val="16"/>
              </w:rPr>
            </w:pPr>
            <w:r>
              <w:rPr>
                <w:rFonts w:ascii="Calibri"/>
                <w:spacing w:val="-2"/>
                <w:sz w:val="16"/>
              </w:rPr>
              <w:t>0.2961</w:t>
            </w:r>
          </w:p>
        </w:tc>
        <w:tc>
          <w:tcPr>
            <w:tcW w:w="747" w:type="dxa"/>
          </w:tcPr>
          <w:p>
            <w:pPr>
              <w:pStyle w:val="TableParagraph"/>
              <w:spacing w:before="1"/>
              <w:ind w:left="3" w:right="5"/>
              <w:jc w:val="center"/>
              <w:rPr>
                <w:rFonts w:ascii="Calibri"/>
                <w:sz w:val="16"/>
              </w:rPr>
            </w:pPr>
            <w:r>
              <w:rPr>
                <w:rFonts w:ascii="Calibri"/>
                <w:sz w:val="16"/>
              </w:rPr>
              <w:t>-</w:t>
            </w:r>
            <w:r>
              <w:rPr>
                <w:rFonts w:ascii="Calibri"/>
                <w:spacing w:val="-2"/>
                <w:sz w:val="16"/>
              </w:rPr>
              <w:t>0.157</w:t>
            </w:r>
          </w:p>
        </w:tc>
        <w:tc>
          <w:tcPr>
            <w:tcW w:w="596" w:type="dxa"/>
          </w:tcPr>
          <w:p>
            <w:pPr>
              <w:pStyle w:val="TableParagraph"/>
              <w:spacing w:before="1"/>
              <w:ind w:left="3" w:right="4"/>
              <w:jc w:val="center"/>
              <w:rPr>
                <w:rFonts w:ascii="Calibri"/>
                <w:sz w:val="16"/>
              </w:rPr>
            </w:pPr>
            <w:r>
              <w:rPr>
                <w:rFonts w:ascii="Calibri"/>
                <w:spacing w:val="-2"/>
                <w:sz w:val="16"/>
              </w:rPr>
              <w:t>0.011</w:t>
            </w:r>
          </w:p>
        </w:tc>
        <w:tc>
          <w:tcPr>
            <w:tcW w:w="738" w:type="dxa"/>
          </w:tcPr>
          <w:p>
            <w:pPr>
              <w:pStyle w:val="TableParagraph"/>
              <w:spacing w:before="1"/>
              <w:ind w:left="2" w:right="7"/>
              <w:jc w:val="center"/>
              <w:rPr>
                <w:rFonts w:ascii="Calibri"/>
                <w:sz w:val="16"/>
              </w:rPr>
            </w:pPr>
            <w:r>
              <w:rPr>
                <w:rFonts w:ascii="Calibri"/>
                <w:spacing w:val="-2"/>
                <w:sz w:val="16"/>
              </w:rPr>
              <w:t>0.0055</w:t>
            </w:r>
          </w:p>
        </w:tc>
        <w:tc>
          <w:tcPr>
            <w:tcW w:w="826" w:type="dxa"/>
          </w:tcPr>
          <w:p>
            <w:pPr>
              <w:pStyle w:val="TableParagraph"/>
              <w:spacing w:before="1"/>
              <w:ind w:left="1" w:right="7"/>
              <w:jc w:val="center"/>
              <w:rPr>
                <w:rFonts w:ascii="Calibri"/>
                <w:sz w:val="16"/>
              </w:rPr>
            </w:pPr>
            <w:r>
              <w:rPr>
                <w:rFonts w:ascii="Calibri"/>
                <w:spacing w:val="-10"/>
                <w:sz w:val="16"/>
              </w:rPr>
              <w:t>1</w:t>
            </w: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9"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0.6764</w:t>
            </w:r>
          </w:p>
        </w:tc>
        <w:tc>
          <w:tcPr>
            <w:tcW w:w="677" w:type="dxa"/>
          </w:tcPr>
          <w:p>
            <w:pPr>
              <w:pStyle w:val="TableParagraph"/>
              <w:spacing w:before="1"/>
              <w:ind w:left="1" w:right="1"/>
              <w:jc w:val="center"/>
              <w:rPr>
                <w:rFonts w:ascii="Calibri"/>
                <w:sz w:val="16"/>
              </w:rPr>
            </w:pPr>
            <w:r>
              <w:rPr>
                <w:rFonts w:ascii="Calibri"/>
                <w:spacing w:val="-2"/>
                <w:sz w:val="16"/>
              </w:rPr>
              <w:t>0.9405</w:t>
            </w:r>
          </w:p>
        </w:tc>
        <w:tc>
          <w:tcPr>
            <w:tcW w:w="678" w:type="dxa"/>
          </w:tcPr>
          <w:p>
            <w:pPr>
              <w:pStyle w:val="TableParagraph"/>
              <w:spacing w:before="1"/>
              <w:ind w:left="1" w:right="1"/>
              <w:jc w:val="center"/>
              <w:rPr>
                <w:rFonts w:ascii="Calibri"/>
                <w:sz w:val="16"/>
              </w:rPr>
            </w:pPr>
            <w:r>
              <w:rPr>
                <w:rFonts w:ascii="Calibri"/>
                <w:spacing w:val="-2"/>
                <w:sz w:val="16"/>
              </w:rPr>
              <w:t>0.2062</w:t>
            </w:r>
          </w:p>
        </w:tc>
        <w:tc>
          <w:tcPr>
            <w:tcW w:w="675" w:type="dxa"/>
          </w:tcPr>
          <w:p>
            <w:pPr>
              <w:pStyle w:val="TableParagraph"/>
              <w:spacing w:before="1"/>
              <w:ind w:left="3" w:right="4"/>
              <w:jc w:val="center"/>
              <w:rPr>
                <w:rFonts w:ascii="Calibri"/>
                <w:sz w:val="16"/>
              </w:rPr>
            </w:pPr>
            <w:r>
              <w:rPr>
                <w:rFonts w:ascii="Calibri"/>
                <w:spacing w:val="-2"/>
                <w:sz w:val="16"/>
              </w:rPr>
              <w:t>0.0001</w:t>
            </w:r>
          </w:p>
        </w:tc>
        <w:tc>
          <w:tcPr>
            <w:tcW w:w="747" w:type="dxa"/>
          </w:tcPr>
          <w:p>
            <w:pPr>
              <w:pStyle w:val="TableParagraph"/>
              <w:spacing w:before="1"/>
              <w:ind w:left="3" w:right="5"/>
              <w:jc w:val="center"/>
              <w:rPr>
                <w:rFonts w:ascii="Calibri"/>
                <w:sz w:val="16"/>
              </w:rPr>
            </w:pPr>
            <w:r>
              <w:rPr>
                <w:rFonts w:ascii="Calibri"/>
                <w:spacing w:val="-2"/>
                <w:sz w:val="16"/>
              </w:rPr>
              <w:t>0.0347</w:t>
            </w:r>
          </w:p>
        </w:tc>
        <w:tc>
          <w:tcPr>
            <w:tcW w:w="596" w:type="dxa"/>
          </w:tcPr>
          <w:p>
            <w:pPr>
              <w:pStyle w:val="TableParagraph"/>
              <w:spacing w:before="1"/>
              <w:ind w:left="3" w:right="4"/>
              <w:jc w:val="center"/>
              <w:rPr>
                <w:rFonts w:ascii="Calibri"/>
                <w:sz w:val="16"/>
              </w:rPr>
            </w:pPr>
            <w:r>
              <w:rPr>
                <w:rFonts w:ascii="Calibri"/>
                <w:spacing w:val="-2"/>
                <w:sz w:val="16"/>
              </w:rPr>
              <w:t>0.884</w:t>
            </w:r>
          </w:p>
        </w:tc>
        <w:tc>
          <w:tcPr>
            <w:tcW w:w="738" w:type="dxa"/>
          </w:tcPr>
          <w:p>
            <w:pPr>
              <w:pStyle w:val="TableParagraph"/>
              <w:spacing w:before="1"/>
              <w:ind w:left="2" w:right="7"/>
              <w:jc w:val="center"/>
              <w:rPr>
                <w:rFonts w:ascii="Calibri"/>
                <w:sz w:val="16"/>
              </w:rPr>
            </w:pPr>
            <w:r>
              <w:rPr>
                <w:rFonts w:ascii="Calibri"/>
                <w:spacing w:val="-2"/>
                <w:sz w:val="16"/>
              </w:rPr>
              <w:t>0.9413</w:t>
            </w:r>
          </w:p>
        </w:tc>
        <w:tc>
          <w:tcPr>
            <w:tcW w:w="826" w:type="dxa"/>
          </w:tcPr>
          <w:p>
            <w:pPr>
              <w:pStyle w:val="TableParagraph"/>
              <w:rPr>
                <w:rFonts w:ascii="Times New Roman"/>
                <w:sz w:val="18"/>
              </w:rPr>
            </w:pP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4"/>
                <w:sz w:val="16"/>
              </w:rPr>
              <w:t>FOWN</w:t>
            </w:r>
          </w:p>
        </w:tc>
        <w:tc>
          <w:tcPr>
            <w:tcW w:w="826" w:type="dxa"/>
          </w:tcPr>
          <w:p>
            <w:pPr>
              <w:pStyle w:val="TableParagraph"/>
              <w:spacing w:before="1"/>
              <w:ind w:left="7" w:right="6"/>
              <w:jc w:val="center"/>
              <w:rPr>
                <w:rFonts w:ascii="Calibri"/>
                <w:sz w:val="16"/>
              </w:rPr>
            </w:pPr>
            <w:r>
              <w:rPr>
                <w:rFonts w:ascii="Calibri"/>
                <w:spacing w:val="-2"/>
                <w:sz w:val="16"/>
              </w:rPr>
              <w:t>0.01093</w:t>
            </w:r>
          </w:p>
        </w:tc>
        <w:tc>
          <w:tcPr>
            <w:tcW w:w="677" w:type="dxa"/>
          </w:tcPr>
          <w:p>
            <w:pPr>
              <w:pStyle w:val="TableParagraph"/>
              <w:spacing w:before="1"/>
              <w:ind w:left="1" w:right="1"/>
              <w:jc w:val="center"/>
              <w:rPr>
                <w:rFonts w:ascii="Calibri"/>
                <w:sz w:val="16"/>
              </w:rPr>
            </w:pPr>
            <w:r>
              <w:rPr>
                <w:rFonts w:ascii="Calibri"/>
                <w:sz w:val="16"/>
              </w:rPr>
              <w:t>-</w:t>
            </w:r>
            <w:r>
              <w:rPr>
                <w:rFonts w:ascii="Calibri"/>
                <w:spacing w:val="-2"/>
                <w:sz w:val="16"/>
              </w:rPr>
              <w:t>0.051</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0.022</w:t>
            </w:r>
          </w:p>
        </w:tc>
        <w:tc>
          <w:tcPr>
            <w:tcW w:w="675" w:type="dxa"/>
          </w:tcPr>
          <w:p>
            <w:pPr>
              <w:pStyle w:val="TableParagraph"/>
              <w:spacing w:before="1"/>
              <w:ind w:left="3" w:right="4"/>
              <w:jc w:val="center"/>
              <w:rPr>
                <w:rFonts w:ascii="Calibri"/>
                <w:sz w:val="16"/>
              </w:rPr>
            </w:pPr>
            <w:r>
              <w:rPr>
                <w:rFonts w:ascii="Calibri"/>
                <w:spacing w:val="-2"/>
                <w:sz w:val="16"/>
              </w:rPr>
              <w:t>0.1837</w:t>
            </w:r>
          </w:p>
        </w:tc>
        <w:tc>
          <w:tcPr>
            <w:tcW w:w="747" w:type="dxa"/>
          </w:tcPr>
          <w:p>
            <w:pPr>
              <w:pStyle w:val="TableParagraph"/>
              <w:spacing w:before="1"/>
              <w:ind w:left="3" w:right="5"/>
              <w:jc w:val="center"/>
              <w:rPr>
                <w:rFonts w:ascii="Calibri"/>
                <w:sz w:val="16"/>
              </w:rPr>
            </w:pPr>
            <w:r>
              <w:rPr>
                <w:rFonts w:ascii="Calibri"/>
                <w:spacing w:val="-2"/>
                <w:sz w:val="16"/>
              </w:rPr>
              <w:t>0.0558</w:t>
            </w:r>
          </w:p>
        </w:tc>
        <w:tc>
          <w:tcPr>
            <w:tcW w:w="596" w:type="dxa"/>
          </w:tcPr>
          <w:p>
            <w:pPr>
              <w:pStyle w:val="TableParagraph"/>
              <w:spacing w:before="1"/>
              <w:ind w:left="3" w:right="4"/>
              <w:jc w:val="center"/>
              <w:rPr>
                <w:rFonts w:ascii="Calibri"/>
                <w:sz w:val="16"/>
              </w:rPr>
            </w:pPr>
            <w:r>
              <w:rPr>
                <w:rFonts w:ascii="Calibri"/>
                <w:spacing w:val="-2"/>
                <w:sz w:val="16"/>
              </w:rPr>
              <w:t>0.069</w:t>
            </w:r>
          </w:p>
        </w:tc>
        <w:tc>
          <w:tcPr>
            <w:tcW w:w="738" w:type="dxa"/>
          </w:tcPr>
          <w:p>
            <w:pPr>
              <w:pStyle w:val="TableParagraph"/>
              <w:spacing w:before="1"/>
              <w:ind w:left="2" w:right="7"/>
              <w:jc w:val="center"/>
              <w:rPr>
                <w:rFonts w:ascii="Calibri"/>
                <w:sz w:val="16"/>
              </w:rPr>
            </w:pPr>
            <w:r>
              <w:rPr>
                <w:rFonts w:ascii="Calibri"/>
                <w:sz w:val="16"/>
              </w:rPr>
              <w:t>-</w:t>
            </w:r>
            <w:r>
              <w:rPr>
                <w:rFonts w:ascii="Calibri"/>
                <w:spacing w:val="-2"/>
                <w:sz w:val="16"/>
              </w:rPr>
              <w:t>0.072</w:t>
            </w:r>
          </w:p>
        </w:tc>
        <w:tc>
          <w:tcPr>
            <w:tcW w:w="826" w:type="dxa"/>
          </w:tcPr>
          <w:p>
            <w:pPr>
              <w:pStyle w:val="TableParagraph"/>
              <w:spacing w:before="1"/>
              <w:ind w:left="2" w:right="6"/>
              <w:jc w:val="center"/>
              <w:rPr>
                <w:rFonts w:ascii="Calibri"/>
                <w:sz w:val="16"/>
              </w:rPr>
            </w:pPr>
            <w:r>
              <w:rPr>
                <w:rFonts w:ascii="Calibri"/>
                <w:spacing w:val="-2"/>
                <w:sz w:val="16"/>
              </w:rPr>
              <w:t>0.807</w:t>
            </w:r>
          </w:p>
        </w:tc>
        <w:tc>
          <w:tcPr>
            <w:tcW w:w="711" w:type="dxa"/>
          </w:tcPr>
          <w:p>
            <w:pPr>
              <w:pStyle w:val="TableParagraph"/>
              <w:spacing w:before="1"/>
              <w:ind w:right="12"/>
              <w:jc w:val="center"/>
              <w:rPr>
                <w:rFonts w:ascii="Calibri"/>
                <w:sz w:val="16"/>
              </w:rPr>
            </w:pPr>
            <w:r>
              <w:rPr>
                <w:rFonts w:ascii="Calibri"/>
                <w:spacing w:val="-10"/>
                <w:sz w:val="16"/>
              </w:rPr>
              <w:t>1</w:t>
            </w: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6"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0.8839</w:t>
            </w:r>
          </w:p>
        </w:tc>
        <w:tc>
          <w:tcPr>
            <w:tcW w:w="677" w:type="dxa"/>
          </w:tcPr>
          <w:p>
            <w:pPr>
              <w:pStyle w:val="TableParagraph"/>
              <w:spacing w:before="1"/>
              <w:ind w:left="1" w:right="1"/>
              <w:jc w:val="center"/>
              <w:rPr>
                <w:rFonts w:ascii="Calibri"/>
                <w:sz w:val="16"/>
              </w:rPr>
            </w:pPr>
            <w:r>
              <w:rPr>
                <w:rFonts w:ascii="Calibri"/>
                <w:spacing w:val="-2"/>
                <w:sz w:val="16"/>
              </w:rPr>
              <w:t>0.4977</w:t>
            </w:r>
          </w:p>
        </w:tc>
        <w:tc>
          <w:tcPr>
            <w:tcW w:w="678" w:type="dxa"/>
          </w:tcPr>
          <w:p>
            <w:pPr>
              <w:pStyle w:val="TableParagraph"/>
              <w:spacing w:before="1"/>
              <w:ind w:left="1" w:right="1"/>
              <w:jc w:val="center"/>
              <w:rPr>
                <w:rFonts w:ascii="Calibri"/>
                <w:sz w:val="16"/>
              </w:rPr>
            </w:pPr>
            <w:r>
              <w:rPr>
                <w:rFonts w:ascii="Calibri"/>
                <w:spacing w:val="-2"/>
                <w:sz w:val="16"/>
              </w:rPr>
              <w:t>0.7665</w:t>
            </w:r>
          </w:p>
        </w:tc>
        <w:tc>
          <w:tcPr>
            <w:tcW w:w="675" w:type="dxa"/>
          </w:tcPr>
          <w:p>
            <w:pPr>
              <w:pStyle w:val="TableParagraph"/>
              <w:spacing w:before="1"/>
              <w:ind w:left="3" w:right="4"/>
              <w:jc w:val="center"/>
              <w:rPr>
                <w:rFonts w:ascii="Calibri"/>
                <w:sz w:val="16"/>
              </w:rPr>
            </w:pPr>
            <w:r>
              <w:rPr>
                <w:rFonts w:ascii="Calibri"/>
                <w:spacing w:val="-2"/>
                <w:sz w:val="16"/>
              </w:rPr>
              <w:t>0.0133</w:t>
            </w:r>
          </w:p>
        </w:tc>
        <w:tc>
          <w:tcPr>
            <w:tcW w:w="747" w:type="dxa"/>
          </w:tcPr>
          <w:p>
            <w:pPr>
              <w:pStyle w:val="TableParagraph"/>
              <w:spacing w:before="1"/>
              <w:ind w:left="3" w:right="5"/>
              <w:jc w:val="center"/>
              <w:rPr>
                <w:rFonts w:ascii="Calibri"/>
                <w:sz w:val="16"/>
              </w:rPr>
            </w:pPr>
            <w:r>
              <w:rPr>
                <w:rFonts w:ascii="Calibri"/>
                <w:spacing w:val="-2"/>
                <w:sz w:val="16"/>
              </w:rPr>
              <w:t>0.4557</w:t>
            </w:r>
          </w:p>
        </w:tc>
        <w:tc>
          <w:tcPr>
            <w:tcW w:w="596" w:type="dxa"/>
          </w:tcPr>
          <w:p>
            <w:pPr>
              <w:pStyle w:val="TableParagraph"/>
              <w:spacing w:before="1"/>
              <w:ind w:left="3" w:right="4"/>
              <w:jc w:val="center"/>
              <w:rPr>
                <w:rFonts w:ascii="Calibri"/>
                <w:sz w:val="16"/>
              </w:rPr>
            </w:pPr>
            <w:r>
              <w:rPr>
                <w:rFonts w:ascii="Calibri"/>
                <w:spacing w:val="-2"/>
                <w:sz w:val="16"/>
              </w:rPr>
              <w:t>0.357</w:t>
            </w:r>
          </w:p>
        </w:tc>
        <w:tc>
          <w:tcPr>
            <w:tcW w:w="738" w:type="dxa"/>
          </w:tcPr>
          <w:p>
            <w:pPr>
              <w:pStyle w:val="TableParagraph"/>
              <w:spacing w:before="1"/>
              <w:ind w:left="2" w:right="7"/>
              <w:jc w:val="center"/>
              <w:rPr>
                <w:rFonts w:ascii="Calibri"/>
                <w:sz w:val="16"/>
              </w:rPr>
            </w:pPr>
            <w:r>
              <w:rPr>
                <w:rFonts w:ascii="Calibri"/>
                <w:spacing w:val="-2"/>
                <w:sz w:val="16"/>
              </w:rPr>
              <w:t>0.3356</w:t>
            </w:r>
          </w:p>
        </w:tc>
        <w:tc>
          <w:tcPr>
            <w:tcW w:w="826" w:type="dxa"/>
          </w:tcPr>
          <w:p>
            <w:pPr>
              <w:pStyle w:val="TableParagraph"/>
              <w:spacing w:before="1"/>
              <w:ind w:left="2" w:right="6"/>
              <w:jc w:val="center"/>
              <w:rPr>
                <w:rFonts w:ascii="Calibri"/>
                <w:sz w:val="16"/>
              </w:rPr>
            </w:pPr>
            <w:r>
              <w:rPr>
                <w:rFonts w:ascii="Calibri"/>
                <w:spacing w:val="-4"/>
                <w:sz w:val="16"/>
              </w:rPr>
              <w:t>0.00</w:t>
            </w:r>
          </w:p>
        </w:tc>
        <w:tc>
          <w:tcPr>
            <w:tcW w:w="711" w:type="dxa"/>
          </w:tcPr>
          <w:p>
            <w:pPr>
              <w:pStyle w:val="TableParagraph"/>
              <w:rPr>
                <w:rFonts w:ascii="Times New Roman"/>
                <w:sz w:val="18"/>
              </w:rPr>
            </w:pP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3"/>
              <w:ind w:left="122"/>
              <w:rPr>
                <w:rFonts w:ascii="Calibri"/>
                <w:sz w:val="16"/>
              </w:rPr>
            </w:pPr>
            <w:r>
              <w:rPr>
                <w:rFonts w:ascii="Calibri"/>
                <w:spacing w:val="-2"/>
                <w:sz w:val="16"/>
              </w:rPr>
              <w:t>INSTOWN</w:t>
            </w:r>
          </w:p>
        </w:tc>
        <w:tc>
          <w:tcPr>
            <w:tcW w:w="826" w:type="dxa"/>
          </w:tcPr>
          <w:p>
            <w:pPr>
              <w:pStyle w:val="TableParagraph"/>
              <w:spacing w:before="3"/>
              <w:ind w:left="7" w:right="6"/>
              <w:jc w:val="center"/>
              <w:rPr>
                <w:rFonts w:ascii="Calibri"/>
                <w:sz w:val="16"/>
              </w:rPr>
            </w:pPr>
            <w:r>
              <w:rPr>
                <w:rFonts w:ascii="Calibri"/>
                <w:sz w:val="16"/>
              </w:rPr>
              <w:t>-</w:t>
            </w:r>
            <w:r>
              <w:rPr>
                <w:rFonts w:ascii="Calibri"/>
                <w:spacing w:val="-2"/>
                <w:sz w:val="16"/>
              </w:rPr>
              <w:t>0.0932</w:t>
            </w:r>
          </w:p>
        </w:tc>
        <w:tc>
          <w:tcPr>
            <w:tcW w:w="677" w:type="dxa"/>
          </w:tcPr>
          <w:p>
            <w:pPr>
              <w:pStyle w:val="TableParagraph"/>
              <w:spacing w:before="3"/>
              <w:ind w:left="1" w:right="1"/>
              <w:jc w:val="center"/>
              <w:rPr>
                <w:rFonts w:ascii="Calibri"/>
                <w:sz w:val="16"/>
              </w:rPr>
            </w:pPr>
            <w:r>
              <w:rPr>
                <w:rFonts w:ascii="Calibri"/>
                <w:sz w:val="16"/>
              </w:rPr>
              <w:t>-</w:t>
            </w:r>
            <w:r>
              <w:rPr>
                <w:rFonts w:ascii="Calibri"/>
                <w:spacing w:val="-2"/>
                <w:sz w:val="16"/>
              </w:rPr>
              <w:t>0.054</w:t>
            </w:r>
          </w:p>
        </w:tc>
        <w:tc>
          <w:tcPr>
            <w:tcW w:w="678" w:type="dxa"/>
          </w:tcPr>
          <w:p>
            <w:pPr>
              <w:pStyle w:val="TableParagraph"/>
              <w:spacing w:before="3"/>
              <w:ind w:right="1"/>
              <w:jc w:val="center"/>
              <w:rPr>
                <w:rFonts w:ascii="Calibri"/>
                <w:sz w:val="16"/>
              </w:rPr>
            </w:pPr>
            <w:r>
              <w:rPr>
                <w:rFonts w:ascii="Calibri"/>
                <w:sz w:val="16"/>
              </w:rPr>
              <w:t>-</w:t>
            </w:r>
            <w:r>
              <w:rPr>
                <w:rFonts w:ascii="Calibri"/>
                <w:spacing w:val="-4"/>
                <w:sz w:val="16"/>
              </w:rPr>
              <w:t>0.13</w:t>
            </w:r>
          </w:p>
        </w:tc>
        <w:tc>
          <w:tcPr>
            <w:tcW w:w="675" w:type="dxa"/>
          </w:tcPr>
          <w:p>
            <w:pPr>
              <w:pStyle w:val="TableParagraph"/>
              <w:spacing w:before="3"/>
              <w:ind w:left="3" w:right="4"/>
              <w:jc w:val="center"/>
              <w:rPr>
                <w:rFonts w:ascii="Calibri"/>
                <w:sz w:val="16"/>
              </w:rPr>
            </w:pPr>
            <w:r>
              <w:rPr>
                <w:rFonts w:ascii="Calibri"/>
                <w:spacing w:val="-2"/>
                <w:sz w:val="16"/>
              </w:rPr>
              <w:t>0.3222</w:t>
            </w:r>
          </w:p>
        </w:tc>
        <w:tc>
          <w:tcPr>
            <w:tcW w:w="747" w:type="dxa"/>
          </w:tcPr>
          <w:p>
            <w:pPr>
              <w:pStyle w:val="TableParagraph"/>
              <w:spacing w:before="3"/>
              <w:ind w:left="3" w:right="5"/>
              <w:jc w:val="center"/>
              <w:rPr>
                <w:rFonts w:ascii="Calibri"/>
                <w:sz w:val="16"/>
              </w:rPr>
            </w:pPr>
            <w:r>
              <w:rPr>
                <w:rFonts w:ascii="Calibri"/>
                <w:sz w:val="16"/>
              </w:rPr>
              <w:t>-</w:t>
            </w:r>
            <w:r>
              <w:rPr>
                <w:rFonts w:ascii="Calibri"/>
                <w:spacing w:val="-2"/>
                <w:sz w:val="16"/>
              </w:rPr>
              <w:t>0.051</w:t>
            </w:r>
          </w:p>
        </w:tc>
        <w:tc>
          <w:tcPr>
            <w:tcW w:w="596" w:type="dxa"/>
          </w:tcPr>
          <w:p>
            <w:pPr>
              <w:pStyle w:val="TableParagraph"/>
              <w:spacing w:before="3"/>
              <w:ind w:left="3" w:right="4"/>
              <w:jc w:val="center"/>
              <w:rPr>
                <w:rFonts w:ascii="Calibri"/>
                <w:sz w:val="16"/>
              </w:rPr>
            </w:pPr>
            <w:r>
              <w:rPr>
                <w:rFonts w:ascii="Calibri"/>
                <w:spacing w:val="-2"/>
                <w:sz w:val="16"/>
              </w:rPr>
              <w:t>0.032</w:t>
            </w:r>
          </w:p>
        </w:tc>
        <w:tc>
          <w:tcPr>
            <w:tcW w:w="738" w:type="dxa"/>
          </w:tcPr>
          <w:p>
            <w:pPr>
              <w:pStyle w:val="TableParagraph"/>
              <w:spacing w:before="3"/>
              <w:ind w:left="2" w:right="7"/>
              <w:jc w:val="center"/>
              <w:rPr>
                <w:rFonts w:ascii="Calibri"/>
                <w:sz w:val="16"/>
              </w:rPr>
            </w:pPr>
            <w:r>
              <w:rPr>
                <w:rFonts w:ascii="Calibri"/>
                <w:spacing w:val="-2"/>
                <w:sz w:val="16"/>
              </w:rPr>
              <w:t>0.0161</w:t>
            </w:r>
          </w:p>
        </w:tc>
        <w:tc>
          <w:tcPr>
            <w:tcW w:w="826" w:type="dxa"/>
          </w:tcPr>
          <w:p>
            <w:pPr>
              <w:pStyle w:val="TableParagraph"/>
              <w:spacing w:before="3"/>
              <w:ind w:left="2" w:right="6"/>
              <w:jc w:val="center"/>
              <w:rPr>
                <w:rFonts w:ascii="Calibri"/>
                <w:sz w:val="16"/>
              </w:rPr>
            </w:pPr>
            <w:r>
              <w:rPr>
                <w:rFonts w:ascii="Calibri"/>
                <w:spacing w:val="-2"/>
                <w:sz w:val="16"/>
              </w:rPr>
              <w:t>0.888</w:t>
            </w:r>
          </w:p>
        </w:tc>
        <w:tc>
          <w:tcPr>
            <w:tcW w:w="711" w:type="dxa"/>
          </w:tcPr>
          <w:p>
            <w:pPr>
              <w:pStyle w:val="TableParagraph"/>
              <w:spacing w:before="3"/>
              <w:ind w:left="2" w:right="12"/>
              <w:jc w:val="center"/>
              <w:rPr>
                <w:rFonts w:ascii="Calibri"/>
                <w:sz w:val="16"/>
              </w:rPr>
            </w:pPr>
            <w:r>
              <w:rPr>
                <w:rFonts w:ascii="Calibri"/>
                <w:spacing w:val="-2"/>
                <w:sz w:val="16"/>
              </w:rPr>
              <w:t>0.8087</w:t>
            </w:r>
          </w:p>
        </w:tc>
        <w:tc>
          <w:tcPr>
            <w:tcW w:w="983" w:type="dxa"/>
          </w:tcPr>
          <w:p>
            <w:pPr>
              <w:pStyle w:val="TableParagraph"/>
              <w:spacing w:before="3"/>
              <w:ind w:right="6"/>
              <w:jc w:val="center"/>
              <w:rPr>
                <w:rFonts w:ascii="Calibri"/>
                <w:sz w:val="16"/>
              </w:rPr>
            </w:pPr>
            <w:r>
              <w:rPr>
                <w:rFonts w:ascii="Calibri"/>
                <w:spacing w:val="-10"/>
                <w:sz w:val="16"/>
              </w:rPr>
              <w:t>1</w:t>
            </w: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9"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0.212</w:t>
            </w:r>
          </w:p>
        </w:tc>
        <w:tc>
          <w:tcPr>
            <w:tcW w:w="677" w:type="dxa"/>
          </w:tcPr>
          <w:p>
            <w:pPr>
              <w:pStyle w:val="TableParagraph"/>
              <w:spacing w:before="1"/>
              <w:ind w:left="1" w:right="1"/>
              <w:jc w:val="center"/>
              <w:rPr>
                <w:rFonts w:ascii="Calibri"/>
                <w:sz w:val="16"/>
              </w:rPr>
            </w:pPr>
            <w:r>
              <w:rPr>
                <w:rFonts w:ascii="Calibri"/>
                <w:spacing w:val="-2"/>
                <w:sz w:val="16"/>
              </w:rPr>
              <w:t>0.4699</w:t>
            </w:r>
          </w:p>
        </w:tc>
        <w:tc>
          <w:tcPr>
            <w:tcW w:w="678" w:type="dxa"/>
          </w:tcPr>
          <w:p>
            <w:pPr>
              <w:pStyle w:val="TableParagraph"/>
              <w:spacing w:before="1"/>
              <w:ind w:left="1" w:right="1"/>
              <w:jc w:val="center"/>
              <w:rPr>
                <w:rFonts w:ascii="Calibri"/>
                <w:sz w:val="16"/>
              </w:rPr>
            </w:pPr>
            <w:r>
              <w:rPr>
                <w:rFonts w:ascii="Calibri"/>
                <w:spacing w:val="-2"/>
                <w:sz w:val="16"/>
              </w:rPr>
              <w:t>0.0823</w:t>
            </w:r>
          </w:p>
        </w:tc>
        <w:tc>
          <w:tcPr>
            <w:tcW w:w="675" w:type="dxa"/>
          </w:tcPr>
          <w:p>
            <w:pPr>
              <w:pStyle w:val="TableParagraph"/>
              <w:spacing w:before="1"/>
              <w:ind w:left="3" w:right="4"/>
              <w:jc w:val="center"/>
              <w:rPr>
                <w:rFonts w:ascii="Calibri"/>
                <w:sz w:val="16"/>
              </w:rPr>
            </w:pPr>
            <w:r>
              <w:rPr>
                <w:rFonts w:ascii="Calibri"/>
                <w:spacing w:val="-4"/>
                <w:sz w:val="16"/>
              </w:rPr>
              <w:t>0.00</w:t>
            </w:r>
          </w:p>
        </w:tc>
        <w:tc>
          <w:tcPr>
            <w:tcW w:w="747" w:type="dxa"/>
          </w:tcPr>
          <w:p>
            <w:pPr>
              <w:pStyle w:val="TableParagraph"/>
              <w:spacing w:before="1"/>
              <w:ind w:left="3" w:right="5"/>
              <w:jc w:val="center"/>
              <w:rPr>
                <w:rFonts w:ascii="Calibri"/>
                <w:sz w:val="16"/>
              </w:rPr>
            </w:pPr>
            <w:r>
              <w:rPr>
                <w:rFonts w:ascii="Calibri"/>
                <w:spacing w:val="-2"/>
                <w:sz w:val="16"/>
              </w:rPr>
              <w:t>0.4961</w:t>
            </w:r>
          </w:p>
        </w:tc>
        <w:tc>
          <w:tcPr>
            <w:tcW w:w="596" w:type="dxa"/>
          </w:tcPr>
          <w:p>
            <w:pPr>
              <w:pStyle w:val="TableParagraph"/>
              <w:spacing w:before="1"/>
              <w:ind w:left="3" w:right="4"/>
              <w:jc w:val="center"/>
              <w:rPr>
                <w:rFonts w:ascii="Calibri"/>
                <w:sz w:val="16"/>
              </w:rPr>
            </w:pPr>
            <w:r>
              <w:rPr>
                <w:rFonts w:ascii="Calibri"/>
                <w:spacing w:val="-2"/>
                <w:sz w:val="16"/>
              </w:rPr>
              <w:t>0.666</w:t>
            </w:r>
          </w:p>
        </w:tc>
        <w:tc>
          <w:tcPr>
            <w:tcW w:w="738" w:type="dxa"/>
          </w:tcPr>
          <w:p>
            <w:pPr>
              <w:pStyle w:val="TableParagraph"/>
              <w:spacing w:before="1"/>
              <w:ind w:left="2" w:right="7"/>
              <w:jc w:val="center"/>
              <w:rPr>
                <w:rFonts w:ascii="Calibri"/>
                <w:sz w:val="16"/>
              </w:rPr>
            </w:pPr>
            <w:r>
              <w:rPr>
                <w:rFonts w:ascii="Calibri"/>
                <w:spacing w:val="-2"/>
                <w:sz w:val="16"/>
              </w:rPr>
              <w:t>0.8295</w:t>
            </w:r>
          </w:p>
        </w:tc>
        <w:tc>
          <w:tcPr>
            <w:tcW w:w="826" w:type="dxa"/>
          </w:tcPr>
          <w:p>
            <w:pPr>
              <w:pStyle w:val="TableParagraph"/>
              <w:spacing w:before="1"/>
              <w:ind w:left="2" w:right="6"/>
              <w:jc w:val="center"/>
              <w:rPr>
                <w:rFonts w:ascii="Calibri"/>
                <w:sz w:val="16"/>
              </w:rPr>
            </w:pPr>
            <w:r>
              <w:rPr>
                <w:rFonts w:ascii="Calibri"/>
                <w:spacing w:val="-2"/>
                <w:sz w:val="16"/>
              </w:rPr>
              <w:t>0.000</w:t>
            </w:r>
          </w:p>
        </w:tc>
        <w:tc>
          <w:tcPr>
            <w:tcW w:w="711" w:type="dxa"/>
          </w:tcPr>
          <w:p>
            <w:pPr>
              <w:pStyle w:val="TableParagraph"/>
              <w:spacing w:before="1"/>
              <w:ind w:left="2" w:right="12"/>
              <w:jc w:val="center"/>
              <w:rPr>
                <w:rFonts w:ascii="Calibri"/>
                <w:sz w:val="16"/>
              </w:rPr>
            </w:pPr>
            <w:r>
              <w:rPr>
                <w:rFonts w:ascii="Calibri"/>
                <w:spacing w:val="-2"/>
                <w:sz w:val="16"/>
              </w:rPr>
              <w:t>0.000</w:t>
            </w:r>
          </w:p>
        </w:tc>
        <w:tc>
          <w:tcPr>
            <w:tcW w:w="983" w:type="dxa"/>
          </w:tcPr>
          <w:p>
            <w:pPr>
              <w:pStyle w:val="TableParagraph"/>
              <w:rPr>
                <w:rFonts w:ascii="Times New Roman"/>
                <w:sz w:val="18"/>
              </w:rPr>
            </w:pP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4"/>
                <w:sz w:val="16"/>
              </w:rPr>
              <w:t>MOWN</w:t>
            </w:r>
          </w:p>
        </w:tc>
        <w:tc>
          <w:tcPr>
            <w:tcW w:w="826" w:type="dxa"/>
          </w:tcPr>
          <w:p>
            <w:pPr>
              <w:pStyle w:val="TableParagraph"/>
              <w:spacing w:before="1"/>
              <w:ind w:left="7" w:right="6"/>
              <w:jc w:val="center"/>
              <w:rPr>
                <w:rFonts w:ascii="Calibri"/>
                <w:sz w:val="16"/>
              </w:rPr>
            </w:pPr>
            <w:r>
              <w:rPr>
                <w:rFonts w:ascii="Calibri"/>
                <w:spacing w:val="-2"/>
                <w:sz w:val="16"/>
              </w:rPr>
              <w:t>0.21936</w:t>
            </w:r>
          </w:p>
        </w:tc>
        <w:tc>
          <w:tcPr>
            <w:tcW w:w="677" w:type="dxa"/>
          </w:tcPr>
          <w:p>
            <w:pPr>
              <w:pStyle w:val="TableParagraph"/>
              <w:spacing w:before="1"/>
              <w:ind w:left="1" w:right="1"/>
              <w:jc w:val="center"/>
              <w:rPr>
                <w:rFonts w:ascii="Calibri"/>
                <w:sz w:val="16"/>
              </w:rPr>
            </w:pPr>
            <w:r>
              <w:rPr>
                <w:rFonts w:ascii="Calibri"/>
                <w:spacing w:val="-2"/>
                <w:sz w:val="16"/>
              </w:rPr>
              <w:t>0.0309</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0.258</w:t>
            </w:r>
          </w:p>
        </w:tc>
        <w:tc>
          <w:tcPr>
            <w:tcW w:w="675" w:type="dxa"/>
          </w:tcPr>
          <w:p>
            <w:pPr>
              <w:pStyle w:val="TableParagraph"/>
              <w:spacing w:before="1"/>
              <w:ind w:left="3" w:right="4"/>
              <w:jc w:val="center"/>
              <w:rPr>
                <w:rFonts w:ascii="Calibri"/>
                <w:sz w:val="16"/>
              </w:rPr>
            </w:pPr>
            <w:r>
              <w:rPr>
                <w:rFonts w:ascii="Calibri"/>
                <w:spacing w:val="-2"/>
                <w:sz w:val="16"/>
              </w:rPr>
              <w:t>0.0766</w:t>
            </w:r>
          </w:p>
        </w:tc>
        <w:tc>
          <w:tcPr>
            <w:tcW w:w="747" w:type="dxa"/>
          </w:tcPr>
          <w:p>
            <w:pPr>
              <w:pStyle w:val="TableParagraph"/>
              <w:spacing w:before="1"/>
              <w:ind w:left="3" w:right="5"/>
              <w:jc w:val="center"/>
              <w:rPr>
                <w:rFonts w:ascii="Calibri"/>
                <w:sz w:val="16"/>
              </w:rPr>
            </w:pPr>
            <w:r>
              <w:rPr>
                <w:rFonts w:ascii="Calibri"/>
                <w:sz w:val="16"/>
              </w:rPr>
              <w:t>-</w:t>
            </w:r>
            <w:r>
              <w:rPr>
                <w:rFonts w:ascii="Calibri"/>
                <w:spacing w:val="-2"/>
                <w:sz w:val="16"/>
              </w:rPr>
              <w:t>0.213</w:t>
            </w:r>
          </w:p>
        </w:tc>
        <w:tc>
          <w:tcPr>
            <w:tcW w:w="596" w:type="dxa"/>
          </w:tcPr>
          <w:p>
            <w:pPr>
              <w:pStyle w:val="TableParagraph"/>
              <w:spacing w:before="1"/>
              <w:ind w:left="3" w:right="4"/>
              <w:jc w:val="center"/>
              <w:rPr>
                <w:rFonts w:ascii="Calibri"/>
                <w:sz w:val="16"/>
              </w:rPr>
            </w:pPr>
            <w:r>
              <w:rPr>
                <w:rFonts w:ascii="Calibri"/>
                <w:spacing w:val="-2"/>
                <w:sz w:val="16"/>
              </w:rPr>
              <w:t>0.021</w:t>
            </w:r>
          </w:p>
        </w:tc>
        <w:tc>
          <w:tcPr>
            <w:tcW w:w="738" w:type="dxa"/>
          </w:tcPr>
          <w:p>
            <w:pPr>
              <w:pStyle w:val="TableParagraph"/>
              <w:spacing w:before="1"/>
              <w:ind w:left="2" w:right="7"/>
              <w:jc w:val="center"/>
              <w:rPr>
                <w:rFonts w:ascii="Calibri"/>
                <w:sz w:val="16"/>
              </w:rPr>
            </w:pPr>
            <w:r>
              <w:rPr>
                <w:rFonts w:ascii="Calibri"/>
                <w:sz w:val="16"/>
              </w:rPr>
              <w:t>-</w:t>
            </w:r>
            <w:r>
              <w:rPr>
                <w:rFonts w:ascii="Calibri"/>
                <w:spacing w:val="-2"/>
                <w:sz w:val="16"/>
              </w:rPr>
              <w:t>0.062</w:t>
            </w:r>
          </w:p>
        </w:tc>
        <w:tc>
          <w:tcPr>
            <w:tcW w:w="826" w:type="dxa"/>
          </w:tcPr>
          <w:p>
            <w:pPr>
              <w:pStyle w:val="TableParagraph"/>
              <w:spacing w:before="1"/>
              <w:ind w:left="2" w:right="6"/>
              <w:jc w:val="center"/>
              <w:rPr>
                <w:rFonts w:ascii="Calibri"/>
                <w:sz w:val="16"/>
              </w:rPr>
            </w:pPr>
            <w:r>
              <w:rPr>
                <w:rFonts w:ascii="Calibri"/>
                <w:sz w:val="16"/>
              </w:rPr>
              <w:t>-</w:t>
            </w:r>
            <w:r>
              <w:rPr>
                <w:rFonts w:ascii="Calibri"/>
                <w:spacing w:val="-2"/>
                <w:sz w:val="16"/>
              </w:rPr>
              <w:t>0.109</w:t>
            </w:r>
          </w:p>
        </w:tc>
        <w:tc>
          <w:tcPr>
            <w:tcW w:w="711" w:type="dxa"/>
          </w:tcPr>
          <w:p>
            <w:pPr>
              <w:pStyle w:val="TableParagraph"/>
              <w:spacing w:before="1"/>
              <w:ind w:left="2" w:right="12"/>
              <w:jc w:val="center"/>
              <w:rPr>
                <w:rFonts w:ascii="Calibri"/>
                <w:sz w:val="16"/>
              </w:rPr>
            </w:pPr>
            <w:r>
              <w:rPr>
                <w:rFonts w:ascii="Calibri"/>
                <w:sz w:val="16"/>
              </w:rPr>
              <w:t>-</w:t>
            </w:r>
            <w:r>
              <w:rPr>
                <w:rFonts w:ascii="Calibri"/>
                <w:spacing w:val="-2"/>
                <w:sz w:val="16"/>
              </w:rPr>
              <w:t>0.299</w:t>
            </w:r>
          </w:p>
        </w:tc>
        <w:tc>
          <w:tcPr>
            <w:tcW w:w="983" w:type="dxa"/>
          </w:tcPr>
          <w:p>
            <w:pPr>
              <w:pStyle w:val="TableParagraph"/>
              <w:spacing w:before="1"/>
              <w:ind w:left="3" w:right="6"/>
              <w:jc w:val="center"/>
              <w:rPr>
                <w:rFonts w:ascii="Calibri"/>
                <w:sz w:val="16"/>
              </w:rPr>
            </w:pPr>
            <w:r>
              <w:rPr>
                <w:rFonts w:ascii="Calibri"/>
                <w:sz w:val="16"/>
              </w:rPr>
              <w:t>-</w:t>
            </w:r>
            <w:r>
              <w:rPr>
                <w:rFonts w:ascii="Calibri"/>
                <w:spacing w:val="-2"/>
                <w:sz w:val="16"/>
              </w:rPr>
              <w:t>0.16192</w:t>
            </w:r>
          </w:p>
        </w:tc>
        <w:tc>
          <w:tcPr>
            <w:tcW w:w="886" w:type="dxa"/>
          </w:tcPr>
          <w:p>
            <w:pPr>
              <w:pStyle w:val="TableParagraph"/>
              <w:spacing w:before="1"/>
              <w:ind w:right="12"/>
              <w:jc w:val="center"/>
              <w:rPr>
                <w:rFonts w:ascii="Calibri"/>
                <w:sz w:val="16"/>
              </w:rPr>
            </w:pPr>
            <w:r>
              <w:rPr>
                <w:rFonts w:ascii="Calibri"/>
                <w:spacing w:val="-10"/>
                <w:sz w:val="16"/>
              </w:rPr>
              <w:t>1</w:t>
            </w: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6"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0.003</w:t>
            </w:r>
          </w:p>
        </w:tc>
        <w:tc>
          <w:tcPr>
            <w:tcW w:w="677" w:type="dxa"/>
          </w:tcPr>
          <w:p>
            <w:pPr>
              <w:pStyle w:val="TableParagraph"/>
              <w:spacing w:before="1"/>
              <w:ind w:left="1" w:right="1"/>
              <w:jc w:val="center"/>
              <w:rPr>
                <w:rFonts w:ascii="Calibri"/>
                <w:sz w:val="16"/>
              </w:rPr>
            </w:pPr>
            <w:r>
              <w:rPr>
                <w:rFonts w:ascii="Calibri"/>
                <w:spacing w:val="-2"/>
                <w:sz w:val="16"/>
              </w:rPr>
              <w:t>0.6793</w:t>
            </w:r>
          </w:p>
        </w:tc>
        <w:tc>
          <w:tcPr>
            <w:tcW w:w="678" w:type="dxa"/>
          </w:tcPr>
          <w:p>
            <w:pPr>
              <w:pStyle w:val="TableParagraph"/>
              <w:spacing w:before="1"/>
              <w:ind w:left="1" w:right="1"/>
              <w:jc w:val="center"/>
              <w:rPr>
                <w:rFonts w:ascii="Calibri"/>
                <w:sz w:val="16"/>
              </w:rPr>
            </w:pPr>
            <w:r>
              <w:rPr>
                <w:rFonts w:ascii="Calibri"/>
                <w:spacing w:val="-2"/>
                <w:sz w:val="16"/>
              </w:rPr>
              <w:t>0.0005</w:t>
            </w:r>
          </w:p>
        </w:tc>
        <w:tc>
          <w:tcPr>
            <w:tcW w:w="675" w:type="dxa"/>
          </w:tcPr>
          <w:p>
            <w:pPr>
              <w:pStyle w:val="TableParagraph"/>
              <w:spacing w:before="1"/>
              <w:ind w:left="3" w:right="4"/>
              <w:jc w:val="center"/>
              <w:rPr>
                <w:rFonts w:ascii="Calibri"/>
                <w:sz w:val="16"/>
              </w:rPr>
            </w:pPr>
            <w:r>
              <w:rPr>
                <w:rFonts w:ascii="Calibri"/>
                <w:spacing w:val="-2"/>
                <w:sz w:val="16"/>
              </w:rPr>
              <w:t>0.3051</w:t>
            </w:r>
          </w:p>
        </w:tc>
        <w:tc>
          <w:tcPr>
            <w:tcW w:w="747" w:type="dxa"/>
          </w:tcPr>
          <w:p>
            <w:pPr>
              <w:pStyle w:val="TableParagraph"/>
              <w:spacing w:before="1"/>
              <w:ind w:left="3" w:right="5"/>
              <w:jc w:val="center"/>
              <w:rPr>
                <w:rFonts w:ascii="Calibri"/>
                <w:sz w:val="16"/>
              </w:rPr>
            </w:pPr>
            <w:r>
              <w:rPr>
                <w:rFonts w:ascii="Calibri"/>
                <w:spacing w:val="-2"/>
                <w:sz w:val="16"/>
              </w:rPr>
              <w:t>0.0039</w:t>
            </w:r>
          </w:p>
        </w:tc>
        <w:tc>
          <w:tcPr>
            <w:tcW w:w="596" w:type="dxa"/>
          </w:tcPr>
          <w:p>
            <w:pPr>
              <w:pStyle w:val="TableParagraph"/>
              <w:spacing w:before="1"/>
              <w:ind w:left="3" w:right="4"/>
              <w:jc w:val="center"/>
              <w:rPr>
                <w:rFonts w:ascii="Calibri"/>
                <w:sz w:val="16"/>
              </w:rPr>
            </w:pPr>
            <w:r>
              <w:rPr>
                <w:rFonts w:ascii="Calibri"/>
                <w:spacing w:val="-2"/>
                <w:sz w:val="16"/>
              </w:rPr>
              <w:t>0.778</w:t>
            </w:r>
          </w:p>
        </w:tc>
        <w:tc>
          <w:tcPr>
            <w:tcW w:w="738" w:type="dxa"/>
          </w:tcPr>
          <w:p>
            <w:pPr>
              <w:pStyle w:val="TableParagraph"/>
              <w:spacing w:before="1"/>
              <w:ind w:left="2" w:right="7"/>
              <w:jc w:val="center"/>
              <w:rPr>
                <w:rFonts w:ascii="Calibri"/>
                <w:sz w:val="16"/>
              </w:rPr>
            </w:pPr>
            <w:r>
              <w:rPr>
                <w:rFonts w:ascii="Calibri"/>
                <w:spacing w:val="-2"/>
                <w:sz w:val="16"/>
              </w:rPr>
              <w:t>0.4078</w:t>
            </w:r>
          </w:p>
        </w:tc>
        <w:tc>
          <w:tcPr>
            <w:tcW w:w="826" w:type="dxa"/>
          </w:tcPr>
          <w:p>
            <w:pPr>
              <w:pStyle w:val="TableParagraph"/>
              <w:spacing w:before="1"/>
              <w:ind w:left="2" w:right="6"/>
              <w:jc w:val="center"/>
              <w:rPr>
                <w:rFonts w:ascii="Calibri"/>
                <w:sz w:val="16"/>
              </w:rPr>
            </w:pPr>
            <w:r>
              <w:rPr>
                <w:rFonts w:ascii="Calibri"/>
                <w:spacing w:val="-2"/>
                <w:sz w:val="16"/>
              </w:rPr>
              <w:t>0.144</w:t>
            </w:r>
          </w:p>
        </w:tc>
        <w:tc>
          <w:tcPr>
            <w:tcW w:w="711" w:type="dxa"/>
          </w:tcPr>
          <w:p>
            <w:pPr>
              <w:pStyle w:val="TableParagraph"/>
              <w:spacing w:before="1"/>
              <w:ind w:left="2" w:right="12"/>
              <w:jc w:val="center"/>
              <w:rPr>
                <w:rFonts w:ascii="Calibri"/>
                <w:sz w:val="16"/>
              </w:rPr>
            </w:pPr>
            <w:r>
              <w:rPr>
                <w:rFonts w:ascii="Calibri"/>
                <w:spacing w:val="-2"/>
                <w:sz w:val="16"/>
              </w:rPr>
              <w:t>0.000</w:t>
            </w:r>
          </w:p>
        </w:tc>
        <w:tc>
          <w:tcPr>
            <w:tcW w:w="983" w:type="dxa"/>
          </w:tcPr>
          <w:p>
            <w:pPr>
              <w:pStyle w:val="TableParagraph"/>
              <w:spacing w:before="1"/>
              <w:ind w:left="2" w:right="6"/>
              <w:jc w:val="center"/>
              <w:rPr>
                <w:rFonts w:ascii="Calibri"/>
                <w:sz w:val="16"/>
              </w:rPr>
            </w:pPr>
            <w:r>
              <w:rPr>
                <w:rFonts w:ascii="Calibri"/>
                <w:spacing w:val="-2"/>
                <w:sz w:val="16"/>
              </w:rPr>
              <w:t>0.0294</w:t>
            </w:r>
          </w:p>
        </w:tc>
        <w:tc>
          <w:tcPr>
            <w:tcW w:w="886" w:type="dxa"/>
          </w:tcPr>
          <w:p>
            <w:pPr>
              <w:pStyle w:val="TableParagraph"/>
              <w:rPr>
                <w:rFonts w:ascii="Times New Roman"/>
                <w:sz w:val="18"/>
              </w:rPr>
            </w:pP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1" w:hRule="atLeast"/>
        </w:trPr>
        <w:tc>
          <w:tcPr>
            <w:tcW w:w="999" w:type="dxa"/>
            <w:tcBorders>
              <w:left w:val="nil"/>
            </w:tcBorders>
          </w:tcPr>
          <w:p>
            <w:pPr>
              <w:pStyle w:val="TableParagraph"/>
              <w:spacing w:before="4"/>
              <w:ind w:left="122"/>
              <w:rPr>
                <w:rFonts w:ascii="Calibri"/>
                <w:sz w:val="16"/>
              </w:rPr>
            </w:pPr>
            <w:r>
              <w:rPr>
                <w:rFonts w:ascii="Calibri"/>
                <w:spacing w:val="-5"/>
                <w:sz w:val="16"/>
              </w:rPr>
              <w:t>LEV</w:t>
            </w:r>
          </w:p>
        </w:tc>
        <w:tc>
          <w:tcPr>
            <w:tcW w:w="826" w:type="dxa"/>
          </w:tcPr>
          <w:p>
            <w:pPr>
              <w:pStyle w:val="TableParagraph"/>
              <w:spacing w:before="4"/>
              <w:ind w:left="7" w:right="6"/>
              <w:jc w:val="center"/>
              <w:rPr>
                <w:rFonts w:ascii="Calibri"/>
                <w:sz w:val="16"/>
              </w:rPr>
            </w:pPr>
            <w:r>
              <w:rPr>
                <w:rFonts w:ascii="Calibri"/>
                <w:spacing w:val="-2"/>
                <w:sz w:val="16"/>
              </w:rPr>
              <w:t>0.0014</w:t>
            </w:r>
          </w:p>
        </w:tc>
        <w:tc>
          <w:tcPr>
            <w:tcW w:w="677" w:type="dxa"/>
          </w:tcPr>
          <w:p>
            <w:pPr>
              <w:pStyle w:val="TableParagraph"/>
              <w:spacing w:before="4"/>
              <w:ind w:right="1"/>
              <w:jc w:val="center"/>
              <w:rPr>
                <w:rFonts w:ascii="Calibri"/>
                <w:sz w:val="16"/>
              </w:rPr>
            </w:pPr>
            <w:r>
              <w:rPr>
                <w:rFonts w:ascii="Calibri"/>
                <w:sz w:val="16"/>
              </w:rPr>
              <w:t>-</w:t>
            </w:r>
            <w:r>
              <w:rPr>
                <w:rFonts w:ascii="Calibri"/>
                <w:spacing w:val="-4"/>
                <w:sz w:val="16"/>
              </w:rPr>
              <w:t>0.13</w:t>
            </w:r>
          </w:p>
        </w:tc>
        <w:tc>
          <w:tcPr>
            <w:tcW w:w="678" w:type="dxa"/>
          </w:tcPr>
          <w:p>
            <w:pPr>
              <w:pStyle w:val="TableParagraph"/>
              <w:spacing w:before="4"/>
              <w:ind w:left="1" w:right="1"/>
              <w:jc w:val="center"/>
              <w:rPr>
                <w:rFonts w:ascii="Calibri"/>
                <w:sz w:val="16"/>
              </w:rPr>
            </w:pPr>
            <w:r>
              <w:rPr>
                <w:rFonts w:ascii="Calibri"/>
                <w:sz w:val="16"/>
              </w:rPr>
              <w:t>-</w:t>
            </w:r>
            <w:r>
              <w:rPr>
                <w:rFonts w:ascii="Calibri"/>
                <w:spacing w:val="-2"/>
                <w:sz w:val="16"/>
              </w:rPr>
              <w:t>0.084</w:t>
            </w:r>
          </w:p>
        </w:tc>
        <w:tc>
          <w:tcPr>
            <w:tcW w:w="675" w:type="dxa"/>
          </w:tcPr>
          <w:p>
            <w:pPr>
              <w:pStyle w:val="TableParagraph"/>
              <w:spacing w:before="4"/>
              <w:ind w:right="4"/>
              <w:jc w:val="center"/>
              <w:rPr>
                <w:rFonts w:ascii="Calibri"/>
                <w:sz w:val="16"/>
              </w:rPr>
            </w:pPr>
            <w:r>
              <w:rPr>
                <w:rFonts w:ascii="Calibri"/>
                <w:sz w:val="16"/>
              </w:rPr>
              <w:t>-</w:t>
            </w:r>
            <w:r>
              <w:rPr>
                <w:rFonts w:ascii="Calibri"/>
                <w:spacing w:val="-4"/>
                <w:sz w:val="16"/>
              </w:rPr>
              <w:t>0.07</w:t>
            </w:r>
          </w:p>
        </w:tc>
        <w:tc>
          <w:tcPr>
            <w:tcW w:w="747" w:type="dxa"/>
          </w:tcPr>
          <w:p>
            <w:pPr>
              <w:pStyle w:val="TableParagraph"/>
              <w:spacing w:before="4"/>
              <w:ind w:left="3" w:right="5"/>
              <w:jc w:val="center"/>
              <w:rPr>
                <w:rFonts w:ascii="Calibri"/>
                <w:sz w:val="16"/>
              </w:rPr>
            </w:pPr>
            <w:r>
              <w:rPr>
                <w:rFonts w:ascii="Calibri"/>
                <w:sz w:val="16"/>
              </w:rPr>
              <w:t>-</w:t>
            </w:r>
            <w:r>
              <w:rPr>
                <w:rFonts w:ascii="Calibri"/>
                <w:spacing w:val="-2"/>
                <w:sz w:val="16"/>
              </w:rPr>
              <w:t>0.192</w:t>
            </w:r>
          </w:p>
        </w:tc>
        <w:tc>
          <w:tcPr>
            <w:tcW w:w="596" w:type="dxa"/>
          </w:tcPr>
          <w:p>
            <w:pPr>
              <w:pStyle w:val="TableParagraph"/>
              <w:spacing w:before="4"/>
              <w:ind w:left="3" w:right="4"/>
              <w:jc w:val="center"/>
              <w:rPr>
                <w:rFonts w:ascii="Calibri"/>
                <w:sz w:val="16"/>
              </w:rPr>
            </w:pPr>
            <w:r>
              <w:rPr>
                <w:rFonts w:ascii="Calibri"/>
                <w:spacing w:val="-2"/>
                <w:sz w:val="16"/>
              </w:rPr>
              <w:t>0.082</w:t>
            </w:r>
          </w:p>
        </w:tc>
        <w:tc>
          <w:tcPr>
            <w:tcW w:w="738" w:type="dxa"/>
          </w:tcPr>
          <w:p>
            <w:pPr>
              <w:pStyle w:val="TableParagraph"/>
              <w:spacing w:before="4"/>
              <w:ind w:left="2" w:right="7"/>
              <w:jc w:val="center"/>
              <w:rPr>
                <w:rFonts w:ascii="Calibri"/>
                <w:sz w:val="16"/>
              </w:rPr>
            </w:pPr>
            <w:r>
              <w:rPr>
                <w:rFonts w:ascii="Calibri"/>
                <w:sz w:val="16"/>
              </w:rPr>
              <w:t>-</w:t>
            </w:r>
            <w:r>
              <w:rPr>
                <w:rFonts w:ascii="Calibri"/>
                <w:spacing w:val="-2"/>
                <w:sz w:val="16"/>
              </w:rPr>
              <w:t>0.045</w:t>
            </w:r>
          </w:p>
        </w:tc>
        <w:tc>
          <w:tcPr>
            <w:tcW w:w="826" w:type="dxa"/>
          </w:tcPr>
          <w:p>
            <w:pPr>
              <w:pStyle w:val="TableParagraph"/>
              <w:spacing w:before="4"/>
              <w:ind w:left="2" w:right="6"/>
              <w:jc w:val="center"/>
              <w:rPr>
                <w:rFonts w:ascii="Calibri"/>
                <w:sz w:val="16"/>
              </w:rPr>
            </w:pPr>
            <w:r>
              <w:rPr>
                <w:rFonts w:ascii="Calibri"/>
                <w:spacing w:val="-2"/>
                <w:sz w:val="16"/>
              </w:rPr>
              <w:t>0.297</w:t>
            </w:r>
          </w:p>
        </w:tc>
        <w:tc>
          <w:tcPr>
            <w:tcW w:w="711" w:type="dxa"/>
          </w:tcPr>
          <w:p>
            <w:pPr>
              <w:pStyle w:val="TableParagraph"/>
              <w:spacing w:before="4"/>
              <w:ind w:left="2" w:right="12"/>
              <w:jc w:val="center"/>
              <w:rPr>
                <w:rFonts w:ascii="Calibri"/>
                <w:sz w:val="16"/>
              </w:rPr>
            </w:pPr>
            <w:r>
              <w:rPr>
                <w:rFonts w:ascii="Calibri"/>
                <w:spacing w:val="-2"/>
                <w:sz w:val="16"/>
              </w:rPr>
              <w:t>0.2566</w:t>
            </w:r>
          </w:p>
        </w:tc>
        <w:tc>
          <w:tcPr>
            <w:tcW w:w="983" w:type="dxa"/>
          </w:tcPr>
          <w:p>
            <w:pPr>
              <w:pStyle w:val="TableParagraph"/>
              <w:spacing w:before="4"/>
              <w:ind w:left="2" w:right="6"/>
              <w:jc w:val="center"/>
              <w:rPr>
                <w:rFonts w:ascii="Calibri"/>
                <w:sz w:val="16"/>
              </w:rPr>
            </w:pPr>
            <w:r>
              <w:rPr>
                <w:rFonts w:ascii="Calibri"/>
                <w:spacing w:val="-2"/>
                <w:sz w:val="16"/>
              </w:rPr>
              <w:t>0.28377</w:t>
            </w:r>
          </w:p>
        </w:tc>
        <w:tc>
          <w:tcPr>
            <w:tcW w:w="886" w:type="dxa"/>
          </w:tcPr>
          <w:p>
            <w:pPr>
              <w:pStyle w:val="TableParagraph"/>
              <w:spacing w:before="4"/>
              <w:ind w:left="4" w:right="12"/>
              <w:jc w:val="center"/>
              <w:rPr>
                <w:rFonts w:ascii="Calibri"/>
                <w:sz w:val="16"/>
              </w:rPr>
            </w:pPr>
            <w:r>
              <w:rPr>
                <w:rFonts w:ascii="Calibri"/>
                <w:spacing w:val="-2"/>
                <w:sz w:val="16"/>
              </w:rPr>
              <w:t>0.070191</w:t>
            </w:r>
          </w:p>
        </w:tc>
        <w:tc>
          <w:tcPr>
            <w:tcW w:w="593" w:type="dxa"/>
          </w:tcPr>
          <w:p>
            <w:pPr>
              <w:pStyle w:val="TableParagraph"/>
              <w:spacing w:before="4"/>
              <w:ind w:right="13"/>
              <w:jc w:val="center"/>
              <w:rPr>
                <w:rFonts w:ascii="Calibri"/>
                <w:sz w:val="16"/>
              </w:rPr>
            </w:pPr>
            <w:r>
              <w:rPr>
                <w:rFonts w:ascii="Calibri"/>
                <w:spacing w:val="-10"/>
                <w:sz w:val="16"/>
              </w:rPr>
              <w:t>1</w:t>
            </w: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489" w:hRule="atLeast"/>
        </w:trPr>
        <w:tc>
          <w:tcPr>
            <w:tcW w:w="999" w:type="dxa"/>
            <w:tcBorders>
              <w:left w:val="nil"/>
            </w:tcBorders>
          </w:tcPr>
          <w:p>
            <w:pPr>
              <w:pStyle w:val="TableParagraph"/>
              <w:spacing w:before="1"/>
              <w:ind w:left="122"/>
              <w:rPr>
                <w:rFonts w:ascii="Calibri"/>
                <w:sz w:val="20"/>
              </w:rPr>
            </w:pPr>
            <w:r>
              <w:rPr>
                <w:rFonts w:ascii="Calibri"/>
                <w:spacing w:val="-2"/>
                <w:sz w:val="20"/>
              </w:rPr>
              <w:t>P-value</w:t>
            </w:r>
          </w:p>
        </w:tc>
        <w:tc>
          <w:tcPr>
            <w:tcW w:w="826" w:type="dxa"/>
          </w:tcPr>
          <w:p>
            <w:pPr>
              <w:pStyle w:val="TableParagraph"/>
              <w:spacing w:before="3"/>
              <w:ind w:left="7" w:right="6"/>
              <w:jc w:val="center"/>
              <w:rPr>
                <w:rFonts w:ascii="Calibri"/>
                <w:sz w:val="16"/>
              </w:rPr>
            </w:pPr>
            <w:r>
              <w:rPr>
                <w:rFonts w:ascii="Calibri"/>
                <w:spacing w:val="-2"/>
                <w:sz w:val="16"/>
              </w:rPr>
              <w:t>0.9851</w:t>
            </w:r>
          </w:p>
        </w:tc>
        <w:tc>
          <w:tcPr>
            <w:tcW w:w="677" w:type="dxa"/>
          </w:tcPr>
          <w:p>
            <w:pPr>
              <w:pStyle w:val="TableParagraph"/>
              <w:spacing w:before="3"/>
              <w:ind w:left="1" w:right="1"/>
              <w:jc w:val="center"/>
              <w:rPr>
                <w:rFonts w:ascii="Calibri"/>
                <w:sz w:val="16"/>
              </w:rPr>
            </w:pPr>
            <w:r>
              <w:rPr>
                <w:rFonts w:ascii="Calibri"/>
                <w:spacing w:val="-2"/>
                <w:sz w:val="16"/>
              </w:rPr>
              <w:t>0.0813</w:t>
            </w:r>
          </w:p>
        </w:tc>
        <w:tc>
          <w:tcPr>
            <w:tcW w:w="678" w:type="dxa"/>
          </w:tcPr>
          <w:p>
            <w:pPr>
              <w:pStyle w:val="TableParagraph"/>
              <w:spacing w:before="3"/>
              <w:ind w:left="1" w:right="1"/>
              <w:jc w:val="center"/>
              <w:rPr>
                <w:rFonts w:ascii="Calibri"/>
                <w:sz w:val="16"/>
              </w:rPr>
            </w:pPr>
            <w:r>
              <w:rPr>
                <w:rFonts w:ascii="Calibri"/>
                <w:spacing w:val="-2"/>
                <w:sz w:val="16"/>
              </w:rPr>
              <w:t>0.2614</w:t>
            </w:r>
          </w:p>
        </w:tc>
        <w:tc>
          <w:tcPr>
            <w:tcW w:w="675" w:type="dxa"/>
          </w:tcPr>
          <w:p>
            <w:pPr>
              <w:pStyle w:val="TableParagraph"/>
              <w:spacing w:before="3"/>
              <w:ind w:left="3" w:right="4"/>
              <w:jc w:val="center"/>
              <w:rPr>
                <w:rFonts w:ascii="Calibri"/>
                <w:sz w:val="16"/>
              </w:rPr>
            </w:pPr>
            <w:r>
              <w:rPr>
                <w:rFonts w:ascii="Calibri"/>
                <w:spacing w:val="-2"/>
                <w:sz w:val="16"/>
              </w:rPr>
              <w:t>0.3519</w:t>
            </w:r>
          </w:p>
        </w:tc>
        <w:tc>
          <w:tcPr>
            <w:tcW w:w="747" w:type="dxa"/>
          </w:tcPr>
          <w:p>
            <w:pPr>
              <w:pStyle w:val="TableParagraph"/>
              <w:spacing w:before="3"/>
              <w:ind w:left="3" w:right="5"/>
              <w:jc w:val="center"/>
              <w:rPr>
                <w:rFonts w:ascii="Calibri"/>
                <w:sz w:val="16"/>
              </w:rPr>
            </w:pPr>
            <w:r>
              <w:rPr>
                <w:rFonts w:ascii="Calibri"/>
                <w:spacing w:val="-2"/>
                <w:sz w:val="16"/>
              </w:rPr>
              <w:t>0.0095</w:t>
            </w:r>
          </w:p>
        </w:tc>
        <w:tc>
          <w:tcPr>
            <w:tcW w:w="596" w:type="dxa"/>
          </w:tcPr>
          <w:p>
            <w:pPr>
              <w:pStyle w:val="TableParagraph"/>
              <w:spacing w:before="3"/>
              <w:ind w:left="3" w:right="4"/>
              <w:jc w:val="center"/>
              <w:rPr>
                <w:rFonts w:ascii="Calibri"/>
                <w:sz w:val="16"/>
              </w:rPr>
            </w:pPr>
            <w:r>
              <w:rPr>
                <w:rFonts w:ascii="Calibri"/>
                <w:spacing w:val="-2"/>
                <w:sz w:val="16"/>
              </w:rPr>
              <w:t>0.275</w:t>
            </w:r>
          </w:p>
        </w:tc>
        <w:tc>
          <w:tcPr>
            <w:tcW w:w="738" w:type="dxa"/>
          </w:tcPr>
          <w:p>
            <w:pPr>
              <w:pStyle w:val="TableParagraph"/>
              <w:spacing w:before="3"/>
              <w:ind w:left="2" w:right="7"/>
              <w:jc w:val="center"/>
              <w:rPr>
                <w:rFonts w:ascii="Calibri"/>
                <w:sz w:val="16"/>
              </w:rPr>
            </w:pPr>
            <w:r>
              <w:rPr>
                <w:rFonts w:ascii="Calibri"/>
                <w:spacing w:val="-2"/>
                <w:sz w:val="16"/>
              </w:rPr>
              <w:t>0.5446</w:t>
            </w:r>
          </w:p>
        </w:tc>
        <w:tc>
          <w:tcPr>
            <w:tcW w:w="826" w:type="dxa"/>
          </w:tcPr>
          <w:p>
            <w:pPr>
              <w:pStyle w:val="TableParagraph"/>
              <w:spacing w:before="3"/>
              <w:ind w:left="2" w:right="6"/>
              <w:jc w:val="center"/>
              <w:rPr>
                <w:rFonts w:ascii="Calibri"/>
                <w:sz w:val="16"/>
              </w:rPr>
            </w:pPr>
            <w:r>
              <w:rPr>
                <w:rFonts w:ascii="Calibri"/>
                <w:spacing w:val="-2"/>
                <w:sz w:val="16"/>
              </w:rPr>
              <w:t>0.000</w:t>
            </w:r>
          </w:p>
        </w:tc>
        <w:tc>
          <w:tcPr>
            <w:tcW w:w="711" w:type="dxa"/>
          </w:tcPr>
          <w:p>
            <w:pPr>
              <w:pStyle w:val="TableParagraph"/>
              <w:spacing w:before="3"/>
              <w:ind w:left="2" w:right="12"/>
              <w:jc w:val="center"/>
              <w:rPr>
                <w:rFonts w:ascii="Calibri"/>
                <w:sz w:val="16"/>
              </w:rPr>
            </w:pPr>
            <w:r>
              <w:rPr>
                <w:rFonts w:ascii="Calibri"/>
                <w:spacing w:val="-2"/>
                <w:sz w:val="16"/>
              </w:rPr>
              <w:t>0.0005</w:t>
            </w:r>
          </w:p>
        </w:tc>
        <w:tc>
          <w:tcPr>
            <w:tcW w:w="983" w:type="dxa"/>
          </w:tcPr>
          <w:p>
            <w:pPr>
              <w:pStyle w:val="TableParagraph"/>
              <w:spacing w:before="3"/>
              <w:ind w:left="2" w:right="6"/>
              <w:jc w:val="center"/>
              <w:rPr>
                <w:rFonts w:ascii="Calibri"/>
                <w:sz w:val="16"/>
              </w:rPr>
            </w:pPr>
            <w:r>
              <w:rPr>
                <w:rFonts w:ascii="Calibri"/>
                <w:spacing w:val="-2"/>
                <w:sz w:val="16"/>
              </w:rPr>
              <w:t>0.0001</w:t>
            </w:r>
          </w:p>
        </w:tc>
        <w:tc>
          <w:tcPr>
            <w:tcW w:w="886" w:type="dxa"/>
          </w:tcPr>
          <w:p>
            <w:pPr>
              <w:pStyle w:val="TableParagraph"/>
              <w:spacing w:before="3"/>
              <w:ind w:left="2" w:right="12"/>
              <w:jc w:val="center"/>
              <w:rPr>
                <w:rFonts w:ascii="Calibri"/>
                <w:sz w:val="16"/>
              </w:rPr>
            </w:pPr>
            <w:r>
              <w:rPr>
                <w:rFonts w:ascii="Calibri"/>
                <w:spacing w:val="-2"/>
                <w:sz w:val="16"/>
              </w:rPr>
              <w:t>0.3478</w:t>
            </w:r>
          </w:p>
        </w:tc>
        <w:tc>
          <w:tcPr>
            <w:tcW w:w="593" w:type="dxa"/>
          </w:tcPr>
          <w:p>
            <w:pPr>
              <w:pStyle w:val="TableParagraph"/>
              <w:rPr>
                <w:rFonts w:ascii="Times New Roman"/>
                <w:sz w:val="18"/>
              </w:rPr>
            </w:pP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90" w:hRule="atLeast"/>
        </w:trPr>
        <w:tc>
          <w:tcPr>
            <w:tcW w:w="999" w:type="dxa"/>
            <w:tcBorders>
              <w:left w:val="nil"/>
            </w:tcBorders>
          </w:tcPr>
          <w:p>
            <w:pPr>
              <w:pStyle w:val="TableParagraph"/>
              <w:spacing w:before="1"/>
              <w:ind w:left="122"/>
              <w:rPr>
                <w:rFonts w:ascii="Calibri"/>
                <w:sz w:val="16"/>
              </w:rPr>
            </w:pPr>
            <w:r>
              <w:rPr>
                <w:rFonts w:ascii="Calibri"/>
                <w:spacing w:val="-2"/>
                <w:sz w:val="16"/>
              </w:rPr>
              <w:t>FSIZE</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0.0529</w:t>
            </w:r>
          </w:p>
        </w:tc>
        <w:tc>
          <w:tcPr>
            <w:tcW w:w="677" w:type="dxa"/>
          </w:tcPr>
          <w:p>
            <w:pPr>
              <w:pStyle w:val="TableParagraph"/>
              <w:spacing w:before="1"/>
              <w:ind w:left="1" w:right="1"/>
              <w:jc w:val="center"/>
              <w:rPr>
                <w:rFonts w:ascii="Calibri"/>
                <w:sz w:val="16"/>
              </w:rPr>
            </w:pPr>
            <w:r>
              <w:rPr>
                <w:rFonts w:ascii="Calibri"/>
                <w:spacing w:val="-2"/>
                <w:sz w:val="16"/>
              </w:rPr>
              <w:t>0.5059</w:t>
            </w:r>
          </w:p>
        </w:tc>
        <w:tc>
          <w:tcPr>
            <w:tcW w:w="678" w:type="dxa"/>
          </w:tcPr>
          <w:p>
            <w:pPr>
              <w:pStyle w:val="TableParagraph"/>
              <w:spacing w:before="1"/>
              <w:ind w:left="1" w:right="1"/>
              <w:jc w:val="center"/>
              <w:rPr>
                <w:rFonts w:ascii="Calibri"/>
                <w:sz w:val="16"/>
              </w:rPr>
            </w:pPr>
            <w:r>
              <w:rPr>
                <w:rFonts w:ascii="Calibri"/>
                <w:spacing w:val="-2"/>
                <w:sz w:val="16"/>
              </w:rPr>
              <w:t>0.1166</w:t>
            </w:r>
          </w:p>
        </w:tc>
        <w:tc>
          <w:tcPr>
            <w:tcW w:w="675" w:type="dxa"/>
          </w:tcPr>
          <w:p>
            <w:pPr>
              <w:pStyle w:val="TableParagraph"/>
              <w:spacing w:before="1"/>
              <w:ind w:left="3" w:right="4"/>
              <w:jc w:val="center"/>
              <w:rPr>
                <w:rFonts w:ascii="Calibri"/>
                <w:sz w:val="16"/>
              </w:rPr>
            </w:pPr>
            <w:r>
              <w:rPr>
                <w:rFonts w:ascii="Calibri"/>
                <w:spacing w:val="-2"/>
                <w:sz w:val="16"/>
              </w:rPr>
              <w:t>0.5159</w:t>
            </w:r>
          </w:p>
        </w:tc>
        <w:tc>
          <w:tcPr>
            <w:tcW w:w="747" w:type="dxa"/>
          </w:tcPr>
          <w:p>
            <w:pPr>
              <w:pStyle w:val="TableParagraph"/>
              <w:spacing w:before="1"/>
              <w:ind w:left="3" w:right="5"/>
              <w:jc w:val="center"/>
              <w:rPr>
                <w:rFonts w:ascii="Calibri"/>
                <w:sz w:val="16"/>
              </w:rPr>
            </w:pPr>
            <w:r>
              <w:rPr>
                <w:rFonts w:ascii="Calibri"/>
                <w:sz w:val="16"/>
              </w:rPr>
              <w:t>-</w:t>
            </w:r>
            <w:r>
              <w:rPr>
                <w:rFonts w:ascii="Calibri"/>
                <w:spacing w:val="-2"/>
                <w:sz w:val="16"/>
              </w:rPr>
              <w:t>0.112</w:t>
            </w:r>
          </w:p>
        </w:tc>
        <w:tc>
          <w:tcPr>
            <w:tcW w:w="596" w:type="dxa"/>
          </w:tcPr>
          <w:p>
            <w:pPr>
              <w:pStyle w:val="TableParagraph"/>
              <w:spacing w:before="1"/>
              <w:ind w:left="3" w:right="4"/>
              <w:jc w:val="center"/>
              <w:rPr>
                <w:rFonts w:ascii="Calibri"/>
                <w:sz w:val="16"/>
              </w:rPr>
            </w:pPr>
            <w:r>
              <w:rPr>
                <w:rFonts w:ascii="Calibri"/>
                <w:spacing w:val="-2"/>
                <w:sz w:val="16"/>
              </w:rPr>
              <w:t>0.204</w:t>
            </w:r>
          </w:p>
        </w:tc>
        <w:tc>
          <w:tcPr>
            <w:tcW w:w="738" w:type="dxa"/>
          </w:tcPr>
          <w:p>
            <w:pPr>
              <w:pStyle w:val="TableParagraph"/>
              <w:spacing w:before="1"/>
              <w:ind w:left="2" w:right="7"/>
              <w:jc w:val="center"/>
              <w:rPr>
                <w:rFonts w:ascii="Calibri"/>
                <w:sz w:val="16"/>
              </w:rPr>
            </w:pPr>
            <w:r>
              <w:rPr>
                <w:rFonts w:ascii="Calibri"/>
                <w:spacing w:val="-2"/>
                <w:sz w:val="16"/>
              </w:rPr>
              <w:t>0.0216</w:t>
            </w:r>
          </w:p>
        </w:tc>
        <w:tc>
          <w:tcPr>
            <w:tcW w:w="826" w:type="dxa"/>
          </w:tcPr>
          <w:p>
            <w:pPr>
              <w:pStyle w:val="TableParagraph"/>
              <w:spacing w:before="1"/>
              <w:ind w:left="2" w:right="6"/>
              <w:jc w:val="center"/>
              <w:rPr>
                <w:rFonts w:ascii="Calibri"/>
                <w:sz w:val="16"/>
              </w:rPr>
            </w:pPr>
            <w:r>
              <w:rPr>
                <w:rFonts w:ascii="Calibri"/>
                <w:spacing w:val="-2"/>
                <w:sz w:val="16"/>
              </w:rPr>
              <w:t>0.0542</w:t>
            </w:r>
          </w:p>
        </w:tc>
        <w:tc>
          <w:tcPr>
            <w:tcW w:w="711" w:type="dxa"/>
          </w:tcPr>
          <w:p>
            <w:pPr>
              <w:pStyle w:val="TableParagraph"/>
              <w:spacing w:before="1"/>
              <w:ind w:left="2" w:right="12"/>
              <w:jc w:val="center"/>
              <w:rPr>
                <w:rFonts w:ascii="Calibri"/>
                <w:sz w:val="16"/>
              </w:rPr>
            </w:pPr>
            <w:r>
              <w:rPr>
                <w:rFonts w:ascii="Calibri"/>
                <w:spacing w:val="-2"/>
                <w:sz w:val="16"/>
              </w:rPr>
              <w:t>0.1255</w:t>
            </w:r>
          </w:p>
        </w:tc>
        <w:tc>
          <w:tcPr>
            <w:tcW w:w="983" w:type="dxa"/>
          </w:tcPr>
          <w:p>
            <w:pPr>
              <w:pStyle w:val="TableParagraph"/>
              <w:spacing w:before="1"/>
              <w:ind w:left="2" w:right="6"/>
              <w:jc w:val="center"/>
              <w:rPr>
                <w:rFonts w:ascii="Calibri"/>
                <w:sz w:val="16"/>
              </w:rPr>
            </w:pPr>
            <w:r>
              <w:rPr>
                <w:rFonts w:ascii="Calibri"/>
                <w:spacing w:val="-2"/>
                <w:sz w:val="16"/>
              </w:rPr>
              <w:t>0.10964</w:t>
            </w:r>
          </w:p>
        </w:tc>
        <w:tc>
          <w:tcPr>
            <w:tcW w:w="886" w:type="dxa"/>
          </w:tcPr>
          <w:p>
            <w:pPr>
              <w:pStyle w:val="TableParagraph"/>
              <w:spacing w:before="1"/>
              <w:ind w:left="2" w:right="12"/>
              <w:jc w:val="center"/>
              <w:rPr>
                <w:rFonts w:ascii="Calibri"/>
                <w:sz w:val="16"/>
              </w:rPr>
            </w:pPr>
            <w:r>
              <w:rPr>
                <w:rFonts w:ascii="Calibri"/>
                <w:sz w:val="16"/>
              </w:rPr>
              <w:t>-</w:t>
            </w:r>
            <w:r>
              <w:rPr>
                <w:rFonts w:ascii="Calibri"/>
                <w:spacing w:val="-2"/>
                <w:sz w:val="16"/>
              </w:rPr>
              <w:t>0.194677</w:t>
            </w:r>
          </w:p>
        </w:tc>
        <w:tc>
          <w:tcPr>
            <w:tcW w:w="593" w:type="dxa"/>
          </w:tcPr>
          <w:p>
            <w:pPr>
              <w:pStyle w:val="TableParagraph"/>
              <w:spacing w:before="1"/>
              <w:ind w:left="4" w:right="13"/>
              <w:jc w:val="center"/>
              <w:rPr>
                <w:rFonts w:ascii="Calibri"/>
                <w:sz w:val="16"/>
              </w:rPr>
            </w:pPr>
            <w:r>
              <w:rPr>
                <w:rFonts w:ascii="Calibri"/>
                <w:sz w:val="16"/>
              </w:rPr>
              <w:t>-</w:t>
            </w:r>
            <w:r>
              <w:rPr>
                <w:rFonts w:ascii="Calibri"/>
                <w:spacing w:val="-4"/>
                <w:sz w:val="16"/>
              </w:rPr>
              <w:t>0.12</w:t>
            </w:r>
          </w:p>
        </w:tc>
        <w:tc>
          <w:tcPr>
            <w:tcW w:w="759" w:type="dxa"/>
          </w:tcPr>
          <w:p>
            <w:pPr>
              <w:pStyle w:val="TableParagraph"/>
              <w:spacing w:before="1"/>
              <w:ind w:right="11"/>
              <w:jc w:val="center"/>
              <w:rPr>
                <w:rFonts w:ascii="Calibri"/>
                <w:sz w:val="16"/>
              </w:rPr>
            </w:pPr>
            <w:r>
              <w:rPr>
                <w:rFonts w:ascii="Calibri"/>
                <w:spacing w:val="-10"/>
                <w:sz w:val="16"/>
              </w:rPr>
              <w:t>1</w:t>
            </w:r>
          </w:p>
        </w:tc>
        <w:tc>
          <w:tcPr>
            <w:tcW w:w="610" w:type="dxa"/>
            <w:tcBorders>
              <w:right w:val="nil"/>
            </w:tcBorders>
          </w:tcPr>
          <w:p>
            <w:pPr>
              <w:pStyle w:val="TableParagraph"/>
              <w:rPr>
                <w:rFonts w:ascii="Times New Roman"/>
                <w:sz w:val="18"/>
              </w:rPr>
            </w:pPr>
          </w:p>
        </w:tc>
      </w:tr>
      <w:tr>
        <w:trPr>
          <w:trHeight w:val="489" w:hRule="atLeast"/>
        </w:trPr>
        <w:tc>
          <w:tcPr>
            <w:tcW w:w="999" w:type="dxa"/>
            <w:tcBorders>
              <w:left w:val="nil"/>
            </w:tcBorders>
          </w:tcPr>
          <w:p>
            <w:pPr>
              <w:pStyle w:val="TableParagraph"/>
              <w:spacing w:line="243" w:lineRule="exact"/>
              <w:ind w:left="122"/>
              <w:rPr>
                <w:rFonts w:ascii="Calibri"/>
                <w:sz w:val="20"/>
              </w:rPr>
            </w:pPr>
            <w:r>
              <w:rPr>
                <w:rFonts w:ascii="Calibri"/>
                <w:spacing w:val="-2"/>
                <w:sz w:val="20"/>
              </w:rPr>
              <w:t>P-value</w:t>
            </w:r>
          </w:p>
        </w:tc>
        <w:tc>
          <w:tcPr>
            <w:tcW w:w="826" w:type="dxa"/>
          </w:tcPr>
          <w:p>
            <w:pPr>
              <w:pStyle w:val="TableParagraph"/>
              <w:spacing w:before="1"/>
              <w:ind w:left="7" w:right="6"/>
              <w:jc w:val="center"/>
              <w:rPr>
                <w:rFonts w:ascii="Calibri"/>
                <w:sz w:val="16"/>
              </w:rPr>
            </w:pPr>
            <w:r>
              <w:rPr>
                <w:rFonts w:ascii="Calibri"/>
                <w:spacing w:val="-2"/>
                <w:sz w:val="16"/>
              </w:rPr>
              <w:t>0.4796</w:t>
            </w:r>
          </w:p>
        </w:tc>
        <w:tc>
          <w:tcPr>
            <w:tcW w:w="677" w:type="dxa"/>
          </w:tcPr>
          <w:p>
            <w:pPr>
              <w:pStyle w:val="TableParagraph"/>
              <w:spacing w:before="1"/>
              <w:ind w:left="1" w:right="1"/>
              <w:jc w:val="center"/>
              <w:rPr>
                <w:rFonts w:ascii="Calibri"/>
                <w:sz w:val="16"/>
              </w:rPr>
            </w:pPr>
            <w:r>
              <w:rPr>
                <w:rFonts w:ascii="Calibri"/>
                <w:spacing w:val="-4"/>
                <w:sz w:val="16"/>
              </w:rPr>
              <w:t>0.00</w:t>
            </w:r>
          </w:p>
        </w:tc>
        <w:tc>
          <w:tcPr>
            <w:tcW w:w="678" w:type="dxa"/>
          </w:tcPr>
          <w:p>
            <w:pPr>
              <w:pStyle w:val="TableParagraph"/>
              <w:spacing w:before="1"/>
              <w:ind w:left="1" w:right="1"/>
              <w:jc w:val="center"/>
              <w:rPr>
                <w:rFonts w:ascii="Calibri"/>
                <w:sz w:val="16"/>
              </w:rPr>
            </w:pPr>
            <w:r>
              <w:rPr>
                <w:rFonts w:ascii="Calibri"/>
                <w:spacing w:val="-2"/>
                <w:sz w:val="16"/>
              </w:rPr>
              <w:t>0.118</w:t>
            </w:r>
          </w:p>
        </w:tc>
        <w:tc>
          <w:tcPr>
            <w:tcW w:w="675" w:type="dxa"/>
          </w:tcPr>
          <w:p>
            <w:pPr>
              <w:pStyle w:val="TableParagraph"/>
              <w:spacing w:before="1"/>
              <w:ind w:left="3" w:right="4"/>
              <w:jc w:val="center"/>
              <w:rPr>
                <w:rFonts w:ascii="Calibri"/>
                <w:sz w:val="16"/>
              </w:rPr>
            </w:pPr>
            <w:r>
              <w:rPr>
                <w:rFonts w:ascii="Calibri"/>
                <w:spacing w:val="-4"/>
                <w:sz w:val="16"/>
              </w:rPr>
              <w:t>0.00</w:t>
            </w:r>
          </w:p>
        </w:tc>
        <w:tc>
          <w:tcPr>
            <w:tcW w:w="747" w:type="dxa"/>
          </w:tcPr>
          <w:p>
            <w:pPr>
              <w:pStyle w:val="TableParagraph"/>
              <w:spacing w:before="1"/>
              <w:ind w:left="3" w:right="5"/>
              <w:jc w:val="center"/>
              <w:rPr>
                <w:rFonts w:ascii="Calibri"/>
                <w:sz w:val="16"/>
              </w:rPr>
            </w:pPr>
            <w:r>
              <w:rPr>
                <w:rFonts w:ascii="Calibri"/>
                <w:spacing w:val="-2"/>
                <w:sz w:val="16"/>
              </w:rPr>
              <w:t>0.135</w:t>
            </w:r>
          </w:p>
        </w:tc>
        <w:tc>
          <w:tcPr>
            <w:tcW w:w="596" w:type="dxa"/>
          </w:tcPr>
          <w:p>
            <w:pPr>
              <w:pStyle w:val="TableParagraph"/>
              <w:spacing w:before="1"/>
              <w:ind w:left="3" w:right="4"/>
              <w:jc w:val="center"/>
              <w:rPr>
                <w:rFonts w:ascii="Calibri"/>
                <w:sz w:val="16"/>
              </w:rPr>
            </w:pPr>
            <w:r>
              <w:rPr>
                <w:rFonts w:ascii="Calibri"/>
                <w:spacing w:val="-2"/>
                <w:sz w:val="16"/>
              </w:rPr>
              <w:t>0.006</w:t>
            </w:r>
          </w:p>
        </w:tc>
        <w:tc>
          <w:tcPr>
            <w:tcW w:w="738" w:type="dxa"/>
          </w:tcPr>
          <w:p>
            <w:pPr>
              <w:pStyle w:val="TableParagraph"/>
              <w:spacing w:before="1"/>
              <w:ind w:left="2" w:right="7"/>
              <w:jc w:val="center"/>
              <w:rPr>
                <w:rFonts w:ascii="Calibri"/>
                <w:sz w:val="16"/>
              </w:rPr>
            </w:pPr>
            <w:r>
              <w:rPr>
                <w:rFonts w:ascii="Calibri"/>
                <w:spacing w:val="-2"/>
                <w:sz w:val="16"/>
              </w:rPr>
              <w:t>0.7728</w:t>
            </w:r>
          </w:p>
        </w:tc>
        <w:tc>
          <w:tcPr>
            <w:tcW w:w="826" w:type="dxa"/>
          </w:tcPr>
          <w:p>
            <w:pPr>
              <w:pStyle w:val="TableParagraph"/>
              <w:spacing w:before="1"/>
              <w:ind w:left="2" w:right="6"/>
              <w:jc w:val="center"/>
              <w:rPr>
                <w:rFonts w:ascii="Calibri"/>
                <w:sz w:val="16"/>
              </w:rPr>
            </w:pPr>
            <w:r>
              <w:rPr>
                <w:rFonts w:ascii="Calibri"/>
                <w:spacing w:val="-2"/>
                <w:sz w:val="16"/>
              </w:rPr>
              <w:t>0.999</w:t>
            </w:r>
          </w:p>
        </w:tc>
        <w:tc>
          <w:tcPr>
            <w:tcW w:w="711" w:type="dxa"/>
          </w:tcPr>
          <w:p>
            <w:pPr>
              <w:pStyle w:val="TableParagraph"/>
              <w:spacing w:before="1"/>
              <w:ind w:left="2" w:right="12"/>
              <w:jc w:val="center"/>
              <w:rPr>
                <w:rFonts w:ascii="Calibri"/>
                <w:sz w:val="16"/>
              </w:rPr>
            </w:pPr>
            <w:r>
              <w:rPr>
                <w:rFonts w:ascii="Calibri"/>
                <w:spacing w:val="-2"/>
                <w:sz w:val="16"/>
              </w:rPr>
              <w:t>0.0923</w:t>
            </w:r>
          </w:p>
        </w:tc>
        <w:tc>
          <w:tcPr>
            <w:tcW w:w="983" w:type="dxa"/>
          </w:tcPr>
          <w:p>
            <w:pPr>
              <w:pStyle w:val="TableParagraph"/>
              <w:spacing w:before="1"/>
              <w:ind w:left="2" w:right="6"/>
              <w:jc w:val="center"/>
              <w:rPr>
                <w:rFonts w:ascii="Calibri"/>
                <w:sz w:val="16"/>
              </w:rPr>
            </w:pPr>
            <w:r>
              <w:rPr>
                <w:rFonts w:ascii="Calibri"/>
                <w:spacing w:val="-2"/>
                <w:sz w:val="16"/>
              </w:rPr>
              <w:t>0.1418</w:t>
            </w:r>
          </w:p>
        </w:tc>
        <w:tc>
          <w:tcPr>
            <w:tcW w:w="886" w:type="dxa"/>
          </w:tcPr>
          <w:p>
            <w:pPr>
              <w:pStyle w:val="TableParagraph"/>
              <w:spacing w:before="1"/>
              <w:ind w:left="2" w:right="12"/>
              <w:jc w:val="center"/>
              <w:rPr>
                <w:rFonts w:ascii="Calibri"/>
                <w:sz w:val="16"/>
              </w:rPr>
            </w:pPr>
            <w:r>
              <w:rPr>
                <w:rFonts w:ascii="Calibri"/>
                <w:spacing w:val="-2"/>
                <w:sz w:val="16"/>
              </w:rPr>
              <w:t>0.0086</w:t>
            </w:r>
          </w:p>
        </w:tc>
        <w:tc>
          <w:tcPr>
            <w:tcW w:w="593" w:type="dxa"/>
          </w:tcPr>
          <w:p>
            <w:pPr>
              <w:pStyle w:val="TableParagraph"/>
              <w:spacing w:before="1"/>
              <w:ind w:left="2" w:right="13"/>
              <w:jc w:val="center"/>
              <w:rPr>
                <w:rFonts w:ascii="Calibri"/>
                <w:sz w:val="16"/>
              </w:rPr>
            </w:pPr>
            <w:r>
              <w:rPr>
                <w:rFonts w:ascii="Calibri"/>
                <w:spacing w:val="-2"/>
                <w:sz w:val="16"/>
              </w:rPr>
              <w:t>0.117</w:t>
            </w:r>
          </w:p>
        </w:tc>
        <w:tc>
          <w:tcPr>
            <w:tcW w:w="759" w:type="dxa"/>
          </w:tcPr>
          <w:p>
            <w:pPr>
              <w:pStyle w:val="TableParagraph"/>
              <w:rPr>
                <w:rFonts w:ascii="Times New Roman"/>
                <w:sz w:val="18"/>
              </w:rPr>
            </w:pPr>
          </w:p>
        </w:tc>
        <w:tc>
          <w:tcPr>
            <w:tcW w:w="610" w:type="dxa"/>
            <w:tcBorders>
              <w:right w:val="nil"/>
            </w:tcBorders>
          </w:tcPr>
          <w:p>
            <w:pPr>
              <w:pStyle w:val="TableParagraph"/>
              <w:rPr>
                <w:rFonts w:ascii="Times New Roman"/>
                <w:sz w:val="18"/>
              </w:rPr>
            </w:pPr>
          </w:p>
        </w:tc>
      </w:tr>
      <w:tr>
        <w:trPr>
          <w:trHeight w:val="388" w:hRule="atLeast"/>
        </w:trPr>
        <w:tc>
          <w:tcPr>
            <w:tcW w:w="999" w:type="dxa"/>
            <w:tcBorders>
              <w:left w:val="nil"/>
            </w:tcBorders>
          </w:tcPr>
          <w:p>
            <w:pPr>
              <w:pStyle w:val="TableParagraph"/>
              <w:spacing w:before="1"/>
              <w:ind w:left="122"/>
              <w:rPr>
                <w:rFonts w:ascii="Calibri"/>
                <w:sz w:val="16"/>
              </w:rPr>
            </w:pPr>
            <w:r>
              <w:rPr>
                <w:rFonts w:ascii="Calibri"/>
                <w:spacing w:val="-4"/>
                <w:sz w:val="16"/>
              </w:rPr>
              <w:t>FAGE</w:t>
            </w:r>
          </w:p>
        </w:tc>
        <w:tc>
          <w:tcPr>
            <w:tcW w:w="826" w:type="dxa"/>
          </w:tcPr>
          <w:p>
            <w:pPr>
              <w:pStyle w:val="TableParagraph"/>
              <w:spacing w:before="1"/>
              <w:ind w:left="7" w:right="6"/>
              <w:jc w:val="center"/>
              <w:rPr>
                <w:rFonts w:ascii="Calibri"/>
                <w:sz w:val="16"/>
              </w:rPr>
            </w:pPr>
            <w:r>
              <w:rPr>
                <w:rFonts w:ascii="Calibri"/>
                <w:sz w:val="16"/>
              </w:rPr>
              <w:t>-</w:t>
            </w:r>
            <w:r>
              <w:rPr>
                <w:rFonts w:ascii="Calibri"/>
                <w:spacing w:val="-2"/>
                <w:sz w:val="16"/>
              </w:rPr>
              <w:t>0.0289</w:t>
            </w:r>
          </w:p>
        </w:tc>
        <w:tc>
          <w:tcPr>
            <w:tcW w:w="677" w:type="dxa"/>
          </w:tcPr>
          <w:p>
            <w:pPr>
              <w:pStyle w:val="TableParagraph"/>
              <w:spacing w:before="1"/>
              <w:ind w:left="1" w:right="1"/>
              <w:jc w:val="center"/>
              <w:rPr>
                <w:rFonts w:ascii="Calibri"/>
                <w:sz w:val="16"/>
              </w:rPr>
            </w:pPr>
            <w:r>
              <w:rPr>
                <w:rFonts w:ascii="Calibri"/>
                <w:spacing w:val="-2"/>
                <w:sz w:val="16"/>
              </w:rPr>
              <w:t>0.1637</w:t>
            </w:r>
          </w:p>
        </w:tc>
        <w:tc>
          <w:tcPr>
            <w:tcW w:w="678" w:type="dxa"/>
          </w:tcPr>
          <w:p>
            <w:pPr>
              <w:pStyle w:val="TableParagraph"/>
              <w:spacing w:before="1"/>
              <w:ind w:left="1" w:right="1"/>
              <w:jc w:val="center"/>
              <w:rPr>
                <w:rFonts w:ascii="Calibri"/>
                <w:sz w:val="16"/>
              </w:rPr>
            </w:pPr>
            <w:r>
              <w:rPr>
                <w:rFonts w:ascii="Calibri"/>
                <w:sz w:val="16"/>
              </w:rPr>
              <w:t>-</w:t>
            </w:r>
            <w:r>
              <w:rPr>
                <w:rFonts w:ascii="Calibri"/>
                <w:spacing w:val="-2"/>
                <w:sz w:val="16"/>
              </w:rPr>
              <w:t>0.219</w:t>
            </w:r>
          </w:p>
        </w:tc>
        <w:tc>
          <w:tcPr>
            <w:tcW w:w="675" w:type="dxa"/>
          </w:tcPr>
          <w:p>
            <w:pPr>
              <w:pStyle w:val="TableParagraph"/>
              <w:spacing w:before="1"/>
              <w:ind w:left="3" w:right="4"/>
              <w:jc w:val="center"/>
              <w:rPr>
                <w:rFonts w:ascii="Calibri"/>
                <w:sz w:val="16"/>
              </w:rPr>
            </w:pPr>
            <w:r>
              <w:rPr>
                <w:rFonts w:ascii="Calibri"/>
                <w:spacing w:val="-2"/>
                <w:sz w:val="16"/>
              </w:rPr>
              <w:t>0.3205</w:t>
            </w:r>
          </w:p>
        </w:tc>
        <w:tc>
          <w:tcPr>
            <w:tcW w:w="747" w:type="dxa"/>
          </w:tcPr>
          <w:p>
            <w:pPr>
              <w:pStyle w:val="TableParagraph"/>
              <w:spacing w:before="1"/>
              <w:ind w:left="3" w:right="5"/>
              <w:jc w:val="center"/>
              <w:rPr>
                <w:rFonts w:ascii="Calibri"/>
                <w:sz w:val="16"/>
              </w:rPr>
            </w:pPr>
            <w:r>
              <w:rPr>
                <w:rFonts w:ascii="Calibri"/>
                <w:sz w:val="16"/>
              </w:rPr>
              <w:t>-</w:t>
            </w:r>
            <w:r>
              <w:rPr>
                <w:rFonts w:ascii="Calibri"/>
                <w:spacing w:val="-2"/>
                <w:sz w:val="16"/>
              </w:rPr>
              <w:t>0.029</w:t>
            </w:r>
          </w:p>
        </w:tc>
        <w:tc>
          <w:tcPr>
            <w:tcW w:w="596" w:type="dxa"/>
          </w:tcPr>
          <w:p>
            <w:pPr>
              <w:pStyle w:val="TableParagraph"/>
              <w:spacing w:before="1"/>
              <w:ind w:left="3" w:right="4"/>
              <w:jc w:val="center"/>
              <w:rPr>
                <w:rFonts w:ascii="Calibri"/>
                <w:sz w:val="16"/>
              </w:rPr>
            </w:pPr>
            <w:r>
              <w:rPr>
                <w:rFonts w:ascii="Calibri"/>
                <w:spacing w:val="-2"/>
                <w:sz w:val="16"/>
              </w:rPr>
              <w:t>0.321</w:t>
            </w:r>
          </w:p>
        </w:tc>
        <w:tc>
          <w:tcPr>
            <w:tcW w:w="738" w:type="dxa"/>
          </w:tcPr>
          <w:p>
            <w:pPr>
              <w:pStyle w:val="TableParagraph"/>
              <w:spacing w:before="1"/>
              <w:ind w:left="2" w:right="7"/>
              <w:jc w:val="center"/>
              <w:rPr>
                <w:rFonts w:ascii="Calibri"/>
                <w:sz w:val="16"/>
              </w:rPr>
            </w:pPr>
            <w:r>
              <w:rPr>
                <w:rFonts w:ascii="Calibri"/>
                <w:spacing w:val="-2"/>
                <w:sz w:val="16"/>
              </w:rPr>
              <w:t>0.2113</w:t>
            </w:r>
          </w:p>
        </w:tc>
        <w:tc>
          <w:tcPr>
            <w:tcW w:w="826" w:type="dxa"/>
          </w:tcPr>
          <w:p>
            <w:pPr>
              <w:pStyle w:val="TableParagraph"/>
              <w:spacing w:before="1"/>
              <w:ind w:left="2" w:right="6"/>
              <w:jc w:val="center"/>
              <w:rPr>
                <w:rFonts w:ascii="Calibri"/>
                <w:sz w:val="16"/>
              </w:rPr>
            </w:pPr>
            <w:r>
              <w:rPr>
                <w:rFonts w:ascii="Calibri"/>
                <w:spacing w:val="-2"/>
                <w:sz w:val="16"/>
              </w:rPr>
              <w:t>0.098</w:t>
            </w:r>
          </w:p>
        </w:tc>
        <w:tc>
          <w:tcPr>
            <w:tcW w:w="711" w:type="dxa"/>
          </w:tcPr>
          <w:p>
            <w:pPr>
              <w:pStyle w:val="TableParagraph"/>
              <w:spacing w:before="1"/>
              <w:ind w:left="2" w:right="12"/>
              <w:jc w:val="center"/>
              <w:rPr>
                <w:rFonts w:ascii="Calibri"/>
                <w:sz w:val="16"/>
              </w:rPr>
            </w:pPr>
            <w:r>
              <w:rPr>
                <w:rFonts w:ascii="Calibri"/>
                <w:spacing w:val="-2"/>
                <w:sz w:val="16"/>
              </w:rPr>
              <w:t>0.1404</w:t>
            </w:r>
          </w:p>
        </w:tc>
        <w:tc>
          <w:tcPr>
            <w:tcW w:w="983" w:type="dxa"/>
          </w:tcPr>
          <w:p>
            <w:pPr>
              <w:pStyle w:val="TableParagraph"/>
              <w:spacing w:before="1"/>
              <w:ind w:left="2" w:right="6"/>
              <w:jc w:val="center"/>
              <w:rPr>
                <w:rFonts w:ascii="Calibri"/>
                <w:sz w:val="16"/>
              </w:rPr>
            </w:pPr>
            <w:r>
              <w:rPr>
                <w:rFonts w:ascii="Calibri"/>
                <w:spacing w:val="-2"/>
                <w:sz w:val="16"/>
              </w:rPr>
              <w:t>0.11429</w:t>
            </w:r>
          </w:p>
        </w:tc>
        <w:tc>
          <w:tcPr>
            <w:tcW w:w="886" w:type="dxa"/>
          </w:tcPr>
          <w:p>
            <w:pPr>
              <w:pStyle w:val="TableParagraph"/>
              <w:spacing w:before="1"/>
              <w:ind w:left="4" w:right="12"/>
              <w:jc w:val="center"/>
              <w:rPr>
                <w:rFonts w:ascii="Calibri"/>
                <w:sz w:val="16"/>
              </w:rPr>
            </w:pPr>
            <w:r>
              <w:rPr>
                <w:rFonts w:ascii="Calibri"/>
                <w:spacing w:val="-2"/>
                <w:sz w:val="16"/>
              </w:rPr>
              <w:t>0.001894</w:t>
            </w:r>
          </w:p>
        </w:tc>
        <w:tc>
          <w:tcPr>
            <w:tcW w:w="593" w:type="dxa"/>
          </w:tcPr>
          <w:p>
            <w:pPr>
              <w:pStyle w:val="TableParagraph"/>
              <w:spacing w:before="1"/>
              <w:ind w:left="2" w:right="13"/>
              <w:jc w:val="center"/>
              <w:rPr>
                <w:rFonts w:ascii="Calibri"/>
                <w:sz w:val="16"/>
              </w:rPr>
            </w:pPr>
            <w:r>
              <w:rPr>
                <w:rFonts w:ascii="Calibri"/>
                <w:spacing w:val="-4"/>
                <w:sz w:val="16"/>
              </w:rPr>
              <w:t>0.01</w:t>
            </w:r>
          </w:p>
        </w:tc>
        <w:tc>
          <w:tcPr>
            <w:tcW w:w="759" w:type="dxa"/>
          </w:tcPr>
          <w:p>
            <w:pPr>
              <w:pStyle w:val="TableParagraph"/>
              <w:spacing w:before="1"/>
              <w:ind w:left="3" w:right="11"/>
              <w:jc w:val="center"/>
              <w:rPr>
                <w:rFonts w:ascii="Calibri"/>
                <w:sz w:val="16"/>
              </w:rPr>
            </w:pPr>
            <w:r>
              <w:rPr>
                <w:rFonts w:ascii="Calibri"/>
                <w:spacing w:val="-2"/>
                <w:sz w:val="16"/>
              </w:rPr>
              <w:t>0.24371</w:t>
            </w:r>
          </w:p>
        </w:tc>
        <w:tc>
          <w:tcPr>
            <w:tcW w:w="610" w:type="dxa"/>
            <w:tcBorders>
              <w:right w:val="nil"/>
            </w:tcBorders>
          </w:tcPr>
          <w:p>
            <w:pPr>
              <w:pStyle w:val="TableParagraph"/>
              <w:spacing w:before="1"/>
              <w:ind w:left="28"/>
              <w:jc w:val="center"/>
              <w:rPr>
                <w:rFonts w:ascii="Calibri"/>
                <w:sz w:val="16"/>
              </w:rPr>
            </w:pPr>
            <w:r>
              <w:rPr>
                <w:rFonts w:ascii="Calibri"/>
                <w:spacing w:val="-10"/>
                <w:sz w:val="16"/>
              </w:rPr>
              <w:t>1</w:t>
            </w:r>
          </w:p>
        </w:tc>
      </w:tr>
      <w:tr>
        <w:trPr>
          <w:trHeight w:val="489" w:hRule="atLeast"/>
        </w:trPr>
        <w:tc>
          <w:tcPr>
            <w:tcW w:w="999" w:type="dxa"/>
            <w:tcBorders>
              <w:left w:val="nil"/>
            </w:tcBorders>
          </w:tcPr>
          <w:p>
            <w:pPr>
              <w:pStyle w:val="TableParagraph"/>
              <w:spacing w:before="1"/>
              <w:ind w:left="288"/>
              <w:rPr>
                <w:rFonts w:ascii="Calibri"/>
                <w:sz w:val="20"/>
              </w:rPr>
            </w:pPr>
            <w:r>
              <w:rPr>
                <w:rFonts w:ascii="Calibri"/>
                <w:spacing w:val="-2"/>
                <w:sz w:val="20"/>
              </w:rPr>
              <w:t>P-value</w:t>
            </w:r>
          </w:p>
        </w:tc>
        <w:tc>
          <w:tcPr>
            <w:tcW w:w="826" w:type="dxa"/>
          </w:tcPr>
          <w:p>
            <w:pPr>
              <w:pStyle w:val="TableParagraph"/>
              <w:spacing w:before="3"/>
              <w:ind w:left="7" w:right="6"/>
              <w:jc w:val="center"/>
              <w:rPr>
                <w:rFonts w:ascii="Calibri"/>
                <w:sz w:val="16"/>
              </w:rPr>
            </w:pPr>
            <w:r>
              <w:rPr>
                <w:rFonts w:ascii="Calibri"/>
                <w:spacing w:val="-2"/>
                <w:sz w:val="16"/>
              </w:rPr>
              <w:t>0.6989</w:t>
            </w:r>
          </w:p>
        </w:tc>
        <w:tc>
          <w:tcPr>
            <w:tcW w:w="677" w:type="dxa"/>
          </w:tcPr>
          <w:p>
            <w:pPr>
              <w:pStyle w:val="TableParagraph"/>
              <w:spacing w:before="3"/>
              <w:ind w:left="1" w:right="1"/>
              <w:jc w:val="center"/>
              <w:rPr>
                <w:rFonts w:ascii="Calibri"/>
                <w:sz w:val="16"/>
              </w:rPr>
            </w:pPr>
            <w:r>
              <w:rPr>
                <w:rFonts w:ascii="Calibri"/>
                <w:spacing w:val="-2"/>
                <w:sz w:val="16"/>
              </w:rPr>
              <w:t>0.0277</w:t>
            </w:r>
          </w:p>
        </w:tc>
        <w:tc>
          <w:tcPr>
            <w:tcW w:w="678" w:type="dxa"/>
          </w:tcPr>
          <w:p>
            <w:pPr>
              <w:pStyle w:val="TableParagraph"/>
              <w:spacing w:before="3"/>
              <w:ind w:left="1" w:right="1"/>
              <w:jc w:val="center"/>
              <w:rPr>
                <w:rFonts w:ascii="Calibri"/>
                <w:sz w:val="16"/>
              </w:rPr>
            </w:pPr>
            <w:r>
              <w:rPr>
                <w:rFonts w:ascii="Calibri"/>
                <w:spacing w:val="-2"/>
                <w:sz w:val="16"/>
              </w:rPr>
              <w:t>0.003</w:t>
            </w:r>
          </w:p>
        </w:tc>
        <w:tc>
          <w:tcPr>
            <w:tcW w:w="675" w:type="dxa"/>
          </w:tcPr>
          <w:p>
            <w:pPr>
              <w:pStyle w:val="TableParagraph"/>
              <w:spacing w:before="3"/>
              <w:ind w:left="3" w:right="4"/>
              <w:jc w:val="center"/>
              <w:rPr>
                <w:rFonts w:ascii="Calibri"/>
                <w:sz w:val="16"/>
              </w:rPr>
            </w:pPr>
            <w:r>
              <w:rPr>
                <w:rFonts w:ascii="Calibri"/>
                <w:spacing w:val="-4"/>
                <w:sz w:val="16"/>
              </w:rPr>
              <w:t>0.00</w:t>
            </w:r>
          </w:p>
        </w:tc>
        <w:tc>
          <w:tcPr>
            <w:tcW w:w="747" w:type="dxa"/>
          </w:tcPr>
          <w:p>
            <w:pPr>
              <w:pStyle w:val="TableParagraph"/>
              <w:spacing w:before="3"/>
              <w:ind w:left="3" w:right="5"/>
              <w:jc w:val="center"/>
              <w:rPr>
                <w:rFonts w:ascii="Calibri"/>
                <w:sz w:val="16"/>
              </w:rPr>
            </w:pPr>
            <w:r>
              <w:rPr>
                <w:rFonts w:ascii="Calibri"/>
                <w:spacing w:val="-2"/>
                <w:sz w:val="16"/>
              </w:rPr>
              <w:t>0.6968</w:t>
            </w:r>
          </w:p>
        </w:tc>
        <w:tc>
          <w:tcPr>
            <w:tcW w:w="596" w:type="dxa"/>
          </w:tcPr>
          <w:p>
            <w:pPr>
              <w:pStyle w:val="TableParagraph"/>
              <w:spacing w:before="3"/>
              <w:ind w:left="3" w:right="4"/>
              <w:jc w:val="center"/>
              <w:rPr>
                <w:rFonts w:ascii="Calibri"/>
                <w:sz w:val="16"/>
              </w:rPr>
            </w:pPr>
            <w:r>
              <w:rPr>
                <w:rFonts w:ascii="Calibri"/>
                <w:spacing w:val="-2"/>
                <w:sz w:val="16"/>
              </w:rPr>
              <w:t>0.000</w:t>
            </w:r>
          </w:p>
        </w:tc>
        <w:tc>
          <w:tcPr>
            <w:tcW w:w="738" w:type="dxa"/>
          </w:tcPr>
          <w:p>
            <w:pPr>
              <w:pStyle w:val="TableParagraph"/>
              <w:spacing w:before="3"/>
              <w:ind w:left="2" w:right="7"/>
              <w:jc w:val="center"/>
              <w:rPr>
                <w:rFonts w:ascii="Calibri"/>
                <w:sz w:val="16"/>
              </w:rPr>
            </w:pPr>
            <w:r>
              <w:rPr>
                <w:rFonts w:ascii="Calibri"/>
                <w:spacing w:val="-2"/>
                <w:sz w:val="16"/>
              </w:rPr>
              <w:t>0.0043</w:t>
            </w:r>
          </w:p>
        </w:tc>
        <w:tc>
          <w:tcPr>
            <w:tcW w:w="826" w:type="dxa"/>
          </w:tcPr>
          <w:p>
            <w:pPr>
              <w:pStyle w:val="TableParagraph"/>
              <w:spacing w:before="3"/>
              <w:ind w:left="2" w:right="6"/>
              <w:jc w:val="center"/>
              <w:rPr>
                <w:rFonts w:ascii="Calibri"/>
                <w:sz w:val="16"/>
              </w:rPr>
            </w:pPr>
            <w:r>
              <w:rPr>
                <w:rFonts w:ascii="Calibri"/>
                <w:spacing w:val="-2"/>
                <w:sz w:val="16"/>
              </w:rPr>
              <w:t>0.188</w:t>
            </w:r>
          </w:p>
        </w:tc>
        <w:tc>
          <w:tcPr>
            <w:tcW w:w="711" w:type="dxa"/>
          </w:tcPr>
          <w:p>
            <w:pPr>
              <w:pStyle w:val="TableParagraph"/>
              <w:spacing w:before="3"/>
              <w:ind w:left="2" w:right="12"/>
              <w:jc w:val="center"/>
              <w:rPr>
                <w:rFonts w:ascii="Calibri"/>
                <w:sz w:val="16"/>
              </w:rPr>
            </w:pPr>
            <w:r>
              <w:rPr>
                <w:rFonts w:ascii="Calibri"/>
                <w:spacing w:val="-2"/>
                <w:sz w:val="16"/>
              </w:rPr>
              <w:t>0.0594</w:t>
            </w:r>
          </w:p>
        </w:tc>
        <w:tc>
          <w:tcPr>
            <w:tcW w:w="983" w:type="dxa"/>
          </w:tcPr>
          <w:p>
            <w:pPr>
              <w:pStyle w:val="TableParagraph"/>
              <w:spacing w:before="3"/>
              <w:ind w:left="2" w:right="6"/>
              <w:jc w:val="center"/>
              <w:rPr>
                <w:rFonts w:ascii="Calibri"/>
                <w:sz w:val="16"/>
              </w:rPr>
            </w:pPr>
            <w:r>
              <w:rPr>
                <w:rFonts w:ascii="Calibri"/>
                <w:spacing w:val="-2"/>
                <w:sz w:val="16"/>
              </w:rPr>
              <w:t>0.1255</w:t>
            </w:r>
          </w:p>
        </w:tc>
        <w:tc>
          <w:tcPr>
            <w:tcW w:w="886" w:type="dxa"/>
          </w:tcPr>
          <w:p>
            <w:pPr>
              <w:pStyle w:val="TableParagraph"/>
              <w:spacing w:before="3"/>
              <w:ind w:left="2" w:right="12"/>
              <w:jc w:val="center"/>
              <w:rPr>
                <w:rFonts w:ascii="Calibri"/>
                <w:sz w:val="16"/>
              </w:rPr>
            </w:pPr>
            <w:r>
              <w:rPr>
                <w:rFonts w:ascii="Calibri"/>
                <w:spacing w:val="-2"/>
                <w:sz w:val="16"/>
              </w:rPr>
              <w:t>0.9798</w:t>
            </w:r>
          </w:p>
        </w:tc>
        <w:tc>
          <w:tcPr>
            <w:tcW w:w="593" w:type="dxa"/>
          </w:tcPr>
          <w:p>
            <w:pPr>
              <w:pStyle w:val="TableParagraph"/>
              <w:spacing w:before="3"/>
              <w:ind w:left="2" w:right="13"/>
              <w:jc w:val="center"/>
              <w:rPr>
                <w:rFonts w:ascii="Calibri"/>
                <w:sz w:val="16"/>
              </w:rPr>
            </w:pPr>
            <w:r>
              <w:rPr>
                <w:rFonts w:ascii="Calibri"/>
                <w:spacing w:val="-2"/>
                <w:sz w:val="16"/>
              </w:rPr>
              <w:t>0.897</w:t>
            </w:r>
          </w:p>
        </w:tc>
        <w:tc>
          <w:tcPr>
            <w:tcW w:w="759" w:type="dxa"/>
          </w:tcPr>
          <w:p>
            <w:pPr>
              <w:pStyle w:val="TableParagraph"/>
              <w:spacing w:before="3"/>
              <w:ind w:left="3" w:right="11"/>
              <w:jc w:val="center"/>
              <w:rPr>
                <w:rFonts w:ascii="Calibri"/>
                <w:sz w:val="16"/>
              </w:rPr>
            </w:pPr>
            <w:r>
              <w:rPr>
                <w:rFonts w:ascii="Calibri"/>
                <w:spacing w:val="-2"/>
                <w:sz w:val="16"/>
              </w:rPr>
              <w:t>0.0009</w:t>
            </w:r>
          </w:p>
        </w:tc>
        <w:tc>
          <w:tcPr>
            <w:tcW w:w="610" w:type="dxa"/>
            <w:tcBorders>
              <w:right w:val="nil"/>
            </w:tcBorders>
          </w:tcPr>
          <w:p>
            <w:pPr>
              <w:pStyle w:val="TableParagraph"/>
              <w:rPr>
                <w:rFonts w:ascii="Times New Roman"/>
                <w:sz w:val="18"/>
              </w:rPr>
            </w:pPr>
          </w:p>
        </w:tc>
      </w:tr>
    </w:tbl>
    <w:p>
      <w:pPr>
        <w:pStyle w:val="BodyText"/>
        <w:spacing w:before="32"/>
        <w:ind w:left="940"/>
        <w:jc w:val="both"/>
      </w:pPr>
      <w:r>
        <w:rPr/>
        <mc:AlternateContent>
          <mc:Choice Requires="wps">
            <w:drawing>
              <wp:anchor distT="0" distB="0" distL="0" distR="0" allowOverlap="1" layoutInCell="1" locked="0" behindDoc="1" simplePos="0" relativeHeight="477732864">
                <wp:simplePos x="0" y="0"/>
                <wp:positionH relativeFrom="page">
                  <wp:posOffset>1269060</wp:posOffset>
                </wp:positionH>
                <wp:positionV relativeFrom="paragraph">
                  <wp:posOffset>-503745</wp:posOffset>
                </wp:positionV>
                <wp:extent cx="1360170" cy="128143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39.665016pt;width:107.1pt;height:100.9pt;mso-position-horizontal-relative:page;mso-position-vertical-relative:paragraph;z-index:-25583616" id="docshape19" coordorigin="1999,-793" coordsize="2142,2018" path="m3420,916l3419,875,3412,832,3400,788,3383,743,3362,697,3335,650,3304,603,3268,555,3227,507,3181,459,2526,-196,2521,-199,2511,-203,2501,-202,2495,-200,2489,-197,2482,-193,2475,-188,2467,-181,2449,-164,2438,-149,2434,-142,2431,-135,2429,-130,2427,-124,2428,-119,2431,-109,2435,-104,3090,551,3124,586,3154,621,3181,655,3204,687,3223,719,3239,751,3252,781,3261,810,3266,838,3268,866,3267,892,3262,917,3254,942,3243,965,3227,986,3209,1007,3189,1025,3167,1039,3144,1050,3120,1058,3095,1062,3068,1064,3040,1062,3012,1056,2982,1047,2951,1035,2919,1019,2886,999,2852,975,2817,948,2782,916,2745,881,2097,233,2092,230,2083,226,2078,226,2072,227,2067,229,2060,232,2053,236,2038,248,2020,265,2014,273,2009,280,2002,294,2000,299,1999,305,1999,310,2002,320,2006,324,2671,990,2720,1036,2768,1077,2815,1113,2862,1145,2908,1170,2953,1191,2996,1207,3038,1217,3080,1223,3119,1224,3157,1221,3195,1212,3230,1200,3263,1182,3295,1160,3324,1134,3353,1102,3377,1068,3395,1032,3408,995,3417,956,3420,916xm4140,144l4134,90,4120,35,4100,-21,4073,-79,4041,-139,4002,-200,3983,-226,3983,122,3983,161,3977,197,3963,232,3943,265,3916,296,3885,324,3852,344,3819,358,3783,365,3747,367,3709,364,3670,355,3630,341,3589,322,3547,299,3504,271,3460,238,3415,202,3370,163,3324,121,3277,76,3236,33,3197,-10,3160,-53,3126,-97,3095,-140,3068,-183,3046,-226,3028,-268,3013,-309,3004,-348,3000,-387,3001,-425,3007,-462,3020,-497,3040,-530,3067,-560,3097,-587,3130,-607,3163,-621,3199,-629,3236,-630,3274,-627,3313,-618,3353,-605,3394,-586,3436,-563,3479,-536,3523,-504,3567,-469,3612,-431,3657,-389,3702,-346,3744,-302,3783,-259,3820,-215,3855,-171,3887,-127,3914,-84,3936,-41,3955,1,3970,42,3979,83,3983,122,3983,-226,3957,-262,3907,-325,3851,-388,3789,-453,3725,-514,3662,-570,3601,-620,3588,-630,3541,-664,3483,-702,3426,-733,3371,-758,3317,-776,3265,-788,3215,-793,3167,-792,3120,-785,3075,-771,3032,-750,2991,-722,2952,-687,2916,-647,2887,-603,2866,-558,2852,-510,2846,-460,2845,-408,2852,-355,2865,-301,2885,-244,2911,-186,2943,-127,2981,-66,3025,-5,3075,57,3130,120,3190,183,3255,246,3319,302,3381,353,3441,398,3500,436,3557,468,3613,493,3666,512,3718,524,3768,530,3817,529,3864,522,3910,508,3953,487,3995,459,4035,424,4071,383,4081,367,4099,340,4120,294,4133,246,4140,196,4140,144xe" filled="true" fillcolor="#c0c0c0" stroked="false">
                <v:path arrowok="t"/>
                <v:fill opacity="32896f" type="solid"/>
                <w10:wrap type="none"/>
              </v:shape>
            </w:pict>
          </mc:Fallback>
        </mc:AlternateContent>
      </w:r>
      <w:r>
        <w:rPr/>
        <w:t>Source:</w:t>
      </w:r>
      <w:r>
        <w:rPr>
          <w:spacing w:val="-2"/>
        </w:rPr>
        <w:t> </w:t>
      </w:r>
      <w:r>
        <w:rPr/>
        <w:t>Researcher’s</w:t>
      </w:r>
      <w:r>
        <w:rPr>
          <w:spacing w:val="-2"/>
        </w:rPr>
        <w:t> </w:t>
      </w:r>
      <w:r>
        <w:rPr/>
        <w:t>compilation</w:t>
      </w:r>
      <w:r>
        <w:rPr>
          <w:spacing w:val="-1"/>
        </w:rPr>
        <w:t> </w:t>
      </w:r>
      <w:r>
        <w:rPr>
          <w:spacing w:val="-2"/>
        </w:rPr>
        <w:t>(2021)</w:t>
      </w:r>
    </w:p>
    <w:p>
      <w:pPr>
        <w:pStyle w:val="BodyText"/>
      </w:pPr>
    </w:p>
    <w:p>
      <w:pPr>
        <w:pStyle w:val="BodyText"/>
        <w:spacing w:line="480" w:lineRule="auto"/>
        <w:ind w:left="940" w:right="1435"/>
        <w:jc w:val="both"/>
      </w:pPr>
      <w:r>
        <w:rPr/>
        <mc:AlternateContent>
          <mc:Choice Requires="wps">
            <w:drawing>
              <wp:anchor distT="0" distB="0" distL="0" distR="0" allowOverlap="1" layoutInCell="1" locked="0" behindDoc="1" simplePos="0" relativeHeight="477732352">
                <wp:simplePos x="0" y="0"/>
                <wp:positionH relativeFrom="page">
                  <wp:posOffset>1095451</wp:posOffset>
                </wp:positionH>
                <wp:positionV relativeFrom="paragraph">
                  <wp:posOffset>-53691</wp:posOffset>
                </wp:positionV>
                <wp:extent cx="721995" cy="72263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4.227656pt;width:56.85pt;height:56.9pt;mso-position-horizontal-relative:page;mso-position-vertical-relative:paragraph;z-index:-25584128" id="docshape20" coordorigin="1725,-85" coordsize="1137,1138" path="m1809,-84l1747,-46,1725,-1,1729,9,2763,1045,2782,1053,2787,1051,2793,1050,2852,998,2860,978,2862,973,1823,-77,1819,-81,1809,-84xe" filled="true" fillcolor="#c0c0c0" stroked="false">
                <v:path arrowok="t"/>
                <v:fill opacity="32896f" type="solid"/>
                <w10:wrap type="none"/>
              </v:shape>
            </w:pict>
          </mc:Fallback>
        </mc:AlternateContent>
      </w:r>
      <w:r>
        <w:rPr/>
        <w:t>The correlation statistics gave an indication of the direction and magnitude of relationships between the variables. Positive correlations indicated that an increase in one variable was associated with increases in the other, and vice-versa. The Pearson correlation results showed the</w:t>
      </w:r>
      <w:r>
        <w:rPr>
          <w:spacing w:val="-11"/>
        </w:rPr>
        <w:t> </w:t>
      </w:r>
      <w:r>
        <w:rPr/>
        <w:t>correlations</w:t>
      </w:r>
      <w:r>
        <w:rPr>
          <w:spacing w:val="-10"/>
        </w:rPr>
        <w:t> </w:t>
      </w:r>
      <w:r>
        <w:rPr/>
        <w:t>between</w:t>
      </w:r>
      <w:r>
        <w:rPr>
          <w:spacing w:val="-8"/>
        </w:rPr>
        <w:t> </w:t>
      </w:r>
      <w:r>
        <w:rPr/>
        <w:t>FRQ</w:t>
      </w:r>
      <w:r>
        <w:rPr>
          <w:spacing w:val="-11"/>
        </w:rPr>
        <w:t> </w:t>
      </w:r>
      <w:r>
        <w:rPr/>
        <w:t>which</w:t>
      </w:r>
      <w:r>
        <w:rPr>
          <w:spacing w:val="-6"/>
        </w:rPr>
        <w:t> </w:t>
      </w:r>
      <w:r>
        <w:rPr/>
        <w:t>was</w:t>
      </w:r>
      <w:r>
        <w:rPr>
          <w:spacing w:val="-10"/>
        </w:rPr>
        <w:t> </w:t>
      </w:r>
      <w:r>
        <w:rPr/>
        <w:t>the</w:t>
      </w:r>
      <w:r>
        <w:rPr>
          <w:spacing w:val="-11"/>
        </w:rPr>
        <w:t> </w:t>
      </w:r>
      <w:r>
        <w:rPr/>
        <w:t>dependent</w:t>
      </w:r>
      <w:r>
        <w:rPr>
          <w:spacing w:val="-10"/>
        </w:rPr>
        <w:t> </w:t>
      </w:r>
      <w:r>
        <w:rPr/>
        <w:t>variable</w:t>
      </w:r>
      <w:r>
        <w:rPr>
          <w:spacing w:val="-11"/>
        </w:rPr>
        <w:t> </w:t>
      </w:r>
      <w:r>
        <w:rPr/>
        <w:t>and</w:t>
      </w:r>
      <w:r>
        <w:rPr>
          <w:spacing w:val="-9"/>
        </w:rPr>
        <w:t> </w:t>
      </w:r>
      <w:r>
        <w:rPr/>
        <w:t>the</w:t>
      </w:r>
      <w:r>
        <w:rPr>
          <w:spacing w:val="-11"/>
        </w:rPr>
        <w:t> </w:t>
      </w:r>
      <w:r>
        <w:rPr/>
        <w:t>independent</w:t>
      </w:r>
      <w:r>
        <w:rPr>
          <w:spacing w:val="-10"/>
        </w:rPr>
        <w:t> </w:t>
      </w:r>
      <w:r>
        <w:rPr/>
        <w:t>variables in the study. The results revealed that FRQ was negatively correlated with BDS (r=--0.061) although not significant at 5% (p=0.4131), negatively correlated with BDIND(r=-0.089) although</w:t>
      </w:r>
      <w:r>
        <w:rPr>
          <w:spacing w:val="71"/>
        </w:rPr>
        <w:t> </w:t>
      </w:r>
      <w:r>
        <w:rPr/>
        <w:t>not</w:t>
      </w:r>
      <w:r>
        <w:rPr>
          <w:spacing w:val="73"/>
        </w:rPr>
        <w:t> </w:t>
      </w:r>
      <w:r>
        <w:rPr/>
        <w:t>significant</w:t>
      </w:r>
      <w:r>
        <w:rPr>
          <w:spacing w:val="73"/>
        </w:rPr>
        <w:t> </w:t>
      </w:r>
      <w:r>
        <w:rPr/>
        <w:t>at</w:t>
      </w:r>
      <w:r>
        <w:rPr>
          <w:spacing w:val="73"/>
        </w:rPr>
        <w:t> </w:t>
      </w:r>
      <w:r>
        <w:rPr/>
        <w:t>5%</w:t>
      </w:r>
      <w:r>
        <w:rPr>
          <w:spacing w:val="74"/>
        </w:rPr>
        <w:t> </w:t>
      </w:r>
      <w:r>
        <w:rPr/>
        <w:t>(p=0.2156)</w:t>
      </w:r>
      <w:r>
        <w:rPr>
          <w:spacing w:val="74"/>
        </w:rPr>
        <w:t> </w:t>
      </w:r>
      <w:r>
        <w:rPr/>
        <w:t>and</w:t>
      </w:r>
      <w:r>
        <w:rPr>
          <w:spacing w:val="74"/>
        </w:rPr>
        <w:t> </w:t>
      </w:r>
      <w:r>
        <w:rPr/>
        <w:t>also</w:t>
      </w:r>
      <w:r>
        <w:rPr>
          <w:spacing w:val="73"/>
        </w:rPr>
        <w:t> </w:t>
      </w:r>
      <w:r>
        <w:rPr/>
        <w:t>positively</w:t>
      </w:r>
      <w:r>
        <w:rPr>
          <w:spacing w:val="73"/>
        </w:rPr>
        <w:t> </w:t>
      </w:r>
      <w:r>
        <w:rPr/>
        <w:t>correlated</w:t>
      </w:r>
      <w:r>
        <w:rPr>
          <w:spacing w:val="73"/>
        </w:rPr>
        <w:t> </w:t>
      </w:r>
      <w:r>
        <w:rPr/>
        <w:t>with</w:t>
      </w:r>
      <w:r>
        <w:rPr>
          <w:spacing w:val="73"/>
        </w:rPr>
        <w:t> </w:t>
      </w:r>
      <w:r>
        <w:rPr>
          <w:spacing w:val="-2"/>
        </w:rPr>
        <w:t>BFEXP</w:t>
      </w:r>
    </w:p>
    <w:p>
      <w:pPr>
        <w:spacing w:after="0" w:line="480" w:lineRule="auto"/>
        <w:jc w:val="both"/>
        <w:sectPr>
          <w:type w:val="continuous"/>
          <w:pgSz w:w="11910" w:h="16840"/>
          <w:pgMar w:header="0" w:footer="971" w:top="140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33888">
            <wp:simplePos x="0" y="0"/>
            <wp:positionH relativeFrom="page">
              <wp:posOffset>1095451</wp:posOffset>
            </wp:positionH>
            <wp:positionV relativeFrom="paragraph">
              <wp:posOffset>1850770</wp:posOffset>
            </wp:positionV>
            <wp:extent cx="5106847" cy="5238115"/>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 cstate="print"/>
                    <a:stretch>
                      <a:fillRect/>
                    </a:stretch>
                  </pic:blipFill>
                  <pic:spPr>
                    <a:xfrm>
                      <a:off x="0" y="0"/>
                      <a:ext cx="5106847" cy="5238115"/>
                    </a:xfrm>
                    <a:prstGeom prst="rect">
                      <a:avLst/>
                    </a:prstGeom>
                  </pic:spPr>
                </pic:pic>
              </a:graphicData>
            </a:graphic>
          </wp:anchor>
        </w:drawing>
      </w:r>
      <w:r>
        <w:rPr/>
        <w:t>(r=0.1083)</w:t>
      </w:r>
      <w:r>
        <w:rPr>
          <w:spacing w:val="-14"/>
        </w:rPr>
        <w:t> </w:t>
      </w:r>
      <w:r>
        <w:rPr/>
        <w:t>but</w:t>
      </w:r>
      <w:r>
        <w:rPr>
          <w:spacing w:val="-15"/>
        </w:rPr>
        <w:t> </w:t>
      </w:r>
      <w:r>
        <w:rPr/>
        <w:t>not</w:t>
      </w:r>
      <w:r>
        <w:rPr>
          <w:spacing w:val="-15"/>
        </w:rPr>
        <w:t> </w:t>
      </w:r>
      <w:r>
        <w:rPr/>
        <w:t>significant</w:t>
      </w:r>
      <w:r>
        <w:rPr>
          <w:spacing w:val="-15"/>
        </w:rPr>
        <w:t> </w:t>
      </w:r>
      <w:r>
        <w:rPr/>
        <w:t>at</w:t>
      </w:r>
      <w:r>
        <w:rPr>
          <w:spacing w:val="-13"/>
        </w:rPr>
        <w:t> </w:t>
      </w:r>
      <w:r>
        <w:rPr/>
        <w:t>5%</w:t>
      </w:r>
      <w:r>
        <w:rPr>
          <w:spacing w:val="-14"/>
        </w:rPr>
        <w:t> </w:t>
      </w:r>
      <w:r>
        <w:rPr/>
        <w:t>(p=0.1467).</w:t>
      </w:r>
      <w:r>
        <w:rPr>
          <w:spacing w:val="-13"/>
        </w:rPr>
        <w:t> </w:t>
      </w:r>
      <w:r>
        <w:rPr/>
        <w:t>Furthermore,</w:t>
      </w:r>
      <w:r>
        <w:rPr>
          <w:spacing w:val="-13"/>
        </w:rPr>
        <w:t> </w:t>
      </w:r>
      <w:r>
        <w:rPr/>
        <w:t>the</w:t>
      </w:r>
      <w:r>
        <w:rPr>
          <w:spacing w:val="-14"/>
        </w:rPr>
        <w:t> </w:t>
      </w:r>
      <w:r>
        <w:rPr/>
        <w:t>results</w:t>
      </w:r>
      <w:r>
        <w:rPr>
          <w:spacing w:val="-15"/>
        </w:rPr>
        <w:t> </w:t>
      </w:r>
      <w:r>
        <w:rPr/>
        <w:t>showed</w:t>
      </w:r>
      <w:r>
        <w:rPr>
          <w:spacing w:val="-15"/>
        </w:rPr>
        <w:t> </w:t>
      </w:r>
      <w:r>
        <w:rPr/>
        <w:t>that</w:t>
      </w:r>
      <w:r>
        <w:rPr>
          <w:spacing w:val="-15"/>
        </w:rPr>
        <w:t> </w:t>
      </w:r>
      <w:r>
        <w:rPr/>
        <w:t>that</w:t>
      </w:r>
      <w:r>
        <w:rPr>
          <w:spacing w:val="-15"/>
        </w:rPr>
        <w:t> </w:t>
      </w:r>
      <w:r>
        <w:rPr/>
        <w:t>FRQ was</w:t>
      </w:r>
      <w:r>
        <w:rPr>
          <w:spacing w:val="-6"/>
        </w:rPr>
        <w:t> </w:t>
      </w:r>
      <w:r>
        <w:rPr/>
        <w:t>positively</w:t>
      </w:r>
      <w:r>
        <w:rPr>
          <w:spacing w:val="-5"/>
        </w:rPr>
        <w:t> </w:t>
      </w:r>
      <w:r>
        <w:rPr/>
        <w:t>and</w:t>
      </w:r>
      <w:r>
        <w:rPr>
          <w:spacing w:val="-5"/>
        </w:rPr>
        <w:t> </w:t>
      </w:r>
      <w:r>
        <w:rPr/>
        <w:t>although</w:t>
      </w:r>
      <w:r>
        <w:rPr>
          <w:spacing w:val="-6"/>
        </w:rPr>
        <w:t> </w:t>
      </w:r>
      <w:r>
        <w:rPr/>
        <w:t>not</w:t>
      </w:r>
      <w:r>
        <w:rPr>
          <w:spacing w:val="-5"/>
        </w:rPr>
        <w:t> </w:t>
      </w:r>
      <w:r>
        <w:rPr/>
        <w:t>significantly</w:t>
      </w:r>
      <w:r>
        <w:rPr>
          <w:spacing w:val="-6"/>
        </w:rPr>
        <w:t> </w:t>
      </w:r>
      <w:r>
        <w:rPr/>
        <w:t>correlated</w:t>
      </w:r>
      <w:r>
        <w:rPr>
          <w:spacing w:val="-6"/>
        </w:rPr>
        <w:t> </w:t>
      </w:r>
      <w:r>
        <w:rPr/>
        <w:t>with</w:t>
      </w:r>
      <w:r>
        <w:rPr>
          <w:spacing w:val="-5"/>
        </w:rPr>
        <w:t> </w:t>
      </w:r>
      <w:r>
        <w:rPr/>
        <w:t>MOWN</w:t>
      </w:r>
      <w:r>
        <w:rPr>
          <w:spacing w:val="-3"/>
        </w:rPr>
        <w:t> </w:t>
      </w:r>
      <w:r>
        <w:rPr/>
        <w:t>(r=0.003,</w:t>
      </w:r>
      <w:r>
        <w:rPr>
          <w:spacing w:val="-6"/>
        </w:rPr>
        <w:t> </w:t>
      </w:r>
      <w:r>
        <w:rPr/>
        <w:t>p=0.679).</w:t>
      </w:r>
      <w:r>
        <w:rPr>
          <w:spacing w:val="-6"/>
        </w:rPr>
        <w:t> </w:t>
      </w:r>
      <w:r>
        <w:rPr/>
        <w:t>The results</w:t>
      </w:r>
      <w:r>
        <w:rPr>
          <w:spacing w:val="-15"/>
        </w:rPr>
        <w:t> </w:t>
      </w:r>
      <w:r>
        <w:rPr/>
        <w:t>revealed</w:t>
      </w:r>
      <w:r>
        <w:rPr>
          <w:spacing w:val="-15"/>
        </w:rPr>
        <w:t> </w:t>
      </w:r>
      <w:r>
        <w:rPr/>
        <w:t>that</w:t>
      </w:r>
      <w:r>
        <w:rPr>
          <w:spacing w:val="-15"/>
        </w:rPr>
        <w:t> </w:t>
      </w:r>
      <w:r>
        <w:rPr/>
        <w:t>FRQ</w:t>
      </w:r>
      <w:r>
        <w:rPr>
          <w:spacing w:val="-15"/>
        </w:rPr>
        <w:t> </w:t>
      </w:r>
      <w:r>
        <w:rPr/>
        <w:t>is</w:t>
      </w:r>
      <w:r>
        <w:rPr>
          <w:spacing w:val="-15"/>
        </w:rPr>
        <w:t> </w:t>
      </w:r>
      <w:r>
        <w:rPr/>
        <w:t>negatively</w:t>
      </w:r>
      <w:r>
        <w:rPr>
          <w:spacing w:val="-15"/>
        </w:rPr>
        <w:t> </w:t>
      </w:r>
      <w:r>
        <w:rPr/>
        <w:t>correlated</w:t>
      </w:r>
      <w:r>
        <w:rPr>
          <w:spacing w:val="-15"/>
        </w:rPr>
        <w:t> </w:t>
      </w:r>
      <w:r>
        <w:rPr/>
        <w:t>with</w:t>
      </w:r>
      <w:r>
        <w:rPr>
          <w:spacing w:val="-15"/>
        </w:rPr>
        <w:t> </w:t>
      </w:r>
      <w:r>
        <w:rPr/>
        <w:t>INSTOWN</w:t>
      </w:r>
      <w:r>
        <w:rPr>
          <w:spacing w:val="-14"/>
        </w:rPr>
        <w:t> </w:t>
      </w:r>
      <w:r>
        <w:rPr/>
        <w:t>although</w:t>
      </w:r>
      <w:r>
        <w:rPr>
          <w:spacing w:val="-15"/>
        </w:rPr>
        <w:t> </w:t>
      </w:r>
      <w:r>
        <w:rPr/>
        <w:t>not</w:t>
      </w:r>
      <w:r>
        <w:rPr>
          <w:spacing w:val="-15"/>
        </w:rPr>
        <w:t> </w:t>
      </w:r>
      <w:r>
        <w:rPr/>
        <w:t>significant</w:t>
      </w:r>
      <w:r>
        <w:rPr>
          <w:spacing w:val="-15"/>
        </w:rPr>
        <w:t> </w:t>
      </w:r>
      <w:r>
        <w:rPr/>
        <w:t>(r=- 0.054, p=0.4699), also negatively correlated although not significant with FOWN (r=-0.051, p=0.4977). Furthermore, FRQ was positively and significantly correlated with BLOWN (r=0.0056, p=0.9405).</w:t>
      </w:r>
    </w:p>
    <w:p>
      <w:pPr>
        <w:pStyle w:val="BodyText"/>
        <w:spacing w:line="480" w:lineRule="auto" w:before="1"/>
        <w:ind w:left="940" w:right="1434"/>
        <w:jc w:val="both"/>
      </w:pPr>
      <w:r>
        <w:rPr/>
        <w:t>The Pearson correlation results showed the correlations between DISACC were positively correlated with IFRS (r=0.038) although not significant (p=0.608), negatively correlated with BDIND (r=-0.0315) although not significant at 5% (p=0.674), negatively correlated with BDS(r=-0.0612) although not significant at 5% (p=0.0413) and correlated with BFEXP (r=- 0.0141) but not significant at 5% (p=0.8504). Furthermore, the results showed that DISACC was positively and significantly correlated with MOWN (r=0.219, p=0.003). The results revealed</w:t>
      </w:r>
      <w:r>
        <w:rPr>
          <w:spacing w:val="-12"/>
        </w:rPr>
        <w:t> </w:t>
      </w:r>
      <w:r>
        <w:rPr/>
        <w:t>that</w:t>
      </w:r>
      <w:r>
        <w:rPr>
          <w:spacing w:val="-12"/>
        </w:rPr>
        <w:t> </w:t>
      </w:r>
      <w:r>
        <w:rPr/>
        <w:t>DISACC</w:t>
      </w:r>
      <w:r>
        <w:rPr>
          <w:spacing w:val="-11"/>
        </w:rPr>
        <w:t> </w:t>
      </w:r>
      <w:r>
        <w:rPr/>
        <w:t>was</w:t>
      </w:r>
      <w:r>
        <w:rPr>
          <w:spacing w:val="-11"/>
        </w:rPr>
        <w:t> </w:t>
      </w:r>
      <w:r>
        <w:rPr/>
        <w:t>negatively</w:t>
      </w:r>
      <w:r>
        <w:rPr>
          <w:spacing w:val="-11"/>
        </w:rPr>
        <w:t> </w:t>
      </w:r>
      <w:r>
        <w:rPr/>
        <w:t>correlated</w:t>
      </w:r>
      <w:r>
        <w:rPr>
          <w:spacing w:val="-9"/>
        </w:rPr>
        <w:t> </w:t>
      </w:r>
      <w:r>
        <w:rPr/>
        <w:t>with</w:t>
      </w:r>
      <w:r>
        <w:rPr>
          <w:spacing w:val="-11"/>
        </w:rPr>
        <w:t> </w:t>
      </w:r>
      <w:r>
        <w:rPr/>
        <w:t>INSTOWN</w:t>
      </w:r>
      <w:r>
        <w:rPr>
          <w:spacing w:val="-11"/>
        </w:rPr>
        <w:t> </w:t>
      </w:r>
      <w:r>
        <w:rPr/>
        <w:t>although</w:t>
      </w:r>
      <w:r>
        <w:rPr>
          <w:spacing w:val="-11"/>
        </w:rPr>
        <w:t> </w:t>
      </w:r>
      <w:r>
        <w:rPr/>
        <w:t>not</w:t>
      </w:r>
      <w:r>
        <w:rPr>
          <w:spacing w:val="-11"/>
        </w:rPr>
        <w:t> </w:t>
      </w:r>
      <w:r>
        <w:rPr/>
        <w:t>significant</w:t>
      </w:r>
      <w:r>
        <w:rPr>
          <w:spacing w:val="-11"/>
        </w:rPr>
        <w:t> </w:t>
      </w:r>
      <w:r>
        <w:rPr/>
        <w:t>(r=- 0.0932, p=0.212), also negatively correlated although not significant with FOWN (r=-0.010, p=0.884). Furthermore, DISACC was correlated with FSIZE (r=-0.0312, p=0.676). The Pearson correlation results showed the correlations between VREL was negatively correlated with IFRS (r=-0.067) although not significant (p=0.369), negatively correlated with BDIND (r=-0.128)</w:t>
      </w:r>
      <w:r>
        <w:rPr>
          <w:spacing w:val="-10"/>
        </w:rPr>
        <w:t> </w:t>
      </w:r>
      <w:r>
        <w:rPr/>
        <w:t>although</w:t>
      </w:r>
      <w:r>
        <w:rPr>
          <w:spacing w:val="-12"/>
        </w:rPr>
        <w:t> </w:t>
      </w:r>
      <w:r>
        <w:rPr/>
        <w:t>not</w:t>
      </w:r>
      <w:r>
        <w:rPr>
          <w:spacing w:val="-12"/>
        </w:rPr>
        <w:t> </w:t>
      </w:r>
      <w:r>
        <w:rPr/>
        <w:t>significant</w:t>
      </w:r>
      <w:r>
        <w:rPr>
          <w:spacing w:val="-12"/>
        </w:rPr>
        <w:t> </w:t>
      </w:r>
      <w:r>
        <w:rPr/>
        <w:t>at</w:t>
      </w:r>
      <w:r>
        <w:rPr>
          <w:spacing w:val="-12"/>
        </w:rPr>
        <w:t> </w:t>
      </w:r>
      <w:r>
        <w:rPr/>
        <w:t>5%</w:t>
      </w:r>
      <w:r>
        <w:rPr>
          <w:spacing w:val="-13"/>
        </w:rPr>
        <w:t> </w:t>
      </w:r>
      <w:r>
        <w:rPr/>
        <w:t>(p=0.851),</w:t>
      </w:r>
      <w:r>
        <w:rPr>
          <w:spacing w:val="-13"/>
        </w:rPr>
        <w:t> </w:t>
      </w:r>
      <w:r>
        <w:rPr/>
        <w:t>negatively</w:t>
      </w:r>
      <w:r>
        <w:rPr>
          <w:spacing w:val="-12"/>
        </w:rPr>
        <w:t> </w:t>
      </w:r>
      <w:r>
        <w:rPr/>
        <w:t>correlated</w:t>
      </w:r>
      <w:r>
        <w:rPr>
          <w:spacing w:val="-12"/>
        </w:rPr>
        <w:t> </w:t>
      </w:r>
      <w:r>
        <w:rPr/>
        <w:t>with</w:t>
      </w:r>
      <w:r>
        <w:rPr>
          <w:spacing w:val="-12"/>
        </w:rPr>
        <w:t> </w:t>
      </w:r>
      <w:r>
        <w:rPr/>
        <w:t>BDS(r=-0.036) although not significant at 5% (p=0.6332) and correlated with BFEXP (r=-0.0141) but not significant</w:t>
      </w:r>
      <w:r>
        <w:rPr>
          <w:spacing w:val="-7"/>
        </w:rPr>
        <w:t> </w:t>
      </w:r>
      <w:r>
        <w:rPr/>
        <w:t>at</w:t>
      </w:r>
      <w:r>
        <w:rPr>
          <w:spacing w:val="-7"/>
        </w:rPr>
        <w:t> </w:t>
      </w:r>
      <w:r>
        <w:rPr/>
        <w:t>5%</w:t>
      </w:r>
      <w:r>
        <w:rPr>
          <w:spacing w:val="-6"/>
        </w:rPr>
        <w:t> </w:t>
      </w:r>
      <w:r>
        <w:rPr/>
        <w:t>(p=0.188).</w:t>
      </w:r>
      <w:r>
        <w:rPr>
          <w:spacing w:val="-8"/>
        </w:rPr>
        <w:t> </w:t>
      </w:r>
      <w:r>
        <w:rPr/>
        <w:t>Furthermore,</w:t>
      </w:r>
      <w:r>
        <w:rPr>
          <w:spacing w:val="-7"/>
        </w:rPr>
        <w:t> </w:t>
      </w:r>
      <w:r>
        <w:rPr/>
        <w:t>the</w:t>
      </w:r>
      <w:r>
        <w:rPr>
          <w:spacing w:val="-5"/>
        </w:rPr>
        <w:t> </w:t>
      </w:r>
      <w:r>
        <w:rPr/>
        <w:t>results</w:t>
      </w:r>
      <w:r>
        <w:rPr>
          <w:spacing w:val="-7"/>
        </w:rPr>
        <w:t> </w:t>
      </w:r>
      <w:r>
        <w:rPr/>
        <w:t>showed</w:t>
      </w:r>
      <w:r>
        <w:rPr>
          <w:spacing w:val="-7"/>
        </w:rPr>
        <w:t> </w:t>
      </w:r>
      <w:r>
        <w:rPr/>
        <w:t>that</w:t>
      </w:r>
      <w:r>
        <w:rPr>
          <w:spacing w:val="-7"/>
        </w:rPr>
        <w:t> </w:t>
      </w:r>
      <w:r>
        <w:rPr/>
        <w:t>that</w:t>
      </w:r>
      <w:r>
        <w:rPr>
          <w:spacing w:val="-5"/>
        </w:rPr>
        <w:t> </w:t>
      </w:r>
      <w:r>
        <w:rPr/>
        <w:t>VREL</w:t>
      </w:r>
      <w:r>
        <w:rPr>
          <w:spacing w:val="-6"/>
        </w:rPr>
        <w:t> </w:t>
      </w:r>
      <w:r>
        <w:rPr/>
        <w:t>was</w:t>
      </w:r>
      <w:r>
        <w:rPr>
          <w:spacing w:val="-7"/>
        </w:rPr>
        <w:t> </w:t>
      </w:r>
      <w:r>
        <w:rPr/>
        <w:t>significantly correlated with MOWN (r=0.258, p=0.000), negatively correlated with INSTOWN although not significant (r=-0.13, p=0.0823), also negatively correlated although not significant with FOWN (r=-0.022, p=0.7665). Furthermore, VREL was correlated with negatively BLOWN (r=-0.034, p=0.2064),</w:t>
      </w:r>
    </w:p>
    <w:p>
      <w:pPr>
        <w:spacing w:after="0" w:line="480" w:lineRule="auto"/>
        <w:jc w:val="both"/>
        <w:sectPr>
          <w:pgSz w:w="11910" w:h="16840"/>
          <w:pgMar w:header="0" w:footer="971" w:top="1360" w:bottom="1160" w:left="500" w:right="0"/>
        </w:sectPr>
      </w:pPr>
    </w:p>
    <w:p>
      <w:pPr>
        <w:pStyle w:val="Heading3"/>
        <w:numPr>
          <w:ilvl w:val="1"/>
          <w:numId w:val="29"/>
        </w:numPr>
        <w:tabs>
          <w:tab w:pos="1360" w:val="left" w:leader="none"/>
        </w:tabs>
        <w:spacing w:line="240" w:lineRule="auto" w:before="61" w:after="0"/>
        <w:ind w:left="1360" w:right="0" w:hanging="420"/>
        <w:jc w:val="left"/>
      </w:pPr>
      <w:bookmarkStart w:name="_TOC_250019" w:id="51"/>
      <w:r>
        <w:rPr/>
        <w:t>Multicollinearity</w:t>
      </w:r>
      <w:r>
        <w:rPr>
          <w:spacing w:val="-3"/>
        </w:rPr>
        <w:t> </w:t>
      </w:r>
      <w:bookmarkEnd w:id="51"/>
      <w:r>
        <w:rPr>
          <w:spacing w:val="-2"/>
        </w:rPr>
        <w:t>Analysis</w:t>
      </w:r>
    </w:p>
    <w:p>
      <w:pPr>
        <w:pStyle w:val="BodyText"/>
        <w:rPr>
          <w:b/>
        </w:rPr>
      </w:pPr>
    </w:p>
    <w:p>
      <w:pPr>
        <w:pStyle w:val="BodyText"/>
        <w:spacing w:line="480" w:lineRule="auto"/>
        <w:ind w:left="940" w:right="1438"/>
        <w:jc w:val="both"/>
      </w:pPr>
      <w:r>
        <w:rPr/>
        <w:drawing>
          <wp:anchor distT="0" distB="0" distL="0" distR="0" allowOverlap="1" layoutInCell="1" locked="0" behindDoc="1" simplePos="0" relativeHeight="477734400">
            <wp:simplePos x="0" y="0"/>
            <wp:positionH relativeFrom="page">
              <wp:posOffset>1095451</wp:posOffset>
            </wp:positionH>
            <wp:positionV relativeFrom="paragraph">
              <wp:posOffset>1461545</wp:posOffset>
            </wp:positionV>
            <wp:extent cx="5106847" cy="5238115"/>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5106847" cy="5238115"/>
                    </a:xfrm>
                    <a:prstGeom prst="rect">
                      <a:avLst/>
                    </a:prstGeom>
                  </pic:spPr>
                </pic:pic>
              </a:graphicData>
            </a:graphic>
          </wp:anchor>
        </w:drawing>
      </w:r>
      <w:r>
        <w:rPr/>
        <w:t>Multicollinearity</w:t>
      </w:r>
      <w:r>
        <w:rPr>
          <w:spacing w:val="-8"/>
        </w:rPr>
        <w:t> </w:t>
      </w:r>
      <w:r>
        <w:rPr/>
        <w:t>among</w:t>
      </w:r>
      <w:r>
        <w:rPr>
          <w:spacing w:val="-8"/>
        </w:rPr>
        <w:t> </w:t>
      </w:r>
      <w:r>
        <w:rPr/>
        <w:t>the</w:t>
      </w:r>
      <w:r>
        <w:rPr>
          <w:spacing w:val="-9"/>
        </w:rPr>
        <w:t> </w:t>
      </w:r>
      <w:r>
        <w:rPr/>
        <w:t>independent</w:t>
      </w:r>
      <w:r>
        <w:rPr>
          <w:spacing w:val="-8"/>
        </w:rPr>
        <w:t> </w:t>
      </w:r>
      <w:r>
        <w:rPr/>
        <w:t>variables</w:t>
      </w:r>
      <w:r>
        <w:rPr>
          <w:spacing w:val="-6"/>
        </w:rPr>
        <w:t> </w:t>
      </w:r>
      <w:r>
        <w:rPr/>
        <w:t>implies</w:t>
      </w:r>
      <w:r>
        <w:rPr>
          <w:spacing w:val="-8"/>
        </w:rPr>
        <w:t> </w:t>
      </w:r>
      <w:r>
        <w:rPr/>
        <w:t>that</w:t>
      </w:r>
      <w:r>
        <w:rPr>
          <w:spacing w:val="-8"/>
        </w:rPr>
        <w:t> </w:t>
      </w:r>
      <w:r>
        <w:rPr/>
        <w:t>they</w:t>
      </w:r>
      <w:r>
        <w:rPr>
          <w:spacing w:val="-9"/>
        </w:rPr>
        <w:t> </w:t>
      </w:r>
      <w:r>
        <w:rPr/>
        <w:t>are</w:t>
      </w:r>
      <w:r>
        <w:rPr>
          <w:spacing w:val="-10"/>
        </w:rPr>
        <w:t> </w:t>
      </w:r>
      <w:r>
        <w:rPr/>
        <w:t>perfectly</w:t>
      </w:r>
      <w:r>
        <w:rPr>
          <w:spacing w:val="-8"/>
        </w:rPr>
        <w:t> </w:t>
      </w:r>
      <w:r>
        <w:rPr/>
        <w:t>correlated.</w:t>
      </w:r>
      <w:r>
        <w:rPr>
          <w:spacing w:val="-6"/>
        </w:rPr>
        <w:t> </w:t>
      </w:r>
      <w:r>
        <w:rPr/>
        <w:t>If there</w:t>
      </w:r>
      <w:r>
        <w:rPr>
          <w:spacing w:val="-8"/>
        </w:rPr>
        <w:t> </w:t>
      </w:r>
      <w:r>
        <w:rPr/>
        <w:t>exists</w:t>
      </w:r>
      <w:r>
        <w:rPr>
          <w:spacing w:val="-6"/>
        </w:rPr>
        <w:t> </w:t>
      </w:r>
      <w:r>
        <w:rPr/>
        <w:t>a</w:t>
      </w:r>
      <w:r>
        <w:rPr>
          <w:spacing w:val="-8"/>
        </w:rPr>
        <w:t> </w:t>
      </w:r>
      <w:r>
        <w:rPr/>
        <w:t>perfect</w:t>
      </w:r>
      <w:r>
        <w:rPr>
          <w:spacing w:val="-6"/>
        </w:rPr>
        <w:t> </w:t>
      </w:r>
      <w:r>
        <w:rPr/>
        <w:t>correlation</w:t>
      </w:r>
      <w:r>
        <w:rPr>
          <w:spacing w:val="-6"/>
        </w:rPr>
        <w:t> </w:t>
      </w:r>
      <w:r>
        <w:rPr/>
        <w:t>between</w:t>
      </w:r>
      <w:r>
        <w:rPr>
          <w:spacing w:val="-7"/>
        </w:rPr>
        <w:t> </w:t>
      </w:r>
      <w:r>
        <w:rPr/>
        <w:t>the</w:t>
      </w:r>
      <w:r>
        <w:rPr>
          <w:spacing w:val="-7"/>
        </w:rPr>
        <w:t> </w:t>
      </w:r>
      <w:r>
        <w:rPr/>
        <w:t>independent</w:t>
      </w:r>
      <w:r>
        <w:rPr>
          <w:spacing w:val="-6"/>
        </w:rPr>
        <w:t> </w:t>
      </w:r>
      <w:r>
        <w:rPr/>
        <w:t>variables,</w:t>
      </w:r>
      <w:r>
        <w:rPr>
          <w:spacing w:val="-7"/>
        </w:rPr>
        <w:t> </w:t>
      </w:r>
      <w:r>
        <w:rPr/>
        <w:t>the</w:t>
      </w:r>
      <w:r>
        <w:rPr>
          <w:spacing w:val="-7"/>
        </w:rPr>
        <w:t> </w:t>
      </w:r>
      <w:r>
        <w:rPr/>
        <w:t>parameter</w:t>
      </w:r>
      <w:r>
        <w:rPr>
          <w:spacing w:val="-8"/>
        </w:rPr>
        <w:t> </w:t>
      </w:r>
      <w:r>
        <w:rPr/>
        <w:t>coefficients will be indeterminate. It is worth noting that accounting variables are influenced once the variables then show the same broad patterns of behaviour over time. In the presence of multicollinearity,</w:t>
      </w:r>
      <w:r>
        <w:rPr>
          <w:spacing w:val="-8"/>
        </w:rPr>
        <w:t> </w:t>
      </w:r>
      <w:r>
        <w:rPr/>
        <w:t>there</w:t>
      </w:r>
      <w:r>
        <w:rPr>
          <w:spacing w:val="-9"/>
        </w:rPr>
        <w:t> </w:t>
      </w:r>
      <w:r>
        <w:rPr/>
        <w:t>will</w:t>
      </w:r>
      <w:r>
        <w:rPr>
          <w:spacing w:val="-8"/>
        </w:rPr>
        <w:t> </w:t>
      </w:r>
      <w:r>
        <w:rPr/>
        <w:t>be</w:t>
      </w:r>
      <w:r>
        <w:rPr>
          <w:spacing w:val="-9"/>
        </w:rPr>
        <w:t> </w:t>
      </w:r>
      <w:r>
        <w:rPr/>
        <w:t>large</w:t>
      </w:r>
      <w:r>
        <w:rPr>
          <w:spacing w:val="-9"/>
        </w:rPr>
        <w:t> </w:t>
      </w:r>
      <w:r>
        <w:rPr/>
        <w:t>standard</w:t>
      </w:r>
      <w:r>
        <w:rPr>
          <w:spacing w:val="-7"/>
        </w:rPr>
        <w:t> </w:t>
      </w:r>
      <w:r>
        <w:rPr/>
        <w:t>errors</w:t>
      </w:r>
      <w:r>
        <w:rPr>
          <w:spacing w:val="-8"/>
        </w:rPr>
        <w:t> </w:t>
      </w:r>
      <w:r>
        <w:rPr/>
        <w:t>of</w:t>
      </w:r>
      <w:r>
        <w:rPr>
          <w:spacing w:val="-9"/>
        </w:rPr>
        <w:t> </w:t>
      </w:r>
      <w:r>
        <w:rPr/>
        <w:t>the</w:t>
      </w:r>
      <w:r>
        <w:rPr>
          <w:spacing w:val="-9"/>
        </w:rPr>
        <w:t> </w:t>
      </w:r>
      <w:r>
        <w:rPr/>
        <w:t>estimated</w:t>
      </w:r>
      <w:r>
        <w:rPr>
          <w:spacing w:val="-8"/>
        </w:rPr>
        <w:t> </w:t>
      </w:r>
      <w:r>
        <w:rPr/>
        <w:t>coefficients.</w:t>
      </w:r>
      <w:r>
        <w:rPr>
          <w:spacing w:val="-8"/>
        </w:rPr>
        <w:t> </w:t>
      </w:r>
      <w:r>
        <w:rPr/>
        <w:t>In</w:t>
      </w:r>
      <w:r>
        <w:rPr>
          <w:spacing w:val="-8"/>
        </w:rPr>
        <w:t> </w:t>
      </w:r>
      <w:r>
        <w:rPr/>
        <w:t>this</w:t>
      </w:r>
      <w:r>
        <w:rPr>
          <w:spacing w:val="-8"/>
        </w:rPr>
        <w:t> </w:t>
      </w:r>
      <w:r>
        <w:rPr/>
        <w:t>study, the variance inflation factor test was constructed to test for multicollinearity. The result was presented below;</w:t>
      </w:r>
    </w:p>
    <w:p>
      <w:pPr>
        <w:spacing w:before="0"/>
        <w:ind w:left="940" w:right="0" w:firstLine="0"/>
        <w:jc w:val="both"/>
        <w:rPr>
          <w:sz w:val="22"/>
        </w:rPr>
      </w:pPr>
      <w:r>
        <w:rPr>
          <w:sz w:val="22"/>
        </w:rPr>
        <w:t>Table</w:t>
      </w:r>
      <w:r>
        <w:rPr>
          <w:spacing w:val="-6"/>
          <w:sz w:val="22"/>
        </w:rPr>
        <w:t> </w:t>
      </w:r>
      <w:r>
        <w:rPr>
          <w:sz w:val="22"/>
        </w:rPr>
        <w:t>4.3</w:t>
      </w:r>
      <w:r>
        <w:rPr>
          <w:spacing w:val="-3"/>
          <w:sz w:val="22"/>
        </w:rPr>
        <w:t> </w:t>
      </w:r>
      <w:r>
        <w:rPr>
          <w:sz w:val="22"/>
        </w:rPr>
        <w:t>Variance</w:t>
      </w:r>
      <w:r>
        <w:rPr>
          <w:spacing w:val="-4"/>
          <w:sz w:val="22"/>
        </w:rPr>
        <w:t> </w:t>
      </w:r>
      <w:r>
        <w:rPr>
          <w:sz w:val="22"/>
        </w:rPr>
        <w:t>Inflation</w:t>
      </w:r>
      <w:r>
        <w:rPr>
          <w:spacing w:val="-3"/>
          <w:sz w:val="22"/>
        </w:rPr>
        <w:t> </w:t>
      </w:r>
      <w:r>
        <w:rPr>
          <w:sz w:val="22"/>
        </w:rPr>
        <w:t>Factor</w:t>
      </w:r>
      <w:r>
        <w:rPr>
          <w:spacing w:val="-3"/>
          <w:sz w:val="22"/>
        </w:rPr>
        <w:t> </w:t>
      </w:r>
      <w:r>
        <w:rPr>
          <w:spacing w:val="-4"/>
          <w:sz w:val="22"/>
        </w:rPr>
        <w:t>Test</w:t>
      </w:r>
    </w:p>
    <w:tbl>
      <w:tblPr>
        <w:tblW w:w="0" w:type="auto"/>
        <w:jc w:val="left"/>
        <w:tblInd w:w="93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766"/>
        <w:gridCol w:w="1419"/>
        <w:gridCol w:w="1601"/>
        <w:gridCol w:w="2300"/>
      </w:tblGrid>
      <w:tr>
        <w:trPr>
          <w:trHeight w:val="460" w:hRule="atLeast"/>
        </w:trPr>
        <w:tc>
          <w:tcPr>
            <w:tcW w:w="3766" w:type="dxa"/>
            <w:tcBorders>
              <w:left w:val="nil"/>
            </w:tcBorders>
          </w:tcPr>
          <w:p>
            <w:pPr>
              <w:pStyle w:val="TableParagraph"/>
              <w:ind w:left="1905"/>
              <w:rPr>
                <w:rFonts w:ascii="Times New Roman"/>
                <w:sz w:val="20"/>
              </w:rPr>
            </w:pPr>
            <w:r>
              <w:rPr>
                <w:rFonts w:ascii="Times New Roman"/>
                <w:spacing w:val="-2"/>
                <w:sz w:val="20"/>
              </w:rPr>
              <w:t>Variable</w:t>
            </w:r>
          </w:p>
        </w:tc>
        <w:tc>
          <w:tcPr>
            <w:tcW w:w="1419" w:type="dxa"/>
          </w:tcPr>
          <w:p>
            <w:pPr>
              <w:pStyle w:val="TableParagraph"/>
              <w:ind w:left="50" w:right="53"/>
              <w:jc w:val="center"/>
              <w:rPr>
                <w:rFonts w:ascii="Times New Roman"/>
                <w:sz w:val="20"/>
              </w:rPr>
            </w:pPr>
            <w:r>
              <w:rPr>
                <w:rFonts w:ascii="Times New Roman"/>
                <w:spacing w:val="-5"/>
                <w:sz w:val="20"/>
              </w:rPr>
              <w:t>FRQ</w:t>
            </w:r>
          </w:p>
        </w:tc>
        <w:tc>
          <w:tcPr>
            <w:tcW w:w="1601" w:type="dxa"/>
          </w:tcPr>
          <w:p>
            <w:pPr>
              <w:pStyle w:val="TableParagraph"/>
              <w:ind w:left="45" w:right="47"/>
              <w:jc w:val="center"/>
              <w:rPr>
                <w:rFonts w:ascii="Times New Roman"/>
                <w:sz w:val="20"/>
              </w:rPr>
            </w:pPr>
            <w:r>
              <w:rPr>
                <w:rFonts w:ascii="Times New Roman"/>
                <w:spacing w:val="-2"/>
                <w:sz w:val="20"/>
              </w:rPr>
              <w:t>DISACC</w:t>
            </w:r>
          </w:p>
        </w:tc>
        <w:tc>
          <w:tcPr>
            <w:tcW w:w="2300" w:type="dxa"/>
            <w:tcBorders>
              <w:right w:val="nil"/>
            </w:tcBorders>
          </w:tcPr>
          <w:p>
            <w:pPr>
              <w:pStyle w:val="TableParagraph"/>
              <w:ind w:left="38" w:right="49"/>
              <w:jc w:val="center"/>
              <w:rPr>
                <w:rFonts w:ascii="Times New Roman"/>
                <w:sz w:val="20"/>
              </w:rPr>
            </w:pPr>
            <w:r>
              <w:rPr>
                <w:rFonts w:ascii="Times New Roman"/>
                <w:spacing w:val="-4"/>
                <w:sz w:val="20"/>
              </w:rPr>
              <w:t>VREL</w:t>
            </w:r>
          </w:p>
        </w:tc>
      </w:tr>
      <w:tr>
        <w:trPr>
          <w:trHeight w:val="460" w:hRule="atLeast"/>
        </w:trPr>
        <w:tc>
          <w:tcPr>
            <w:tcW w:w="3766" w:type="dxa"/>
            <w:tcBorders>
              <w:left w:val="nil"/>
            </w:tcBorders>
          </w:tcPr>
          <w:p>
            <w:pPr>
              <w:pStyle w:val="TableParagraph"/>
              <w:ind w:left="16" w:right="3"/>
              <w:jc w:val="center"/>
              <w:rPr>
                <w:rFonts w:ascii="Times New Roman"/>
                <w:sz w:val="20"/>
              </w:rPr>
            </w:pPr>
            <w:r>
              <w:rPr>
                <w:rFonts w:ascii="Times New Roman"/>
                <w:spacing w:val="-2"/>
                <w:sz w:val="20"/>
              </w:rPr>
              <w:t>BDIND</w:t>
            </w:r>
          </w:p>
        </w:tc>
        <w:tc>
          <w:tcPr>
            <w:tcW w:w="1419" w:type="dxa"/>
          </w:tcPr>
          <w:p>
            <w:pPr>
              <w:pStyle w:val="TableParagraph"/>
              <w:ind w:left="53" w:right="3"/>
              <w:jc w:val="center"/>
              <w:rPr>
                <w:rFonts w:ascii="Times New Roman"/>
                <w:sz w:val="20"/>
              </w:rPr>
            </w:pPr>
            <w:r>
              <w:rPr>
                <w:rFonts w:ascii="Times New Roman"/>
                <w:spacing w:val="-2"/>
                <w:sz w:val="20"/>
              </w:rPr>
              <w:t>1.348595</w:t>
            </w:r>
          </w:p>
        </w:tc>
        <w:tc>
          <w:tcPr>
            <w:tcW w:w="1601" w:type="dxa"/>
          </w:tcPr>
          <w:p>
            <w:pPr>
              <w:pStyle w:val="TableParagraph"/>
              <w:ind w:left="47" w:right="2"/>
              <w:jc w:val="center"/>
              <w:rPr>
                <w:rFonts w:ascii="Times New Roman"/>
                <w:sz w:val="20"/>
              </w:rPr>
            </w:pPr>
            <w:r>
              <w:rPr>
                <w:rFonts w:ascii="Times New Roman"/>
                <w:spacing w:val="-2"/>
                <w:sz w:val="20"/>
              </w:rPr>
              <w:t>1.348595</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1.348595</w:t>
            </w:r>
          </w:p>
        </w:tc>
      </w:tr>
      <w:tr>
        <w:trPr>
          <w:trHeight w:val="460" w:hRule="atLeast"/>
        </w:trPr>
        <w:tc>
          <w:tcPr>
            <w:tcW w:w="3766" w:type="dxa"/>
            <w:tcBorders>
              <w:left w:val="nil"/>
            </w:tcBorders>
          </w:tcPr>
          <w:p>
            <w:pPr>
              <w:pStyle w:val="TableParagraph"/>
              <w:ind w:left="16" w:right="2"/>
              <w:jc w:val="center"/>
              <w:rPr>
                <w:rFonts w:ascii="Times New Roman"/>
                <w:sz w:val="20"/>
              </w:rPr>
            </w:pPr>
            <w:r>
              <w:rPr>
                <w:rFonts w:ascii="Times New Roman"/>
                <w:spacing w:val="-5"/>
                <w:sz w:val="20"/>
              </w:rPr>
              <w:t>BDS</w:t>
            </w:r>
          </w:p>
        </w:tc>
        <w:tc>
          <w:tcPr>
            <w:tcW w:w="1419" w:type="dxa"/>
          </w:tcPr>
          <w:p>
            <w:pPr>
              <w:pStyle w:val="TableParagraph"/>
              <w:ind w:left="53" w:right="3"/>
              <w:jc w:val="center"/>
              <w:rPr>
                <w:rFonts w:ascii="Times New Roman"/>
                <w:sz w:val="20"/>
              </w:rPr>
            </w:pPr>
            <w:r>
              <w:rPr>
                <w:rFonts w:ascii="Times New Roman"/>
                <w:spacing w:val="-2"/>
                <w:sz w:val="20"/>
              </w:rPr>
              <w:t>1.272032</w:t>
            </w:r>
          </w:p>
        </w:tc>
        <w:tc>
          <w:tcPr>
            <w:tcW w:w="1601" w:type="dxa"/>
          </w:tcPr>
          <w:p>
            <w:pPr>
              <w:pStyle w:val="TableParagraph"/>
              <w:ind w:left="47" w:right="2"/>
              <w:jc w:val="center"/>
              <w:rPr>
                <w:rFonts w:ascii="Times New Roman"/>
                <w:sz w:val="20"/>
              </w:rPr>
            </w:pPr>
            <w:r>
              <w:rPr>
                <w:rFonts w:ascii="Times New Roman"/>
                <w:spacing w:val="-2"/>
                <w:sz w:val="20"/>
              </w:rPr>
              <w:t>1.272032</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1.272032</w:t>
            </w:r>
          </w:p>
        </w:tc>
      </w:tr>
      <w:tr>
        <w:trPr>
          <w:trHeight w:val="460" w:hRule="atLeast"/>
        </w:trPr>
        <w:tc>
          <w:tcPr>
            <w:tcW w:w="3766" w:type="dxa"/>
            <w:tcBorders>
              <w:left w:val="nil"/>
            </w:tcBorders>
          </w:tcPr>
          <w:p>
            <w:pPr>
              <w:pStyle w:val="TableParagraph"/>
              <w:ind w:left="16"/>
              <w:jc w:val="center"/>
              <w:rPr>
                <w:rFonts w:ascii="Times New Roman"/>
                <w:sz w:val="20"/>
              </w:rPr>
            </w:pPr>
            <w:r>
              <w:rPr>
                <w:rFonts w:ascii="Times New Roman"/>
                <w:spacing w:val="-2"/>
                <w:sz w:val="20"/>
              </w:rPr>
              <w:t>BFEXP</w:t>
            </w:r>
          </w:p>
        </w:tc>
        <w:tc>
          <w:tcPr>
            <w:tcW w:w="1419" w:type="dxa"/>
          </w:tcPr>
          <w:p>
            <w:pPr>
              <w:pStyle w:val="TableParagraph"/>
              <w:ind w:left="53" w:right="3"/>
              <w:jc w:val="center"/>
              <w:rPr>
                <w:rFonts w:ascii="Times New Roman"/>
                <w:sz w:val="20"/>
              </w:rPr>
            </w:pPr>
            <w:r>
              <w:rPr>
                <w:rFonts w:ascii="Times New Roman"/>
                <w:spacing w:val="-2"/>
                <w:sz w:val="20"/>
              </w:rPr>
              <w:t>1.153696</w:t>
            </w:r>
          </w:p>
        </w:tc>
        <w:tc>
          <w:tcPr>
            <w:tcW w:w="1601" w:type="dxa"/>
          </w:tcPr>
          <w:p>
            <w:pPr>
              <w:pStyle w:val="TableParagraph"/>
              <w:ind w:left="47" w:right="2"/>
              <w:jc w:val="center"/>
              <w:rPr>
                <w:rFonts w:ascii="Times New Roman"/>
                <w:sz w:val="20"/>
              </w:rPr>
            </w:pPr>
            <w:r>
              <w:rPr>
                <w:rFonts w:ascii="Times New Roman"/>
                <w:spacing w:val="-2"/>
                <w:sz w:val="20"/>
              </w:rPr>
              <w:t>1.153696</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1.153696</w:t>
            </w:r>
          </w:p>
        </w:tc>
      </w:tr>
      <w:tr>
        <w:trPr>
          <w:trHeight w:val="458" w:hRule="atLeast"/>
        </w:trPr>
        <w:tc>
          <w:tcPr>
            <w:tcW w:w="3766" w:type="dxa"/>
            <w:tcBorders>
              <w:left w:val="nil"/>
            </w:tcBorders>
          </w:tcPr>
          <w:p>
            <w:pPr>
              <w:pStyle w:val="TableParagraph"/>
              <w:ind w:left="16"/>
              <w:jc w:val="center"/>
              <w:rPr>
                <w:rFonts w:ascii="Times New Roman"/>
                <w:sz w:val="20"/>
              </w:rPr>
            </w:pPr>
            <w:r>
              <w:rPr>
                <w:rFonts w:ascii="Times New Roman"/>
                <w:spacing w:val="-4"/>
                <w:sz w:val="20"/>
              </w:rPr>
              <w:t>MOWN</w:t>
            </w:r>
          </w:p>
        </w:tc>
        <w:tc>
          <w:tcPr>
            <w:tcW w:w="1419" w:type="dxa"/>
          </w:tcPr>
          <w:p>
            <w:pPr>
              <w:pStyle w:val="TableParagraph"/>
              <w:ind w:left="53" w:right="3"/>
              <w:jc w:val="center"/>
              <w:rPr>
                <w:rFonts w:ascii="Times New Roman"/>
                <w:sz w:val="20"/>
              </w:rPr>
            </w:pPr>
            <w:r>
              <w:rPr>
                <w:rFonts w:ascii="Times New Roman"/>
                <w:spacing w:val="-2"/>
                <w:sz w:val="20"/>
              </w:rPr>
              <w:t>1.218599</w:t>
            </w:r>
          </w:p>
        </w:tc>
        <w:tc>
          <w:tcPr>
            <w:tcW w:w="1601" w:type="dxa"/>
          </w:tcPr>
          <w:p>
            <w:pPr>
              <w:pStyle w:val="TableParagraph"/>
              <w:ind w:left="47" w:right="2"/>
              <w:jc w:val="center"/>
              <w:rPr>
                <w:rFonts w:ascii="Times New Roman"/>
                <w:sz w:val="20"/>
              </w:rPr>
            </w:pPr>
            <w:r>
              <w:rPr>
                <w:rFonts w:ascii="Times New Roman"/>
                <w:spacing w:val="-2"/>
                <w:sz w:val="20"/>
              </w:rPr>
              <w:t>1.218599</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1.218599</w:t>
            </w:r>
          </w:p>
        </w:tc>
      </w:tr>
      <w:tr>
        <w:trPr>
          <w:trHeight w:val="460" w:hRule="atLeast"/>
        </w:trPr>
        <w:tc>
          <w:tcPr>
            <w:tcW w:w="3766" w:type="dxa"/>
            <w:tcBorders>
              <w:left w:val="nil"/>
            </w:tcBorders>
          </w:tcPr>
          <w:p>
            <w:pPr>
              <w:pStyle w:val="TableParagraph"/>
              <w:spacing w:before="2"/>
              <w:ind w:left="16"/>
              <w:jc w:val="center"/>
              <w:rPr>
                <w:rFonts w:ascii="Times New Roman"/>
                <w:sz w:val="20"/>
              </w:rPr>
            </w:pPr>
            <w:r>
              <w:rPr>
                <w:rFonts w:ascii="Times New Roman"/>
                <w:spacing w:val="-4"/>
                <w:sz w:val="20"/>
              </w:rPr>
              <w:t>FOWN</w:t>
            </w:r>
          </w:p>
        </w:tc>
        <w:tc>
          <w:tcPr>
            <w:tcW w:w="1419" w:type="dxa"/>
          </w:tcPr>
          <w:p>
            <w:pPr>
              <w:pStyle w:val="TableParagraph"/>
              <w:spacing w:before="2"/>
              <w:ind w:left="53" w:right="3"/>
              <w:jc w:val="center"/>
              <w:rPr>
                <w:rFonts w:ascii="Times New Roman"/>
                <w:sz w:val="20"/>
              </w:rPr>
            </w:pPr>
            <w:r>
              <w:rPr>
                <w:rFonts w:ascii="Times New Roman"/>
                <w:spacing w:val="-2"/>
                <w:sz w:val="20"/>
              </w:rPr>
              <w:t>4.222756</w:t>
            </w:r>
          </w:p>
        </w:tc>
        <w:tc>
          <w:tcPr>
            <w:tcW w:w="1601" w:type="dxa"/>
          </w:tcPr>
          <w:p>
            <w:pPr>
              <w:pStyle w:val="TableParagraph"/>
              <w:spacing w:before="2"/>
              <w:ind w:left="47" w:right="2"/>
              <w:jc w:val="center"/>
              <w:rPr>
                <w:rFonts w:ascii="Times New Roman"/>
                <w:sz w:val="20"/>
              </w:rPr>
            </w:pPr>
            <w:r>
              <w:rPr>
                <w:rFonts w:ascii="Times New Roman"/>
                <w:spacing w:val="-2"/>
                <w:sz w:val="20"/>
              </w:rPr>
              <w:t>4.222756</w:t>
            </w:r>
          </w:p>
        </w:tc>
        <w:tc>
          <w:tcPr>
            <w:tcW w:w="2300" w:type="dxa"/>
            <w:tcBorders>
              <w:right w:val="nil"/>
            </w:tcBorders>
          </w:tcPr>
          <w:p>
            <w:pPr>
              <w:pStyle w:val="TableParagraph"/>
              <w:spacing w:before="2"/>
              <w:ind w:left="49" w:right="11"/>
              <w:jc w:val="center"/>
              <w:rPr>
                <w:rFonts w:ascii="Times New Roman"/>
                <w:sz w:val="20"/>
              </w:rPr>
            </w:pPr>
            <w:r>
              <w:rPr>
                <w:rFonts w:ascii="Times New Roman"/>
                <w:spacing w:val="-2"/>
                <w:sz w:val="20"/>
              </w:rPr>
              <w:t>4.222756</w:t>
            </w:r>
          </w:p>
        </w:tc>
      </w:tr>
      <w:tr>
        <w:trPr>
          <w:trHeight w:val="460" w:hRule="atLeast"/>
        </w:trPr>
        <w:tc>
          <w:tcPr>
            <w:tcW w:w="3766" w:type="dxa"/>
            <w:tcBorders>
              <w:left w:val="nil"/>
            </w:tcBorders>
          </w:tcPr>
          <w:p>
            <w:pPr>
              <w:pStyle w:val="TableParagraph"/>
              <w:ind w:left="16" w:right="3"/>
              <w:jc w:val="center"/>
              <w:rPr>
                <w:rFonts w:ascii="Times New Roman"/>
                <w:sz w:val="20"/>
              </w:rPr>
            </w:pPr>
            <w:r>
              <w:rPr>
                <w:rFonts w:ascii="Times New Roman"/>
                <w:spacing w:val="-2"/>
                <w:sz w:val="20"/>
              </w:rPr>
              <w:t>INSTOWN</w:t>
            </w:r>
          </w:p>
        </w:tc>
        <w:tc>
          <w:tcPr>
            <w:tcW w:w="1419" w:type="dxa"/>
          </w:tcPr>
          <w:p>
            <w:pPr>
              <w:pStyle w:val="TableParagraph"/>
              <w:ind w:left="53" w:right="3"/>
              <w:jc w:val="center"/>
              <w:rPr>
                <w:rFonts w:ascii="Times New Roman"/>
                <w:sz w:val="20"/>
              </w:rPr>
            </w:pPr>
            <w:r>
              <w:rPr>
                <w:rFonts w:ascii="Times New Roman"/>
                <w:spacing w:val="-2"/>
                <w:sz w:val="20"/>
              </w:rPr>
              <w:t>5.926072</w:t>
            </w:r>
          </w:p>
        </w:tc>
        <w:tc>
          <w:tcPr>
            <w:tcW w:w="1601" w:type="dxa"/>
          </w:tcPr>
          <w:p>
            <w:pPr>
              <w:pStyle w:val="TableParagraph"/>
              <w:ind w:left="47" w:right="2"/>
              <w:jc w:val="center"/>
              <w:rPr>
                <w:rFonts w:ascii="Times New Roman"/>
                <w:sz w:val="20"/>
              </w:rPr>
            </w:pPr>
            <w:r>
              <w:rPr>
                <w:rFonts w:ascii="Times New Roman"/>
                <w:spacing w:val="-2"/>
                <w:sz w:val="20"/>
              </w:rPr>
              <w:t>5.926072</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5.926072</w:t>
            </w:r>
          </w:p>
        </w:tc>
      </w:tr>
      <w:tr>
        <w:trPr>
          <w:trHeight w:val="460" w:hRule="atLeast"/>
        </w:trPr>
        <w:tc>
          <w:tcPr>
            <w:tcW w:w="3766" w:type="dxa"/>
            <w:tcBorders>
              <w:left w:val="nil"/>
            </w:tcBorders>
          </w:tcPr>
          <w:p>
            <w:pPr>
              <w:pStyle w:val="TableParagraph"/>
              <w:ind w:left="16" w:right="3"/>
              <w:jc w:val="center"/>
              <w:rPr>
                <w:rFonts w:ascii="Times New Roman"/>
                <w:sz w:val="20"/>
              </w:rPr>
            </w:pPr>
            <w:r>
              <w:rPr>
                <w:rFonts w:ascii="Times New Roman"/>
                <w:spacing w:val="-2"/>
                <w:sz w:val="20"/>
              </w:rPr>
              <w:t>BLOWN</w:t>
            </w:r>
          </w:p>
        </w:tc>
        <w:tc>
          <w:tcPr>
            <w:tcW w:w="1419" w:type="dxa"/>
          </w:tcPr>
          <w:p>
            <w:pPr>
              <w:pStyle w:val="TableParagraph"/>
              <w:ind w:left="53" w:right="3"/>
              <w:jc w:val="center"/>
              <w:rPr>
                <w:rFonts w:ascii="Times New Roman"/>
                <w:sz w:val="20"/>
              </w:rPr>
            </w:pPr>
            <w:r>
              <w:rPr>
                <w:rFonts w:ascii="Times New Roman"/>
                <w:spacing w:val="-2"/>
                <w:sz w:val="20"/>
              </w:rPr>
              <w:t>6.870258</w:t>
            </w:r>
          </w:p>
        </w:tc>
        <w:tc>
          <w:tcPr>
            <w:tcW w:w="1601" w:type="dxa"/>
          </w:tcPr>
          <w:p>
            <w:pPr>
              <w:pStyle w:val="TableParagraph"/>
              <w:ind w:left="47" w:right="2"/>
              <w:jc w:val="center"/>
              <w:rPr>
                <w:rFonts w:ascii="Times New Roman"/>
                <w:sz w:val="20"/>
              </w:rPr>
            </w:pPr>
            <w:r>
              <w:rPr>
                <w:rFonts w:ascii="Times New Roman"/>
                <w:spacing w:val="-2"/>
                <w:sz w:val="20"/>
              </w:rPr>
              <w:t>6.870258</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6.870258</w:t>
            </w:r>
          </w:p>
        </w:tc>
      </w:tr>
      <w:tr>
        <w:trPr>
          <w:trHeight w:val="460" w:hRule="atLeast"/>
        </w:trPr>
        <w:tc>
          <w:tcPr>
            <w:tcW w:w="3766" w:type="dxa"/>
            <w:tcBorders>
              <w:left w:val="nil"/>
            </w:tcBorders>
          </w:tcPr>
          <w:p>
            <w:pPr>
              <w:pStyle w:val="TableParagraph"/>
              <w:ind w:left="16" w:right="3"/>
              <w:jc w:val="center"/>
              <w:rPr>
                <w:rFonts w:ascii="Times New Roman"/>
                <w:sz w:val="20"/>
              </w:rPr>
            </w:pPr>
            <w:r>
              <w:rPr>
                <w:rFonts w:ascii="Times New Roman"/>
                <w:spacing w:val="-4"/>
                <w:sz w:val="20"/>
              </w:rPr>
              <w:t>FAGE</w:t>
            </w:r>
          </w:p>
        </w:tc>
        <w:tc>
          <w:tcPr>
            <w:tcW w:w="1419" w:type="dxa"/>
          </w:tcPr>
          <w:p>
            <w:pPr>
              <w:pStyle w:val="TableParagraph"/>
              <w:ind w:left="53" w:right="3"/>
              <w:jc w:val="center"/>
              <w:rPr>
                <w:rFonts w:ascii="Times New Roman"/>
                <w:sz w:val="20"/>
              </w:rPr>
            </w:pPr>
            <w:r>
              <w:rPr>
                <w:rFonts w:ascii="Times New Roman"/>
                <w:spacing w:val="-2"/>
                <w:sz w:val="20"/>
              </w:rPr>
              <w:t>1.275881</w:t>
            </w:r>
          </w:p>
        </w:tc>
        <w:tc>
          <w:tcPr>
            <w:tcW w:w="1601" w:type="dxa"/>
          </w:tcPr>
          <w:p>
            <w:pPr>
              <w:pStyle w:val="TableParagraph"/>
              <w:ind w:left="47" w:right="2"/>
              <w:jc w:val="center"/>
              <w:rPr>
                <w:rFonts w:ascii="Times New Roman"/>
                <w:sz w:val="20"/>
              </w:rPr>
            </w:pPr>
            <w:r>
              <w:rPr>
                <w:rFonts w:ascii="Times New Roman"/>
                <w:spacing w:val="-2"/>
                <w:sz w:val="20"/>
              </w:rPr>
              <w:t>1.275881</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1.275881</w:t>
            </w:r>
          </w:p>
        </w:tc>
      </w:tr>
      <w:tr>
        <w:trPr>
          <w:trHeight w:val="458" w:hRule="atLeast"/>
        </w:trPr>
        <w:tc>
          <w:tcPr>
            <w:tcW w:w="3766" w:type="dxa"/>
            <w:tcBorders>
              <w:left w:val="nil"/>
            </w:tcBorders>
          </w:tcPr>
          <w:p>
            <w:pPr>
              <w:pStyle w:val="TableParagraph"/>
              <w:ind w:left="16" w:right="1"/>
              <w:jc w:val="center"/>
              <w:rPr>
                <w:rFonts w:ascii="Times New Roman"/>
                <w:sz w:val="20"/>
              </w:rPr>
            </w:pPr>
            <w:r>
              <w:rPr>
                <w:rFonts w:ascii="Times New Roman"/>
                <w:spacing w:val="-2"/>
                <w:sz w:val="20"/>
              </w:rPr>
              <w:t>FSIZE</w:t>
            </w:r>
          </w:p>
        </w:tc>
        <w:tc>
          <w:tcPr>
            <w:tcW w:w="1419" w:type="dxa"/>
          </w:tcPr>
          <w:p>
            <w:pPr>
              <w:pStyle w:val="TableParagraph"/>
              <w:ind w:left="53" w:right="3"/>
              <w:jc w:val="center"/>
              <w:rPr>
                <w:rFonts w:ascii="Times New Roman"/>
                <w:sz w:val="20"/>
              </w:rPr>
            </w:pPr>
            <w:r>
              <w:rPr>
                <w:rFonts w:ascii="Times New Roman"/>
                <w:spacing w:val="-2"/>
                <w:sz w:val="20"/>
              </w:rPr>
              <w:t>1.243380</w:t>
            </w:r>
          </w:p>
        </w:tc>
        <w:tc>
          <w:tcPr>
            <w:tcW w:w="1601" w:type="dxa"/>
          </w:tcPr>
          <w:p>
            <w:pPr>
              <w:pStyle w:val="TableParagraph"/>
              <w:ind w:left="47" w:right="2"/>
              <w:jc w:val="center"/>
              <w:rPr>
                <w:rFonts w:ascii="Times New Roman"/>
                <w:sz w:val="20"/>
              </w:rPr>
            </w:pPr>
            <w:r>
              <w:rPr>
                <w:rFonts w:ascii="Times New Roman"/>
                <w:spacing w:val="-2"/>
                <w:sz w:val="20"/>
              </w:rPr>
              <w:t>1.243380</w:t>
            </w:r>
          </w:p>
        </w:tc>
        <w:tc>
          <w:tcPr>
            <w:tcW w:w="2300" w:type="dxa"/>
            <w:tcBorders>
              <w:right w:val="nil"/>
            </w:tcBorders>
          </w:tcPr>
          <w:p>
            <w:pPr>
              <w:pStyle w:val="TableParagraph"/>
              <w:ind w:left="49" w:right="11"/>
              <w:jc w:val="center"/>
              <w:rPr>
                <w:rFonts w:ascii="Times New Roman"/>
                <w:sz w:val="20"/>
              </w:rPr>
            </w:pPr>
            <w:r>
              <w:rPr>
                <w:rFonts w:ascii="Times New Roman"/>
                <w:spacing w:val="-2"/>
                <w:sz w:val="20"/>
              </w:rPr>
              <w:t>1.243380</w:t>
            </w:r>
          </w:p>
        </w:tc>
      </w:tr>
      <w:tr>
        <w:trPr>
          <w:trHeight w:val="460" w:hRule="atLeast"/>
        </w:trPr>
        <w:tc>
          <w:tcPr>
            <w:tcW w:w="3766" w:type="dxa"/>
            <w:tcBorders>
              <w:left w:val="nil"/>
            </w:tcBorders>
          </w:tcPr>
          <w:p>
            <w:pPr>
              <w:pStyle w:val="TableParagraph"/>
              <w:spacing w:before="2"/>
              <w:ind w:left="16" w:right="4"/>
              <w:jc w:val="center"/>
              <w:rPr>
                <w:rFonts w:ascii="Times New Roman"/>
                <w:sz w:val="20"/>
              </w:rPr>
            </w:pPr>
            <w:r>
              <w:rPr>
                <w:rFonts w:ascii="Times New Roman"/>
                <w:spacing w:val="-2"/>
                <w:sz w:val="20"/>
              </w:rPr>
              <w:t>LEVERAGE</w:t>
            </w:r>
          </w:p>
        </w:tc>
        <w:tc>
          <w:tcPr>
            <w:tcW w:w="1419" w:type="dxa"/>
          </w:tcPr>
          <w:p>
            <w:pPr>
              <w:pStyle w:val="TableParagraph"/>
              <w:spacing w:before="2"/>
              <w:ind w:left="53" w:right="3"/>
              <w:jc w:val="center"/>
              <w:rPr>
                <w:rFonts w:ascii="Times New Roman"/>
                <w:sz w:val="20"/>
              </w:rPr>
            </w:pPr>
            <w:r>
              <w:rPr>
                <w:rFonts w:ascii="Times New Roman"/>
                <w:spacing w:val="-2"/>
                <w:sz w:val="20"/>
              </w:rPr>
              <w:t>1.161591</w:t>
            </w:r>
          </w:p>
        </w:tc>
        <w:tc>
          <w:tcPr>
            <w:tcW w:w="1601" w:type="dxa"/>
          </w:tcPr>
          <w:p>
            <w:pPr>
              <w:pStyle w:val="TableParagraph"/>
              <w:spacing w:before="2"/>
              <w:ind w:left="47" w:right="2"/>
              <w:jc w:val="center"/>
              <w:rPr>
                <w:rFonts w:ascii="Times New Roman"/>
                <w:sz w:val="20"/>
              </w:rPr>
            </w:pPr>
            <w:r>
              <w:rPr>
                <w:rFonts w:ascii="Times New Roman"/>
                <w:spacing w:val="-2"/>
                <w:sz w:val="20"/>
              </w:rPr>
              <w:t>1.161591</w:t>
            </w:r>
          </w:p>
        </w:tc>
        <w:tc>
          <w:tcPr>
            <w:tcW w:w="2300" w:type="dxa"/>
            <w:tcBorders>
              <w:right w:val="nil"/>
            </w:tcBorders>
          </w:tcPr>
          <w:p>
            <w:pPr>
              <w:pStyle w:val="TableParagraph"/>
              <w:spacing w:before="2"/>
              <w:ind w:left="49" w:right="11"/>
              <w:jc w:val="center"/>
              <w:rPr>
                <w:rFonts w:ascii="Times New Roman"/>
                <w:sz w:val="20"/>
              </w:rPr>
            </w:pPr>
            <w:r>
              <w:rPr>
                <w:rFonts w:ascii="Times New Roman"/>
                <w:spacing w:val="-2"/>
                <w:sz w:val="20"/>
              </w:rPr>
              <w:t>1.161591</w:t>
            </w:r>
          </w:p>
        </w:tc>
      </w:tr>
    </w:tbl>
    <w:p>
      <w:pPr>
        <w:pStyle w:val="BodyText"/>
        <w:spacing w:before="2"/>
        <w:ind w:left="1060"/>
        <w:jc w:val="both"/>
      </w:pPr>
      <w:r>
        <w:rPr/>
        <w:t>Source:</w:t>
      </w:r>
      <w:r>
        <w:rPr>
          <w:spacing w:val="-3"/>
        </w:rPr>
        <w:t> </w:t>
      </w:r>
      <w:r>
        <w:rPr/>
        <w:t>Researcher’s</w:t>
      </w:r>
      <w:r>
        <w:rPr>
          <w:spacing w:val="-2"/>
        </w:rPr>
        <w:t> </w:t>
      </w:r>
      <w:r>
        <w:rPr/>
        <w:t>compilation</w:t>
      </w:r>
      <w:r>
        <w:rPr>
          <w:spacing w:val="-2"/>
        </w:rPr>
        <w:t> (2021)</w:t>
      </w:r>
    </w:p>
    <w:p>
      <w:pPr>
        <w:pStyle w:val="BodyText"/>
        <w:spacing w:before="1"/>
      </w:pPr>
    </w:p>
    <w:p>
      <w:pPr>
        <w:pStyle w:val="BodyText"/>
        <w:spacing w:line="480" w:lineRule="auto"/>
        <w:ind w:left="940" w:right="1437"/>
        <w:jc w:val="both"/>
      </w:pPr>
      <w:r>
        <w:rPr/>
        <w:t>Before</w:t>
      </w:r>
      <w:r>
        <w:rPr>
          <w:spacing w:val="-15"/>
        </w:rPr>
        <w:t> </w:t>
      </w:r>
      <w:r>
        <w:rPr/>
        <w:t>proceeding</w:t>
      </w:r>
      <w:r>
        <w:rPr>
          <w:spacing w:val="-15"/>
        </w:rPr>
        <w:t> </w:t>
      </w:r>
      <w:r>
        <w:rPr/>
        <w:t>to</w:t>
      </w:r>
      <w:r>
        <w:rPr>
          <w:spacing w:val="-15"/>
        </w:rPr>
        <w:t> </w:t>
      </w:r>
      <w:r>
        <w:rPr/>
        <w:t>conduct</w:t>
      </w:r>
      <w:r>
        <w:rPr>
          <w:spacing w:val="-15"/>
        </w:rPr>
        <w:t> </w:t>
      </w:r>
      <w:r>
        <w:rPr/>
        <w:t>the</w:t>
      </w:r>
      <w:r>
        <w:rPr>
          <w:spacing w:val="-15"/>
        </w:rPr>
        <w:t> </w:t>
      </w:r>
      <w:r>
        <w:rPr/>
        <w:t>regression,</w:t>
      </w:r>
      <w:r>
        <w:rPr>
          <w:spacing w:val="-15"/>
        </w:rPr>
        <w:t> </w:t>
      </w:r>
      <w:r>
        <w:rPr/>
        <w:t>the</w:t>
      </w:r>
      <w:r>
        <w:rPr>
          <w:spacing w:val="-15"/>
        </w:rPr>
        <w:t> </w:t>
      </w:r>
      <w:r>
        <w:rPr/>
        <w:t>test</w:t>
      </w:r>
      <w:r>
        <w:rPr>
          <w:spacing w:val="-15"/>
        </w:rPr>
        <w:t> </w:t>
      </w:r>
      <w:r>
        <w:rPr/>
        <w:t>for</w:t>
      </w:r>
      <w:r>
        <w:rPr>
          <w:spacing w:val="-15"/>
        </w:rPr>
        <w:t> </w:t>
      </w:r>
      <w:r>
        <w:rPr/>
        <w:t>multicollinearity</w:t>
      </w:r>
      <w:r>
        <w:rPr>
          <w:spacing w:val="-15"/>
        </w:rPr>
        <w:t> </w:t>
      </w:r>
      <w:r>
        <w:rPr/>
        <w:t>between</w:t>
      </w:r>
      <w:r>
        <w:rPr>
          <w:spacing w:val="-15"/>
        </w:rPr>
        <w:t> </w:t>
      </w:r>
      <w:r>
        <w:rPr/>
        <w:t>the</w:t>
      </w:r>
      <w:r>
        <w:rPr>
          <w:spacing w:val="-15"/>
        </w:rPr>
        <w:t> </w:t>
      </w:r>
      <w:r>
        <w:rPr/>
        <w:t>variables was</w:t>
      </w:r>
      <w:r>
        <w:rPr>
          <w:spacing w:val="-12"/>
        </w:rPr>
        <w:t> </w:t>
      </w:r>
      <w:r>
        <w:rPr/>
        <w:t>conducted</w:t>
      </w:r>
      <w:r>
        <w:rPr>
          <w:spacing w:val="-12"/>
        </w:rPr>
        <w:t> </w:t>
      </w:r>
      <w:r>
        <w:rPr/>
        <w:t>using</w:t>
      </w:r>
      <w:r>
        <w:rPr>
          <w:spacing w:val="-12"/>
        </w:rPr>
        <w:t> </w:t>
      </w:r>
      <w:r>
        <w:rPr/>
        <w:t>the</w:t>
      </w:r>
      <w:r>
        <w:rPr>
          <w:spacing w:val="-10"/>
        </w:rPr>
        <w:t> </w:t>
      </w:r>
      <w:r>
        <w:rPr/>
        <w:t>variance</w:t>
      </w:r>
      <w:r>
        <w:rPr>
          <w:spacing w:val="-13"/>
        </w:rPr>
        <w:t> </w:t>
      </w:r>
      <w:r>
        <w:rPr/>
        <w:t>inflation</w:t>
      </w:r>
      <w:r>
        <w:rPr>
          <w:spacing w:val="-12"/>
        </w:rPr>
        <w:t> </w:t>
      </w:r>
      <w:r>
        <w:rPr/>
        <w:t>factor</w:t>
      </w:r>
      <w:r>
        <w:rPr>
          <w:spacing w:val="-12"/>
        </w:rPr>
        <w:t> </w:t>
      </w:r>
      <w:r>
        <w:rPr/>
        <w:t>(VIF)</w:t>
      </w:r>
      <w:r>
        <w:rPr>
          <w:spacing w:val="-11"/>
        </w:rPr>
        <w:t> </w:t>
      </w:r>
      <w:r>
        <w:rPr/>
        <w:t>(Appendices</w:t>
      </w:r>
      <w:r>
        <w:rPr>
          <w:spacing w:val="-12"/>
        </w:rPr>
        <w:t> </w:t>
      </w:r>
      <w:r>
        <w:rPr/>
        <w:t>2</w:t>
      </w:r>
      <w:r>
        <w:rPr>
          <w:spacing w:val="-12"/>
        </w:rPr>
        <w:t> </w:t>
      </w:r>
      <w:r>
        <w:rPr/>
        <w:t>to</w:t>
      </w:r>
      <w:r>
        <w:rPr>
          <w:spacing w:val="-12"/>
        </w:rPr>
        <w:t> </w:t>
      </w:r>
      <w:r>
        <w:rPr/>
        <w:t>4).</w:t>
      </w:r>
      <w:r>
        <w:rPr>
          <w:spacing w:val="-11"/>
        </w:rPr>
        <w:t> </w:t>
      </w:r>
      <w:r>
        <w:rPr/>
        <w:t>Basically,</w:t>
      </w:r>
      <w:r>
        <w:rPr>
          <w:spacing w:val="-12"/>
        </w:rPr>
        <w:t> </w:t>
      </w:r>
      <w:r>
        <w:rPr/>
        <w:t>the</w:t>
      </w:r>
      <w:r>
        <w:rPr>
          <w:spacing w:val="-13"/>
        </w:rPr>
        <w:t> </w:t>
      </w:r>
      <w:r>
        <w:rPr/>
        <w:t>VIF explained how much of the variance of a coefficient estimate of a regressor had been inflated as a result of collinearity with the other regressors. Essentially, VIFs above 10 were seen as a cause</w:t>
      </w:r>
      <w:r>
        <w:rPr>
          <w:spacing w:val="-11"/>
        </w:rPr>
        <w:t> </w:t>
      </w:r>
      <w:r>
        <w:rPr/>
        <w:t>of</w:t>
      </w:r>
      <w:r>
        <w:rPr>
          <w:spacing w:val="-10"/>
        </w:rPr>
        <w:t> </w:t>
      </w:r>
      <w:r>
        <w:rPr/>
        <w:t>concern.</w:t>
      </w:r>
      <w:r>
        <w:rPr>
          <w:spacing w:val="-12"/>
        </w:rPr>
        <w:t> </w:t>
      </w:r>
      <w:r>
        <w:rPr/>
        <w:t>As</w:t>
      </w:r>
      <w:r>
        <w:rPr>
          <w:spacing w:val="-10"/>
        </w:rPr>
        <w:t> </w:t>
      </w:r>
      <w:r>
        <w:rPr/>
        <w:t>observed,</w:t>
      </w:r>
      <w:r>
        <w:rPr>
          <w:spacing w:val="-10"/>
        </w:rPr>
        <w:t> </w:t>
      </w:r>
      <w:r>
        <w:rPr/>
        <w:t>none</w:t>
      </w:r>
      <w:r>
        <w:rPr>
          <w:spacing w:val="-13"/>
        </w:rPr>
        <w:t> </w:t>
      </w:r>
      <w:r>
        <w:rPr/>
        <w:t>of</w:t>
      </w:r>
      <w:r>
        <w:rPr>
          <w:spacing w:val="-13"/>
        </w:rPr>
        <w:t> </w:t>
      </w:r>
      <w:r>
        <w:rPr/>
        <w:t>the</w:t>
      </w:r>
      <w:r>
        <w:rPr>
          <w:spacing w:val="-10"/>
        </w:rPr>
        <w:t> </w:t>
      </w:r>
      <w:r>
        <w:rPr/>
        <w:t>variables</w:t>
      </w:r>
      <w:r>
        <w:rPr>
          <w:spacing w:val="-12"/>
        </w:rPr>
        <w:t> </w:t>
      </w:r>
      <w:r>
        <w:rPr/>
        <w:t>had</w:t>
      </w:r>
      <w:r>
        <w:rPr>
          <w:spacing w:val="-9"/>
        </w:rPr>
        <w:t> </w:t>
      </w:r>
      <w:r>
        <w:rPr/>
        <w:t>VIF’s</w:t>
      </w:r>
      <w:r>
        <w:rPr>
          <w:spacing w:val="-13"/>
        </w:rPr>
        <w:t> </w:t>
      </w:r>
      <w:r>
        <w:rPr/>
        <w:t>values</w:t>
      </w:r>
      <w:r>
        <w:rPr>
          <w:spacing w:val="-12"/>
        </w:rPr>
        <w:t> </w:t>
      </w:r>
      <w:r>
        <w:rPr/>
        <w:t>more</w:t>
      </w:r>
      <w:r>
        <w:rPr>
          <w:spacing w:val="-11"/>
        </w:rPr>
        <w:t> </w:t>
      </w:r>
      <w:r>
        <w:rPr/>
        <w:t>than</w:t>
      </w:r>
      <w:r>
        <w:rPr>
          <w:spacing w:val="-13"/>
        </w:rPr>
        <w:t> </w:t>
      </w:r>
      <w:r>
        <w:rPr/>
        <w:t>10</w:t>
      </w:r>
      <w:r>
        <w:rPr>
          <w:spacing w:val="-10"/>
        </w:rPr>
        <w:t> </w:t>
      </w:r>
      <w:r>
        <w:rPr/>
        <w:t>and</w:t>
      </w:r>
      <w:r>
        <w:rPr>
          <w:spacing w:val="-12"/>
        </w:rPr>
        <w:t> </w:t>
      </w:r>
      <w:r>
        <w:rPr/>
        <w:t>hence, none gave a serious indication of multicollinearity</w:t>
      </w:r>
    </w:p>
    <w:p>
      <w:pPr>
        <w:spacing w:after="0" w:line="480" w:lineRule="auto"/>
        <w:jc w:val="both"/>
        <w:sectPr>
          <w:pgSz w:w="11910" w:h="16840"/>
          <w:pgMar w:header="0" w:footer="971" w:top="1360" w:bottom="1160" w:left="500" w:right="0"/>
        </w:sectPr>
      </w:pPr>
    </w:p>
    <w:p>
      <w:pPr>
        <w:pStyle w:val="Heading3"/>
        <w:numPr>
          <w:ilvl w:val="1"/>
          <w:numId w:val="29"/>
        </w:numPr>
        <w:tabs>
          <w:tab w:pos="1360" w:val="left" w:leader="none"/>
        </w:tabs>
        <w:spacing w:line="240" w:lineRule="auto" w:before="61" w:after="0"/>
        <w:ind w:left="1360" w:right="0" w:hanging="420"/>
        <w:jc w:val="both"/>
      </w:pPr>
      <w:bookmarkStart w:name="_TOC_250018" w:id="52"/>
      <w:r>
        <w:rPr/>
        <w:t>Panel</w:t>
      </w:r>
      <w:r>
        <w:rPr>
          <w:spacing w:val="-2"/>
        </w:rPr>
        <w:t> </w:t>
      </w:r>
      <w:r>
        <w:rPr/>
        <w:t>Co-</w:t>
      </w:r>
      <w:bookmarkEnd w:id="52"/>
      <w:r>
        <w:rPr>
          <w:spacing w:val="-2"/>
        </w:rPr>
        <w:t>integration</w:t>
      </w:r>
    </w:p>
    <w:p>
      <w:pPr>
        <w:pStyle w:val="BodyText"/>
        <w:rPr>
          <w:b/>
        </w:rPr>
      </w:pPr>
    </w:p>
    <w:p>
      <w:pPr>
        <w:pStyle w:val="BodyText"/>
        <w:spacing w:line="480" w:lineRule="auto"/>
        <w:ind w:left="940" w:right="1437"/>
        <w:jc w:val="both"/>
      </w:pPr>
      <w:r>
        <w:rPr/>
        <w:drawing>
          <wp:anchor distT="0" distB="0" distL="0" distR="0" allowOverlap="1" layoutInCell="1" locked="0" behindDoc="1" simplePos="0" relativeHeight="477734912">
            <wp:simplePos x="0" y="0"/>
            <wp:positionH relativeFrom="page">
              <wp:posOffset>1095451</wp:posOffset>
            </wp:positionH>
            <wp:positionV relativeFrom="paragraph">
              <wp:posOffset>1461545</wp:posOffset>
            </wp:positionV>
            <wp:extent cx="5106847" cy="5238115"/>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0" cstate="print"/>
                    <a:stretch>
                      <a:fillRect/>
                    </a:stretch>
                  </pic:blipFill>
                  <pic:spPr>
                    <a:xfrm>
                      <a:off x="0" y="0"/>
                      <a:ext cx="5106847" cy="5238115"/>
                    </a:xfrm>
                    <a:prstGeom prst="rect">
                      <a:avLst/>
                    </a:prstGeom>
                  </pic:spPr>
                </pic:pic>
              </a:graphicData>
            </a:graphic>
          </wp:anchor>
        </w:drawing>
      </w:r>
      <w:r>
        <w:rPr/>
        <w:t>In this study, the hypothesis of cointegration between all variables was tested using Kao cointegration tests (Appendix 26).</w:t>
      </w:r>
      <w:r>
        <w:rPr>
          <w:spacing w:val="40"/>
        </w:rPr>
        <w:t> </w:t>
      </w:r>
      <w:r>
        <w:rPr/>
        <w:t>The result of the test indicated that the null hypothesis of no-cointegration was rejected at 5% and 1% significance levels. Hence, the empirical results supported the hypothesis of cointegration among all variables. Our co-integration results confirmed</w:t>
      </w:r>
      <w:r>
        <w:rPr>
          <w:spacing w:val="-15"/>
        </w:rPr>
        <w:t> </w:t>
      </w:r>
      <w:r>
        <w:rPr/>
        <w:t>that</w:t>
      </w:r>
      <w:r>
        <w:rPr>
          <w:spacing w:val="-15"/>
        </w:rPr>
        <w:t> </w:t>
      </w:r>
      <w:r>
        <w:rPr/>
        <w:t>a</w:t>
      </w:r>
      <w:r>
        <w:rPr>
          <w:spacing w:val="-15"/>
        </w:rPr>
        <w:t> </w:t>
      </w:r>
      <w:r>
        <w:rPr/>
        <w:t>long</w:t>
      </w:r>
      <w:r>
        <w:rPr>
          <w:spacing w:val="-15"/>
        </w:rPr>
        <w:t> </w:t>
      </w:r>
      <w:r>
        <w:rPr/>
        <w:t>run</w:t>
      </w:r>
      <w:r>
        <w:rPr>
          <w:spacing w:val="-15"/>
        </w:rPr>
        <w:t> </w:t>
      </w:r>
      <w:r>
        <w:rPr/>
        <w:t>relationship</w:t>
      </w:r>
      <w:r>
        <w:rPr>
          <w:spacing w:val="-15"/>
        </w:rPr>
        <w:t> </w:t>
      </w:r>
      <w:r>
        <w:rPr/>
        <w:t>existed</w:t>
      </w:r>
      <w:r>
        <w:rPr>
          <w:spacing w:val="-15"/>
        </w:rPr>
        <w:t> </w:t>
      </w:r>
      <w:r>
        <w:rPr/>
        <w:t>between</w:t>
      </w:r>
      <w:r>
        <w:rPr>
          <w:spacing w:val="-15"/>
        </w:rPr>
        <w:t> </w:t>
      </w:r>
      <w:r>
        <w:rPr/>
        <w:t>the</w:t>
      </w:r>
      <w:r>
        <w:rPr>
          <w:spacing w:val="-15"/>
        </w:rPr>
        <w:t> </w:t>
      </w:r>
      <w:r>
        <w:rPr/>
        <w:t>dependent</w:t>
      </w:r>
      <w:r>
        <w:rPr>
          <w:spacing w:val="-15"/>
        </w:rPr>
        <w:t> </w:t>
      </w:r>
      <w:r>
        <w:rPr/>
        <w:t>and</w:t>
      </w:r>
      <w:r>
        <w:rPr>
          <w:spacing w:val="-15"/>
        </w:rPr>
        <w:t> </w:t>
      </w:r>
      <w:r>
        <w:rPr/>
        <w:t>independent</w:t>
      </w:r>
      <w:r>
        <w:rPr>
          <w:spacing w:val="-15"/>
        </w:rPr>
        <w:t> </w:t>
      </w:r>
      <w:r>
        <w:rPr/>
        <w:t>variables and thus we could proceed to specify the estimated relationship.</w:t>
      </w:r>
    </w:p>
    <w:p>
      <w:pPr>
        <w:pStyle w:val="BodyText"/>
        <w:spacing w:before="1"/>
        <w:ind w:left="940"/>
        <w:jc w:val="both"/>
      </w:pPr>
      <w:r>
        <w:rPr/>
        <w:t>Table</w:t>
      </w:r>
      <w:r>
        <w:rPr>
          <w:spacing w:val="-2"/>
        </w:rPr>
        <w:t> </w:t>
      </w:r>
      <w:r>
        <w:rPr/>
        <w:t>4.4:</w:t>
      </w:r>
      <w:r>
        <w:rPr>
          <w:spacing w:val="-1"/>
        </w:rPr>
        <w:t> </w:t>
      </w:r>
      <w:r>
        <w:rPr/>
        <w:t>Kao</w:t>
      </w:r>
      <w:r>
        <w:rPr>
          <w:spacing w:val="-2"/>
        </w:rPr>
        <w:t> </w:t>
      </w:r>
      <w:r>
        <w:rPr/>
        <w:t>Panel</w:t>
      </w:r>
      <w:r>
        <w:rPr>
          <w:spacing w:val="-1"/>
        </w:rPr>
        <w:t> </w:t>
      </w:r>
      <w:r>
        <w:rPr/>
        <w:t>Cointegration</w:t>
      </w:r>
      <w:r>
        <w:rPr>
          <w:spacing w:val="-1"/>
        </w:rPr>
        <w:t> </w:t>
      </w:r>
      <w:r>
        <w:rPr>
          <w:spacing w:val="-4"/>
        </w:rPr>
        <w:t>Test</w:t>
      </w: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0"/>
        <w:gridCol w:w="4337"/>
      </w:tblGrid>
      <w:tr>
        <w:trPr>
          <w:trHeight w:val="590" w:hRule="atLeast"/>
        </w:trPr>
        <w:tc>
          <w:tcPr>
            <w:tcW w:w="4530" w:type="dxa"/>
            <w:tcBorders>
              <w:left w:val="nil"/>
            </w:tcBorders>
          </w:tcPr>
          <w:p>
            <w:pPr>
              <w:pStyle w:val="TableParagraph"/>
              <w:spacing w:before="1"/>
              <w:ind w:left="122"/>
              <w:rPr>
                <w:rFonts w:ascii="Times New Roman"/>
                <w:b/>
                <w:sz w:val="22"/>
              </w:rPr>
            </w:pPr>
            <w:r>
              <w:rPr>
                <w:rFonts w:ascii="Times New Roman"/>
                <w:b/>
                <w:sz w:val="22"/>
              </w:rPr>
              <w:t>Within</w:t>
            </w:r>
            <w:r>
              <w:rPr>
                <w:rFonts w:ascii="Times New Roman"/>
                <w:b/>
                <w:spacing w:val="-3"/>
                <w:sz w:val="22"/>
              </w:rPr>
              <w:t> </w:t>
            </w:r>
            <w:r>
              <w:rPr>
                <w:rFonts w:ascii="Times New Roman"/>
                <w:b/>
                <w:spacing w:val="-2"/>
                <w:sz w:val="22"/>
              </w:rPr>
              <w:t>dimension</w:t>
            </w:r>
          </w:p>
        </w:tc>
        <w:tc>
          <w:tcPr>
            <w:tcW w:w="4337" w:type="dxa"/>
            <w:tcBorders>
              <w:top w:val="single" w:sz="4" w:space="0" w:color="7E7E7E"/>
              <w:bottom w:val="single" w:sz="4" w:space="0" w:color="7E7E7E"/>
              <w:right w:val="nil"/>
            </w:tcBorders>
          </w:tcPr>
          <w:p>
            <w:pPr>
              <w:pStyle w:val="TableParagraph"/>
              <w:spacing w:line="276" w:lineRule="auto"/>
              <w:ind w:left="1488" w:right="1496"/>
              <w:jc w:val="center"/>
              <w:rPr>
                <w:rFonts w:ascii="Times New Roman"/>
                <w:sz w:val="20"/>
              </w:rPr>
            </w:pPr>
            <w:r>
              <w:rPr>
                <w:rFonts w:ascii="Times New Roman"/>
                <w:spacing w:val="-2"/>
                <w:sz w:val="20"/>
              </w:rPr>
              <w:t>Weighted Statistic</w:t>
            </w:r>
          </w:p>
        </w:tc>
      </w:tr>
      <w:tr>
        <w:trPr>
          <w:trHeight w:val="460" w:hRule="atLeast"/>
        </w:trPr>
        <w:tc>
          <w:tcPr>
            <w:tcW w:w="4530" w:type="dxa"/>
            <w:tcBorders>
              <w:left w:val="nil"/>
              <w:bottom w:val="single" w:sz="4" w:space="0" w:color="7E7E7E"/>
            </w:tcBorders>
          </w:tcPr>
          <w:p>
            <w:pPr>
              <w:pStyle w:val="TableParagraph"/>
              <w:ind w:left="1226"/>
              <w:rPr>
                <w:rFonts w:ascii="Times New Roman"/>
                <w:sz w:val="20"/>
              </w:rPr>
            </w:pPr>
            <w:r>
              <w:rPr>
                <w:rFonts w:ascii="Times New Roman"/>
                <w:sz w:val="20"/>
              </w:rPr>
              <w:t>Augmented</w:t>
            </w:r>
            <w:r>
              <w:rPr>
                <w:rFonts w:ascii="Times New Roman"/>
                <w:spacing w:val="-6"/>
                <w:sz w:val="20"/>
              </w:rPr>
              <w:t> </w:t>
            </w:r>
            <w:r>
              <w:rPr>
                <w:rFonts w:ascii="Times New Roman"/>
                <w:sz w:val="20"/>
              </w:rPr>
              <w:t>Dickey</w:t>
            </w:r>
            <w:r>
              <w:rPr>
                <w:rFonts w:ascii="Times New Roman"/>
                <w:spacing w:val="-6"/>
                <w:sz w:val="20"/>
              </w:rPr>
              <w:t> </w:t>
            </w:r>
            <w:r>
              <w:rPr>
                <w:rFonts w:ascii="Times New Roman"/>
                <w:spacing w:val="-2"/>
                <w:sz w:val="20"/>
              </w:rPr>
              <w:t>Fuller</w:t>
            </w:r>
          </w:p>
        </w:tc>
        <w:tc>
          <w:tcPr>
            <w:tcW w:w="4337" w:type="dxa"/>
            <w:tcBorders>
              <w:top w:val="single" w:sz="4" w:space="0" w:color="7E7E7E"/>
              <w:bottom w:val="single" w:sz="4" w:space="0" w:color="7E7E7E"/>
              <w:right w:val="nil"/>
            </w:tcBorders>
          </w:tcPr>
          <w:p>
            <w:pPr>
              <w:pStyle w:val="TableParagraph"/>
              <w:ind w:left="1488" w:right="1496"/>
              <w:jc w:val="center"/>
              <w:rPr>
                <w:rFonts w:ascii="Times New Roman"/>
                <w:sz w:val="20"/>
              </w:rPr>
            </w:pPr>
            <w:r>
              <w:rPr>
                <w:rFonts w:ascii="Times New Roman"/>
                <w:spacing w:val="-2"/>
                <w:sz w:val="20"/>
              </w:rPr>
              <w:t>-4.1227</w:t>
            </w:r>
          </w:p>
        </w:tc>
      </w:tr>
      <w:tr>
        <w:trPr>
          <w:trHeight w:val="458" w:hRule="atLeast"/>
        </w:trPr>
        <w:tc>
          <w:tcPr>
            <w:tcW w:w="4530" w:type="dxa"/>
            <w:tcBorders>
              <w:top w:val="single" w:sz="4" w:space="0" w:color="7E7E7E"/>
              <w:left w:val="nil"/>
              <w:bottom w:val="single" w:sz="4" w:space="0" w:color="7E7E7E"/>
            </w:tcBorders>
          </w:tcPr>
          <w:p>
            <w:pPr>
              <w:pStyle w:val="TableParagraph"/>
              <w:ind w:left="16" w:right="3"/>
              <w:jc w:val="center"/>
              <w:rPr>
                <w:rFonts w:ascii="Times New Roman"/>
                <w:sz w:val="20"/>
              </w:rPr>
            </w:pPr>
            <w:r>
              <w:rPr>
                <w:rFonts w:ascii="Times New Roman"/>
                <w:spacing w:val="-2"/>
                <w:sz w:val="20"/>
              </w:rPr>
              <w:t>P-</w:t>
            </w:r>
            <w:r>
              <w:rPr>
                <w:rFonts w:ascii="Times New Roman"/>
                <w:spacing w:val="-4"/>
                <w:sz w:val="20"/>
              </w:rPr>
              <w:t>stat</w:t>
            </w:r>
          </w:p>
        </w:tc>
        <w:tc>
          <w:tcPr>
            <w:tcW w:w="4337" w:type="dxa"/>
            <w:tcBorders>
              <w:top w:val="single" w:sz="4" w:space="0" w:color="7E7E7E"/>
              <w:bottom w:val="single" w:sz="4" w:space="0" w:color="7E7E7E"/>
              <w:right w:val="nil"/>
            </w:tcBorders>
          </w:tcPr>
          <w:p>
            <w:pPr>
              <w:pStyle w:val="TableParagraph"/>
              <w:ind w:left="1491" w:right="1496"/>
              <w:jc w:val="center"/>
              <w:rPr>
                <w:rFonts w:ascii="Times New Roman"/>
                <w:sz w:val="20"/>
              </w:rPr>
            </w:pPr>
            <w:r>
              <w:rPr>
                <w:rFonts w:ascii="Times New Roman"/>
                <w:spacing w:val="-2"/>
                <w:sz w:val="20"/>
              </w:rPr>
              <w:t>0.000</w:t>
            </w:r>
          </w:p>
        </w:tc>
      </w:tr>
      <w:tr>
        <w:trPr>
          <w:trHeight w:val="460" w:hRule="atLeast"/>
        </w:trPr>
        <w:tc>
          <w:tcPr>
            <w:tcW w:w="4530" w:type="dxa"/>
            <w:tcBorders>
              <w:top w:val="single" w:sz="4" w:space="0" w:color="7E7E7E"/>
              <w:left w:val="nil"/>
              <w:bottom w:val="single" w:sz="4" w:space="0" w:color="7E7E7E"/>
            </w:tcBorders>
          </w:tcPr>
          <w:p>
            <w:pPr>
              <w:pStyle w:val="TableParagraph"/>
              <w:spacing w:before="2"/>
              <w:ind w:left="16"/>
              <w:jc w:val="center"/>
              <w:rPr>
                <w:rFonts w:ascii="Times New Roman"/>
                <w:sz w:val="20"/>
              </w:rPr>
            </w:pPr>
            <w:r>
              <w:rPr>
                <w:rFonts w:ascii="Times New Roman"/>
                <w:sz w:val="20"/>
              </w:rPr>
              <w:t>Residual</w:t>
            </w:r>
            <w:r>
              <w:rPr>
                <w:rFonts w:ascii="Times New Roman"/>
                <w:spacing w:val="-7"/>
                <w:sz w:val="20"/>
              </w:rPr>
              <w:t> </w:t>
            </w:r>
            <w:r>
              <w:rPr>
                <w:rFonts w:ascii="Times New Roman"/>
                <w:spacing w:val="-2"/>
                <w:sz w:val="20"/>
              </w:rPr>
              <w:t>Variance</w:t>
            </w:r>
          </w:p>
        </w:tc>
        <w:tc>
          <w:tcPr>
            <w:tcW w:w="4337" w:type="dxa"/>
            <w:tcBorders>
              <w:top w:val="single" w:sz="4" w:space="0" w:color="7E7E7E"/>
              <w:bottom w:val="single" w:sz="4" w:space="0" w:color="7E7E7E"/>
              <w:right w:val="nil"/>
            </w:tcBorders>
          </w:tcPr>
          <w:p>
            <w:pPr>
              <w:pStyle w:val="TableParagraph"/>
              <w:spacing w:before="2"/>
              <w:ind w:left="1488" w:right="1496"/>
              <w:jc w:val="center"/>
              <w:rPr>
                <w:rFonts w:ascii="Times New Roman"/>
                <w:sz w:val="20"/>
              </w:rPr>
            </w:pPr>
            <w:r>
              <w:rPr>
                <w:rFonts w:ascii="Times New Roman"/>
                <w:spacing w:val="-2"/>
                <w:sz w:val="20"/>
              </w:rPr>
              <w:t>0.3943</w:t>
            </w:r>
          </w:p>
        </w:tc>
      </w:tr>
      <w:tr>
        <w:trPr>
          <w:trHeight w:val="460" w:hRule="atLeast"/>
        </w:trPr>
        <w:tc>
          <w:tcPr>
            <w:tcW w:w="4530" w:type="dxa"/>
            <w:tcBorders>
              <w:top w:val="single" w:sz="4" w:space="0" w:color="7E7E7E"/>
              <w:left w:val="nil"/>
              <w:bottom w:val="single" w:sz="4" w:space="0" w:color="7E7E7E"/>
            </w:tcBorders>
          </w:tcPr>
          <w:p>
            <w:pPr>
              <w:pStyle w:val="TableParagraph"/>
              <w:ind w:left="16" w:right="5"/>
              <w:jc w:val="center"/>
              <w:rPr>
                <w:rFonts w:ascii="Times New Roman"/>
                <w:sz w:val="20"/>
              </w:rPr>
            </w:pPr>
            <w:r>
              <w:rPr>
                <w:rFonts w:ascii="Times New Roman"/>
                <w:sz w:val="20"/>
              </w:rPr>
              <w:t>HAC</w:t>
            </w:r>
            <w:r>
              <w:rPr>
                <w:rFonts w:ascii="Times New Roman"/>
                <w:spacing w:val="-6"/>
                <w:sz w:val="20"/>
              </w:rPr>
              <w:t> </w:t>
            </w:r>
            <w:r>
              <w:rPr>
                <w:rFonts w:ascii="Times New Roman"/>
                <w:spacing w:val="-2"/>
                <w:sz w:val="20"/>
              </w:rPr>
              <w:t>Variance</w:t>
            </w:r>
          </w:p>
        </w:tc>
        <w:tc>
          <w:tcPr>
            <w:tcW w:w="4337" w:type="dxa"/>
            <w:tcBorders>
              <w:top w:val="single" w:sz="4" w:space="0" w:color="7E7E7E"/>
              <w:bottom w:val="single" w:sz="4" w:space="0" w:color="7E7E7E"/>
              <w:right w:val="nil"/>
            </w:tcBorders>
          </w:tcPr>
          <w:p>
            <w:pPr>
              <w:pStyle w:val="TableParagraph"/>
              <w:ind w:left="1488" w:right="1496"/>
              <w:jc w:val="center"/>
              <w:rPr>
                <w:rFonts w:ascii="Times New Roman"/>
                <w:sz w:val="20"/>
              </w:rPr>
            </w:pPr>
            <w:r>
              <w:rPr>
                <w:rFonts w:ascii="Times New Roman"/>
                <w:spacing w:val="-2"/>
                <w:sz w:val="20"/>
              </w:rPr>
              <w:t>0.2433</w:t>
            </w:r>
          </w:p>
        </w:tc>
      </w:tr>
    </w:tbl>
    <w:p>
      <w:pPr>
        <w:spacing w:before="1"/>
        <w:ind w:left="940" w:right="0" w:firstLine="0"/>
        <w:jc w:val="both"/>
        <w:rPr>
          <w:sz w:val="20"/>
        </w:rPr>
      </w:pPr>
      <w:r>
        <w:rPr>
          <w:sz w:val="20"/>
        </w:rPr>
        <w:t>Source:</w:t>
      </w:r>
      <w:r>
        <w:rPr>
          <w:spacing w:val="-7"/>
          <w:sz w:val="20"/>
        </w:rPr>
        <w:t> </w:t>
      </w:r>
      <w:r>
        <w:rPr>
          <w:sz w:val="20"/>
        </w:rPr>
        <w:t>Researcher’s</w:t>
      </w:r>
      <w:r>
        <w:rPr>
          <w:spacing w:val="-7"/>
          <w:sz w:val="20"/>
        </w:rPr>
        <w:t> </w:t>
      </w:r>
      <w:r>
        <w:rPr>
          <w:sz w:val="20"/>
        </w:rPr>
        <w:t>compilation</w:t>
      </w:r>
      <w:r>
        <w:rPr>
          <w:spacing w:val="-5"/>
          <w:sz w:val="20"/>
        </w:rPr>
        <w:t> </w:t>
      </w:r>
      <w:r>
        <w:rPr>
          <w:sz w:val="20"/>
        </w:rPr>
        <w:t>(2021)</w:t>
      </w:r>
      <w:r>
        <w:rPr>
          <w:spacing w:val="-8"/>
          <w:sz w:val="20"/>
        </w:rPr>
        <w:t> </w:t>
      </w:r>
      <w:r>
        <w:rPr>
          <w:sz w:val="20"/>
        </w:rPr>
        <w:t>*</w:t>
      </w:r>
      <w:r>
        <w:rPr>
          <w:spacing w:val="-7"/>
          <w:sz w:val="20"/>
        </w:rPr>
        <w:t> </w:t>
      </w:r>
      <w:r>
        <w:rPr>
          <w:sz w:val="20"/>
        </w:rPr>
        <w:t>sig</w:t>
      </w:r>
      <w:r>
        <w:rPr>
          <w:spacing w:val="-5"/>
          <w:sz w:val="20"/>
        </w:rPr>
        <w:t> @5%</w:t>
      </w:r>
    </w:p>
    <w:p>
      <w:pPr>
        <w:pStyle w:val="BodyText"/>
        <w:rPr>
          <w:sz w:val="20"/>
        </w:rPr>
      </w:pPr>
    </w:p>
    <w:p>
      <w:pPr>
        <w:pStyle w:val="BodyText"/>
        <w:rPr>
          <w:sz w:val="20"/>
        </w:rPr>
      </w:pPr>
    </w:p>
    <w:p>
      <w:pPr>
        <w:pStyle w:val="BodyText"/>
        <w:spacing w:before="49"/>
        <w:rPr>
          <w:sz w:val="20"/>
        </w:rPr>
      </w:pPr>
    </w:p>
    <w:p>
      <w:pPr>
        <w:pStyle w:val="Heading3"/>
      </w:pPr>
      <w:bookmarkStart w:name="_TOC_250017" w:id="53"/>
      <w:r>
        <w:rPr/>
        <w:t>4.2.5.</w:t>
      </w:r>
      <w:r>
        <w:rPr>
          <w:spacing w:val="-1"/>
        </w:rPr>
        <w:t> </w:t>
      </w:r>
      <w:r>
        <w:rPr/>
        <w:t>Panel </w:t>
      </w:r>
      <w:bookmarkEnd w:id="53"/>
      <w:r>
        <w:rPr>
          <w:spacing w:val="-2"/>
        </w:rPr>
        <w:t>Regressions</w:t>
      </w:r>
    </w:p>
    <w:p>
      <w:pPr>
        <w:pStyle w:val="BodyText"/>
        <w:spacing w:line="480" w:lineRule="auto" w:before="137"/>
        <w:ind w:left="940" w:right="1437"/>
        <w:jc w:val="both"/>
      </w:pPr>
      <w:r>
        <w:rPr/>
        <w:t>The focus of the study was examined the impact of board and ownership structures on the financial reporting quality of listed banks in Nigeria. The study utilized the Panel regression and difference in difference analysis. The results were presented below;</w:t>
      </w:r>
    </w:p>
    <w:p>
      <w:pPr>
        <w:pStyle w:val="BodyText"/>
        <w:spacing w:after="3"/>
        <w:ind w:left="940"/>
        <w:jc w:val="both"/>
      </w:pPr>
      <w:r>
        <w:rPr/>
        <w:t>Table</w:t>
      </w:r>
      <w:r>
        <w:rPr>
          <w:spacing w:val="-2"/>
        </w:rPr>
        <w:t> </w:t>
      </w:r>
      <w:r>
        <w:rPr/>
        <w:t>4.5</w:t>
      </w:r>
      <w:r>
        <w:rPr>
          <w:spacing w:val="-3"/>
        </w:rPr>
        <w:t> </w:t>
      </w:r>
      <w:r>
        <w:rPr/>
        <w:t>Difference-In-Difference</w:t>
      </w:r>
      <w:r>
        <w:rPr>
          <w:spacing w:val="-1"/>
        </w:rPr>
        <w:t> </w:t>
      </w:r>
      <w:r>
        <w:rPr/>
        <w:t>(DD)</w:t>
      </w:r>
      <w:r>
        <w:rPr>
          <w:spacing w:val="-2"/>
        </w:rPr>
        <w:t> </w:t>
      </w:r>
      <w:r>
        <w:rPr/>
        <w:t>estimation of</w:t>
      </w:r>
      <w:r>
        <w:rPr>
          <w:spacing w:val="-1"/>
        </w:rPr>
        <w:t> </w:t>
      </w:r>
      <w:r>
        <w:rPr/>
        <w:t>IFRS</w:t>
      </w:r>
      <w:r>
        <w:rPr>
          <w:spacing w:val="-2"/>
        </w:rPr>
        <w:t> </w:t>
      </w:r>
      <w:r>
        <w:rPr/>
        <w:t>and</w:t>
      </w:r>
      <w:r>
        <w:rPr>
          <w:spacing w:val="-2"/>
        </w:rPr>
        <w:t> </w:t>
      </w:r>
      <w:r>
        <w:rPr/>
        <w:t>financial</w:t>
      </w:r>
      <w:r>
        <w:rPr>
          <w:spacing w:val="-1"/>
        </w:rPr>
        <w:t> </w:t>
      </w:r>
      <w:r>
        <w:rPr/>
        <w:t>reporting</w:t>
      </w:r>
      <w:r>
        <w:rPr>
          <w:spacing w:val="-1"/>
        </w:rPr>
        <w:t> </w:t>
      </w:r>
      <w:r>
        <w:rPr>
          <w:spacing w:val="-2"/>
        </w:rPr>
        <w:t>quality</w:t>
      </w:r>
    </w:p>
    <w:tbl>
      <w:tblPr>
        <w:tblW w:w="0" w:type="auto"/>
        <w:jc w:val="left"/>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1261"/>
        <w:gridCol w:w="1892"/>
        <w:gridCol w:w="1801"/>
        <w:gridCol w:w="1889"/>
      </w:tblGrid>
      <w:tr>
        <w:trPr>
          <w:trHeight w:val="329" w:hRule="atLeast"/>
        </w:trPr>
        <w:tc>
          <w:tcPr>
            <w:tcW w:w="1620" w:type="dxa"/>
            <w:tcBorders>
              <w:left w:val="nil"/>
              <w:bottom w:val="single" w:sz="4" w:space="0" w:color="BEBEBE"/>
              <w:right w:val="single" w:sz="4" w:space="0" w:color="BEBEBE"/>
            </w:tcBorders>
          </w:tcPr>
          <w:p>
            <w:pPr>
              <w:pStyle w:val="TableParagraph"/>
              <w:rPr>
                <w:rFonts w:ascii="Times New Roman"/>
                <w:sz w:val="22"/>
              </w:rPr>
            </w:pPr>
          </w:p>
        </w:tc>
        <w:tc>
          <w:tcPr>
            <w:tcW w:w="1261" w:type="dxa"/>
            <w:tcBorders>
              <w:left w:val="single" w:sz="4" w:space="0" w:color="BEBEBE"/>
              <w:bottom w:val="single" w:sz="4" w:space="0" w:color="BEBEBE"/>
              <w:right w:val="single" w:sz="4" w:space="0" w:color="BEBEBE"/>
            </w:tcBorders>
          </w:tcPr>
          <w:p>
            <w:pPr>
              <w:pStyle w:val="TableParagraph"/>
              <w:rPr>
                <w:rFonts w:ascii="Times New Roman"/>
                <w:sz w:val="22"/>
              </w:rPr>
            </w:pPr>
          </w:p>
        </w:tc>
        <w:tc>
          <w:tcPr>
            <w:tcW w:w="1892" w:type="dxa"/>
            <w:tcBorders>
              <w:left w:val="single" w:sz="4" w:space="0" w:color="BEBEBE"/>
              <w:bottom w:val="single" w:sz="4" w:space="0" w:color="BEBEBE"/>
            </w:tcBorders>
          </w:tcPr>
          <w:p>
            <w:pPr>
              <w:pStyle w:val="TableParagraph"/>
              <w:ind w:left="447" w:right="454"/>
              <w:jc w:val="center"/>
              <w:rPr>
                <w:rFonts w:ascii="Times New Roman"/>
                <w:sz w:val="20"/>
              </w:rPr>
            </w:pPr>
            <w:r>
              <w:rPr>
                <w:rFonts w:ascii="Times New Roman"/>
                <w:spacing w:val="-2"/>
                <w:sz w:val="20"/>
              </w:rPr>
              <w:t>QUA-</w:t>
            </w:r>
            <w:r>
              <w:rPr>
                <w:rFonts w:ascii="Times New Roman"/>
                <w:spacing w:val="-5"/>
                <w:sz w:val="20"/>
              </w:rPr>
              <w:t>FRQ</w:t>
            </w:r>
          </w:p>
        </w:tc>
        <w:tc>
          <w:tcPr>
            <w:tcW w:w="1801" w:type="dxa"/>
            <w:tcBorders>
              <w:bottom w:val="single" w:sz="4" w:space="0" w:color="BEBEBE"/>
            </w:tcBorders>
          </w:tcPr>
          <w:p>
            <w:pPr>
              <w:pStyle w:val="TableParagraph"/>
              <w:ind w:left="9" w:right="17"/>
              <w:jc w:val="center"/>
              <w:rPr>
                <w:rFonts w:ascii="Times New Roman"/>
                <w:sz w:val="20"/>
              </w:rPr>
            </w:pPr>
            <w:r>
              <w:rPr>
                <w:rFonts w:ascii="Times New Roman"/>
                <w:spacing w:val="-4"/>
                <w:sz w:val="20"/>
              </w:rPr>
              <w:t>VREL</w:t>
            </w:r>
          </w:p>
        </w:tc>
        <w:tc>
          <w:tcPr>
            <w:tcW w:w="1889" w:type="dxa"/>
            <w:tcBorders>
              <w:bottom w:val="single" w:sz="4" w:space="0" w:color="BEBEBE"/>
              <w:right w:val="nil"/>
            </w:tcBorders>
          </w:tcPr>
          <w:p>
            <w:pPr>
              <w:pStyle w:val="TableParagraph"/>
              <w:ind w:left="10" w:right="24"/>
              <w:jc w:val="center"/>
              <w:rPr>
                <w:rFonts w:ascii="Times New Roman"/>
                <w:sz w:val="20"/>
              </w:rPr>
            </w:pPr>
            <w:r>
              <w:rPr>
                <w:rFonts w:ascii="Times New Roman"/>
                <w:spacing w:val="-2"/>
                <w:sz w:val="20"/>
              </w:rPr>
              <w:t>DISACC</w:t>
            </w:r>
          </w:p>
        </w:tc>
      </w:tr>
      <w:tr>
        <w:trPr>
          <w:trHeight w:val="286" w:hRule="atLeast"/>
        </w:trPr>
        <w:tc>
          <w:tcPr>
            <w:tcW w:w="1620" w:type="dxa"/>
            <w:tcBorders>
              <w:top w:val="single" w:sz="4" w:space="0" w:color="BEBEBE"/>
              <w:left w:val="nil"/>
              <w:bottom w:val="nil"/>
              <w:right w:val="single" w:sz="4" w:space="0" w:color="BEBEBE"/>
            </w:tcBorders>
          </w:tcPr>
          <w:p>
            <w:pPr>
              <w:pStyle w:val="TableParagraph"/>
              <w:ind w:left="4"/>
              <w:jc w:val="center"/>
              <w:rPr>
                <w:rFonts w:ascii="Times New Roman"/>
                <w:sz w:val="19"/>
              </w:rPr>
            </w:pPr>
            <w:r>
              <w:rPr>
                <w:rFonts w:ascii="Times New Roman"/>
                <w:spacing w:val="-10"/>
                <w:sz w:val="19"/>
              </w:rPr>
              <w:t>C</w:t>
            </w:r>
          </w:p>
        </w:tc>
        <w:tc>
          <w:tcPr>
            <w:tcW w:w="1261" w:type="dxa"/>
            <w:vMerge w:val="restart"/>
            <w:tcBorders>
              <w:top w:val="single" w:sz="4" w:space="0" w:color="BEBEBE"/>
              <w:left w:val="single" w:sz="4" w:space="0" w:color="BEBEBE"/>
              <w:right w:val="single" w:sz="4" w:space="0" w:color="BEBEBE"/>
            </w:tcBorders>
          </w:tcPr>
          <w:p>
            <w:pPr>
              <w:pStyle w:val="TableParagraph"/>
              <w:rPr>
                <w:rFonts w:ascii="Times New Roman"/>
                <w:sz w:val="22"/>
              </w:rPr>
            </w:pPr>
          </w:p>
        </w:tc>
        <w:tc>
          <w:tcPr>
            <w:tcW w:w="1892" w:type="dxa"/>
            <w:tcBorders>
              <w:top w:val="single" w:sz="4" w:space="0" w:color="BEBEBE"/>
              <w:left w:val="single" w:sz="4" w:space="0" w:color="BEBEBE"/>
              <w:bottom w:val="nil"/>
              <w:right w:val="single" w:sz="4" w:space="0" w:color="7E7E7E"/>
            </w:tcBorders>
          </w:tcPr>
          <w:p>
            <w:pPr>
              <w:pStyle w:val="TableParagraph"/>
              <w:ind w:left="443" w:right="454"/>
              <w:jc w:val="center"/>
              <w:rPr>
                <w:rFonts w:ascii="Times New Roman"/>
                <w:sz w:val="20"/>
              </w:rPr>
            </w:pPr>
            <w:r>
              <w:rPr>
                <w:rFonts w:ascii="Times New Roman"/>
                <w:spacing w:val="-2"/>
                <w:sz w:val="20"/>
              </w:rPr>
              <w:t>0.0659</w:t>
            </w:r>
          </w:p>
        </w:tc>
        <w:tc>
          <w:tcPr>
            <w:tcW w:w="1801" w:type="dxa"/>
            <w:tcBorders>
              <w:top w:val="single" w:sz="4" w:space="0" w:color="BEBEBE"/>
              <w:left w:val="single" w:sz="4" w:space="0" w:color="7E7E7E"/>
              <w:bottom w:val="nil"/>
              <w:right w:val="single" w:sz="4" w:space="0" w:color="BEBEBE"/>
            </w:tcBorders>
          </w:tcPr>
          <w:p>
            <w:pPr>
              <w:pStyle w:val="TableParagraph"/>
              <w:ind w:right="17"/>
              <w:jc w:val="center"/>
              <w:rPr>
                <w:rFonts w:ascii="Times New Roman"/>
                <w:sz w:val="20"/>
              </w:rPr>
            </w:pPr>
            <w:r>
              <w:rPr>
                <w:rFonts w:ascii="Times New Roman"/>
                <w:spacing w:val="-2"/>
                <w:sz w:val="20"/>
              </w:rPr>
              <w:t>7.780026</w:t>
            </w:r>
          </w:p>
        </w:tc>
        <w:tc>
          <w:tcPr>
            <w:tcW w:w="1889" w:type="dxa"/>
            <w:tcBorders>
              <w:top w:val="single" w:sz="4" w:space="0" w:color="BEBEBE"/>
              <w:left w:val="single" w:sz="4" w:space="0" w:color="BEBEBE"/>
              <w:bottom w:val="nil"/>
              <w:right w:val="nil"/>
            </w:tcBorders>
          </w:tcPr>
          <w:p>
            <w:pPr>
              <w:pStyle w:val="TableParagraph"/>
              <w:ind w:left="5" w:right="24"/>
              <w:jc w:val="center"/>
              <w:rPr>
                <w:rFonts w:ascii="Times New Roman"/>
                <w:sz w:val="20"/>
              </w:rPr>
            </w:pPr>
            <w:r>
              <w:rPr>
                <w:rFonts w:ascii="Times New Roman"/>
                <w:spacing w:val="-2"/>
                <w:sz w:val="20"/>
              </w:rPr>
              <w:t>0.0027</w:t>
            </w:r>
          </w:p>
        </w:tc>
      </w:tr>
      <w:tr>
        <w:trPr>
          <w:trHeight w:val="334" w:hRule="atLeast"/>
        </w:trPr>
        <w:tc>
          <w:tcPr>
            <w:tcW w:w="1620" w:type="dxa"/>
            <w:tcBorders>
              <w:top w:val="nil"/>
              <w:left w:val="nil"/>
              <w:bottom w:val="nil"/>
              <w:right w:val="single" w:sz="4" w:space="0" w:color="BEBEBE"/>
            </w:tcBorders>
          </w:tcPr>
          <w:p>
            <w:pPr>
              <w:pStyle w:val="TableParagraph"/>
              <w:rPr>
                <w:rFonts w:ascii="Times New Roman"/>
                <w:sz w:val="22"/>
              </w:rPr>
            </w:pPr>
          </w:p>
        </w:tc>
        <w:tc>
          <w:tcPr>
            <w:tcW w:w="1261" w:type="dxa"/>
            <w:vMerge/>
            <w:tcBorders>
              <w:top w:val="nil"/>
              <w:left w:val="single" w:sz="4" w:space="0" w:color="BEBEBE"/>
              <w:right w:val="single" w:sz="4" w:space="0" w:color="BEBEBE"/>
            </w:tcBorders>
          </w:tcPr>
          <w:p>
            <w:pPr>
              <w:rPr>
                <w:sz w:val="2"/>
                <w:szCs w:val="2"/>
              </w:rPr>
            </w:pPr>
          </w:p>
        </w:tc>
        <w:tc>
          <w:tcPr>
            <w:tcW w:w="1892" w:type="dxa"/>
            <w:tcBorders>
              <w:top w:val="nil"/>
              <w:left w:val="single" w:sz="4" w:space="0" w:color="BEBEBE"/>
              <w:bottom w:val="nil"/>
              <w:right w:val="single" w:sz="4" w:space="0" w:color="7E7E7E"/>
            </w:tcBorders>
          </w:tcPr>
          <w:p>
            <w:pPr>
              <w:pStyle w:val="TableParagraph"/>
              <w:spacing w:before="47"/>
              <w:ind w:left="443" w:right="454"/>
              <w:jc w:val="center"/>
              <w:rPr>
                <w:rFonts w:ascii="Times New Roman"/>
                <w:sz w:val="20"/>
              </w:rPr>
            </w:pPr>
            <w:r>
              <w:rPr>
                <w:rFonts w:ascii="Times New Roman"/>
                <w:spacing w:val="-2"/>
                <w:sz w:val="20"/>
              </w:rPr>
              <w:t>(0.0667)</w:t>
            </w:r>
          </w:p>
        </w:tc>
        <w:tc>
          <w:tcPr>
            <w:tcW w:w="1801" w:type="dxa"/>
            <w:tcBorders>
              <w:top w:val="nil"/>
              <w:left w:val="single" w:sz="4" w:space="0" w:color="7E7E7E"/>
              <w:bottom w:val="nil"/>
              <w:right w:val="single" w:sz="4" w:space="0" w:color="BEBEBE"/>
            </w:tcBorders>
          </w:tcPr>
          <w:p>
            <w:pPr>
              <w:pStyle w:val="TableParagraph"/>
              <w:spacing w:before="47"/>
              <w:ind w:right="17"/>
              <w:jc w:val="center"/>
              <w:rPr>
                <w:rFonts w:ascii="Times New Roman"/>
                <w:sz w:val="20"/>
              </w:rPr>
            </w:pPr>
            <w:r>
              <w:rPr>
                <w:rFonts w:ascii="Times New Roman"/>
                <w:spacing w:val="-2"/>
                <w:sz w:val="20"/>
              </w:rPr>
              <w:t>(14.132)</w:t>
            </w:r>
          </w:p>
        </w:tc>
        <w:tc>
          <w:tcPr>
            <w:tcW w:w="1889" w:type="dxa"/>
            <w:tcBorders>
              <w:top w:val="nil"/>
              <w:left w:val="single" w:sz="4" w:space="0" w:color="BEBEBE"/>
              <w:bottom w:val="nil"/>
              <w:right w:val="nil"/>
            </w:tcBorders>
          </w:tcPr>
          <w:p>
            <w:pPr>
              <w:pStyle w:val="TableParagraph"/>
              <w:spacing w:before="47"/>
              <w:ind w:left="5" w:right="24"/>
              <w:jc w:val="center"/>
              <w:rPr>
                <w:rFonts w:ascii="Times New Roman"/>
                <w:sz w:val="20"/>
              </w:rPr>
            </w:pPr>
            <w:r>
              <w:rPr>
                <w:rFonts w:ascii="Times New Roman"/>
                <w:spacing w:val="-2"/>
                <w:sz w:val="20"/>
              </w:rPr>
              <w:t>(0.1779)</w:t>
            </w:r>
          </w:p>
        </w:tc>
      </w:tr>
      <w:tr>
        <w:trPr>
          <w:trHeight w:val="393" w:hRule="atLeast"/>
        </w:trPr>
        <w:tc>
          <w:tcPr>
            <w:tcW w:w="1620" w:type="dxa"/>
            <w:tcBorders>
              <w:top w:val="nil"/>
              <w:left w:val="nil"/>
              <w:right w:val="single" w:sz="4" w:space="0" w:color="BEBEBE"/>
            </w:tcBorders>
          </w:tcPr>
          <w:p>
            <w:pPr>
              <w:pStyle w:val="TableParagraph"/>
              <w:rPr>
                <w:rFonts w:ascii="Times New Roman"/>
                <w:sz w:val="22"/>
              </w:rPr>
            </w:pPr>
          </w:p>
        </w:tc>
        <w:tc>
          <w:tcPr>
            <w:tcW w:w="1261" w:type="dxa"/>
            <w:vMerge/>
            <w:tcBorders>
              <w:top w:val="nil"/>
              <w:left w:val="single" w:sz="4" w:space="0" w:color="BEBEBE"/>
              <w:right w:val="single" w:sz="4" w:space="0" w:color="BEBEBE"/>
            </w:tcBorders>
          </w:tcPr>
          <w:p>
            <w:pPr>
              <w:rPr>
                <w:sz w:val="2"/>
                <w:szCs w:val="2"/>
              </w:rPr>
            </w:pPr>
          </w:p>
        </w:tc>
        <w:tc>
          <w:tcPr>
            <w:tcW w:w="1892" w:type="dxa"/>
            <w:tcBorders>
              <w:top w:val="nil"/>
              <w:left w:val="single" w:sz="4" w:space="0" w:color="BEBEBE"/>
              <w:bottom w:val="single" w:sz="4" w:space="0" w:color="BEBEBE"/>
              <w:right w:val="single" w:sz="4" w:space="0" w:color="7E7E7E"/>
            </w:tcBorders>
          </w:tcPr>
          <w:p>
            <w:pPr>
              <w:pStyle w:val="TableParagraph"/>
              <w:spacing w:before="48"/>
              <w:ind w:left="453" w:right="454"/>
              <w:jc w:val="center"/>
              <w:rPr>
                <w:rFonts w:ascii="Times New Roman"/>
                <w:sz w:val="20"/>
              </w:rPr>
            </w:pPr>
            <w:r>
              <w:rPr>
                <w:rFonts w:ascii="Times New Roman"/>
                <w:spacing w:val="-2"/>
                <w:sz w:val="20"/>
              </w:rPr>
              <w:t>{0.3240}</w:t>
            </w:r>
          </w:p>
        </w:tc>
        <w:tc>
          <w:tcPr>
            <w:tcW w:w="1801" w:type="dxa"/>
            <w:tcBorders>
              <w:top w:val="nil"/>
              <w:left w:val="single" w:sz="4" w:space="0" w:color="7E7E7E"/>
              <w:bottom w:val="single" w:sz="4" w:space="0" w:color="BEBEBE"/>
              <w:right w:val="single" w:sz="4" w:space="0" w:color="BEBEBE"/>
            </w:tcBorders>
          </w:tcPr>
          <w:p>
            <w:pPr>
              <w:pStyle w:val="TableParagraph"/>
              <w:spacing w:before="48"/>
              <w:ind w:left="10" w:right="17"/>
              <w:jc w:val="center"/>
              <w:rPr>
                <w:rFonts w:ascii="Times New Roman"/>
                <w:sz w:val="20"/>
              </w:rPr>
            </w:pPr>
            <w:r>
              <w:rPr>
                <w:rFonts w:ascii="Times New Roman"/>
                <w:spacing w:val="-2"/>
                <w:sz w:val="20"/>
              </w:rPr>
              <w:t>0.5826</w:t>
            </w:r>
          </w:p>
        </w:tc>
        <w:tc>
          <w:tcPr>
            <w:tcW w:w="1889" w:type="dxa"/>
            <w:tcBorders>
              <w:top w:val="nil"/>
              <w:left w:val="single" w:sz="4" w:space="0" w:color="BEBEBE"/>
              <w:bottom w:val="single" w:sz="4" w:space="0" w:color="BEBEBE"/>
              <w:right w:val="nil"/>
            </w:tcBorders>
          </w:tcPr>
          <w:p>
            <w:pPr>
              <w:pStyle w:val="TableParagraph"/>
              <w:spacing w:before="48"/>
              <w:ind w:left="15" w:right="24"/>
              <w:jc w:val="center"/>
              <w:rPr>
                <w:rFonts w:ascii="Times New Roman"/>
                <w:sz w:val="20"/>
              </w:rPr>
            </w:pPr>
            <w:r>
              <w:rPr>
                <w:rFonts w:ascii="Times New Roman"/>
                <w:spacing w:val="-2"/>
                <w:sz w:val="20"/>
              </w:rPr>
              <w:t>{0.9878}</w:t>
            </w:r>
          </w:p>
        </w:tc>
      </w:tr>
      <w:tr>
        <w:trPr>
          <w:trHeight w:val="283" w:hRule="atLeast"/>
        </w:trPr>
        <w:tc>
          <w:tcPr>
            <w:tcW w:w="1620" w:type="dxa"/>
            <w:tcBorders>
              <w:left w:val="nil"/>
              <w:bottom w:val="nil"/>
              <w:right w:val="single" w:sz="4" w:space="0" w:color="BEBEBE"/>
            </w:tcBorders>
            <w:shd w:val="clear" w:color="auto" w:fill="E7E6E6"/>
          </w:tcPr>
          <w:p>
            <w:pPr>
              <w:pStyle w:val="TableParagraph"/>
              <w:ind w:left="4" w:right="2"/>
              <w:jc w:val="center"/>
              <w:rPr>
                <w:rFonts w:ascii="Times New Roman"/>
                <w:sz w:val="19"/>
              </w:rPr>
            </w:pPr>
            <w:r>
              <w:rPr>
                <w:rFonts w:ascii="Times New Roman"/>
                <w:spacing w:val="-5"/>
                <w:sz w:val="19"/>
              </w:rPr>
              <w:t>DID</w:t>
            </w:r>
          </w:p>
        </w:tc>
        <w:tc>
          <w:tcPr>
            <w:tcW w:w="1261" w:type="dxa"/>
            <w:tcBorders>
              <w:left w:val="single" w:sz="4" w:space="0" w:color="BEBEBE"/>
              <w:bottom w:val="nil"/>
            </w:tcBorders>
            <w:shd w:val="clear" w:color="auto" w:fill="E7E6E6"/>
          </w:tcPr>
          <w:p>
            <w:pPr>
              <w:pStyle w:val="TableParagraph"/>
              <w:rPr>
                <w:rFonts w:ascii="Times New Roman"/>
                <w:sz w:val="20"/>
              </w:rPr>
            </w:pPr>
          </w:p>
        </w:tc>
        <w:tc>
          <w:tcPr>
            <w:tcW w:w="1892" w:type="dxa"/>
            <w:tcBorders>
              <w:top w:val="single" w:sz="4" w:space="0" w:color="BEBEBE"/>
              <w:bottom w:val="nil"/>
              <w:right w:val="single" w:sz="4" w:space="0" w:color="7E7E7E"/>
            </w:tcBorders>
            <w:shd w:val="clear" w:color="auto" w:fill="E7E6E6"/>
          </w:tcPr>
          <w:p>
            <w:pPr>
              <w:pStyle w:val="TableParagraph"/>
              <w:ind w:left="438" w:right="454"/>
              <w:jc w:val="center"/>
              <w:rPr>
                <w:rFonts w:ascii="Times New Roman"/>
                <w:sz w:val="20"/>
              </w:rPr>
            </w:pPr>
            <w:r>
              <w:rPr>
                <w:rFonts w:ascii="Times New Roman"/>
                <w:spacing w:val="-2"/>
                <w:sz w:val="20"/>
              </w:rPr>
              <w:t>0.0550***</w:t>
            </w:r>
          </w:p>
        </w:tc>
        <w:tc>
          <w:tcPr>
            <w:tcW w:w="1801" w:type="dxa"/>
            <w:tcBorders>
              <w:top w:val="single" w:sz="4" w:space="0" w:color="BEBEBE"/>
              <w:left w:val="single" w:sz="4" w:space="0" w:color="7E7E7E"/>
              <w:bottom w:val="nil"/>
              <w:right w:val="single" w:sz="4" w:space="0" w:color="BEBEBE"/>
            </w:tcBorders>
            <w:shd w:val="clear" w:color="auto" w:fill="E7E6E6"/>
          </w:tcPr>
          <w:p>
            <w:pPr>
              <w:pStyle w:val="TableParagraph"/>
              <w:ind w:right="17"/>
              <w:jc w:val="center"/>
              <w:rPr>
                <w:rFonts w:ascii="Times New Roman"/>
                <w:sz w:val="20"/>
              </w:rPr>
            </w:pPr>
            <w:r>
              <w:rPr>
                <w:rFonts w:ascii="Times New Roman"/>
                <w:spacing w:val="-2"/>
                <w:sz w:val="20"/>
              </w:rPr>
              <w:t>8.5416</w:t>
            </w:r>
          </w:p>
        </w:tc>
        <w:tc>
          <w:tcPr>
            <w:tcW w:w="1889" w:type="dxa"/>
            <w:tcBorders>
              <w:top w:val="single" w:sz="4" w:space="0" w:color="BEBEBE"/>
              <w:left w:val="single" w:sz="4" w:space="0" w:color="BEBEBE"/>
              <w:bottom w:val="nil"/>
              <w:right w:val="nil"/>
            </w:tcBorders>
            <w:shd w:val="clear" w:color="auto" w:fill="E7E6E6"/>
          </w:tcPr>
          <w:p>
            <w:pPr>
              <w:pStyle w:val="TableParagraph"/>
              <w:ind w:right="24"/>
              <w:jc w:val="center"/>
              <w:rPr>
                <w:rFonts w:ascii="Times New Roman"/>
                <w:sz w:val="20"/>
              </w:rPr>
            </w:pPr>
            <w:r>
              <w:rPr>
                <w:rFonts w:ascii="Times New Roman"/>
                <w:spacing w:val="-2"/>
                <w:sz w:val="20"/>
              </w:rPr>
              <w:t>1.2645***</w:t>
            </w:r>
          </w:p>
        </w:tc>
      </w:tr>
      <w:tr>
        <w:trPr>
          <w:trHeight w:val="354" w:hRule="atLeast"/>
        </w:trPr>
        <w:tc>
          <w:tcPr>
            <w:tcW w:w="1620" w:type="dxa"/>
            <w:tcBorders>
              <w:top w:val="nil"/>
              <w:left w:val="nil"/>
              <w:bottom w:val="nil"/>
              <w:right w:val="single" w:sz="4" w:space="0" w:color="BEBEBE"/>
            </w:tcBorders>
            <w:shd w:val="clear" w:color="auto" w:fill="E7E6E6"/>
          </w:tcPr>
          <w:p>
            <w:pPr>
              <w:pStyle w:val="TableParagraph"/>
              <w:rPr>
                <w:rFonts w:ascii="Times New Roman"/>
                <w:sz w:val="22"/>
              </w:rPr>
            </w:pPr>
          </w:p>
        </w:tc>
        <w:tc>
          <w:tcPr>
            <w:tcW w:w="1261" w:type="dxa"/>
            <w:tcBorders>
              <w:top w:val="nil"/>
              <w:left w:val="single" w:sz="4" w:space="0" w:color="BEBEBE"/>
              <w:bottom w:val="nil"/>
            </w:tcBorders>
            <w:shd w:val="clear" w:color="auto" w:fill="E7E6E6"/>
          </w:tcPr>
          <w:p>
            <w:pPr>
              <w:pStyle w:val="TableParagraph"/>
              <w:spacing w:before="45"/>
              <w:ind w:left="170" w:right="171"/>
              <w:jc w:val="center"/>
              <w:rPr>
                <w:rFonts w:ascii="Times New Roman"/>
                <w:sz w:val="19"/>
              </w:rPr>
            </w:pPr>
            <w:r>
              <w:rPr>
                <w:rFonts w:ascii="Times New Roman"/>
                <w:spacing w:val="-10"/>
                <w:sz w:val="19"/>
              </w:rPr>
              <w:t>+</w:t>
            </w:r>
          </w:p>
        </w:tc>
        <w:tc>
          <w:tcPr>
            <w:tcW w:w="1892" w:type="dxa"/>
            <w:tcBorders>
              <w:top w:val="nil"/>
              <w:bottom w:val="nil"/>
              <w:right w:val="single" w:sz="4" w:space="0" w:color="7E7E7E"/>
            </w:tcBorders>
            <w:shd w:val="clear" w:color="auto" w:fill="E7E6E6"/>
          </w:tcPr>
          <w:p>
            <w:pPr>
              <w:pStyle w:val="TableParagraph"/>
              <w:spacing w:before="62"/>
              <w:ind w:left="443" w:right="454"/>
              <w:jc w:val="center"/>
              <w:rPr>
                <w:rFonts w:ascii="Times New Roman"/>
                <w:sz w:val="20"/>
              </w:rPr>
            </w:pPr>
            <w:r>
              <w:rPr>
                <w:rFonts w:ascii="Times New Roman"/>
                <w:spacing w:val="-2"/>
                <w:sz w:val="20"/>
              </w:rPr>
              <w:t>(0.0109)</w:t>
            </w:r>
          </w:p>
        </w:tc>
        <w:tc>
          <w:tcPr>
            <w:tcW w:w="1801" w:type="dxa"/>
            <w:tcBorders>
              <w:top w:val="nil"/>
              <w:left w:val="single" w:sz="4" w:space="0" w:color="7E7E7E"/>
              <w:bottom w:val="nil"/>
              <w:right w:val="single" w:sz="4" w:space="0" w:color="BEBEBE"/>
            </w:tcBorders>
            <w:shd w:val="clear" w:color="auto" w:fill="E7E6E6"/>
          </w:tcPr>
          <w:p>
            <w:pPr>
              <w:pStyle w:val="TableParagraph"/>
              <w:spacing w:before="62"/>
              <w:ind w:right="17"/>
              <w:jc w:val="center"/>
              <w:rPr>
                <w:rFonts w:ascii="Times New Roman"/>
                <w:sz w:val="20"/>
              </w:rPr>
            </w:pPr>
            <w:r>
              <w:rPr>
                <w:rFonts w:ascii="Times New Roman"/>
                <w:spacing w:val="-2"/>
                <w:sz w:val="20"/>
              </w:rPr>
              <w:t>(8.9413)</w:t>
            </w:r>
          </w:p>
        </w:tc>
        <w:tc>
          <w:tcPr>
            <w:tcW w:w="1889" w:type="dxa"/>
            <w:tcBorders>
              <w:top w:val="nil"/>
              <w:left w:val="single" w:sz="4" w:space="0" w:color="BEBEBE"/>
              <w:bottom w:val="nil"/>
              <w:right w:val="nil"/>
            </w:tcBorders>
            <w:shd w:val="clear" w:color="auto" w:fill="E7E6E6"/>
          </w:tcPr>
          <w:p>
            <w:pPr>
              <w:pStyle w:val="TableParagraph"/>
              <w:spacing w:before="62"/>
              <w:ind w:left="5" w:right="24"/>
              <w:jc w:val="center"/>
              <w:rPr>
                <w:rFonts w:ascii="Times New Roman"/>
                <w:sz w:val="20"/>
              </w:rPr>
            </w:pPr>
            <w:r>
              <w:rPr>
                <w:rFonts w:ascii="Times New Roman"/>
                <w:spacing w:val="-2"/>
                <w:sz w:val="20"/>
              </w:rPr>
              <w:t>(0.3509)</w:t>
            </w:r>
          </w:p>
        </w:tc>
      </w:tr>
      <w:tr>
        <w:trPr>
          <w:trHeight w:val="395" w:hRule="atLeast"/>
        </w:trPr>
        <w:tc>
          <w:tcPr>
            <w:tcW w:w="1620" w:type="dxa"/>
            <w:tcBorders>
              <w:top w:val="nil"/>
              <w:left w:val="nil"/>
              <w:right w:val="single" w:sz="4" w:space="0" w:color="BEBEBE"/>
            </w:tcBorders>
            <w:shd w:val="clear" w:color="auto" w:fill="E7E6E6"/>
          </w:tcPr>
          <w:p>
            <w:pPr>
              <w:pStyle w:val="TableParagraph"/>
              <w:rPr>
                <w:rFonts w:ascii="Times New Roman"/>
                <w:sz w:val="22"/>
              </w:rPr>
            </w:pPr>
          </w:p>
        </w:tc>
        <w:tc>
          <w:tcPr>
            <w:tcW w:w="1261" w:type="dxa"/>
            <w:tcBorders>
              <w:top w:val="nil"/>
              <w:left w:val="single" w:sz="4" w:space="0" w:color="BEBEBE"/>
              <w:bottom w:val="single" w:sz="4" w:space="0" w:color="BEBEBE"/>
            </w:tcBorders>
            <w:shd w:val="clear" w:color="auto" w:fill="E7E6E6"/>
          </w:tcPr>
          <w:p>
            <w:pPr>
              <w:pStyle w:val="TableParagraph"/>
              <w:rPr>
                <w:rFonts w:ascii="Times New Roman"/>
                <w:sz w:val="22"/>
              </w:rPr>
            </w:pPr>
          </w:p>
        </w:tc>
        <w:tc>
          <w:tcPr>
            <w:tcW w:w="1892" w:type="dxa"/>
            <w:tcBorders>
              <w:top w:val="nil"/>
              <w:bottom w:val="single" w:sz="4" w:space="0" w:color="BEBEBE"/>
              <w:right w:val="single" w:sz="4" w:space="0" w:color="7E7E7E"/>
            </w:tcBorders>
            <w:shd w:val="clear" w:color="auto" w:fill="E7E6E6"/>
          </w:tcPr>
          <w:p>
            <w:pPr>
              <w:pStyle w:val="TableParagraph"/>
              <w:spacing w:before="53"/>
              <w:ind w:left="453" w:right="454"/>
              <w:jc w:val="center"/>
              <w:rPr>
                <w:rFonts w:ascii="Times New Roman"/>
                <w:sz w:val="20"/>
              </w:rPr>
            </w:pPr>
            <w:r>
              <w:rPr>
                <w:rFonts w:ascii="Times New Roman"/>
                <w:spacing w:val="-2"/>
                <w:sz w:val="20"/>
              </w:rPr>
              <w:t>{0.0000}</w:t>
            </w:r>
          </w:p>
        </w:tc>
        <w:tc>
          <w:tcPr>
            <w:tcW w:w="1801" w:type="dxa"/>
            <w:tcBorders>
              <w:top w:val="nil"/>
              <w:left w:val="single" w:sz="4" w:space="0" w:color="7E7E7E"/>
              <w:bottom w:val="single" w:sz="4" w:space="0" w:color="BEBEBE"/>
              <w:right w:val="single" w:sz="4" w:space="0" w:color="BEBEBE"/>
            </w:tcBorders>
            <w:shd w:val="clear" w:color="auto" w:fill="E7E6E6"/>
          </w:tcPr>
          <w:p>
            <w:pPr>
              <w:pStyle w:val="TableParagraph"/>
              <w:spacing w:before="53"/>
              <w:ind w:left="11" w:right="17"/>
              <w:jc w:val="center"/>
              <w:rPr>
                <w:rFonts w:ascii="Times New Roman"/>
                <w:sz w:val="20"/>
              </w:rPr>
            </w:pPr>
            <w:r>
              <w:rPr>
                <w:rFonts w:ascii="Times New Roman"/>
                <w:spacing w:val="-2"/>
                <w:sz w:val="20"/>
              </w:rPr>
              <w:t>{0.3407}</w:t>
            </w:r>
          </w:p>
        </w:tc>
        <w:tc>
          <w:tcPr>
            <w:tcW w:w="1889" w:type="dxa"/>
            <w:tcBorders>
              <w:top w:val="nil"/>
              <w:left w:val="single" w:sz="4" w:space="0" w:color="BEBEBE"/>
              <w:bottom w:val="single" w:sz="4" w:space="0" w:color="BEBEBE"/>
              <w:right w:val="nil"/>
            </w:tcBorders>
            <w:shd w:val="clear" w:color="auto" w:fill="E7E6E6"/>
          </w:tcPr>
          <w:p>
            <w:pPr>
              <w:pStyle w:val="TableParagraph"/>
              <w:spacing w:before="53"/>
              <w:ind w:left="15" w:right="24"/>
              <w:jc w:val="center"/>
              <w:rPr>
                <w:rFonts w:ascii="Times New Roman"/>
                <w:sz w:val="20"/>
              </w:rPr>
            </w:pPr>
            <w:r>
              <w:rPr>
                <w:rFonts w:ascii="Times New Roman"/>
                <w:spacing w:val="-2"/>
                <w:sz w:val="20"/>
              </w:rPr>
              <w:t>{0.0004}</w:t>
            </w:r>
          </w:p>
        </w:tc>
      </w:tr>
      <w:tr>
        <w:trPr>
          <w:trHeight w:val="283" w:hRule="atLeast"/>
        </w:trPr>
        <w:tc>
          <w:tcPr>
            <w:tcW w:w="1620" w:type="dxa"/>
            <w:tcBorders>
              <w:left w:val="nil"/>
              <w:bottom w:val="nil"/>
              <w:right w:val="single" w:sz="4" w:space="0" w:color="BEBEBE"/>
            </w:tcBorders>
          </w:tcPr>
          <w:p>
            <w:pPr>
              <w:pStyle w:val="TableParagraph"/>
              <w:ind w:left="4" w:right="1"/>
              <w:jc w:val="center"/>
              <w:rPr>
                <w:rFonts w:ascii="Times New Roman"/>
                <w:sz w:val="19"/>
              </w:rPr>
            </w:pPr>
            <w:r>
              <w:rPr>
                <w:rFonts w:ascii="Times New Roman"/>
                <w:spacing w:val="-4"/>
                <w:sz w:val="19"/>
              </w:rPr>
              <w:t>FAGE</w:t>
            </w:r>
          </w:p>
        </w:tc>
        <w:tc>
          <w:tcPr>
            <w:tcW w:w="1261" w:type="dxa"/>
            <w:tcBorders>
              <w:top w:val="single" w:sz="4" w:space="0" w:color="BEBEBE"/>
              <w:left w:val="single" w:sz="4" w:space="0" w:color="BEBEBE"/>
              <w:bottom w:val="nil"/>
            </w:tcBorders>
          </w:tcPr>
          <w:p>
            <w:pPr>
              <w:pStyle w:val="TableParagraph"/>
              <w:rPr>
                <w:rFonts w:ascii="Times New Roman"/>
                <w:sz w:val="20"/>
              </w:rPr>
            </w:pPr>
          </w:p>
        </w:tc>
        <w:tc>
          <w:tcPr>
            <w:tcW w:w="1892" w:type="dxa"/>
            <w:tcBorders>
              <w:top w:val="single" w:sz="4" w:space="0" w:color="BEBEBE"/>
              <w:bottom w:val="nil"/>
              <w:right w:val="single" w:sz="4" w:space="0" w:color="7E7E7E"/>
            </w:tcBorders>
          </w:tcPr>
          <w:p>
            <w:pPr>
              <w:pStyle w:val="TableParagraph"/>
              <w:ind w:left="443" w:right="454"/>
              <w:jc w:val="center"/>
              <w:rPr>
                <w:rFonts w:ascii="Times New Roman"/>
                <w:sz w:val="20"/>
              </w:rPr>
            </w:pPr>
            <w:r>
              <w:rPr>
                <w:rFonts w:ascii="Times New Roman"/>
                <w:spacing w:val="-2"/>
                <w:sz w:val="20"/>
              </w:rPr>
              <w:t>0.0005</w:t>
            </w:r>
          </w:p>
        </w:tc>
        <w:tc>
          <w:tcPr>
            <w:tcW w:w="1801" w:type="dxa"/>
            <w:tcBorders>
              <w:top w:val="single" w:sz="4" w:space="0" w:color="BEBEBE"/>
              <w:left w:val="single" w:sz="4" w:space="0" w:color="7E7E7E"/>
              <w:bottom w:val="nil"/>
              <w:right w:val="single" w:sz="4" w:space="0" w:color="BEBEBE"/>
            </w:tcBorders>
          </w:tcPr>
          <w:p>
            <w:pPr>
              <w:pStyle w:val="TableParagraph"/>
              <w:ind w:right="17"/>
              <w:jc w:val="center"/>
              <w:rPr>
                <w:rFonts w:ascii="Times New Roman"/>
                <w:sz w:val="20"/>
              </w:rPr>
            </w:pPr>
            <w:r>
              <w:rPr>
                <w:rFonts w:ascii="Times New Roman"/>
                <w:spacing w:val="-2"/>
                <w:sz w:val="20"/>
              </w:rPr>
              <w:t>0.01658</w:t>
            </w:r>
          </w:p>
        </w:tc>
        <w:tc>
          <w:tcPr>
            <w:tcW w:w="1889" w:type="dxa"/>
            <w:tcBorders>
              <w:top w:val="single" w:sz="4" w:space="0" w:color="BEBEBE"/>
              <w:left w:val="single" w:sz="4" w:space="0" w:color="BEBEBE"/>
              <w:bottom w:val="nil"/>
              <w:right w:val="nil"/>
            </w:tcBorders>
          </w:tcPr>
          <w:p>
            <w:pPr>
              <w:pStyle w:val="TableParagraph"/>
              <w:ind w:left="2" w:right="24"/>
              <w:jc w:val="center"/>
              <w:rPr>
                <w:rFonts w:ascii="Times New Roman"/>
                <w:sz w:val="20"/>
              </w:rPr>
            </w:pPr>
            <w:r>
              <w:rPr>
                <w:rFonts w:ascii="Times New Roman"/>
                <w:spacing w:val="-2"/>
                <w:sz w:val="20"/>
              </w:rPr>
              <w:t>-0.003971</w:t>
            </w:r>
          </w:p>
        </w:tc>
      </w:tr>
      <w:tr>
        <w:trPr>
          <w:trHeight w:val="354" w:hRule="atLeast"/>
        </w:trPr>
        <w:tc>
          <w:tcPr>
            <w:tcW w:w="1620" w:type="dxa"/>
            <w:tcBorders>
              <w:top w:val="nil"/>
              <w:left w:val="nil"/>
              <w:bottom w:val="nil"/>
              <w:right w:val="single" w:sz="4" w:space="0" w:color="BEBEBE"/>
            </w:tcBorders>
          </w:tcPr>
          <w:p>
            <w:pPr>
              <w:pStyle w:val="TableParagraph"/>
              <w:rPr>
                <w:rFonts w:ascii="Times New Roman"/>
                <w:sz w:val="22"/>
              </w:rPr>
            </w:pPr>
          </w:p>
        </w:tc>
        <w:tc>
          <w:tcPr>
            <w:tcW w:w="1261" w:type="dxa"/>
            <w:tcBorders>
              <w:top w:val="nil"/>
              <w:left w:val="single" w:sz="4" w:space="0" w:color="BEBEBE"/>
              <w:bottom w:val="nil"/>
            </w:tcBorders>
          </w:tcPr>
          <w:p>
            <w:pPr>
              <w:pStyle w:val="TableParagraph"/>
              <w:spacing w:before="45"/>
              <w:ind w:right="171"/>
              <w:jc w:val="center"/>
              <w:rPr>
                <w:rFonts w:ascii="Times New Roman"/>
                <w:sz w:val="19"/>
              </w:rPr>
            </w:pPr>
            <w:r>
              <w:rPr>
                <w:rFonts w:ascii="Times New Roman"/>
                <w:spacing w:val="-10"/>
                <w:sz w:val="19"/>
              </w:rPr>
              <w:t>+</w:t>
            </w:r>
          </w:p>
        </w:tc>
        <w:tc>
          <w:tcPr>
            <w:tcW w:w="1892" w:type="dxa"/>
            <w:tcBorders>
              <w:top w:val="nil"/>
              <w:bottom w:val="nil"/>
              <w:right w:val="single" w:sz="4" w:space="0" w:color="7E7E7E"/>
            </w:tcBorders>
          </w:tcPr>
          <w:p>
            <w:pPr>
              <w:pStyle w:val="TableParagraph"/>
              <w:spacing w:before="62"/>
              <w:ind w:left="443" w:right="454"/>
              <w:jc w:val="center"/>
              <w:rPr>
                <w:rFonts w:ascii="Times New Roman"/>
                <w:sz w:val="20"/>
              </w:rPr>
            </w:pPr>
            <w:r>
              <w:rPr>
                <w:rFonts w:ascii="Times New Roman"/>
                <w:spacing w:val="-2"/>
                <w:sz w:val="20"/>
              </w:rPr>
              <w:t>(0.0004)</w:t>
            </w:r>
          </w:p>
        </w:tc>
        <w:tc>
          <w:tcPr>
            <w:tcW w:w="1801" w:type="dxa"/>
            <w:tcBorders>
              <w:top w:val="nil"/>
              <w:left w:val="single" w:sz="4" w:space="0" w:color="7E7E7E"/>
              <w:bottom w:val="nil"/>
              <w:right w:val="single" w:sz="4" w:space="0" w:color="BEBEBE"/>
            </w:tcBorders>
          </w:tcPr>
          <w:p>
            <w:pPr>
              <w:pStyle w:val="TableParagraph"/>
              <w:spacing w:before="62"/>
              <w:ind w:right="17"/>
              <w:jc w:val="center"/>
              <w:rPr>
                <w:rFonts w:ascii="Times New Roman"/>
                <w:sz w:val="20"/>
              </w:rPr>
            </w:pPr>
            <w:r>
              <w:rPr>
                <w:rFonts w:ascii="Times New Roman"/>
                <w:spacing w:val="-2"/>
                <w:sz w:val="20"/>
              </w:rPr>
              <w:t>(0.1281)</w:t>
            </w:r>
          </w:p>
        </w:tc>
        <w:tc>
          <w:tcPr>
            <w:tcW w:w="1889" w:type="dxa"/>
            <w:tcBorders>
              <w:top w:val="nil"/>
              <w:left w:val="single" w:sz="4" w:space="0" w:color="BEBEBE"/>
              <w:bottom w:val="nil"/>
              <w:right w:val="nil"/>
            </w:tcBorders>
          </w:tcPr>
          <w:p>
            <w:pPr>
              <w:pStyle w:val="TableParagraph"/>
              <w:spacing w:before="62"/>
              <w:ind w:left="2" w:right="24"/>
              <w:jc w:val="center"/>
              <w:rPr>
                <w:rFonts w:ascii="Times New Roman"/>
                <w:sz w:val="20"/>
              </w:rPr>
            </w:pPr>
            <w:r>
              <w:rPr>
                <w:rFonts w:ascii="Times New Roman"/>
                <w:spacing w:val="-2"/>
                <w:sz w:val="20"/>
              </w:rPr>
              <w:t>(0.00566)</w:t>
            </w:r>
          </w:p>
        </w:tc>
      </w:tr>
      <w:tr>
        <w:trPr>
          <w:trHeight w:val="398" w:hRule="atLeast"/>
        </w:trPr>
        <w:tc>
          <w:tcPr>
            <w:tcW w:w="1620" w:type="dxa"/>
            <w:tcBorders>
              <w:top w:val="nil"/>
              <w:left w:val="nil"/>
              <w:bottom w:val="single" w:sz="4" w:space="0" w:color="BEBEBE"/>
              <w:right w:val="single" w:sz="4" w:space="0" w:color="BEBEBE"/>
            </w:tcBorders>
          </w:tcPr>
          <w:p>
            <w:pPr>
              <w:pStyle w:val="TableParagraph"/>
              <w:rPr>
                <w:rFonts w:ascii="Times New Roman"/>
                <w:sz w:val="22"/>
              </w:rPr>
            </w:pPr>
          </w:p>
        </w:tc>
        <w:tc>
          <w:tcPr>
            <w:tcW w:w="1261" w:type="dxa"/>
            <w:tcBorders>
              <w:top w:val="nil"/>
              <w:left w:val="single" w:sz="4" w:space="0" w:color="BEBEBE"/>
              <w:bottom w:val="single" w:sz="4" w:space="0" w:color="BEBEBE"/>
            </w:tcBorders>
          </w:tcPr>
          <w:p>
            <w:pPr>
              <w:pStyle w:val="TableParagraph"/>
              <w:rPr>
                <w:rFonts w:ascii="Times New Roman"/>
                <w:sz w:val="22"/>
              </w:rPr>
            </w:pPr>
          </w:p>
        </w:tc>
        <w:tc>
          <w:tcPr>
            <w:tcW w:w="1892" w:type="dxa"/>
            <w:tcBorders>
              <w:top w:val="nil"/>
              <w:bottom w:val="single" w:sz="4" w:space="0" w:color="BEBEBE"/>
              <w:right w:val="single" w:sz="4" w:space="0" w:color="7E7E7E"/>
            </w:tcBorders>
          </w:tcPr>
          <w:p>
            <w:pPr>
              <w:pStyle w:val="TableParagraph"/>
              <w:spacing w:before="53"/>
              <w:ind w:left="453" w:right="454"/>
              <w:jc w:val="center"/>
              <w:rPr>
                <w:rFonts w:ascii="Times New Roman"/>
                <w:sz w:val="20"/>
              </w:rPr>
            </w:pPr>
            <w:r>
              <w:rPr>
                <w:rFonts w:ascii="Times New Roman"/>
                <w:spacing w:val="-2"/>
                <w:sz w:val="20"/>
              </w:rPr>
              <w:t>{0.2214}</w:t>
            </w:r>
          </w:p>
        </w:tc>
        <w:tc>
          <w:tcPr>
            <w:tcW w:w="1801" w:type="dxa"/>
            <w:tcBorders>
              <w:top w:val="nil"/>
              <w:left w:val="single" w:sz="4" w:space="0" w:color="7E7E7E"/>
              <w:bottom w:val="single" w:sz="4" w:space="0" w:color="BEBEBE"/>
              <w:right w:val="single" w:sz="4" w:space="0" w:color="BEBEBE"/>
            </w:tcBorders>
          </w:tcPr>
          <w:p>
            <w:pPr>
              <w:pStyle w:val="TableParagraph"/>
              <w:spacing w:before="53"/>
              <w:ind w:left="11" w:right="17"/>
              <w:jc w:val="center"/>
              <w:rPr>
                <w:rFonts w:ascii="Times New Roman"/>
                <w:sz w:val="20"/>
              </w:rPr>
            </w:pPr>
            <w:r>
              <w:rPr>
                <w:rFonts w:ascii="Times New Roman"/>
                <w:spacing w:val="-2"/>
                <w:sz w:val="20"/>
              </w:rPr>
              <w:t>{0.8972}</w:t>
            </w:r>
          </w:p>
        </w:tc>
        <w:tc>
          <w:tcPr>
            <w:tcW w:w="1889" w:type="dxa"/>
            <w:tcBorders>
              <w:top w:val="nil"/>
              <w:left w:val="single" w:sz="4" w:space="0" w:color="BEBEBE"/>
              <w:bottom w:val="single" w:sz="4" w:space="0" w:color="BEBEBE"/>
              <w:right w:val="nil"/>
            </w:tcBorders>
          </w:tcPr>
          <w:p>
            <w:pPr>
              <w:pStyle w:val="TableParagraph"/>
              <w:spacing w:before="53"/>
              <w:ind w:left="15" w:right="24"/>
              <w:jc w:val="center"/>
              <w:rPr>
                <w:rFonts w:ascii="Times New Roman"/>
                <w:sz w:val="20"/>
              </w:rPr>
            </w:pPr>
            <w:r>
              <w:rPr>
                <w:rFonts w:ascii="Times New Roman"/>
                <w:spacing w:val="-2"/>
                <w:sz w:val="20"/>
              </w:rPr>
              <w:t>{0.4837}</w:t>
            </w:r>
          </w:p>
        </w:tc>
      </w:tr>
      <w:tr>
        <w:trPr>
          <w:trHeight w:val="396" w:hRule="atLeast"/>
        </w:trPr>
        <w:tc>
          <w:tcPr>
            <w:tcW w:w="1620" w:type="dxa"/>
            <w:tcBorders>
              <w:top w:val="single" w:sz="4" w:space="0" w:color="BEBEBE"/>
              <w:left w:val="nil"/>
              <w:bottom w:val="single" w:sz="4" w:space="0" w:color="BEBEBE"/>
              <w:right w:val="single" w:sz="4" w:space="0" w:color="BEBEBE"/>
            </w:tcBorders>
          </w:tcPr>
          <w:p>
            <w:pPr>
              <w:pStyle w:val="TableParagraph"/>
              <w:ind w:left="4" w:right="1"/>
              <w:jc w:val="center"/>
              <w:rPr>
                <w:rFonts w:ascii="Times New Roman"/>
                <w:sz w:val="19"/>
              </w:rPr>
            </w:pPr>
            <w:r>
              <w:rPr>
                <w:rFonts w:ascii="Times New Roman"/>
                <w:spacing w:val="-2"/>
                <w:sz w:val="19"/>
              </w:rPr>
              <w:t>FSIZE</w:t>
            </w:r>
          </w:p>
        </w:tc>
        <w:tc>
          <w:tcPr>
            <w:tcW w:w="1261" w:type="dxa"/>
            <w:tcBorders>
              <w:top w:val="single" w:sz="4" w:space="0" w:color="BEBEBE"/>
              <w:left w:val="single" w:sz="4" w:space="0" w:color="BEBEBE"/>
              <w:bottom w:val="dotted" w:sz="4" w:space="0" w:color="000000"/>
            </w:tcBorders>
          </w:tcPr>
          <w:p>
            <w:pPr>
              <w:pStyle w:val="TableParagraph"/>
              <w:rPr>
                <w:rFonts w:ascii="Times New Roman"/>
                <w:sz w:val="22"/>
              </w:rPr>
            </w:pPr>
          </w:p>
        </w:tc>
        <w:tc>
          <w:tcPr>
            <w:tcW w:w="1892" w:type="dxa"/>
            <w:tcBorders>
              <w:top w:val="single" w:sz="4" w:space="0" w:color="BEBEBE"/>
              <w:bottom w:val="single" w:sz="4" w:space="0" w:color="BEBEBE"/>
              <w:right w:val="single" w:sz="4" w:space="0" w:color="7E7E7E"/>
            </w:tcBorders>
          </w:tcPr>
          <w:p>
            <w:pPr>
              <w:pStyle w:val="TableParagraph"/>
              <w:ind w:left="441" w:right="454"/>
              <w:jc w:val="center"/>
              <w:rPr>
                <w:rFonts w:ascii="Times New Roman"/>
                <w:sz w:val="20"/>
              </w:rPr>
            </w:pPr>
            <w:r>
              <w:rPr>
                <w:rFonts w:ascii="Times New Roman"/>
                <w:spacing w:val="-2"/>
                <w:sz w:val="20"/>
              </w:rPr>
              <w:t>0.058***</w:t>
            </w:r>
          </w:p>
        </w:tc>
        <w:tc>
          <w:tcPr>
            <w:tcW w:w="1801" w:type="dxa"/>
            <w:tcBorders>
              <w:top w:val="single" w:sz="4" w:space="0" w:color="BEBEBE"/>
              <w:left w:val="single" w:sz="4" w:space="0" w:color="7E7E7E"/>
              <w:bottom w:val="single" w:sz="4" w:space="0" w:color="BEBEBE"/>
              <w:right w:val="single" w:sz="4" w:space="0" w:color="BEBEBE"/>
            </w:tcBorders>
          </w:tcPr>
          <w:p>
            <w:pPr>
              <w:pStyle w:val="TableParagraph"/>
              <w:ind w:right="17"/>
              <w:jc w:val="center"/>
              <w:rPr>
                <w:rFonts w:ascii="Times New Roman"/>
                <w:sz w:val="20"/>
              </w:rPr>
            </w:pPr>
            <w:r>
              <w:rPr>
                <w:rFonts w:ascii="Times New Roman"/>
                <w:spacing w:val="-2"/>
                <w:sz w:val="20"/>
              </w:rPr>
              <w:t>0.1166</w:t>
            </w:r>
          </w:p>
        </w:tc>
        <w:tc>
          <w:tcPr>
            <w:tcW w:w="1889" w:type="dxa"/>
            <w:tcBorders>
              <w:top w:val="single" w:sz="4" w:space="0" w:color="BEBEBE"/>
              <w:left w:val="single" w:sz="4" w:space="0" w:color="BEBEBE"/>
              <w:bottom w:val="single" w:sz="4" w:space="0" w:color="BEBEBE"/>
              <w:right w:val="nil"/>
            </w:tcBorders>
          </w:tcPr>
          <w:p>
            <w:pPr>
              <w:pStyle w:val="TableParagraph"/>
              <w:ind w:left="5" w:right="24"/>
              <w:jc w:val="center"/>
              <w:rPr>
                <w:rFonts w:ascii="Times New Roman"/>
                <w:sz w:val="20"/>
              </w:rPr>
            </w:pPr>
            <w:r>
              <w:rPr>
                <w:rFonts w:ascii="Times New Roman"/>
                <w:spacing w:val="-2"/>
                <w:sz w:val="20"/>
              </w:rPr>
              <w:t>0.0004</w:t>
            </w:r>
          </w:p>
        </w:tc>
      </w:tr>
    </w:tbl>
    <w:p>
      <w:pPr>
        <w:spacing w:after="0"/>
        <w:jc w:val="center"/>
        <w:rPr>
          <w:rFonts w:ascii="Times New Roman"/>
          <w:sz w:val="20"/>
        </w:rPr>
        <w:sectPr>
          <w:pgSz w:w="11910" w:h="16840"/>
          <w:pgMar w:header="0" w:footer="971" w:top="1360" w:bottom="1160"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634"/>
        <w:gridCol w:w="1260"/>
        <w:gridCol w:w="1891"/>
        <w:gridCol w:w="1800"/>
        <w:gridCol w:w="1888"/>
      </w:tblGrid>
      <w:tr>
        <w:trPr>
          <w:trHeight w:val="691" w:hRule="atLeast"/>
        </w:trPr>
        <w:tc>
          <w:tcPr>
            <w:tcW w:w="1634" w:type="dxa"/>
            <w:tcBorders>
              <w:left w:val="nil"/>
            </w:tcBorders>
          </w:tcPr>
          <w:p>
            <w:pPr>
              <w:pStyle w:val="TableParagraph"/>
              <w:rPr>
                <w:rFonts w:ascii="Times New Roman"/>
                <w:sz w:val="22"/>
              </w:rPr>
            </w:pPr>
          </w:p>
        </w:tc>
        <w:tc>
          <w:tcPr>
            <w:tcW w:w="1260" w:type="dxa"/>
            <w:tcBorders>
              <w:right w:val="single" w:sz="4" w:space="0" w:color="000000"/>
            </w:tcBorders>
          </w:tcPr>
          <w:p>
            <w:pPr>
              <w:pStyle w:val="TableParagraph"/>
              <w:ind w:left="170" w:right="170"/>
              <w:jc w:val="center"/>
              <w:rPr>
                <w:rFonts w:ascii="Times New Roman"/>
                <w:sz w:val="19"/>
              </w:rPr>
            </w:pPr>
            <w:r>
              <w:rPr>
                <w:rFonts w:ascii="Times New Roman"/>
                <w:spacing w:val="-10"/>
                <w:sz w:val="19"/>
              </w:rPr>
              <w:t>+</w:t>
            </w:r>
          </w:p>
        </w:tc>
        <w:tc>
          <w:tcPr>
            <w:tcW w:w="1891" w:type="dxa"/>
            <w:tcBorders>
              <w:left w:val="single" w:sz="4" w:space="0" w:color="000000"/>
              <w:right w:val="single" w:sz="4" w:space="0" w:color="7E7E7E"/>
            </w:tcBorders>
          </w:tcPr>
          <w:p>
            <w:pPr>
              <w:pStyle w:val="TableParagraph"/>
              <w:ind w:left="444" w:right="451"/>
              <w:jc w:val="center"/>
              <w:rPr>
                <w:rFonts w:ascii="Times New Roman"/>
                <w:sz w:val="20"/>
              </w:rPr>
            </w:pPr>
            <w:r>
              <w:rPr>
                <w:rFonts w:ascii="Times New Roman"/>
                <w:spacing w:val="-2"/>
                <w:sz w:val="20"/>
              </w:rPr>
              <w:t>(0.008)</w:t>
            </w:r>
          </w:p>
          <w:p>
            <w:pPr>
              <w:pStyle w:val="TableParagraph"/>
              <w:spacing w:before="116"/>
              <w:ind w:left="451" w:right="451"/>
              <w:jc w:val="center"/>
              <w:rPr>
                <w:rFonts w:ascii="Times New Roman"/>
                <w:sz w:val="20"/>
              </w:rPr>
            </w:pPr>
            <w:r>
              <w:rPr>
                <w:rFonts w:ascii="Times New Roman"/>
                <w:spacing w:val="-2"/>
                <w:sz w:val="20"/>
              </w:rPr>
              <w:t>{0.0000}</w:t>
            </w:r>
          </w:p>
        </w:tc>
        <w:tc>
          <w:tcPr>
            <w:tcW w:w="1800" w:type="dxa"/>
            <w:tcBorders>
              <w:left w:val="single" w:sz="4" w:space="0" w:color="7E7E7E"/>
            </w:tcBorders>
          </w:tcPr>
          <w:p>
            <w:pPr>
              <w:pStyle w:val="TableParagraph"/>
              <w:ind w:left="546"/>
              <w:rPr>
                <w:rFonts w:ascii="Times New Roman"/>
                <w:sz w:val="20"/>
              </w:rPr>
            </w:pPr>
            <w:r>
              <w:rPr>
                <w:rFonts w:ascii="Times New Roman"/>
                <w:spacing w:val="-2"/>
                <w:sz w:val="20"/>
              </w:rPr>
              <w:t>(1.7144)</w:t>
            </w:r>
          </w:p>
          <w:p>
            <w:pPr>
              <w:pStyle w:val="TableParagraph"/>
              <w:spacing w:before="116"/>
              <w:ind w:left="522"/>
              <w:rPr>
                <w:rFonts w:ascii="Times New Roman"/>
                <w:sz w:val="20"/>
              </w:rPr>
            </w:pPr>
            <w:r>
              <w:rPr>
                <w:rFonts w:ascii="Times New Roman"/>
                <w:spacing w:val="-2"/>
                <w:sz w:val="20"/>
              </w:rPr>
              <w:t>{0.9459}</w:t>
            </w:r>
          </w:p>
        </w:tc>
        <w:tc>
          <w:tcPr>
            <w:tcW w:w="1888" w:type="dxa"/>
            <w:tcBorders>
              <w:right w:val="nil"/>
            </w:tcBorders>
          </w:tcPr>
          <w:p>
            <w:pPr>
              <w:pStyle w:val="TableParagraph"/>
              <w:ind w:left="592"/>
              <w:rPr>
                <w:rFonts w:ascii="Times New Roman"/>
                <w:sz w:val="20"/>
              </w:rPr>
            </w:pPr>
            <w:r>
              <w:rPr>
                <w:rFonts w:ascii="Times New Roman"/>
                <w:spacing w:val="-2"/>
                <w:sz w:val="20"/>
              </w:rPr>
              <w:t>(0.0027)</w:t>
            </w:r>
          </w:p>
          <w:p>
            <w:pPr>
              <w:pStyle w:val="TableParagraph"/>
              <w:spacing w:before="116"/>
              <w:ind w:left="568"/>
              <w:rPr>
                <w:rFonts w:ascii="Times New Roman"/>
                <w:sz w:val="20"/>
              </w:rPr>
            </w:pPr>
            <w:r>
              <w:rPr>
                <w:rFonts w:ascii="Times New Roman"/>
                <w:spacing w:val="-2"/>
                <w:sz w:val="20"/>
              </w:rPr>
              <w:t>{0.8826}</w:t>
            </w:r>
          </w:p>
        </w:tc>
      </w:tr>
      <w:tr>
        <w:trPr>
          <w:trHeight w:val="282" w:hRule="atLeast"/>
        </w:trPr>
        <w:tc>
          <w:tcPr>
            <w:tcW w:w="1634" w:type="dxa"/>
            <w:tcBorders>
              <w:left w:val="nil"/>
              <w:bottom w:val="nil"/>
            </w:tcBorders>
          </w:tcPr>
          <w:p>
            <w:pPr>
              <w:pStyle w:val="TableParagraph"/>
              <w:ind w:left="162" w:right="148"/>
              <w:jc w:val="center"/>
              <w:rPr>
                <w:rFonts w:ascii="Times New Roman"/>
                <w:sz w:val="19"/>
              </w:rPr>
            </w:pPr>
            <w:r>
              <w:rPr>
                <w:rFonts w:ascii="Times New Roman"/>
                <w:spacing w:val="-5"/>
                <w:sz w:val="19"/>
              </w:rPr>
              <w:t>LEV</w:t>
            </w:r>
          </w:p>
        </w:tc>
        <w:tc>
          <w:tcPr>
            <w:tcW w:w="1260" w:type="dxa"/>
            <w:tcBorders>
              <w:bottom w:val="nil"/>
              <w:right w:val="single" w:sz="4" w:space="0" w:color="000000"/>
            </w:tcBorders>
          </w:tcPr>
          <w:p>
            <w:pPr>
              <w:pStyle w:val="TableParagraph"/>
              <w:rPr>
                <w:rFonts w:ascii="Times New Roman"/>
                <w:sz w:val="20"/>
              </w:rPr>
            </w:pPr>
          </w:p>
        </w:tc>
        <w:tc>
          <w:tcPr>
            <w:tcW w:w="1891" w:type="dxa"/>
            <w:tcBorders>
              <w:left w:val="single" w:sz="4" w:space="0" w:color="000000"/>
              <w:bottom w:val="nil"/>
              <w:right w:val="single" w:sz="4" w:space="0" w:color="7E7E7E"/>
            </w:tcBorders>
          </w:tcPr>
          <w:p>
            <w:pPr>
              <w:pStyle w:val="TableParagraph"/>
              <w:ind w:left="441" w:right="451"/>
              <w:jc w:val="center"/>
              <w:rPr>
                <w:rFonts w:ascii="Times New Roman"/>
                <w:sz w:val="20"/>
              </w:rPr>
            </w:pPr>
            <w:r>
              <w:rPr>
                <w:rFonts w:ascii="Times New Roman"/>
                <w:spacing w:val="-2"/>
                <w:sz w:val="20"/>
              </w:rPr>
              <w:t>-0.0084**</w:t>
            </w:r>
          </w:p>
        </w:tc>
        <w:tc>
          <w:tcPr>
            <w:tcW w:w="1800" w:type="dxa"/>
            <w:tcBorders>
              <w:left w:val="single" w:sz="4" w:space="0" w:color="7E7E7E"/>
              <w:bottom w:val="nil"/>
            </w:tcBorders>
          </w:tcPr>
          <w:p>
            <w:pPr>
              <w:pStyle w:val="TableParagraph"/>
              <w:ind w:left="172" w:right="183"/>
              <w:jc w:val="center"/>
              <w:rPr>
                <w:rFonts w:ascii="Times New Roman"/>
                <w:sz w:val="20"/>
              </w:rPr>
            </w:pPr>
            <w:r>
              <w:rPr>
                <w:rFonts w:ascii="Times New Roman"/>
                <w:spacing w:val="-2"/>
                <w:sz w:val="20"/>
              </w:rPr>
              <w:t>0.4494</w:t>
            </w:r>
          </w:p>
        </w:tc>
        <w:tc>
          <w:tcPr>
            <w:tcW w:w="1888" w:type="dxa"/>
            <w:tcBorders>
              <w:bottom w:val="nil"/>
              <w:right w:val="nil"/>
            </w:tcBorders>
          </w:tcPr>
          <w:p>
            <w:pPr>
              <w:pStyle w:val="TableParagraph"/>
              <w:ind w:left="2" w:right="14"/>
              <w:jc w:val="center"/>
              <w:rPr>
                <w:rFonts w:ascii="Times New Roman"/>
                <w:sz w:val="20"/>
              </w:rPr>
            </w:pPr>
            <w:r>
              <w:rPr>
                <w:rFonts w:ascii="Times New Roman"/>
                <w:spacing w:val="-2"/>
                <w:sz w:val="20"/>
              </w:rPr>
              <w:t>-0.01993</w:t>
            </w:r>
          </w:p>
        </w:tc>
      </w:tr>
      <w:tr>
        <w:trPr>
          <w:trHeight w:val="354" w:hRule="atLeast"/>
        </w:trPr>
        <w:tc>
          <w:tcPr>
            <w:tcW w:w="1634" w:type="dxa"/>
            <w:tcBorders>
              <w:top w:val="nil"/>
              <w:left w:val="nil"/>
              <w:bottom w:val="nil"/>
            </w:tcBorders>
          </w:tcPr>
          <w:p>
            <w:pPr>
              <w:pStyle w:val="TableParagraph"/>
              <w:rPr>
                <w:rFonts w:ascii="Times New Roman"/>
                <w:sz w:val="22"/>
              </w:rPr>
            </w:pPr>
          </w:p>
        </w:tc>
        <w:tc>
          <w:tcPr>
            <w:tcW w:w="1260" w:type="dxa"/>
            <w:tcBorders>
              <w:top w:val="nil"/>
              <w:bottom w:val="nil"/>
              <w:right w:val="single" w:sz="4" w:space="0" w:color="000000"/>
            </w:tcBorders>
          </w:tcPr>
          <w:p>
            <w:pPr>
              <w:pStyle w:val="TableParagraph"/>
              <w:spacing w:before="44"/>
              <w:ind w:left="170" w:right="170"/>
              <w:jc w:val="center"/>
              <w:rPr>
                <w:rFonts w:ascii="Times New Roman"/>
                <w:sz w:val="19"/>
              </w:rPr>
            </w:pPr>
            <w:r>
              <w:rPr>
                <w:rFonts w:ascii="Times New Roman"/>
                <w:spacing w:val="-10"/>
                <w:sz w:val="19"/>
              </w:rPr>
              <w:t>+</w:t>
            </w:r>
          </w:p>
        </w:tc>
        <w:tc>
          <w:tcPr>
            <w:tcW w:w="1891" w:type="dxa"/>
            <w:tcBorders>
              <w:top w:val="nil"/>
              <w:left w:val="single" w:sz="4" w:space="0" w:color="000000"/>
              <w:bottom w:val="nil"/>
              <w:right w:val="single" w:sz="4" w:space="0" w:color="7E7E7E"/>
            </w:tcBorders>
          </w:tcPr>
          <w:p>
            <w:pPr>
              <w:pStyle w:val="TableParagraph"/>
              <w:spacing w:before="63"/>
              <w:ind w:left="441" w:right="451"/>
              <w:jc w:val="center"/>
              <w:rPr>
                <w:rFonts w:ascii="Times New Roman"/>
                <w:sz w:val="20"/>
              </w:rPr>
            </w:pPr>
            <w:r>
              <w:rPr>
                <w:rFonts w:ascii="Times New Roman"/>
                <w:spacing w:val="-2"/>
                <w:sz w:val="20"/>
              </w:rPr>
              <w:t>(0.00396)</w:t>
            </w:r>
          </w:p>
        </w:tc>
        <w:tc>
          <w:tcPr>
            <w:tcW w:w="1800" w:type="dxa"/>
            <w:tcBorders>
              <w:top w:val="nil"/>
              <w:left w:val="single" w:sz="4" w:space="0" w:color="7E7E7E"/>
              <w:bottom w:val="nil"/>
            </w:tcBorders>
          </w:tcPr>
          <w:p>
            <w:pPr>
              <w:pStyle w:val="TableParagraph"/>
              <w:spacing w:before="63"/>
              <w:ind w:left="172" w:right="183"/>
              <w:jc w:val="center"/>
              <w:rPr>
                <w:rFonts w:ascii="Times New Roman"/>
                <w:sz w:val="20"/>
              </w:rPr>
            </w:pPr>
            <w:r>
              <w:rPr>
                <w:rFonts w:ascii="Times New Roman"/>
                <w:spacing w:val="-2"/>
                <w:sz w:val="20"/>
              </w:rPr>
              <w:t>(1.3021)</w:t>
            </w:r>
          </w:p>
        </w:tc>
        <w:tc>
          <w:tcPr>
            <w:tcW w:w="1888" w:type="dxa"/>
            <w:tcBorders>
              <w:top w:val="nil"/>
              <w:bottom w:val="nil"/>
              <w:right w:val="nil"/>
            </w:tcBorders>
          </w:tcPr>
          <w:p>
            <w:pPr>
              <w:pStyle w:val="TableParagraph"/>
              <w:spacing w:before="63"/>
              <w:ind w:right="14"/>
              <w:jc w:val="center"/>
              <w:rPr>
                <w:rFonts w:ascii="Times New Roman"/>
                <w:sz w:val="20"/>
              </w:rPr>
            </w:pPr>
            <w:r>
              <w:rPr>
                <w:rFonts w:ascii="Times New Roman"/>
                <w:spacing w:val="-2"/>
                <w:sz w:val="20"/>
              </w:rPr>
              <w:t>(0.09145)</w:t>
            </w:r>
          </w:p>
        </w:tc>
      </w:tr>
      <w:tr>
        <w:trPr>
          <w:trHeight w:val="397" w:hRule="atLeast"/>
        </w:trPr>
        <w:tc>
          <w:tcPr>
            <w:tcW w:w="1634" w:type="dxa"/>
            <w:tcBorders>
              <w:top w:val="nil"/>
              <w:left w:val="nil"/>
              <w:bottom w:val="single" w:sz="4" w:space="0" w:color="000000"/>
            </w:tcBorders>
          </w:tcPr>
          <w:p>
            <w:pPr>
              <w:pStyle w:val="TableParagraph"/>
              <w:rPr>
                <w:rFonts w:ascii="Times New Roman"/>
                <w:sz w:val="22"/>
              </w:rPr>
            </w:pPr>
          </w:p>
        </w:tc>
        <w:tc>
          <w:tcPr>
            <w:tcW w:w="1260" w:type="dxa"/>
            <w:tcBorders>
              <w:top w:val="nil"/>
              <w:bottom w:val="single" w:sz="4" w:space="0" w:color="000000"/>
              <w:right w:val="single" w:sz="4" w:space="0" w:color="000000"/>
            </w:tcBorders>
          </w:tcPr>
          <w:p>
            <w:pPr>
              <w:pStyle w:val="TableParagraph"/>
              <w:rPr>
                <w:rFonts w:ascii="Times New Roman"/>
                <w:sz w:val="22"/>
              </w:rPr>
            </w:pPr>
          </w:p>
        </w:tc>
        <w:tc>
          <w:tcPr>
            <w:tcW w:w="1891" w:type="dxa"/>
            <w:tcBorders>
              <w:top w:val="nil"/>
              <w:left w:val="single" w:sz="4" w:space="0" w:color="000000"/>
              <w:right w:val="single" w:sz="4" w:space="0" w:color="7E7E7E"/>
            </w:tcBorders>
          </w:tcPr>
          <w:p>
            <w:pPr>
              <w:pStyle w:val="TableParagraph"/>
              <w:spacing w:before="52"/>
              <w:ind w:left="451" w:right="451"/>
              <w:jc w:val="center"/>
              <w:rPr>
                <w:rFonts w:ascii="Times New Roman"/>
                <w:sz w:val="20"/>
              </w:rPr>
            </w:pPr>
            <w:r>
              <w:rPr>
                <w:rFonts w:ascii="Times New Roman"/>
                <w:spacing w:val="-2"/>
                <w:sz w:val="20"/>
              </w:rPr>
              <w:t>{0.0354}</w:t>
            </w:r>
          </w:p>
        </w:tc>
        <w:tc>
          <w:tcPr>
            <w:tcW w:w="1800" w:type="dxa"/>
            <w:tcBorders>
              <w:top w:val="nil"/>
              <w:left w:val="single" w:sz="4" w:space="0" w:color="7E7E7E"/>
            </w:tcBorders>
          </w:tcPr>
          <w:p>
            <w:pPr>
              <w:pStyle w:val="TableParagraph"/>
              <w:spacing w:before="52"/>
              <w:ind w:left="173" w:right="174"/>
              <w:jc w:val="center"/>
              <w:rPr>
                <w:rFonts w:ascii="Times New Roman"/>
                <w:sz w:val="20"/>
              </w:rPr>
            </w:pPr>
            <w:r>
              <w:rPr>
                <w:rFonts w:ascii="Times New Roman"/>
                <w:spacing w:val="-2"/>
                <w:sz w:val="20"/>
              </w:rPr>
              <w:t>{0.7304}</w:t>
            </w:r>
          </w:p>
        </w:tc>
        <w:tc>
          <w:tcPr>
            <w:tcW w:w="1888" w:type="dxa"/>
            <w:tcBorders>
              <w:top w:val="nil"/>
              <w:right w:val="nil"/>
            </w:tcBorders>
          </w:tcPr>
          <w:p>
            <w:pPr>
              <w:pStyle w:val="TableParagraph"/>
              <w:spacing w:before="52"/>
              <w:ind w:left="13" w:right="14"/>
              <w:jc w:val="center"/>
              <w:rPr>
                <w:rFonts w:ascii="Times New Roman"/>
                <w:sz w:val="20"/>
              </w:rPr>
            </w:pPr>
            <w:r>
              <w:rPr>
                <w:rFonts w:ascii="Times New Roman"/>
                <w:spacing w:val="-2"/>
                <w:sz w:val="20"/>
              </w:rPr>
              <w:t>{0.8277}</w:t>
            </w:r>
          </w:p>
        </w:tc>
      </w:tr>
      <w:tr>
        <w:trPr>
          <w:trHeight w:val="287" w:hRule="atLeast"/>
        </w:trPr>
        <w:tc>
          <w:tcPr>
            <w:tcW w:w="1634" w:type="dxa"/>
            <w:tcBorders>
              <w:top w:val="single" w:sz="4" w:space="0" w:color="000000"/>
              <w:left w:val="nil"/>
              <w:bottom w:val="nil"/>
            </w:tcBorders>
          </w:tcPr>
          <w:p>
            <w:pPr>
              <w:pStyle w:val="TableParagraph"/>
              <w:ind w:left="162" w:right="147"/>
              <w:jc w:val="center"/>
              <w:rPr>
                <w:rFonts w:ascii="Times New Roman"/>
                <w:sz w:val="19"/>
              </w:rPr>
            </w:pPr>
            <w:r>
              <w:rPr>
                <w:rFonts w:ascii="Times New Roman"/>
                <w:spacing w:val="-2"/>
                <w:sz w:val="19"/>
              </w:rPr>
              <w:t>Ar(1)</w:t>
            </w:r>
          </w:p>
        </w:tc>
        <w:tc>
          <w:tcPr>
            <w:tcW w:w="1260" w:type="dxa"/>
            <w:vMerge w:val="restart"/>
            <w:tcBorders>
              <w:top w:val="single" w:sz="4" w:space="0" w:color="000000"/>
              <w:bottom w:val="single" w:sz="4" w:space="0" w:color="000000"/>
              <w:right w:val="single" w:sz="4" w:space="0" w:color="000000"/>
            </w:tcBorders>
          </w:tcPr>
          <w:p>
            <w:pPr>
              <w:pStyle w:val="TableParagraph"/>
              <w:rPr>
                <w:rFonts w:ascii="Times New Roman"/>
                <w:sz w:val="22"/>
              </w:rPr>
            </w:pPr>
          </w:p>
        </w:tc>
        <w:tc>
          <w:tcPr>
            <w:tcW w:w="1891" w:type="dxa"/>
            <w:vMerge w:val="restart"/>
            <w:tcBorders>
              <w:left w:val="single" w:sz="4" w:space="0" w:color="000000"/>
              <w:bottom w:val="single" w:sz="4" w:space="0" w:color="000000"/>
            </w:tcBorders>
          </w:tcPr>
          <w:p>
            <w:pPr>
              <w:pStyle w:val="TableParagraph"/>
              <w:rPr>
                <w:rFonts w:ascii="Times New Roman"/>
                <w:sz w:val="22"/>
              </w:rPr>
            </w:pPr>
          </w:p>
        </w:tc>
        <w:tc>
          <w:tcPr>
            <w:tcW w:w="1800" w:type="dxa"/>
            <w:tcBorders>
              <w:bottom w:val="nil"/>
            </w:tcBorders>
          </w:tcPr>
          <w:p>
            <w:pPr>
              <w:pStyle w:val="TableParagraph"/>
              <w:ind w:left="172" w:right="180"/>
              <w:jc w:val="center"/>
              <w:rPr>
                <w:rFonts w:ascii="Times New Roman"/>
                <w:sz w:val="20"/>
              </w:rPr>
            </w:pPr>
            <w:r>
              <w:rPr>
                <w:rFonts w:ascii="Times New Roman"/>
                <w:spacing w:val="-2"/>
                <w:sz w:val="20"/>
              </w:rPr>
              <w:t>0.711</w:t>
            </w:r>
          </w:p>
        </w:tc>
        <w:tc>
          <w:tcPr>
            <w:tcW w:w="1888" w:type="dxa"/>
            <w:tcBorders>
              <w:bottom w:val="nil"/>
              <w:right w:val="nil"/>
            </w:tcBorders>
          </w:tcPr>
          <w:p>
            <w:pPr>
              <w:pStyle w:val="TableParagraph"/>
              <w:ind w:left="2" w:right="14"/>
              <w:jc w:val="center"/>
              <w:rPr>
                <w:rFonts w:ascii="Times New Roman"/>
                <w:sz w:val="20"/>
              </w:rPr>
            </w:pPr>
            <w:r>
              <w:rPr>
                <w:rFonts w:ascii="Times New Roman"/>
                <w:spacing w:val="-2"/>
                <w:sz w:val="20"/>
              </w:rPr>
              <w:t>0.25992</w:t>
            </w:r>
          </w:p>
        </w:tc>
      </w:tr>
      <w:tr>
        <w:trPr>
          <w:trHeight w:val="335" w:hRule="atLeast"/>
        </w:trPr>
        <w:tc>
          <w:tcPr>
            <w:tcW w:w="1634" w:type="dxa"/>
            <w:tcBorders>
              <w:top w:val="nil"/>
              <w:left w:val="nil"/>
              <w:bottom w:val="nil"/>
            </w:tcBorders>
          </w:tcPr>
          <w:p>
            <w:pPr>
              <w:pStyle w:val="TableParagraph"/>
              <w:rPr>
                <w:rFonts w:ascii="Times New Roman"/>
                <w:sz w:val="22"/>
              </w:rPr>
            </w:pPr>
          </w:p>
        </w:tc>
        <w:tc>
          <w:tcPr>
            <w:tcW w:w="1260" w:type="dxa"/>
            <w:vMerge/>
            <w:tcBorders>
              <w:top w:val="nil"/>
              <w:bottom w:val="single" w:sz="4" w:space="0" w:color="000000"/>
              <w:right w:val="single" w:sz="4" w:space="0" w:color="000000"/>
            </w:tcBorders>
          </w:tcPr>
          <w:p>
            <w:pPr>
              <w:rPr>
                <w:sz w:val="2"/>
                <w:szCs w:val="2"/>
              </w:rPr>
            </w:pPr>
          </w:p>
        </w:tc>
        <w:tc>
          <w:tcPr>
            <w:tcW w:w="1891" w:type="dxa"/>
            <w:vMerge/>
            <w:tcBorders>
              <w:top w:val="nil"/>
              <w:left w:val="single" w:sz="4" w:space="0" w:color="000000"/>
              <w:bottom w:val="single" w:sz="4" w:space="0" w:color="000000"/>
            </w:tcBorders>
          </w:tcPr>
          <w:p>
            <w:pPr>
              <w:rPr>
                <w:sz w:val="2"/>
                <w:szCs w:val="2"/>
              </w:rPr>
            </w:pPr>
          </w:p>
        </w:tc>
        <w:tc>
          <w:tcPr>
            <w:tcW w:w="1800" w:type="dxa"/>
            <w:tcBorders>
              <w:top w:val="nil"/>
              <w:bottom w:val="nil"/>
            </w:tcBorders>
          </w:tcPr>
          <w:p>
            <w:pPr>
              <w:pStyle w:val="TableParagraph"/>
              <w:spacing w:before="48"/>
              <w:ind w:left="172" w:right="183"/>
              <w:jc w:val="center"/>
              <w:rPr>
                <w:rFonts w:ascii="Times New Roman"/>
                <w:sz w:val="20"/>
              </w:rPr>
            </w:pPr>
            <w:r>
              <w:rPr>
                <w:rFonts w:ascii="Times New Roman"/>
                <w:spacing w:val="-2"/>
                <w:sz w:val="20"/>
              </w:rPr>
              <w:t>(0.0473)</w:t>
            </w:r>
          </w:p>
        </w:tc>
        <w:tc>
          <w:tcPr>
            <w:tcW w:w="1888" w:type="dxa"/>
            <w:tcBorders>
              <w:top w:val="nil"/>
              <w:bottom w:val="nil"/>
              <w:right w:val="nil"/>
            </w:tcBorders>
          </w:tcPr>
          <w:p>
            <w:pPr>
              <w:pStyle w:val="TableParagraph"/>
              <w:spacing w:before="48"/>
              <w:ind w:left="2" w:right="14"/>
              <w:jc w:val="center"/>
              <w:rPr>
                <w:rFonts w:ascii="Times New Roman"/>
                <w:sz w:val="20"/>
              </w:rPr>
            </w:pPr>
            <w:r>
              <w:rPr>
                <w:rFonts w:ascii="Times New Roman"/>
                <w:spacing w:val="-2"/>
                <w:sz w:val="20"/>
              </w:rPr>
              <w:t>(0.0610)</w:t>
            </w:r>
          </w:p>
        </w:tc>
      </w:tr>
      <w:tr>
        <w:trPr>
          <w:trHeight w:val="390" w:hRule="atLeast"/>
        </w:trPr>
        <w:tc>
          <w:tcPr>
            <w:tcW w:w="1634" w:type="dxa"/>
            <w:tcBorders>
              <w:top w:val="nil"/>
              <w:left w:val="nil"/>
              <w:bottom w:val="single" w:sz="4" w:space="0" w:color="000000"/>
            </w:tcBorders>
          </w:tcPr>
          <w:p>
            <w:pPr>
              <w:pStyle w:val="TableParagraph"/>
              <w:rPr>
                <w:rFonts w:ascii="Times New Roman"/>
                <w:sz w:val="22"/>
              </w:rPr>
            </w:pPr>
          </w:p>
        </w:tc>
        <w:tc>
          <w:tcPr>
            <w:tcW w:w="1260" w:type="dxa"/>
            <w:vMerge/>
            <w:tcBorders>
              <w:top w:val="nil"/>
              <w:bottom w:val="single" w:sz="4" w:space="0" w:color="000000"/>
              <w:right w:val="single" w:sz="4" w:space="0" w:color="000000"/>
            </w:tcBorders>
          </w:tcPr>
          <w:p>
            <w:pPr>
              <w:rPr>
                <w:sz w:val="2"/>
                <w:szCs w:val="2"/>
              </w:rPr>
            </w:pPr>
          </w:p>
        </w:tc>
        <w:tc>
          <w:tcPr>
            <w:tcW w:w="1891" w:type="dxa"/>
            <w:vMerge/>
            <w:tcBorders>
              <w:top w:val="nil"/>
              <w:left w:val="single" w:sz="4" w:space="0" w:color="000000"/>
              <w:bottom w:val="single" w:sz="4" w:space="0" w:color="000000"/>
            </w:tcBorders>
          </w:tcPr>
          <w:p>
            <w:pPr>
              <w:rPr>
                <w:sz w:val="2"/>
                <w:szCs w:val="2"/>
              </w:rPr>
            </w:pPr>
          </w:p>
        </w:tc>
        <w:tc>
          <w:tcPr>
            <w:tcW w:w="1800" w:type="dxa"/>
            <w:tcBorders>
              <w:top w:val="nil"/>
              <w:bottom w:val="single" w:sz="4" w:space="0" w:color="000000"/>
            </w:tcBorders>
          </w:tcPr>
          <w:p>
            <w:pPr>
              <w:pStyle w:val="TableParagraph"/>
              <w:spacing w:before="48"/>
              <w:ind w:left="174" w:right="174"/>
              <w:jc w:val="center"/>
              <w:rPr>
                <w:rFonts w:ascii="Times New Roman"/>
                <w:sz w:val="20"/>
              </w:rPr>
            </w:pPr>
            <w:r>
              <w:rPr>
                <w:rFonts w:ascii="Times New Roman"/>
                <w:spacing w:val="-2"/>
                <w:sz w:val="20"/>
              </w:rPr>
              <w:t>{0.000}</w:t>
            </w:r>
          </w:p>
        </w:tc>
        <w:tc>
          <w:tcPr>
            <w:tcW w:w="1888" w:type="dxa"/>
            <w:tcBorders>
              <w:top w:val="nil"/>
              <w:bottom w:val="single" w:sz="4" w:space="0" w:color="000000"/>
              <w:right w:val="nil"/>
            </w:tcBorders>
          </w:tcPr>
          <w:p>
            <w:pPr>
              <w:pStyle w:val="TableParagraph"/>
              <w:spacing w:before="48"/>
              <w:ind w:left="10" w:right="14"/>
              <w:jc w:val="center"/>
              <w:rPr>
                <w:rFonts w:ascii="Times New Roman"/>
                <w:sz w:val="20"/>
              </w:rPr>
            </w:pPr>
            <w:r>
              <w:rPr>
                <w:rFonts w:ascii="Times New Roman"/>
                <w:spacing w:val="-2"/>
                <w:sz w:val="20"/>
              </w:rPr>
              <w:t>{0.000}</w:t>
            </w:r>
          </w:p>
        </w:tc>
      </w:tr>
      <w:tr>
        <w:trPr>
          <w:trHeight w:val="328" w:hRule="atLeast"/>
        </w:trPr>
        <w:tc>
          <w:tcPr>
            <w:tcW w:w="6585" w:type="dxa"/>
            <w:gridSpan w:val="4"/>
            <w:tcBorders>
              <w:top w:val="single" w:sz="4" w:space="0" w:color="000000"/>
              <w:left w:val="nil"/>
              <w:bottom w:val="single" w:sz="4" w:space="0" w:color="000000"/>
              <w:right w:val="single" w:sz="4" w:space="0" w:color="000000"/>
            </w:tcBorders>
          </w:tcPr>
          <w:p>
            <w:pPr>
              <w:pStyle w:val="TableParagraph"/>
              <w:spacing w:before="2"/>
              <w:ind w:left="12"/>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1888" w:type="dxa"/>
            <w:tcBorders>
              <w:top w:val="single" w:sz="4" w:space="0" w:color="000000"/>
              <w:left w:val="single" w:sz="4" w:space="0" w:color="000000"/>
              <w:bottom w:val="single" w:sz="4" w:space="0" w:color="000000"/>
              <w:right w:val="nil"/>
            </w:tcBorders>
          </w:tcPr>
          <w:p>
            <w:pPr>
              <w:pStyle w:val="TableParagraph"/>
              <w:rPr>
                <w:rFonts w:ascii="Times New Roman"/>
                <w:sz w:val="22"/>
              </w:rPr>
            </w:pPr>
          </w:p>
        </w:tc>
      </w:tr>
      <w:tr>
        <w:trPr>
          <w:trHeight w:val="328" w:hRule="atLeast"/>
        </w:trPr>
        <w:tc>
          <w:tcPr>
            <w:tcW w:w="1634" w:type="dxa"/>
            <w:tcBorders>
              <w:top w:val="single" w:sz="4" w:space="0" w:color="000000"/>
              <w:left w:val="nil"/>
              <w:bottom w:val="single" w:sz="4" w:space="0" w:color="000000"/>
              <w:right w:val="single" w:sz="4" w:space="0" w:color="000000"/>
            </w:tcBorders>
          </w:tcPr>
          <w:p>
            <w:pPr>
              <w:pStyle w:val="TableParagraph"/>
              <w:spacing w:line="144" w:lineRule="auto" w:before="37"/>
              <w:ind w:left="162" w:right="145"/>
              <w:jc w:val="center"/>
              <w:rPr>
                <w:rFonts w:ascii="Times New Roman"/>
                <w:sz w:val="12"/>
              </w:rPr>
            </w:pPr>
            <w:r>
              <w:rPr>
                <w:rFonts w:ascii="Times New Roman"/>
                <w:spacing w:val="-5"/>
                <w:position w:val="-6"/>
                <w:sz w:val="19"/>
              </w:rPr>
              <w:t>R</w:t>
            </w:r>
            <w:r>
              <w:rPr>
                <w:rFonts w:ascii="Times New Roman"/>
                <w:spacing w:val="-5"/>
                <w:sz w:val="12"/>
              </w:rPr>
              <w:t>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91" w:type="dxa"/>
            <w:tcBorders>
              <w:top w:val="single" w:sz="4" w:space="0" w:color="000000"/>
              <w:left w:val="single" w:sz="4" w:space="0" w:color="000000"/>
            </w:tcBorders>
          </w:tcPr>
          <w:p>
            <w:pPr>
              <w:pStyle w:val="TableParagraph"/>
              <w:spacing w:line="206" w:lineRule="exact"/>
              <w:ind w:left="451" w:right="451"/>
              <w:jc w:val="center"/>
              <w:rPr>
                <w:sz w:val="18"/>
              </w:rPr>
            </w:pPr>
            <w:r>
              <w:rPr>
                <w:spacing w:val="-2"/>
                <w:sz w:val="18"/>
              </w:rPr>
              <w:t>0.245812</w:t>
            </w:r>
          </w:p>
        </w:tc>
        <w:tc>
          <w:tcPr>
            <w:tcW w:w="1800" w:type="dxa"/>
            <w:tcBorders>
              <w:top w:val="single" w:sz="4" w:space="0" w:color="000000"/>
            </w:tcBorders>
          </w:tcPr>
          <w:p>
            <w:pPr>
              <w:pStyle w:val="TableParagraph"/>
              <w:spacing w:line="206" w:lineRule="exact"/>
              <w:ind w:left="173" w:right="174"/>
              <w:jc w:val="center"/>
              <w:rPr>
                <w:sz w:val="18"/>
              </w:rPr>
            </w:pPr>
            <w:r>
              <w:rPr>
                <w:spacing w:val="-2"/>
                <w:sz w:val="18"/>
              </w:rPr>
              <w:t>0.496927</w:t>
            </w:r>
          </w:p>
        </w:tc>
        <w:tc>
          <w:tcPr>
            <w:tcW w:w="1888" w:type="dxa"/>
            <w:tcBorders>
              <w:top w:val="single" w:sz="4" w:space="0" w:color="000000"/>
              <w:right w:val="nil"/>
            </w:tcBorders>
          </w:tcPr>
          <w:p>
            <w:pPr>
              <w:pStyle w:val="TableParagraph"/>
              <w:spacing w:line="206" w:lineRule="exact"/>
              <w:ind w:left="13" w:right="14"/>
              <w:jc w:val="center"/>
              <w:rPr>
                <w:sz w:val="18"/>
              </w:rPr>
            </w:pPr>
            <w:r>
              <w:rPr/>
              <mc:AlternateContent>
                <mc:Choice Requires="wps">
                  <w:drawing>
                    <wp:anchor distT="0" distB="0" distL="0" distR="0" allowOverlap="1" layoutInCell="1" locked="0" behindDoc="1" simplePos="0" relativeHeight="477736448">
                      <wp:simplePos x="0" y="0"/>
                      <wp:positionH relativeFrom="column">
                        <wp:posOffset>85089</wp:posOffset>
                      </wp:positionH>
                      <wp:positionV relativeFrom="paragraph">
                        <wp:posOffset>-180594</wp:posOffset>
                      </wp:positionV>
                      <wp:extent cx="854075" cy="85344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854075" cy="853440"/>
                                <a:chExt cx="854075" cy="853440"/>
                              </a:xfrm>
                            </wpg:grpSpPr>
                            <wps:wsp>
                              <wps:cNvPr id="155" name="Graphic 155"/>
                              <wps:cNvSpPr/>
                              <wps:spPr>
                                <a:xfrm>
                                  <a:off x="0" y="0"/>
                                  <a:ext cx="854075" cy="853440"/>
                                </a:xfrm>
                                <a:custGeom>
                                  <a:avLst/>
                                  <a:gdLst/>
                                  <a:ahLst/>
                                  <a:cxnLst/>
                                  <a:rect l="l" t="t" r="r" b="b"/>
                                  <a:pathLst>
                                    <a:path w="854075" h="853440">
                                      <a:moveTo>
                                        <a:pt x="308863" y="0"/>
                                      </a:moveTo>
                                      <a:lnTo>
                                        <a:pt x="272288" y="29209"/>
                                      </a:lnTo>
                                      <a:lnTo>
                                        <a:pt x="257428" y="57657"/>
                                      </a:lnTo>
                                      <a:lnTo>
                                        <a:pt x="258952" y="61340"/>
                                      </a:lnTo>
                                      <a:lnTo>
                                        <a:pt x="260222" y="65277"/>
                                      </a:lnTo>
                                      <a:lnTo>
                                        <a:pt x="261873" y="68960"/>
                                      </a:lnTo>
                                      <a:lnTo>
                                        <a:pt x="264921" y="73278"/>
                                      </a:lnTo>
                                      <a:lnTo>
                                        <a:pt x="287478" y="115997"/>
                                      </a:lnTo>
                                      <a:lnTo>
                                        <a:pt x="354471" y="244399"/>
                                      </a:lnTo>
                                      <a:lnTo>
                                        <a:pt x="399414" y="329819"/>
                                      </a:lnTo>
                                      <a:lnTo>
                                        <a:pt x="462359" y="442642"/>
                                      </a:lnTo>
                                      <a:lnTo>
                                        <a:pt x="484250" y="480313"/>
                                      </a:lnTo>
                                      <a:lnTo>
                                        <a:pt x="483615" y="480949"/>
                                      </a:lnTo>
                                      <a:lnTo>
                                        <a:pt x="330580" y="395604"/>
                                      </a:lnTo>
                                      <a:lnTo>
                                        <a:pt x="288106" y="373165"/>
                                      </a:lnTo>
                                      <a:lnTo>
                                        <a:pt x="75310" y="261747"/>
                                      </a:lnTo>
                                      <a:lnTo>
                                        <a:pt x="70612" y="259079"/>
                                      </a:lnTo>
                                      <a:lnTo>
                                        <a:pt x="66675" y="257936"/>
                                      </a:lnTo>
                                      <a:lnTo>
                                        <a:pt x="63118" y="256285"/>
                                      </a:lnTo>
                                      <a:lnTo>
                                        <a:pt x="59562" y="255524"/>
                                      </a:lnTo>
                                      <a:lnTo>
                                        <a:pt x="14604" y="286893"/>
                                      </a:lnTo>
                                      <a:lnTo>
                                        <a:pt x="0" y="307721"/>
                                      </a:lnTo>
                                      <a:lnTo>
                                        <a:pt x="2031" y="316356"/>
                                      </a:lnTo>
                                      <a:lnTo>
                                        <a:pt x="33019" y="338581"/>
                                      </a:lnTo>
                                      <a:lnTo>
                                        <a:pt x="124801" y="385756"/>
                                      </a:lnTo>
                                      <a:lnTo>
                                        <a:pt x="400905" y="525745"/>
                                      </a:lnTo>
                                      <a:lnTo>
                                        <a:pt x="538733" y="596264"/>
                                      </a:lnTo>
                                      <a:lnTo>
                                        <a:pt x="790701" y="848359"/>
                                      </a:lnTo>
                                      <a:lnTo>
                                        <a:pt x="793750" y="850646"/>
                                      </a:lnTo>
                                      <a:lnTo>
                                        <a:pt x="796797" y="851788"/>
                                      </a:lnTo>
                                      <a:lnTo>
                                        <a:pt x="799464" y="853185"/>
                                      </a:lnTo>
                                      <a:lnTo>
                                        <a:pt x="802766" y="853058"/>
                                      </a:lnTo>
                                      <a:lnTo>
                                        <a:pt x="806195" y="851661"/>
                                      </a:lnTo>
                                      <a:lnTo>
                                        <a:pt x="810259" y="850900"/>
                                      </a:lnTo>
                                      <a:lnTo>
                                        <a:pt x="843660" y="822705"/>
                                      </a:lnTo>
                                      <a:lnTo>
                                        <a:pt x="852296" y="805560"/>
                                      </a:lnTo>
                                      <a:lnTo>
                                        <a:pt x="853566" y="802258"/>
                                      </a:lnTo>
                                      <a:lnTo>
                                        <a:pt x="853439" y="799210"/>
                                      </a:lnTo>
                                      <a:lnTo>
                                        <a:pt x="851280" y="793114"/>
                                      </a:lnTo>
                                      <a:lnTo>
                                        <a:pt x="848994" y="790067"/>
                                      </a:lnTo>
                                      <a:lnTo>
                                        <a:pt x="596900" y="538099"/>
                                      </a:lnTo>
                                      <a:lnTo>
                                        <a:pt x="549772" y="446271"/>
                                      </a:lnTo>
                                      <a:lnTo>
                                        <a:pt x="409757" y="170192"/>
                                      </a:lnTo>
                                      <a:lnTo>
                                        <a:pt x="339216" y="32384"/>
                                      </a:lnTo>
                                      <a:lnTo>
                                        <a:pt x="317372" y="1904"/>
                                      </a:lnTo>
                                      <a:lnTo>
                                        <a:pt x="308863"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6.699995pt;margin-top:-14.22pt;width:67.25pt;height:67.2pt;mso-position-horizontal-relative:column;mso-position-vertical-relative:paragraph;z-index:-25580032" id="docshapegroup21" coordorigin="134,-284" coordsize="1345,1344">
                      <v:shape style="position:absolute;left:134;top:-285;width:1345;height:1344" id="docshape22" coordorigin="134,-284" coordsize="1345,1344" path="m620,-284l563,-238,539,-194,542,-188,544,-182,546,-176,551,-169,587,-102,692,100,763,235,862,413,897,472,896,473,655,339,588,303,253,128,245,124,239,122,233,119,228,118,157,167,134,200,137,214,186,249,331,323,765,544,982,655,1379,1052,1384,1055,1389,1057,1393,1059,1398,1059,1404,1057,1410,1056,1463,1011,1476,984,1478,979,1478,974,1475,965,1471,960,1074,563,1000,418,779,-16,668,-233,634,-281,620,-284xe" filled="true" fillcolor="#c0c0c0" stroked="false">
                        <v:path arrowok="t"/>
                        <v:fill opacity="32896f" type="solid"/>
                      </v:shape>
                      <w10:wrap type="none"/>
                    </v:group>
                  </w:pict>
                </mc:Fallback>
              </mc:AlternateContent>
            </w:r>
            <w:r>
              <w:rPr>
                <w:spacing w:val="-2"/>
                <w:sz w:val="18"/>
              </w:rPr>
              <w:t>0.113608</w:t>
            </w:r>
          </w:p>
        </w:tc>
      </w:tr>
      <w:tr>
        <w:trPr>
          <w:trHeight w:val="329" w:hRule="atLeast"/>
        </w:trPr>
        <w:tc>
          <w:tcPr>
            <w:tcW w:w="1634" w:type="dxa"/>
            <w:tcBorders>
              <w:top w:val="single" w:sz="4" w:space="0" w:color="000000"/>
              <w:left w:val="nil"/>
              <w:bottom w:val="single" w:sz="4" w:space="0" w:color="000000"/>
              <w:right w:val="single" w:sz="4" w:space="0" w:color="000000"/>
            </w:tcBorders>
          </w:tcPr>
          <w:p>
            <w:pPr>
              <w:pStyle w:val="TableParagraph"/>
              <w:ind w:left="162" w:right="140"/>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91" w:type="dxa"/>
            <w:tcBorders>
              <w:left w:val="single" w:sz="4" w:space="0" w:color="000000"/>
            </w:tcBorders>
          </w:tcPr>
          <w:p>
            <w:pPr>
              <w:pStyle w:val="TableParagraph"/>
              <w:spacing w:line="207" w:lineRule="exact"/>
              <w:ind w:left="451" w:right="451"/>
              <w:jc w:val="center"/>
              <w:rPr>
                <w:sz w:val="18"/>
              </w:rPr>
            </w:pPr>
            <w:r>
              <w:rPr>
                <w:spacing w:val="-2"/>
                <w:sz w:val="18"/>
              </w:rPr>
              <w:t>0.229934</w:t>
            </w:r>
          </w:p>
        </w:tc>
        <w:tc>
          <w:tcPr>
            <w:tcW w:w="1800" w:type="dxa"/>
          </w:tcPr>
          <w:p>
            <w:pPr>
              <w:pStyle w:val="TableParagraph"/>
              <w:spacing w:line="207" w:lineRule="exact"/>
              <w:ind w:left="173" w:right="174"/>
              <w:jc w:val="center"/>
              <w:rPr>
                <w:sz w:val="18"/>
              </w:rPr>
            </w:pPr>
            <w:r>
              <w:rPr>
                <w:spacing w:val="-2"/>
                <w:sz w:val="18"/>
              </w:rPr>
              <w:t>0.480786</w:t>
            </w:r>
          </w:p>
        </w:tc>
        <w:tc>
          <w:tcPr>
            <w:tcW w:w="1888" w:type="dxa"/>
            <w:tcBorders>
              <w:right w:val="nil"/>
            </w:tcBorders>
          </w:tcPr>
          <w:p>
            <w:pPr>
              <w:pStyle w:val="TableParagraph"/>
              <w:spacing w:line="207" w:lineRule="exact"/>
              <w:ind w:left="13" w:right="14"/>
              <w:jc w:val="center"/>
              <w:rPr>
                <w:sz w:val="18"/>
              </w:rPr>
            </w:pPr>
            <w:r>
              <w:rPr>
                <w:spacing w:val="-2"/>
                <w:sz w:val="18"/>
              </w:rPr>
              <w:t>0.085319</w:t>
            </w:r>
          </w:p>
        </w:tc>
      </w:tr>
      <w:tr>
        <w:trPr>
          <w:trHeight w:val="325" w:hRule="atLeast"/>
        </w:trPr>
        <w:tc>
          <w:tcPr>
            <w:tcW w:w="1634" w:type="dxa"/>
            <w:tcBorders>
              <w:top w:val="single" w:sz="4" w:space="0" w:color="000000"/>
              <w:left w:val="nil"/>
              <w:bottom w:val="single" w:sz="4" w:space="0" w:color="000000"/>
              <w:right w:val="single" w:sz="4" w:space="0" w:color="000000"/>
            </w:tcBorders>
          </w:tcPr>
          <w:p>
            <w:pPr>
              <w:pStyle w:val="TableParagraph"/>
              <w:ind w:left="162" w:right="146"/>
              <w:jc w:val="center"/>
              <w:rPr>
                <w:rFonts w:ascii="Times New Roman"/>
                <w:sz w:val="19"/>
              </w:rPr>
            </w:pPr>
            <w:r>
              <w:rPr>
                <w:rFonts w:ascii="Times New Roman"/>
                <w:spacing w:val="-2"/>
                <w:sz w:val="19"/>
              </w:rPr>
              <w:t>F-statistic</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91" w:type="dxa"/>
            <w:tcBorders>
              <w:left w:val="single" w:sz="4" w:space="0" w:color="000000"/>
              <w:bottom w:val="single" w:sz="4" w:space="0" w:color="000000"/>
              <w:right w:val="single" w:sz="4" w:space="0" w:color="000000"/>
            </w:tcBorders>
          </w:tcPr>
          <w:p>
            <w:pPr>
              <w:pStyle w:val="TableParagraph"/>
              <w:ind w:left="451" w:right="451"/>
              <w:jc w:val="center"/>
              <w:rPr>
                <w:rFonts w:ascii="Times New Roman"/>
                <w:sz w:val="19"/>
              </w:rPr>
            </w:pPr>
            <w:r>
              <w:rPr>
                <w:rFonts w:ascii="Times New Roman"/>
                <w:spacing w:val="-2"/>
                <w:sz w:val="19"/>
              </w:rPr>
              <w:t>56.218</w:t>
            </w:r>
          </w:p>
        </w:tc>
        <w:tc>
          <w:tcPr>
            <w:tcW w:w="1800" w:type="dxa"/>
            <w:tcBorders>
              <w:left w:val="single" w:sz="4" w:space="0" w:color="000000"/>
              <w:bottom w:val="single" w:sz="4" w:space="0" w:color="000000"/>
            </w:tcBorders>
          </w:tcPr>
          <w:p>
            <w:pPr>
              <w:pStyle w:val="TableParagraph"/>
              <w:ind w:left="173" w:right="174"/>
              <w:jc w:val="center"/>
              <w:rPr>
                <w:rFonts w:ascii="Times New Roman"/>
                <w:sz w:val="19"/>
              </w:rPr>
            </w:pPr>
            <w:r>
              <w:rPr>
                <w:rFonts w:ascii="Times New Roman"/>
                <w:spacing w:val="-2"/>
                <w:sz w:val="19"/>
              </w:rPr>
              <w:t>18.832</w:t>
            </w:r>
          </w:p>
        </w:tc>
        <w:tc>
          <w:tcPr>
            <w:tcW w:w="1888" w:type="dxa"/>
            <w:tcBorders>
              <w:right w:val="nil"/>
            </w:tcBorders>
          </w:tcPr>
          <w:p>
            <w:pPr>
              <w:pStyle w:val="TableParagraph"/>
              <w:spacing w:line="206" w:lineRule="exact"/>
              <w:ind w:left="13" w:right="14"/>
              <w:jc w:val="center"/>
              <w:rPr>
                <w:sz w:val="18"/>
              </w:rPr>
            </w:pPr>
            <w:r>
              <w:rPr>
                <w:spacing w:val="-2"/>
                <w:sz w:val="18"/>
              </w:rPr>
              <w:t>4.015949</w:t>
            </w:r>
          </w:p>
        </w:tc>
      </w:tr>
      <w:tr>
        <w:trPr>
          <w:trHeight w:val="328" w:hRule="atLeast"/>
        </w:trPr>
        <w:tc>
          <w:tcPr>
            <w:tcW w:w="1634" w:type="dxa"/>
            <w:tcBorders>
              <w:top w:val="single" w:sz="4" w:space="0" w:color="000000"/>
              <w:left w:val="nil"/>
              <w:bottom w:val="single" w:sz="4" w:space="0" w:color="000000"/>
              <w:right w:val="single" w:sz="4" w:space="0" w:color="000000"/>
            </w:tcBorders>
          </w:tcPr>
          <w:p>
            <w:pPr>
              <w:pStyle w:val="TableParagraph"/>
              <w:ind w:left="162" w:right="145"/>
              <w:jc w:val="center"/>
              <w:rPr>
                <w:rFonts w:ascii="Times New Roman"/>
                <w:sz w:val="19"/>
              </w:rPr>
            </w:pPr>
            <w:r>
              <w:rPr>
                <w:rFonts w:ascii="Times New Roman"/>
                <w:spacing w:val="-2"/>
                <w:sz w:val="19"/>
              </w:rPr>
              <w:t>Prob(F-stat)</w:t>
            </w:r>
          </w:p>
        </w:tc>
        <w:tc>
          <w:tcPr>
            <w:tcW w:w="126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891" w:type="dxa"/>
            <w:tcBorders>
              <w:top w:val="single" w:sz="4" w:space="0" w:color="000000"/>
              <w:left w:val="single" w:sz="4" w:space="0" w:color="000000"/>
              <w:bottom w:val="single" w:sz="4" w:space="0" w:color="000000"/>
              <w:right w:val="single" w:sz="4" w:space="0" w:color="000000"/>
            </w:tcBorders>
          </w:tcPr>
          <w:p>
            <w:pPr>
              <w:pStyle w:val="TableParagraph"/>
              <w:ind w:left="451" w:right="451"/>
              <w:jc w:val="center"/>
              <w:rPr>
                <w:rFonts w:ascii="Times New Roman"/>
                <w:sz w:val="19"/>
              </w:rPr>
            </w:pPr>
            <w:r>
              <w:rPr>
                <w:rFonts w:ascii="Times New Roman"/>
                <w:spacing w:val="-2"/>
                <w:sz w:val="19"/>
              </w:rPr>
              <w:t>0.000</w:t>
            </w:r>
          </w:p>
        </w:tc>
        <w:tc>
          <w:tcPr>
            <w:tcW w:w="1800" w:type="dxa"/>
            <w:tcBorders>
              <w:top w:val="single" w:sz="4" w:space="0" w:color="000000"/>
              <w:left w:val="single" w:sz="4" w:space="0" w:color="000000"/>
            </w:tcBorders>
          </w:tcPr>
          <w:p>
            <w:pPr>
              <w:pStyle w:val="TableParagraph"/>
              <w:spacing w:line="206" w:lineRule="exact"/>
              <w:ind w:left="173" w:right="174"/>
              <w:jc w:val="center"/>
              <w:rPr>
                <w:sz w:val="18"/>
              </w:rPr>
            </w:pPr>
            <w:r>
              <w:rPr>
                <w:spacing w:val="-2"/>
                <w:sz w:val="18"/>
              </w:rPr>
              <w:t>30.78589</w:t>
            </w:r>
          </w:p>
        </w:tc>
        <w:tc>
          <w:tcPr>
            <w:tcW w:w="1888" w:type="dxa"/>
            <w:tcBorders>
              <w:right w:val="nil"/>
            </w:tcBorders>
          </w:tcPr>
          <w:p>
            <w:pPr>
              <w:pStyle w:val="TableParagraph"/>
              <w:spacing w:line="206" w:lineRule="exact"/>
              <w:ind w:left="13" w:right="14"/>
              <w:jc w:val="center"/>
              <w:rPr>
                <w:sz w:val="18"/>
              </w:rPr>
            </w:pPr>
            <w:r>
              <w:rPr>
                <w:spacing w:val="-2"/>
                <w:sz w:val="18"/>
              </w:rPr>
              <w:t>0.000827</w:t>
            </w:r>
          </w:p>
        </w:tc>
      </w:tr>
    </w:tbl>
    <w:p>
      <w:pPr>
        <w:spacing w:before="27"/>
        <w:ind w:left="940" w:right="0" w:firstLine="0"/>
        <w:jc w:val="both"/>
        <w:rPr>
          <w:sz w:val="19"/>
        </w:rPr>
      </w:pPr>
      <w:r>
        <w:rPr/>
        <mc:AlternateContent>
          <mc:Choice Requires="wps">
            <w:drawing>
              <wp:anchor distT="0" distB="0" distL="0" distR="0" allowOverlap="1" layoutInCell="1" locked="0" behindDoc="1" simplePos="0" relativeHeight="477735936">
                <wp:simplePos x="0" y="0"/>
                <wp:positionH relativeFrom="page">
                  <wp:posOffset>1269060</wp:posOffset>
                </wp:positionH>
                <wp:positionV relativeFrom="paragraph">
                  <wp:posOffset>-579119</wp:posOffset>
                </wp:positionV>
                <wp:extent cx="4493895" cy="453390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4493895" cy="4533900"/>
                          <a:chExt cx="4493895" cy="4533900"/>
                        </a:xfrm>
                      </wpg:grpSpPr>
                      <wps:wsp>
                        <wps:cNvPr id="157" name="Graphic 157"/>
                        <wps:cNvSpPr/>
                        <wps:spPr>
                          <a:xfrm>
                            <a:off x="0" y="3252279"/>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58" name="Image 158"/>
                          <pic:cNvPicPr/>
                        </pic:nvPicPr>
                        <pic:blipFill>
                          <a:blip r:embed="rId9" cstate="print"/>
                          <a:stretch>
                            <a:fillRect/>
                          </a:stretch>
                        </pic:blipFill>
                        <pic:spPr>
                          <a:xfrm>
                            <a:off x="1248333" y="3300348"/>
                            <a:ext cx="221995" cy="221614"/>
                          </a:xfrm>
                          <a:prstGeom prst="rect">
                            <a:avLst/>
                          </a:prstGeom>
                        </pic:spPr>
                      </pic:pic>
                      <wps:wsp>
                        <wps:cNvPr id="159" name="Graphic 159"/>
                        <wps:cNvSpPr/>
                        <wps:spPr>
                          <a:xfrm>
                            <a:off x="1117777" y="0"/>
                            <a:ext cx="3375660" cy="3503929"/>
                          </a:xfrm>
                          <a:custGeom>
                            <a:avLst/>
                            <a:gdLst/>
                            <a:ahLst/>
                            <a:cxnLst/>
                            <a:rect l="l" t="t" r="r" b="b"/>
                            <a:pathLst>
                              <a:path w="3375660" h="3503929">
                                <a:moveTo>
                                  <a:pt x="721741" y="3453130"/>
                                </a:moveTo>
                                <a:lnTo>
                                  <a:pt x="721487" y="3450209"/>
                                </a:lnTo>
                                <a:lnTo>
                                  <a:pt x="719328" y="3444113"/>
                                </a:lnTo>
                                <a:lnTo>
                                  <a:pt x="717042" y="3441065"/>
                                </a:lnTo>
                                <a:lnTo>
                                  <a:pt x="714375" y="3438525"/>
                                </a:lnTo>
                                <a:lnTo>
                                  <a:pt x="62357" y="2786507"/>
                                </a:lnTo>
                                <a:lnTo>
                                  <a:pt x="59436" y="2784221"/>
                                </a:lnTo>
                                <a:lnTo>
                                  <a:pt x="53213" y="2781935"/>
                                </a:lnTo>
                                <a:lnTo>
                                  <a:pt x="50292" y="2781808"/>
                                </a:lnTo>
                                <a:lnTo>
                                  <a:pt x="46355" y="2782570"/>
                                </a:lnTo>
                                <a:lnTo>
                                  <a:pt x="13970" y="2806573"/>
                                </a:lnTo>
                                <a:lnTo>
                                  <a:pt x="0" y="2835148"/>
                                </a:lnTo>
                                <a:lnTo>
                                  <a:pt x="2286" y="2841371"/>
                                </a:lnTo>
                                <a:lnTo>
                                  <a:pt x="658749" y="3499358"/>
                                </a:lnTo>
                                <a:lnTo>
                                  <a:pt x="670941" y="3503930"/>
                                </a:lnTo>
                                <a:lnTo>
                                  <a:pt x="674243" y="3502660"/>
                                </a:lnTo>
                                <a:lnTo>
                                  <a:pt x="678307" y="3501898"/>
                                </a:lnTo>
                                <a:lnTo>
                                  <a:pt x="712089" y="3473450"/>
                                </a:lnTo>
                                <a:lnTo>
                                  <a:pt x="720344" y="3456559"/>
                                </a:lnTo>
                                <a:lnTo>
                                  <a:pt x="721741" y="3453130"/>
                                </a:lnTo>
                                <a:close/>
                              </a:path>
                              <a:path w="3375660" h="3503929">
                                <a:moveTo>
                                  <a:pt x="896239" y="3275457"/>
                                </a:moveTo>
                                <a:lnTo>
                                  <a:pt x="645541" y="3020060"/>
                                </a:lnTo>
                                <a:lnTo>
                                  <a:pt x="695325" y="2970276"/>
                                </a:lnTo>
                                <a:lnTo>
                                  <a:pt x="729310" y="2928556"/>
                                </a:lnTo>
                                <a:lnTo>
                                  <a:pt x="749681" y="2884551"/>
                                </a:lnTo>
                                <a:lnTo>
                                  <a:pt x="757631" y="2839339"/>
                                </a:lnTo>
                                <a:lnTo>
                                  <a:pt x="757694" y="2814866"/>
                                </a:lnTo>
                                <a:lnTo>
                                  <a:pt x="754634" y="2790571"/>
                                </a:lnTo>
                                <a:lnTo>
                                  <a:pt x="740511" y="2741015"/>
                                </a:lnTo>
                                <a:lnTo>
                                  <a:pt x="716026" y="2690114"/>
                                </a:lnTo>
                                <a:lnTo>
                                  <a:pt x="680796" y="2638933"/>
                                </a:lnTo>
                                <a:lnTo>
                                  <a:pt x="661314" y="2615603"/>
                                </a:lnTo>
                                <a:lnTo>
                                  <a:pt x="661314" y="2810853"/>
                                </a:lnTo>
                                <a:lnTo>
                                  <a:pt x="660438" y="2825305"/>
                                </a:lnTo>
                                <a:lnTo>
                                  <a:pt x="645807" y="2866961"/>
                                </a:lnTo>
                                <a:lnTo>
                                  <a:pt x="571754" y="2946273"/>
                                </a:lnTo>
                                <a:lnTo>
                                  <a:pt x="300482" y="2674874"/>
                                </a:lnTo>
                                <a:lnTo>
                                  <a:pt x="354330" y="2621153"/>
                                </a:lnTo>
                                <a:lnTo>
                                  <a:pt x="388747" y="2593975"/>
                                </a:lnTo>
                                <a:lnTo>
                                  <a:pt x="436499" y="2580767"/>
                                </a:lnTo>
                                <a:lnTo>
                                  <a:pt x="451167" y="2581389"/>
                                </a:lnTo>
                                <a:lnTo>
                                  <a:pt x="502412" y="2597277"/>
                                </a:lnTo>
                                <a:lnTo>
                                  <a:pt x="540804" y="2620962"/>
                                </a:lnTo>
                                <a:lnTo>
                                  <a:pt x="581406" y="2656459"/>
                                </a:lnTo>
                                <a:lnTo>
                                  <a:pt x="609015" y="2687370"/>
                                </a:lnTo>
                                <a:lnTo>
                                  <a:pt x="631190" y="2718562"/>
                                </a:lnTo>
                                <a:lnTo>
                                  <a:pt x="653580" y="2765806"/>
                                </a:lnTo>
                                <a:lnTo>
                                  <a:pt x="661314" y="2810853"/>
                                </a:lnTo>
                                <a:lnTo>
                                  <a:pt x="661314" y="2615603"/>
                                </a:lnTo>
                                <a:lnTo>
                                  <a:pt x="659422" y="2613329"/>
                                </a:lnTo>
                                <a:lnTo>
                                  <a:pt x="635381" y="2587752"/>
                                </a:lnTo>
                                <a:lnTo>
                                  <a:pt x="628015" y="2580767"/>
                                </a:lnTo>
                                <a:lnTo>
                                  <a:pt x="616153" y="2569514"/>
                                </a:lnTo>
                                <a:lnTo>
                                  <a:pt x="577710" y="2538031"/>
                                </a:lnTo>
                                <a:lnTo>
                                  <a:pt x="539343" y="2513304"/>
                                </a:lnTo>
                                <a:lnTo>
                                  <a:pt x="501675" y="2495778"/>
                                </a:lnTo>
                                <a:lnTo>
                                  <a:pt x="464718" y="2484183"/>
                                </a:lnTo>
                                <a:lnTo>
                                  <a:pt x="428688" y="2479510"/>
                                </a:lnTo>
                                <a:lnTo>
                                  <a:pt x="411099" y="2479548"/>
                                </a:lnTo>
                                <a:lnTo>
                                  <a:pt x="365036" y="2488146"/>
                                </a:lnTo>
                                <a:lnTo>
                                  <a:pt x="321881" y="2510866"/>
                                </a:lnTo>
                                <a:lnTo>
                                  <a:pt x="291896" y="2535186"/>
                                </a:lnTo>
                                <a:lnTo>
                                  <a:pt x="190881" y="2636012"/>
                                </a:lnTo>
                                <a:lnTo>
                                  <a:pt x="183692" y="2653220"/>
                                </a:lnTo>
                                <a:lnTo>
                                  <a:pt x="183896" y="2660650"/>
                                </a:lnTo>
                                <a:lnTo>
                                  <a:pt x="206629" y="2697607"/>
                                </a:lnTo>
                                <a:lnTo>
                                  <a:pt x="830961" y="3321939"/>
                                </a:lnTo>
                                <a:lnTo>
                                  <a:pt x="833501" y="3324606"/>
                                </a:lnTo>
                                <a:lnTo>
                                  <a:pt x="836549" y="3326892"/>
                                </a:lnTo>
                                <a:lnTo>
                                  <a:pt x="839597" y="3328035"/>
                                </a:lnTo>
                                <a:lnTo>
                                  <a:pt x="842772" y="3328924"/>
                                </a:lnTo>
                                <a:lnTo>
                                  <a:pt x="845693" y="3329178"/>
                                </a:lnTo>
                                <a:lnTo>
                                  <a:pt x="848995" y="3327908"/>
                                </a:lnTo>
                                <a:lnTo>
                                  <a:pt x="853059" y="3327146"/>
                                </a:lnTo>
                                <a:lnTo>
                                  <a:pt x="886828" y="3298571"/>
                                </a:lnTo>
                                <a:lnTo>
                                  <a:pt x="895096" y="3281807"/>
                                </a:lnTo>
                                <a:lnTo>
                                  <a:pt x="896112" y="3278759"/>
                                </a:lnTo>
                                <a:lnTo>
                                  <a:pt x="896239" y="3275457"/>
                                </a:lnTo>
                                <a:close/>
                              </a:path>
                              <a:path w="3375660" h="3503929">
                                <a:moveTo>
                                  <a:pt x="1336294" y="2838450"/>
                                </a:moveTo>
                                <a:lnTo>
                                  <a:pt x="1336167" y="2835529"/>
                                </a:lnTo>
                                <a:lnTo>
                                  <a:pt x="1334008" y="2829306"/>
                                </a:lnTo>
                                <a:lnTo>
                                  <a:pt x="1331722" y="2826385"/>
                                </a:lnTo>
                                <a:lnTo>
                                  <a:pt x="742442" y="2237105"/>
                                </a:lnTo>
                                <a:lnTo>
                                  <a:pt x="867410" y="2112137"/>
                                </a:lnTo>
                                <a:lnTo>
                                  <a:pt x="868540" y="2109978"/>
                                </a:lnTo>
                                <a:lnTo>
                                  <a:pt x="868667" y="2106676"/>
                                </a:lnTo>
                                <a:lnTo>
                                  <a:pt x="868426" y="2103628"/>
                                </a:lnTo>
                                <a:lnTo>
                                  <a:pt x="867778" y="2100199"/>
                                </a:lnTo>
                                <a:lnTo>
                                  <a:pt x="865632" y="2096135"/>
                                </a:lnTo>
                                <a:lnTo>
                                  <a:pt x="863981" y="2092452"/>
                                </a:lnTo>
                                <a:lnTo>
                                  <a:pt x="832739" y="2057908"/>
                                </a:lnTo>
                                <a:lnTo>
                                  <a:pt x="799465" y="2034667"/>
                                </a:lnTo>
                                <a:lnTo>
                                  <a:pt x="793242" y="2034667"/>
                                </a:lnTo>
                                <a:lnTo>
                                  <a:pt x="791083" y="2035810"/>
                                </a:lnTo>
                                <a:lnTo>
                                  <a:pt x="482854" y="2344039"/>
                                </a:lnTo>
                                <a:lnTo>
                                  <a:pt x="481711" y="2346198"/>
                                </a:lnTo>
                                <a:lnTo>
                                  <a:pt x="481965" y="2349119"/>
                                </a:lnTo>
                                <a:lnTo>
                                  <a:pt x="481711" y="2352421"/>
                                </a:lnTo>
                                <a:lnTo>
                                  <a:pt x="482854" y="2355469"/>
                                </a:lnTo>
                                <a:lnTo>
                                  <a:pt x="487045" y="2363724"/>
                                </a:lnTo>
                                <a:lnTo>
                                  <a:pt x="490601" y="2368677"/>
                                </a:lnTo>
                                <a:lnTo>
                                  <a:pt x="495046" y="2373630"/>
                                </a:lnTo>
                                <a:lnTo>
                                  <a:pt x="499491" y="2379599"/>
                                </a:lnTo>
                                <a:lnTo>
                                  <a:pt x="504952" y="2385695"/>
                                </a:lnTo>
                                <a:lnTo>
                                  <a:pt x="518541" y="2399284"/>
                                </a:lnTo>
                                <a:lnTo>
                                  <a:pt x="524637" y="2404745"/>
                                </a:lnTo>
                                <a:lnTo>
                                  <a:pt x="529971" y="2408682"/>
                                </a:lnTo>
                                <a:lnTo>
                                  <a:pt x="535051" y="2413127"/>
                                </a:lnTo>
                                <a:lnTo>
                                  <a:pt x="539877" y="2416556"/>
                                </a:lnTo>
                                <a:lnTo>
                                  <a:pt x="547751" y="2420239"/>
                                </a:lnTo>
                                <a:lnTo>
                                  <a:pt x="550799" y="2421382"/>
                                </a:lnTo>
                                <a:lnTo>
                                  <a:pt x="554101" y="2421255"/>
                                </a:lnTo>
                                <a:lnTo>
                                  <a:pt x="557022" y="2421509"/>
                                </a:lnTo>
                                <a:lnTo>
                                  <a:pt x="559181" y="2420239"/>
                                </a:lnTo>
                                <a:lnTo>
                                  <a:pt x="684149" y="2295271"/>
                                </a:lnTo>
                                <a:lnTo>
                                  <a:pt x="1273556" y="2884551"/>
                                </a:lnTo>
                                <a:lnTo>
                                  <a:pt x="1276477" y="2886837"/>
                                </a:lnTo>
                                <a:lnTo>
                                  <a:pt x="1282700" y="2888996"/>
                                </a:lnTo>
                                <a:lnTo>
                                  <a:pt x="1285494" y="2889250"/>
                                </a:lnTo>
                                <a:lnTo>
                                  <a:pt x="1289050" y="2887980"/>
                                </a:lnTo>
                                <a:lnTo>
                                  <a:pt x="1292987" y="2887218"/>
                                </a:lnTo>
                                <a:lnTo>
                                  <a:pt x="1326769" y="2858643"/>
                                </a:lnTo>
                                <a:lnTo>
                                  <a:pt x="1335024" y="2841879"/>
                                </a:lnTo>
                                <a:lnTo>
                                  <a:pt x="1336294" y="2838450"/>
                                </a:lnTo>
                                <a:close/>
                              </a:path>
                              <a:path w="3375660" h="3503929">
                                <a:moveTo>
                                  <a:pt x="1674368" y="2500503"/>
                                </a:moveTo>
                                <a:lnTo>
                                  <a:pt x="1674241" y="2497455"/>
                                </a:lnTo>
                                <a:lnTo>
                                  <a:pt x="1671955" y="2491359"/>
                                </a:lnTo>
                                <a:lnTo>
                                  <a:pt x="1669796" y="2488311"/>
                                </a:lnTo>
                                <a:lnTo>
                                  <a:pt x="1080389" y="1899031"/>
                                </a:lnTo>
                                <a:lnTo>
                                  <a:pt x="1205357" y="1774063"/>
                                </a:lnTo>
                                <a:lnTo>
                                  <a:pt x="1206627" y="1771904"/>
                                </a:lnTo>
                                <a:lnTo>
                                  <a:pt x="1206754" y="1768602"/>
                                </a:lnTo>
                                <a:lnTo>
                                  <a:pt x="1205738" y="1762252"/>
                                </a:lnTo>
                                <a:lnTo>
                                  <a:pt x="1202055" y="1754505"/>
                                </a:lnTo>
                                <a:lnTo>
                                  <a:pt x="1198626" y="1749552"/>
                                </a:lnTo>
                                <a:lnTo>
                                  <a:pt x="1194054" y="1744599"/>
                                </a:lnTo>
                                <a:lnTo>
                                  <a:pt x="1184402" y="1733423"/>
                                </a:lnTo>
                                <a:lnTo>
                                  <a:pt x="1177544" y="1726692"/>
                                </a:lnTo>
                                <a:lnTo>
                                  <a:pt x="1170813" y="1719834"/>
                                </a:lnTo>
                                <a:lnTo>
                                  <a:pt x="1154049" y="1705102"/>
                                </a:lnTo>
                                <a:lnTo>
                                  <a:pt x="1149223" y="1701673"/>
                                </a:lnTo>
                                <a:lnTo>
                                  <a:pt x="1140968" y="1697355"/>
                                </a:lnTo>
                                <a:lnTo>
                                  <a:pt x="1137412" y="1696720"/>
                                </a:lnTo>
                                <a:lnTo>
                                  <a:pt x="1134491" y="1696466"/>
                                </a:lnTo>
                                <a:lnTo>
                                  <a:pt x="1131316" y="1696593"/>
                                </a:lnTo>
                                <a:lnTo>
                                  <a:pt x="1129030" y="1697863"/>
                                </a:lnTo>
                                <a:lnTo>
                                  <a:pt x="820928" y="2005965"/>
                                </a:lnTo>
                                <a:lnTo>
                                  <a:pt x="819658" y="2008251"/>
                                </a:lnTo>
                                <a:lnTo>
                                  <a:pt x="819912" y="2011172"/>
                                </a:lnTo>
                                <a:lnTo>
                                  <a:pt x="819785" y="2014347"/>
                                </a:lnTo>
                                <a:lnTo>
                                  <a:pt x="820928" y="2017522"/>
                                </a:lnTo>
                                <a:lnTo>
                                  <a:pt x="825119" y="2025777"/>
                                </a:lnTo>
                                <a:lnTo>
                                  <a:pt x="828548" y="2030603"/>
                                </a:lnTo>
                                <a:lnTo>
                                  <a:pt x="832993" y="2035683"/>
                                </a:lnTo>
                                <a:lnTo>
                                  <a:pt x="837565" y="2041652"/>
                                </a:lnTo>
                                <a:lnTo>
                                  <a:pt x="842899" y="2047748"/>
                                </a:lnTo>
                                <a:lnTo>
                                  <a:pt x="856488" y="2061337"/>
                                </a:lnTo>
                                <a:lnTo>
                                  <a:pt x="862584" y="2066671"/>
                                </a:lnTo>
                                <a:lnTo>
                                  <a:pt x="868045" y="2070735"/>
                                </a:lnTo>
                                <a:lnTo>
                                  <a:pt x="872998" y="2075180"/>
                                </a:lnTo>
                                <a:lnTo>
                                  <a:pt x="877951" y="2078609"/>
                                </a:lnTo>
                                <a:lnTo>
                                  <a:pt x="885698" y="2082292"/>
                                </a:lnTo>
                                <a:lnTo>
                                  <a:pt x="888746" y="2083308"/>
                                </a:lnTo>
                                <a:lnTo>
                                  <a:pt x="892048" y="2083308"/>
                                </a:lnTo>
                                <a:lnTo>
                                  <a:pt x="894969" y="2083562"/>
                                </a:lnTo>
                                <a:lnTo>
                                  <a:pt x="897115" y="2082292"/>
                                </a:lnTo>
                                <a:lnTo>
                                  <a:pt x="1022223" y="1957324"/>
                                </a:lnTo>
                                <a:lnTo>
                                  <a:pt x="1611503" y="2546604"/>
                                </a:lnTo>
                                <a:lnTo>
                                  <a:pt x="1614551" y="2548890"/>
                                </a:lnTo>
                                <a:lnTo>
                                  <a:pt x="1620647" y="2551049"/>
                                </a:lnTo>
                                <a:lnTo>
                                  <a:pt x="1623568" y="2551303"/>
                                </a:lnTo>
                                <a:lnTo>
                                  <a:pt x="1626997" y="2549906"/>
                                </a:lnTo>
                                <a:lnTo>
                                  <a:pt x="1630934" y="2549271"/>
                                </a:lnTo>
                                <a:lnTo>
                                  <a:pt x="1668018" y="2516378"/>
                                </a:lnTo>
                                <a:lnTo>
                                  <a:pt x="1673098" y="2503932"/>
                                </a:lnTo>
                                <a:lnTo>
                                  <a:pt x="1674368" y="2500503"/>
                                </a:lnTo>
                                <a:close/>
                              </a:path>
                              <a:path w="3375660" h="3503929">
                                <a:moveTo>
                                  <a:pt x="2122817" y="1966747"/>
                                </a:moveTo>
                                <a:lnTo>
                                  <a:pt x="2109851" y="1897634"/>
                                </a:lnTo>
                                <a:lnTo>
                                  <a:pt x="2080412" y="1824951"/>
                                </a:lnTo>
                                <a:lnTo>
                                  <a:pt x="2059838" y="1787220"/>
                                </a:lnTo>
                                <a:lnTo>
                                  <a:pt x="2035175" y="1748536"/>
                                </a:lnTo>
                                <a:lnTo>
                                  <a:pt x="2023275" y="1732051"/>
                                </a:lnTo>
                                <a:lnTo>
                                  <a:pt x="2023275" y="1953006"/>
                                </a:lnTo>
                                <a:lnTo>
                                  <a:pt x="2022983" y="1977390"/>
                                </a:lnTo>
                                <a:lnTo>
                                  <a:pt x="2010384" y="2022944"/>
                                </a:lnTo>
                                <a:lnTo>
                                  <a:pt x="1980565" y="2063623"/>
                                </a:lnTo>
                                <a:lnTo>
                                  <a:pt x="1940153" y="2093937"/>
                                </a:lnTo>
                                <a:lnTo>
                                  <a:pt x="1896237" y="2107184"/>
                                </a:lnTo>
                                <a:lnTo>
                                  <a:pt x="1872983" y="2108504"/>
                                </a:lnTo>
                                <a:lnTo>
                                  <a:pt x="1848993" y="2106447"/>
                                </a:lnTo>
                                <a:lnTo>
                                  <a:pt x="1798701" y="2091690"/>
                                </a:lnTo>
                                <a:lnTo>
                                  <a:pt x="1746084" y="2065007"/>
                                </a:lnTo>
                                <a:lnTo>
                                  <a:pt x="1691005" y="2026793"/>
                                </a:lnTo>
                                <a:lnTo>
                                  <a:pt x="1633664" y="1979104"/>
                                </a:lnTo>
                                <a:lnTo>
                                  <a:pt x="1604416" y="1952256"/>
                                </a:lnTo>
                                <a:lnTo>
                                  <a:pt x="1574800" y="1923415"/>
                                </a:lnTo>
                                <a:lnTo>
                                  <a:pt x="1523911" y="1868982"/>
                                </a:lnTo>
                                <a:lnTo>
                                  <a:pt x="1478661" y="1813687"/>
                                </a:lnTo>
                                <a:lnTo>
                                  <a:pt x="1442186" y="1758950"/>
                                </a:lnTo>
                                <a:lnTo>
                                  <a:pt x="1416304" y="1705356"/>
                                </a:lnTo>
                                <a:lnTo>
                                  <a:pt x="1401673" y="1654111"/>
                                </a:lnTo>
                                <a:lnTo>
                                  <a:pt x="1399133" y="1629384"/>
                                </a:lnTo>
                                <a:lnTo>
                                  <a:pt x="1399540" y="1605153"/>
                                </a:lnTo>
                                <a:lnTo>
                                  <a:pt x="1411693" y="1559814"/>
                                </a:lnTo>
                                <a:lnTo>
                                  <a:pt x="1441196" y="1519428"/>
                                </a:lnTo>
                                <a:lnTo>
                                  <a:pt x="1481175" y="1489557"/>
                                </a:lnTo>
                                <a:lnTo>
                                  <a:pt x="1525270" y="1476248"/>
                                </a:lnTo>
                                <a:lnTo>
                                  <a:pt x="1548726" y="1475219"/>
                                </a:lnTo>
                                <a:lnTo>
                                  <a:pt x="1572831" y="1477352"/>
                                </a:lnTo>
                                <a:lnTo>
                                  <a:pt x="1623060" y="1491488"/>
                                </a:lnTo>
                                <a:lnTo>
                                  <a:pt x="1675955" y="1518069"/>
                                </a:lnTo>
                                <a:lnTo>
                                  <a:pt x="1730756" y="1555115"/>
                                </a:lnTo>
                                <a:lnTo>
                                  <a:pt x="1787296" y="1601965"/>
                                </a:lnTo>
                                <a:lnTo>
                                  <a:pt x="1815833" y="1628114"/>
                                </a:lnTo>
                                <a:lnTo>
                                  <a:pt x="1844421" y="1655953"/>
                                </a:lnTo>
                                <a:lnTo>
                                  <a:pt x="1871078" y="1683461"/>
                                </a:lnTo>
                                <a:lnTo>
                                  <a:pt x="1919605" y="1738845"/>
                                </a:lnTo>
                                <a:lnTo>
                                  <a:pt x="1961730" y="1794510"/>
                                </a:lnTo>
                                <a:lnTo>
                                  <a:pt x="1993366" y="1849145"/>
                                </a:lnTo>
                                <a:lnTo>
                                  <a:pt x="2014677" y="1902066"/>
                                </a:lnTo>
                                <a:lnTo>
                                  <a:pt x="2023275" y="1953006"/>
                                </a:lnTo>
                                <a:lnTo>
                                  <a:pt x="2023275" y="1732051"/>
                                </a:lnTo>
                                <a:lnTo>
                                  <a:pt x="1974723" y="1669224"/>
                                </a:lnTo>
                                <a:lnTo>
                                  <a:pt x="1939086" y="1628889"/>
                                </a:lnTo>
                                <a:lnTo>
                                  <a:pt x="1899793" y="1588008"/>
                                </a:lnTo>
                                <a:lnTo>
                                  <a:pt x="1859089" y="1548752"/>
                                </a:lnTo>
                                <a:lnTo>
                                  <a:pt x="1819300" y="1513255"/>
                                </a:lnTo>
                                <a:lnTo>
                                  <a:pt x="1780413" y="1481556"/>
                                </a:lnTo>
                                <a:lnTo>
                                  <a:pt x="1742440" y="1453642"/>
                                </a:lnTo>
                                <a:lnTo>
                                  <a:pt x="1705368" y="1429715"/>
                                </a:lnTo>
                                <a:lnTo>
                                  <a:pt x="1669262" y="1409992"/>
                                </a:lnTo>
                                <a:lnTo>
                                  <a:pt x="1634185" y="1394320"/>
                                </a:lnTo>
                                <a:lnTo>
                                  <a:pt x="1567332" y="1374902"/>
                                </a:lnTo>
                                <a:lnTo>
                                  <a:pt x="1535569" y="1371650"/>
                                </a:lnTo>
                                <a:lnTo>
                                  <a:pt x="1504772" y="1372476"/>
                                </a:lnTo>
                                <a:lnTo>
                                  <a:pt x="1446123" y="1385798"/>
                                </a:lnTo>
                                <a:lnTo>
                                  <a:pt x="1392758" y="1416888"/>
                                </a:lnTo>
                                <a:lnTo>
                                  <a:pt x="1345222" y="1464792"/>
                                </a:lnTo>
                                <a:lnTo>
                                  <a:pt x="1313649" y="1520939"/>
                                </a:lnTo>
                                <a:lnTo>
                                  <a:pt x="1300848" y="1583105"/>
                                </a:lnTo>
                                <a:lnTo>
                                  <a:pt x="1300632" y="1615986"/>
                                </a:lnTo>
                                <a:lnTo>
                                  <a:pt x="1304556" y="1649768"/>
                                </a:lnTo>
                                <a:lnTo>
                                  <a:pt x="1325664" y="1720405"/>
                                </a:lnTo>
                                <a:lnTo>
                                  <a:pt x="1342085" y="1757273"/>
                                </a:lnTo>
                                <a:lnTo>
                                  <a:pt x="1362341" y="1794954"/>
                                </a:lnTo>
                                <a:lnTo>
                                  <a:pt x="1386586" y="1833372"/>
                                </a:lnTo>
                                <a:lnTo>
                                  <a:pt x="1414691" y="1872424"/>
                                </a:lnTo>
                                <a:lnTo>
                                  <a:pt x="1446250" y="1911794"/>
                                </a:lnTo>
                                <a:lnTo>
                                  <a:pt x="1481213" y="1951469"/>
                                </a:lnTo>
                                <a:lnTo>
                                  <a:pt x="1519555" y="1991360"/>
                                </a:lnTo>
                                <a:lnTo>
                                  <a:pt x="1560957" y="2031365"/>
                                </a:lnTo>
                                <a:lnTo>
                                  <a:pt x="1601254" y="2067331"/>
                                </a:lnTo>
                                <a:lnTo>
                                  <a:pt x="1640611" y="2099437"/>
                                </a:lnTo>
                                <a:lnTo>
                                  <a:pt x="1679067" y="2127758"/>
                                </a:lnTo>
                                <a:lnTo>
                                  <a:pt x="1716443" y="2152129"/>
                                </a:lnTo>
                                <a:lnTo>
                                  <a:pt x="1752739" y="2172309"/>
                                </a:lnTo>
                                <a:lnTo>
                                  <a:pt x="1787918" y="2188337"/>
                                </a:lnTo>
                                <a:lnTo>
                                  <a:pt x="1854669" y="2208199"/>
                                </a:lnTo>
                                <a:lnTo>
                                  <a:pt x="1886534" y="2211730"/>
                                </a:lnTo>
                                <a:lnTo>
                                  <a:pt x="1917471" y="2211082"/>
                                </a:lnTo>
                                <a:lnTo>
                                  <a:pt x="1976501" y="2198014"/>
                                </a:lnTo>
                                <a:lnTo>
                                  <a:pt x="2030577" y="2166696"/>
                                </a:lnTo>
                                <a:lnTo>
                                  <a:pt x="2078558" y="2118385"/>
                                </a:lnTo>
                                <a:lnTo>
                                  <a:pt x="2109965" y="2061984"/>
                                </a:lnTo>
                                <a:lnTo>
                                  <a:pt x="2122690" y="1999665"/>
                                </a:lnTo>
                                <a:lnTo>
                                  <a:pt x="2122817" y="1966747"/>
                                </a:lnTo>
                                <a:close/>
                              </a:path>
                              <a:path w="3375660" h="3503929">
                                <a:moveTo>
                                  <a:pt x="2727706" y="1378077"/>
                                </a:moveTo>
                                <a:lnTo>
                                  <a:pt x="2723642" y="1338199"/>
                                </a:lnTo>
                                <a:lnTo>
                                  <a:pt x="2691765" y="1296924"/>
                                </a:lnTo>
                                <a:lnTo>
                                  <a:pt x="2657094" y="1266825"/>
                                </a:lnTo>
                                <a:lnTo>
                                  <a:pt x="2650617" y="1263777"/>
                                </a:lnTo>
                                <a:lnTo>
                                  <a:pt x="2646553" y="1263777"/>
                                </a:lnTo>
                                <a:lnTo>
                                  <a:pt x="2644648" y="1264539"/>
                                </a:lnTo>
                                <a:lnTo>
                                  <a:pt x="2639568" y="1269619"/>
                                </a:lnTo>
                                <a:lnTo>
                                  <a:pt x="2637790" y="1277620"/>
                                </a:lnTo>
                                <a:lnTo>
                                  <a:pt x="2639060" y="1290193"/>
                                </a:lnTo>
                                <a:lnTo>
                                  <a:pt x="2639618" y="1299984"/>
                                </a:lnTo>
                                <a:lnTo>
                                  <a:pt x="2637447" y="1347838"/>
                                </a:lnTo>
                                <a:lnTo>
                                  <a:pt x="2627503" y="1390396"/>
                                </a:lnTo>
                                <a:lnTo>
                                  <a:pt x="2603690" y="1432991"/>
                                </a:lnTo>
                                <a:lnTo>
                                  <a:pt x="2575547" y="1460182"/>
                                </a:lnTo>
                                <a:lnTo>
                                  <a:pt x="2539123" y="1479423"/>
                                </a:lnTo>
                                <a:lnTo>
                                  <a:pt x="2497709" y="1486941"/>
                                </a:lnTo>
                                <a:lnTo>
                                  <a:pt x="2475433" y="1486369"/>
                                </a:lnTo>
                                <a:lnTo>
                                  <a:pt x="2427478" y="1475486"/>
                                </a:lnTo>
                                <a:lnTo>
                                  <a:pt x="2375408" y="1453184"/>
                                </a:lnTo>
                                <a:lnTo>
                                  <a:pt x="2319147" y="1418590"/>
                                </a:lnTo>
                                <a:lnTo>
                                  <a:pt x="2259279" y="1372463"/>
                                </a:lnTo>
                                <a:lnTo>
                                  <a:pt x="2228253" y="1344942"/>
                                </a:lnTo>
                                <a:lnTo>
                                  <a:pt x="2196465" y="1314323"/>
                                </a:lnTo>
                                <a:lnTo>
                                  <a:pt x="2165464" y="1282141"/>
                                </a:lnTo>
                                <a:lnTo>
                                  <a:pt x="2137537" y="1250645"/>
                                </a:lnTo>
                                <a:lnTo>
                                  <a:pt x="2112556" y="1219708"/>
                                </a:lnTo>
                                <a:lnTo>
                                  <a:pt x="2071306" y="1160043"/>
                                </a:lnTo>
                                <a:lnTo>
                                  <a:pt x="2041906" y="1104379"/>
                                </a:lnTo>
                                <a:lnTo>
                                  <a:pt x="2023503" y="1052563"/>
                                </a:lnTo>
                                <a:lnTo>
                                  <a:pt x="2017572" y="1005332"/>
                                </a:lnTo>
                                <a:lnTo>
                                  <a:pt x="2018919" y="983615"/>
                                </a:lnTo>
                                <a:lnTo>
                                  <a:pt x="2030768" y="944905"/>
                                </a:lnTo>
                                <a:lnTo>
                                  <a:pt x="2054733" y="912380"/>
                                </a:lnTo>
                                <a:lnTo>
                                  <a:pt x="2096084" y="881837"/>
                                </a:lnTo>
                                <a:lnTo>
                                  <a:pt x="2139340" y="869213"/>
                                </a:lnTo>
                                <a:lnTo>
                                  <a:pt x="2178354" y="865695"/>
                                </a:lnTo>
                                <a:lnTo>
                                  <a:pt x="2200376" y="866013"/>
                                </a:lnTo>
                                <a:lnTo>
                                  <a:pt x="2210181" y="866660"/>
                                </a:lnTo>
                                <a:lnTo>
                                  <a:pt x="2222754" y="867791"/>
                                </a:lnTo>
                                <a:lnTo>
                                  <a:pt x="2230755" y="867029"/>
                                </a:lnTo>
                                <a:lnTo>
                                  <a:pt x="2235454" y="862203"/>
                                </a:lnTo>
                                <a:lnTo>
                                  <a:pt x="2236089" y="859536"/>
                                </a:lnTo>
                                <a:lnTo>
                                  <a:pt x="2235962" y="856615"/>
                                </a:lnTo>
                                <a:lnTo>
                                  <a:pt x="2211578" y="820166"/>
                                </a:lnTo>
                                <a:lnTo>
                                  <a:pt x="2183257" y="793115"/>
                                </a:lnTo>
                                <a:lnTo>
                                  <a:pt x="2178939" y="790194"/>
                                </a:lnTo>
                                <a:lnTo>
                                  <a:pt x="2175002" y="786765"/>
                                </a:lnTo>
                                <a:lnTo>
                                  <a:pt x="2133054" y="774217"/>
                                </a:lnTo>
                                <a:lnTo>
                                  <a:pt x="2113153" y="774446"/>
                                </a:lnTo>
                                <a:lnTo>
                                  <a:pt x="2066671" y="782193"/>
                                </a:lnTo>
                                <a:lnTo>
                                  <a:pt x="2019300" y="801243"/>
                                </a:lnTo>
                                <a:lnTo>
                                  <a:pt x="1986838" y="823772"/>
                                </a:lnTo>
                                <a:lnTo>
                                  <a:pt x="1957463" y="855459"/>
                                </a:lnTo>
                                <a:lnTo>
                                  <a:pt x="1930273" y="906576"/>
                                </a:lnTo>
                                <a:lnTo>
                                  <a:pt x="1919427" y="965809"/>
                                </a:lnTo>
                                <a:lnTo>
                                  <a:pt x="1919490" y="997737"/>
                                </a:lnTo>
                                <a:lnTo>
                                  <a:pt x="1931670" y="1065657"/>
                                </a:lnTo>
                                <a:lnTo>
                                  <a:pt x="1944090" y="1101991"/>
                                </a:lnTo>
                                <a:lnTo>
                                  <a:pt x="1960181" y="1139342"/>
                                </a:lnTo>
                                <a:lnTo>
                                  <a:pt x="1980171" y="1177658"/>
                                </a:lnTo>
                                <a:lnTo>
                                  <a:pt x="2004314" y="1216914"/>
                                </a:lnTo>
                                <a:lnTo>
                                  <a:pt x="2032241" y="1257173"/>
                                </a:lnTo>
                                <a:lnTo>
                                  <a:pt x="2064194" y="1298028"/>
                                </a:lnTo>
                                <a:lnTo>
                                  <a:pt x="2100135" y="1339380"/>
                                </a:lnTo>
                                <a:lnTo>
                                  <a:pt x="2140077" y="1381125"/>
                                </a:lnTo>
                                <a:lnTo>
                                  <a:pt x="2180818" y="1420228"/>
                                </a:lnTo>
                                <a:lnTo>
                                  <a:pt x="2220747" y="1455127"/>
                                </a:lnTo>
                                <a:lnTo>
                                  <a:pt x="2259876" y="1485950"/>
                                </a:lnTo>
                                <a:lnTo>
                                  <a:pt x="2298192" y="1512824"/>
                                </a:lnTo>
                                <a:lnTo>
                                  <a:pt x="2335644" y="1536141"/>
                                </a:lnTo>
                                <a:lnTo>
                                  <a:pt x="2372017" y="1555203"/>
                                </a:lnTo>
                                <a:lnTo>
                                  <a:pt x="2407323" y="1570278"/>
                                </a:lnTo>
                                <a:lnTo>
                                  <a:pt x="2474353" y="1589354"/>
                                </a:lnTo>
                                <a:lnTo>
                                  <a:pt x="2505849" y="1592770"/>
                                </a:lnTo>
                                <a:lnTo>
                                  <a:pt x="2536025" y="1592199"/>
                                </a:lnTo>
                                <a:lnTo>
                                  <a:pt x="2592146" y="1580108"/>
                                </a:lnTo>
                                <a:lnTo>
                                  <a:pt x="2641625" y="1552575"/>
                                </a:lnTo>
                                <a:lnTo>
                                  <a:pt x="2675648" y="1520520"/>
                                </a:lnTo>
                                <a:lnTo>
                                  <a:pt x="2702814" y="1480566"/>
                                </a:lnTo>
                                <a:lnTo>
                                  <a:pt x="2718447" y="1439138"/>
                                </a:lnTo>
                                <a:lnTo>
                                  <a:pt x="2726258" y="1400962"/>
                                </a:lnTo>
                                <a:lnTo>
                                  <a:pt x="2727452" y="1389278"/>
                                </a:lnTo>
                                <a:lnTo>
                                  <a:pt x="2727706" y="1378077"/>
                                </a:lnTo>
                                <a:close/>
                              </a:path>
                              <a:path w="3375660" h="3503929">
                                <a:moveTo>
                                  <a:pt x="3108731" y="980897"/>
                                </a:moveTo>
                                <a:lnTo>
                                  <a:pt x="3095879" y="911733"/>
                                </a:lnTo>
                                <a:lnTo>
                                  <a:pt x="3082988" y="875855"/>
                                </a:lnTo>
                                <a:lnTo>
                                  <a:pt x="3066351" y="839025"/>
                                </a:lnTo>
                                <a:lnTo>
                                  <a:pt x="3045790" y="801255"/>
                                </a:lnTo>
                                <a:lnTo>
                                  <a:pt x="3021203" y="762508"/>
                                </a:lnTo>
                                <a:lnTo>
                                  <a:pt x="3009176" y="745921"/>
                                </a:lnTo>
                                <a:lnTo>
                                  <a:pt x="3009176" y="967079"/>
                                </a:lnTo>
                                <a:lnTo>
                                  <a:pt x="3008884" y="991489"/>
                                </a:lnTo>
                                <a:lnTo>
                                  <a:pt x="2996336" y="1037043"/>
                                </a:lnTo>
                                <a:lnTo>
                                  <a:pt x="2966466" y="1077722"/>
                                </a:lnTo>
                                <a:lnTo>
                                  <a:pt x="2926042" y="1108100"/>
                                </a:lnTo>
                                <a:lnTo>
                                  <a:pt x="2882011" y="1121410"/>
                                </a:lnTo>
                                <a:lnTo>
                                  <a:pt x="2858859" y="1122641"/>
                                </a:lnTo>
                                <a:lnTo>
                                  <a:pt x="2834919" y="1120508"/>
                                </a:lnTo>
                                <a:lnTo>
                                  <a:pt x="2784602" y="1105789"/>
                                </a:lnTo>
                                <a:lnTo>
                                  <a:pt x="2732087" y="1079106"/>
                                </a:lnTo>
                                <a:lnTo>
                                  <a:pt x="2676906" y="1040892"/>
                                </a:lnTo>
                                <a:lnTo>
                                  <a:pt x="2619565" y="993216"/>
                                </a:lnTo>
                                <a:lnTo>
                                  <a:pt x="2590317" y="966355"/>
                                </a:lnTo>
                                <a:lnTo>
                                  <a:pt x="2560701" y="937514"/>
                                </a:lnTo>
                                <a:lnTo>
                                  <a:pt x="2509812" y="883081"/>
                                </a:lnTo>
                                <a:lnTo>
                                  <a:pt x="2464562" y="827786"/>
                                </a:lnTo>
                                <a:lnTo>
                                  <a:pt x="2428087" y="773049"/>
                                </a:lnTo>
                                <a:lnTo>
                                  <a:pt x="2402205" y="719455"/>
                                </a:lnTo>
                                <a:lnTo>
                                  <a:pt x="2387625" y="668210"/>
                                </a:lnTo>
                                <a:lnTo>
                                  <a:pt x="2385085" y="643445"/>
                                </a:lnTo>
                                <a:lnTo>
                                  <a:pt x="2385441" y="619252"/>
                                </a:lnTo>
                                <a:lnTo>
                                  <a:pt x="2397544" y="573938"/>
                                </a:lnTo>
                                <a:lnTo>
                                  <a:pt x="2427097" y="533654"/>
                                </a:lnTo>
                                <a:lnTo>
                                  <a:pt x="2467038" y="503720"/>
                                </a:lnTo>
                                <a:lnTo>
                                  <a:pt x="2511171" y="490347"/>
                                </a:lnTo>
                                <a:lnTo>
                                  <a:pt x="2534628" y="489369"/>
                                </a:lnTo>
                                <a:lnTo>
                                  <a:pt x="2558732" y="491477"/>
                                </a:lnTo>
                                <a:lnTo>
                                  <a:pt x="2608961" y="505460"/>
                                </a:lnTo>
                                <a:lnTo>
                                  <a:pt x="2661856" y="532155"/>
                                </a:lnTo>
                                <a:lnTo>
                                  <a:pt x="2716657" y="569214"/>
                                </a:lnTo>
                                <a:lnTo>
                                  <a:pt x="2773197" y="616064"/>
                                </a:lnTo>
                                <a:lnTo>
                                  <a:pt x="2801734" y="642213"/>
                                </a:lnTo>
                                <a:lnTo>
                                  <a:pt x="2830322" y="670052"/>
                                </a:lnTo>
                                <a:lnTo>
                                  <a:pt x="2856979" y="697560"/>
                                </a:lnTo>
                                <a:lnTo>
                                  <a:pt x="2905506" y="752944"/>
                                </a:lnTo>
                                <a:lnTo>
                                  <a:pt x="2947632" y="808609"/>
                                </a:lnTo>
                                <a:lnTo>
                                  <a:pt x="2979267" y="863244"/>
                                </a:lnTo>
                                <a:lnTo>
                                  <a:pt x="3000578" y="916114"/>
                                </a:lnTo>
                                <a:lnTo>
                                  <a:pt x="3009176" y="967079"/>
                                </a:lnTo>
                                <a:lnTo>
                                  <a:pt x="3009176" y="745921"/>
                                </a:lnTo>
                                <a:lnTo>
                                  <a:pt x="2960636" y="683310"/>
                                </a:lnTo>
                                <a:lnTo>
                                  <a:pt x="2924987" y="642975"/>
                                </a:lnTo>
                                <a:lnTo>
                                  <a:pt x="2885694" y="602107"/>
                                </a:lnTo>
                                <a:lnTo>
                                  <a:pt x="2844990" y="562851"/>
                                </a:lnTo>
                                <a:lnTo>
                                  <a:pt x="2805201" y="527354"/>
                                </a:lnTo>
                                <a:lnTo>
                                  <a:pt x="2766314" y="495655"/>
                                </a:lnTo>
                                <a:lnTo>
                                  <a:pt x="2728341" y="467741"/>
                                </a:lnTo>
                                <a:lnTo>
                                  <a:pt x="2691244" y="443814"/>
                                </a:lnTo>
                                <a:lnTo>
                                  <a:pt x="2655125" y="424091"/>
                                </a:lnTo>
                                <a:lnTo>
                                  <a:pt x="2620035" y="408419"/>
                                </a:lnTo>
                                <a:lnTo>
                                  <a:pt x="2553220" y="389001"/>
                                </a:lnTo>
                                <a:lnTo>
                                  <a:pt x="2521420" y="385762"/>
                                </a:lnTo>
                                <a:lnTo>
                                  <a:pt x="2490622" y="386626"/>
                                </a:lnTo>
                                <a:lnTo>
                                  <a:pt x="2432024" y="400011"/>
                                </a:lnTo>
                                <a:lnTo>
                                  <a:pt x="2378659" y="431012"/>
                                </a:lnTo>
                                <a:lnTo>
                                  <a:pt x="2331110" y="478891"/>
                                </a:lnTo>
                                <a:lnTo>
                                  <a:pt x="2299449" y="535038"/>
                                </a:lnTo>
                                <a:lnTo>
                                  <a:pt x="2286685" y="597204"/>
                                </a:lnTo>
                                <a:lnTo>
                                  <a:pt x="2286495" y="630097"/>
                                </a:lnTo>
                                <a:lnTo>
                                  <a:pt x="2290407" y="663917"/>
                                </a:lnTo>
                                <a:lnTo>
                                  <a:pt x="2311438" y="734555"/>
                                </a:lnTo>
                                <a:lnTo>
                                  <a:pt x="2327872" y="771385"/>
                                </a:lnTo>
                                <a:lnTo>
                                  <a:pt x="2348166" y="809053"/>
                                </a:lnTo>
                                <a:lnTo>
                                  <a:pt x="2372487" y="847471"/>
                                </a:lnTo>
                                <a:lnTo>
                                  <a:pt x="2400579" y="886523"/>
                                </a:lnTo>
                                <a:lnTo>
                                  <a:pt x="2432088" y="925893"/>
                                </a:lnTo>
                                <a:lnTo>
                                  <a:pt x="2467013" y="965568"/>
                                </a:lnTo>
                                <a:lnTo>
                                  <a:pt x="2505329" y="1005459"/>
                                </a:lnTo>
                                <a:lnTo>
                                  <a:pt x="2546781" y="1045464"/>
                                </a:lnTo>
                                <a:lnTo>
                                  <a:pt x="2587129" y="1081468"/>
                                </a:lnTo>
                                <a:lnTo>
                                  <a:pt x="2626461" y="1113586"/>
                                </a:lnTo>
                                <a:lnTo>
                                  <a:pt x="2664841" y="1141857"/>
                                </a:lnTo>
                                <a:lnTo>
                                  <a:pt x="2702293" y="1166228"/>
                                </a:lnTo>
                                <a:lnTo>
                                  <a:pt x="2738628" y="1186408"/>
                                </a:lnTo>
                                <a:lnTo>
                                  <a:pt x="2773807" y="1202448"/>
                                </a:lnTo>
                                <a:lnTo>
                                  <a:pt x="2840571" y="1222298"/>
                                </a:lnTo>
                                <a:lnTo>
                                  <a:pt x="2872435" y="1225842"/>
                                </a:lnTo>
                                <a:lnTo>
                                  <a:pt x="2903372" y="1225232"/>
                                </a:lnTo>
                                <a:lnTo>
                                  <a:pt x="2962402" y="1212240"/>
                                </a:lnTo>
                                <a:lnTo>
                                  <a:pt x="3016478" y="1180871"/>
                                </a:lnTo>
                                <a:lnTo>
                                  <a:pt x="3064446" y="1132484"/>
                                </a:lnTo>
                                <a:lnTo>
                                  <a:pt x="3095815" y="1076083"/>
                                </a:lnTo>
                                <a:lnTo>
                                  <a:pt x="3108591" y="1013828"/>
                                </a:lnTo>
                                <a:lnTo>
                                  <a:pt x="3108731" y="980897"/>
                                </a:lnTo>
                                <a:close/>
                              </a:path>
                              <a:path w="3375660" h="3503929">
                                <a:moveTo>
                                  <a:pt x="3375660" y="796036"/>
                                </a:moveTo>
                                <a:lnTo>
                                  <a:pt x="3374644" y="792988"/>
                                </a:lnTo>
                                <a:lnTo>
                                  <a:pt x="3373501" y="789940"/>
                                </a:lnTo>
                                <a:lnTo>
                                  <a:pt x="3371215" y="786892"/>
                                </a:lnTo>
                                <a:lnTo>
                                  <a:pt x="3124962" y="540639"/>
                                </a:lnTo>
                                <a:lnTo>
                                  <a:pt x="3174746" y="490855"/>
                                </a:lnTo>
                                <a:lnTo>
                                  <a:pt x="3193402" y="470230"/>
                                </a:lnTo>
                                <a:lnTo>
                                  <a:pt x="3195840" y="466852"/>
                                </a:lnTo>
                                <a:lnTo>
                                  <a:pt x="3208744" y="449072"/>
                                </a:lnTo>
                                <a:lnTo>
                                  <a:pt x="3229229" y="405003"/>
                                </a:lnTo>
                                <a:lnTo>
                                  <a:pt x="3237090" y="359918"/>
                                </a:lnTo>
                                <a:lnTo>
                                  <a:pt x="3237166" y="335470"/>
                                </a:lnTo>
                                <a:lnTo>
                                  <a:pt x="3234182" y="311150"/>
                                </a:lnTo>
                                <a:lnTo>
                                  <a:pt x="3219996" y="261607"/>
                                </a:lnTo>
                                <a:lnTo>
                                  <a:pt x="3195447" y="210820"/>
                                </a:lnTo>
                                <a:lnTo>
                                  <a:pt x="3160242" y="159499"/>
                                </a:lnTo>
                                <a:lnTo>
                                  <a:pt x="3140786" y="136309"/>
                                </a:lnTo>
                                <a:lnTo>
                                  <a:pt x="3140786" y="331431"/>
                                </a:lnTo>
                                <a:lnTo>
                                  <a:pt x="3139884" y="345884"/>
                                </a:lnTo>
                                <a:lnTo>
                                  <a:pt x="3125279" y="387527"/>
                                </a:lnTo>
                                <a:lnTo>
                                  <a:pt x="3051175" y="466852"/>
                                </a:lnTo>
                                <a:lnTo>
                                  <a:pt x="2779776" y="195580"/>
                                </a:lnTo>
                                <a:lnTo>
                                  <a:pt x="2833763" y="141592"/>
                                </a:lnTo>
                                <a:lnTo>
                                  <a:pt x="2868295" y="114554"/>
                                </a:lnTo>
                                <a:lnTo>
                                  <a:pt x="2915920" y="101219"/>
                                </a:lnTo>
                                <a:lnTo>
                                  <a:pt x="2930639" y="101866"/>
                                </a:lnTo>
                                <a:lnTo>
                                  <a:pt x="2981960" y="117856"/>
                                </a:lnTo>
                                <a:lnTo>
                                  <a:pt x="3020263" y="141605"/>
                                </a:lnTo>
                                <a:lnTo>
                                  <a:pt x="3060827" y="177038"/>
                                </a:lnTo>
                                <a:lnTo>
                                  <a:pt x="3088449" y="207759"/>
                                </a:lnTo>
                                <a:lnTo>
                                  <a:pt x="3110738" y="239141"/>
                                </a:lnTo>
                                <a:lnTo>
                                  <a:pt x="3133001" y="286385"/>
                                </a:lnTo>
                                <a:lnTo>
                                  <a:pt x="3140786" y="331431"/>
                                </a:lnTo>
                                <a:lnTo>
                                  <a:pt x="3140786" y="136309"/>
                                </a:lnTo>
                                <a:lnTo>
                                  <a:pt x="3138805" y="133946"/>
                                </a:lnTo>
                                <a:lnTo>
                                  <a:pt x="3114675" y="108458"/>
                                </a:lnTo>
                                <a:lnTo>
                                  <a:pt x="3107105" y="101219"/>
                                </a:lnTo>
                                <a:lnTo>
                                  <a:pt x="3095536" y="90144"/>
                                </a:lnTo>
                                <a:lnTo>
                                  <a:pt x="3057233" y="58623"/>
                                </a:lnTo>
                                <a:lnTo>
                                  <a:pt x="3018815" y="33820"/>
                                </a:lnTo>
                                <a:lnTo>
                                  <a:pt x="2981096" y="16281"/>
                                </a:lnTo>
                                <a:lnTo>
                                  <a:pt x="2944152" y="4699"/>
                                </a:lnTo>
                                <a:lnTo>
                                  <a:pt x="2890647" y="0"/>
                                </a:lnTo>
                                <a:lnTo>
                                  <a:pt x="2873756" y="1689"/>
                                </a:lnTo>
                                <a:lnTo>
                                  <a:pt x="2831846" y="13843"/>
                                </a:lnTo>
                                <a:lnTo>
                                  <a:pt x="2793238" y="36830"/>
                                </a:lnTo>
                                <a:lnTo>
                                  <a:pt x="2764282" y="62611"/>
                                </a:lnTo>
                                <a:lnTo>
                                  <a:pt x="2670429" y="156464"/>
                                </a:lnTo>
                                <a:lnTo>
                                  <a:pt x="2663190" y="173774"/>
                                </a:lnTo>
                                <a:lnTo>
                                  <a:pt x="2663317" y="181356"/>
                                </a:lnTo>
                                <a:lnTo>
                                  <a:pt x="2686050" y="218186"/>
                                </a:lnTo>
                                <a:lnTo>
                                  <a:pt x="3310382" y="842518"/>
                                </a:lnTo>
                                <a:lnTo>
                                  <a:pt x="3312922" y="845185"/>
                                </a:lnTo>
                                <a:lnTo>
                                  <a:pt x="3315970" y="847344"/>
                                </a:lnTo>
                                <a:lnTo>
                                  <a:pt x="3322066" y="849630"/>
                                </a:lnTo>
                                <a:lnTo>
                                  <a:pt x="3325114" y="849757"/>
                                </a:lnTo>
                                <a:lnTo>
                                  <a:pt x="3328543" y="848487"/>
                                </a:lnTo>
                                <a:lnTo>
                                  <a:pt x="3332480" y="847725"/>
                                </a:lnTo>
                                <a:lnTo>
                                  <a:pt x="3366262" y="819150"/>
                                </a:lnTo>
                                <a:lnTo>
                                  <a:pt x="3374517" y="802386"/>
                                </a:lnTo>
                                <a:lnTo>
                                  <a:pt x="3375533" y="799338"/>
                                </a:lnTo>
                                <a:lnTo>
                                  <a:pt x="3375660" y="79603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5.599998pt;width:353.85pt;height:357pt;mso-position-horizontal-relative:page;mso-position-vertical-relative:paragraph;z-index:-25580544" id="docshapegroup23" coordorigin="1999,-912" coordsize="7077,7140">
                <v:shape style="position:absolute;left:1998;top:4209;width:2142;height:2018" id="docshape24" coordorigin="1999,4210" coordsize="2142,2018" path="m3420,5919l3419,5878,3412,5835,3400,5791,3383,5746,3362,5700,3335,5653,3304,5606,3268,5558,3227,5510,3181,5462,2526,4807,2521,4804,2511,4800,2501,4801,2495,4803,2489,4806,2482,4810,2475,4815,2467,4822,2449,4839,2438,4854,2434,4861,2431,4868,2429,4873,2427,4879,2428,4884,2431,4894,2435,4899,3090,5554,3124,5589,3154,5624,3181,5658,3204,5690,3223,5722,3239,5754,3252,5784,3261,5813,3266,5841,3268,5869,3267,5895,3262,5920,3254,5945,3243,5968,3227,5989,3209,6010,3189,6028,3167,6042,3144,6053,3120,6061,3095,6065,3068,6067,3040,6065,3012,6059,2982,6050,2951,6038,2919,6022,2886,6002,2852,5978,2817,5951,2782,5919,2745,5884,2097,5236,2092,5233,2083,5229,2078,5229,2072,5230,2067,5232,2060,5235,2053,5239,2038,5251,2020,5268,2014,5276,2009,5283,2002,5297,2000,5302,1999,5308,1999,5313,2002,5323,2006,5327,2671,5993,2720,6039,2768,6080,2815,6116,2862,6148,2908,6173,2953,6194,2996,6210,3038,6220,3080,6226,3119,6227,3157,6224,3195,6215,3230,6203,3263,6185,3295,6163,3324,6137,3353,6105,3377,6071,3395,6035,3408,5998,3417,5959,3420,5919xm4140,5147l4134,5093,4120,5038,4100,4982,4073,4924,4041,4864,4002,4803,3983,4777,3983,5125,3983,5164,3977,5200,3963,5235,3943,5268,3916,5299,3885,5327,3852,5347,3819,5361,3783,5368,3747,5370,3709,5367,3670,5358,3630,5344,3589,5325,3547,5302,3504,5274,3460,5241,3415,5205,3370,5166,3324,5124,3277,5079,3236,5036,3197,4993,3160,4950,3126,4906,3095,4863,3068,4820,3046,4777,3028,4735,3013,4694,3004,4655,3000,4616,3001,4578,3007,4541,3020,4506,3040,4473,3067,4443,3097,4416,3130,4396,3163,4382,3199,4374,3236,4373,3274,4376,3313,4385,3353,4398,3394,4417,3436,4440,3479,4467,3523,4499,3567,4534,3612,4572,3657,4614,3702,4657,3744,4701,3783,4744,3820,4788,3855,4832,3887,4876,3914,4919,3936,4962,3955,5004,3970,5045,3979,5086,3983,5125,3983,4777,3957,4741,3907,4678,3851,4615,3789,4550,3725,4489,3662,4433,3601,4383,3588,4373,3541,4339,3483,4301,3426,4270,3371,4245,3317,4227,3265,4215,3215,4210,3167,4211,3120,4218,3075,4232,3032,4253,2991,4281,2952,4316,2916,4356,2887,4400,2866,4445,2852,4493,2846,4543,2845,4595,2852,4648,2865,4702,2885,4759,2911,4817,2943,4876,2981,4937,3025,4998,3075,5060,3130,5123,3190,5186,3255,5249,3319,5305,3381,5356,3441,5401,3500,5439,3557,5471,3613,5496,3666,5515,3718,5527,3768,5533,3817,5532,3864,5525,3910,5511,3953,5490,3995,5462,4035,5427,4071,5386,4081,5370,4099,5343,4120,5297,4133,5249,4140,5199,4140,5147xe" filled="true" fillcolor="#c0c0c0" stroked="false">
                  <v:path arrowok="t"/>
                  <v:fill opacity="32896f" type="solid"/>
                </v:shape>
                <v:shape style="position:absolute;left:3964;top:4285;width:350;height:349" type="#_x0000_t75" id="docshape25" stroked="false">
                  <v:imagedata r:id="rId9" o:title=""/>
                </v:shape>
                <v:shape style="position:absolute;left:3758;top:-912;width:5316;height:5518" id="docshape26" coordorigin="3759,-912" coordsize="5316,5518" path="m4895,4526l4895,4521,4892,4512,4888,4507,4884,4503,3857,3476,3852,3473,3843,3469,3838,3469,3832,3470,3826,3472,3821,3475,3813,3479,3806,3484,3798,3491,3781,3508,3770,3522,3762,3536,3760,3541,3759,3548,3759,3553,3762,3563,3765,3568,4796,4599,4801,4602,4811,4606,4815,4606,4821,4604,4827,4603,4833,4600,4841,4595,4848,4590,4856,4584,4873,4566,4880,4558,4885,4551,4889,4544,4892,4538,4893,4531,4895,4526xm5170,4246l5169,4241,5167,4236,5163,4232,5159,4228,4775,3844,4854,3766,4883,3733,4887,3728,4907,3700,4926,3666,4939,3631,4948,3595,4952,3559,4952,3521,4947,3483,4938,3444,4925,3405,4908,3365,4886,3324,4861,3284,4831,3244,4800,3207,4800,3515,4799,3537,4795,3559,4787,3581,4776,3603,4761,3624,4742,3645,4659,3728,4232,3300,4317,3216,4329,3204,4342,3193,4356,3183,4371,3173,4387,3165,4405,3158,4425,3154,4446,3152,4469,3153,4494,3158,4521,3166,4550,3178,4580,3195,4610,3215,4642,3241,4674,3271,4697,3296,4718,3320,4736,3344,4753,3369,4767,3394,4779,3419,4788,3444,4795,3467,4799,3491,4800,3515,4800,3207,4797,3203,4759,3163,4748,3152,4729,3134,4699,3108,4669,3085,4638,3064,4608,3046,4578,3031,4549,3018,4520,3008,4491,3000,4462,2995,4434,2993,4406,2993,4380,2995,4356,3000,4334,3006,4314,3014,4296,3024,4280,3033,4266,3042,4253,3051,4241,3060,4230,3070,4218,3080,4207,3091,4059,3239,4054,3247,4050,3256,4048,3266,4048,3278,4052,3291,4059,3305,4069,3320,4084,3336,5067,4319,5071,4324,5076,4327,5081,4329,5086,4330,5091,4331,5096,4329,5102,4328,5109,4324,5116,4320,5123,4315,5131,4309,5149,4291,5155,4283,5160,4276,5165,4268,5167,4263,5168,4256,5170,4251,5170,4246xm5863,3558l5863,3553,5860,3544,5856,3539,4928,2611,5125,2414,5127,2411,5127,2406,5126,2401,5125,2395,5122,2389,5119,2383,5114,2376,5092,2350,5081,2339,5070,2329,5061,2320,5044,2306,5036,2300,5023,2293,5018,2292,5008,2292,5005,2294,4519,2779,4517,2783,4518,2787,4517,2793,4519,2797,4526,2810,4531,2818,4538,2826,4545,2835,4554,2845,4575,2866,4585,2875,4593,2881,4601,2888,4609,2894,4621,2899,4626,2901,4631,2901,4636,2901,4639,2899,4836,2703,5764,3631,5769,3634,5779,3638,5783,3638,5789,3636,5795,3635,5809,3627,5824,3616,5842,3598,5848,3590,5853,3583,5857,3576,5860,3570,5861,3563,5863,3558xm6396,3026l6395,3021,6392,3011,6388,3007,5460,2079,5657,1882,5659,1878,5659,1873,5658,1863,5652,1851,5646,1843,5639,1835,5624,1818,5613,1807,5603,1796,5576,1773,5569,1768,5556,1761,5550,1760,5545,1760,5540,1760,5537,1762,5052,2247,5050,2251,5050,2255,5050,2260,5052,2265,5058,2278,5064,2286,5071,2294,5078,2303,5086,2313,5108,2334,5117,2343,5126,2349,5134,2356,5141,2361,5154,2367,5158,2369,5164,2369,5168,2369,5172,2367,5369,2170,6297,3098,6301,3102,6311,3105,6316,3106,6321,3104,6327,3103,6341,3095,6348,3090,6356,3083,6374,3066,6386,3051,6392,3037,6394,3031,6396,3026xm7102,2185l7095,2132,7081,2076,7061,2020,7035,1962,7003,1903,6964,1842,6945,1816,6945,2164,6945,2202,6938,2239,6925,2274,6905,2307,6878,2338,6847,2365,6814,2386,6780,2399,6745,2406,6708,2408,6671,2405,6632,2396,6591,2382,6551,2363,6509,2340,6466,2312,6422,2280,6377,2244,6332,2205,6285,2162,6239,2117,6198,2074,6159,2031,6122,1988,6087,1944,6056,1901,6030,1858,6008,1816,5989,1774,5975,1733,5966,1693,5962,1654,5963,1616,5969,1579,5982,1544,6002,1512,6028,1481,6059,1454,6091,1434,6125,1420,6161,1413,6198,1411,6236,1415,6275,1423,6315,1437,6356,1456,6398,1479,6441,1506,6484,1537,6529,1572,6573,1611,6618,1652,6663,1696,6705,1739,6745,1783,6782,1826,6817,1870,6848,1914,6875,1957,6898,2000,6917,2042,6932,2083,6941,2124,6945,2164,6945,1816,6919,1779,6869,1717,6812,1653,6751,1589,6687,1527,6624,1471,6563,1421,6549,1411,6503,1377,6444,1340,6388,1308,6332,1284,6279,1265,6227,1253,6177,1248,6129,1249,6081,1257,6036,1270,5993,1291,5952,1319,5913,1354,5877,1395,5849,1438,5828,1483,5814,1531,5807,1581,5807,1633,5813,1686,5826,1741,5846,1797,5872,1855,5904,1915,5942,1975,5987,2037,6036,2099,6091,2161,6152,2224,6217,2287,6280,2344,6342,2394,6403,2439,6462,2477,6519,2509,6574,2534,6628,2553,6680,2565,6730,2571,6778,2570,6826,2563,6871,2549,6915,2528,6957,2500,6996,2465,7032,2424,7042,2408,7061,2381,7082,2335,7095,2287,7102,2237,7102,2185xm8054,1258l8054,1230,8054,1219,8052,1211,8050,1202,8048,1195,8043,1184,8040,1179,8036,1173,8014,1147,7998,1130,7980,1114,7957,1092,7943,1083,7938,1080,7933,1078,7927,1078,7924,1079,7916,1087,7913,1100,7915,1120,7916,1135,7916,1152,7915,1170,7914,1190,7912,1211,7909,1232,7903,1254,7897,1278,7887,1301,7875,1323,7859,1345,7840,1365,7815,1387,7787,1405,7757,1418,7726,1426,7692,1430,7657,1429,7620,1423,7582,1412,7542,1396,7500,1376,7456,1352,7411,1322,7364,1288,7317,1249,7268,1206,7218,1158,7169,1107,7125,1058,7086,1009,7051,961,7021,915,6995,870,6974,827,6958,786,6945,746,6938,707,6936,671,6938,637,6945,605,6957,576,6973,549,6995,525,7016,505,7038,489,7060,477,7083,468,7106,462,7128,457,7149,453,7170,451,7189,451,7224,452,7239,453,7259,455,7272,453,7279,446,7280,442,7280,437,7279,433,7277,428,7270,414,7258,398,7242,380,7213,351,7197,337,7190,332,7184,327,7173,320,7161,315,7153,312,7141,309,7130,308,7118,307,7087,308,7069,309,7050,311,7032,315,7013,320,6995,325,6976,332,6957,341,6939,350,6921,360,6904,372,6888,385,6872,400,6841,435,6817,474,6799,516,6787,561,6782,609,6782,659,6788,712,6801,766,6820,823,6846,882,6877,943,6915,1004,6959,1068,7010,1132,7066,1197,7129,1263,7193,1325,7256,1380,7318,1428,7378,1470,7437,1507,7494,1537,7550,1561,7604,1579,7655,1591,7705,1596,7753,1595,7798,1589,7841,1576,7881,1558,7919,1533,7954,1502,7972,1483,7989,1462,8003,1441,8015,1420,8025,1397,8033,1376,8040,1354,8045,1333,8049,1313,8052,1294,8054,1276,8054,1258xm8654,633l8648,579,8634,524,8614,467,8588,409,8555,350,8517,289,8498,263,8498,611,8497,649,8491,686,8477,721,8457,754,8430,785,8399,812,8367,833,8333,847,8297,854,8261,856,8223,853,8184,844,8144,829,8103,811,8061,787,8018,760,7974,727,7930,691,7884,652,7838,610,7791,564,7750,522,7711,479,7675,435,7640,392,7609,348,7583,305,7560,263,7542,221,7528,180,7519,140,7515,101,7515,63,7521,26,7534,-8,7554,-41,7581,-72,7612,-98,7644,-119,7678,-133,7713,-140,7750,-141,7788,-138,7827,-130,7867,-116,7909,-97,7951,-74,7993,-47,8037,-16,8081,20,8126,58,8171,99,8216,143,8258,187,8297,230,8334,274,8369,318,8401,361,8428,405,8451,447,8469,489,8484,531,8493,571,8498,611,8498,263,8472,227,8421,164,8365,101,8303,36,8239,-26,8176,-82,8115,-131,8102,-141,8055,-175,7997,-213,7940,-244,7885,-269,7831,-287,7780,-299,7730,-305,7681,-303,7634,-296,7589,-282,7546,-261,7505,-233,7466,-199,7430,-158,7401,-115,7380,-69,7366,-22,7360,28,7360,80,7366,134,7379,188,7399,245,7425,303,7457,362,7495,423,7539,484,7589,546,7644,609,7704,671,7769,734,7833,791,7895,842,7955,886,8014,925,8072,956,8127,982,8181,1000,8232,1013,8282,1018,8331,1017,8378,1010,8424,997,8468,976,8509,948,8549,912,8585,871,8595,856,8613,828,8634,783,8647,734,8654,685,8654,633xm9075,342l9073,337,9071,332,9068,327,8680,-61,8758,-139,8788,-171,8792,-177,8812,-205,8831,-239,8844,-274,8852,-310,8857,-345,8857,-384,8852,-422,8843,-461,8830,-500,8813,-540,8791,-580,8765,-620,8736,-661,8705,-697,8705,-390,8704,-367,8699,-345,8692,-323,8681,-302,8665,-280,8647,-260,8564,-177,8136,-604,8221,-689,8233,-700,8247,-711,8261,-722,8276,-732,8292,-740,8310,-746,8330,-751,8351,-753,8374,-752,8399,-747,8426,-738,8455,-726,8484,-710,8515,-689,8547,-663,8579,-633,8602,-609,8623,-585,8641,-560,8658,-535,8672,-510,8684,-485,8693,-461,8699,-437,8704,-413,8705,-390,8705,-697,8702,-701,8664,-741,8652,-753,8634,-770,8604,-796,8573,-820,8543,-841,8513,-859,8483,-874,8453,-886,8424,-897,8395,-905,8367,-910,8339,-912,8311,-912,8284,-909,8260,-905,8238,-898,8218,-890,8201,-881,8185,-871,8170,-862,8158,-854,8146,-845,8135,-835,8123,-824,8112,-813,7964,-666,7958,-658,7955,-649,7953,-638,7953,-626,7956,-614,7963,-600,7974,-585,7989,-568,8972,415,8976,419,8981,422,8990,426,8995,426,9001,424,9007,423,9021,416,9028,411,9035,404,9053,386,9060,378,9065,371,9069,364,9072,358,9073,352,9075,347,9075,342xe" filled="true" fillcolor="#c0c0c0" stroked="false">
                  <v:path arrowok="t"/>
                  <v:fill opacity="32896f" type="solid"/>
                </v:shape>
                <w10:wrap type="none"/>
              </v:group>
            </w:pict>
          </mc:Fallback>
        </mc:AlternateContent>
      </w: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spacing w:line="480" w:lineRule="auto" w:before="200"/>
        <w:ind w:left="940" w:right="1435"/>
        <w:jc w:val="both"/>
      </w:pPr>
      <w:r>
        <w:rPr/>
        <mc:AlternateContent>
          <mc:Choice Requires="wps">
            <w:drawing>
              <wp:anchor distT="0" distB="0" distL="0" distR="0" allowOverlap="1" layoutInCell="1" locked="0" behindDoc="1" simplePos="0" relativeHeight="477735424">
                <wp:simplePos x="0" y="0"/>
                <wp:positionH relativeFrom="page">
                  <wp:posOffset>1095451</wp:posOffset>
                </wp:positionH>
                <wp:positionV relativeFrom="paragraph">
                  <wp:posOffset>3199407</wp:posOffset>
                </wp:positionV>
                <wp:extent cx="721995" cy="72263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251.92186pt;width:56.85pt;height:56.9pt;mso-position-horizontal-relative:page;mso-position-vertical-relative:paragraph;z-index:-25581056" id="docshape27" coordorigin="1725,5038" coordsize="1137,1138" path="m1809,5039l1747,5077,1725,5122,1729,5132,2763,6168,2782,6176,2787,6174,2793,6173,2852,6121,2860,6101,2862,6096,1823,5046,1819,5042,1809,5039xe" filled="true" fillcolor="#c0c0c0" stroked="false">
                <v:path arrowok="t"/>
                <v:fill opacity="32896f" type="solid"/>
                <w10:wrap type="none"/>
              </v:shape>
            </w:pict>
          </mc:Fallback>
        </mc:AlternateContent>
      </w:r>
      <w:r>
        <w:rPr/>
        <w:t>This study made use of the Difference-In-Difference (DD) estimation technique (Appendices 5 to 7). The DD estimation technique is a tool to estimate treatment effects by comparing the pre and post-treatment differences in the outcome of a treatment (post-IFRS regime) and a control</w:t>
      </w:r>
      <w:r>
        <w:rPr>
          <w:spacing w:val="-13"/>
        </w:rPr>
        <w:t> </w:t>
      </w:r>
      <w:r>
        <w:rPr/>
        <w:t>(pre-IFRS</w:t>
      </w:r>
      <w:r>
        <w:rPr>
          <w:spacing w:val="-12"/>
        </w:rPr>
        <w:t> </w:t>
      </w:r>
      <w:r>
        <w:rPr/>
        <w:t>regime)</w:t>
      </w:r>
      <w:r>
        <w:rPr>
          <w:spacing w:val="-14"/>
        </w:rPr>
        <w:t> </w:t>
      </w:r>
      <w:r>
        <w:rPr/>
        <w:t>groups.</w:t>
      </w:r>
      <w:r>
        <w:rPr>
          <w:spacing w:val="-10"/>
        </w:rPr>
        <w:t> </w:t>
      </w:r>
      <w:r>
        <w:rPr/>
        <w:t>It</w:t>
      </w:r>
      <w:r>
        <w:rPr>
          <w:spacing w:val="-13"/>
        </w:rPr>
        <w:t> </w:t>
      </w:r>
      <w:r>
        <w:rPr/>
        <w:t>calculates</w:t>
      </w:r>
      <w:r>
        <w:rPr>
          <w:spacing w:val="-13"/>
        </w:rPr>
        <w:t> </w:t>
      </w:r>
      <w:r>
        <w:rPr/>
        <w:t>the</w:t>
      </w:r>
      <w:r>
        <w:rPr>
          <w:spacing w:val="-11"/>
        </w:rPr>
        <w:t> </w:t>
      </w:r>
      <w:r>
        <w:rPr/>
        <w:t>effect</w:t>
      </w:r>
      <w:r>
        <w:rPr>
          <w:spacing w:val="-13"/>
        </w:rPr>
        <w:t> </w:t>
      </w:r>
      <w:r>
        <w:rPr/>
        <w:t>of</w:t>
      </w:r>
      <w:r>
        <w:rPr>
          <w:spacing w:val="-14"/>
        </w:rPr>
        <w:t> </w:t>
      </w:r>
      <w:r>
        <w:rPr/>
        <w:t>a</w:t>
      </w:r>
      <w:r>
        <w:rPr>
          <w:spacing w:val="-14"/>
        </w:rPr>
        <w:t> </w:t>
      </w:r>
      <w:r>
        <w:rPr/>
        <w:t>treatment</w:t>
      </w:r>
      <w:r>
        <w:rPr>
          <w:spacing w:val="-13"/>
        </w:rPr>
        <w:t> </w:t>
      </w:r>
      <w:r>
        <w:rPr/>
        <w:t>on</w:t>
      </w:r>
      <w:r>
        <w:rPr>
          <w:spacing w:val="-13"/>
        </w:rPr>
        <w:t> </w:t>
      </w:r>
      <w:r>
        <w:rPr/>
        <w:t>an</w:t>
      </w:r>
      <w:r>
        <w:rPr>
          <w:spacing w:val="-13"/>
        </w:rPr>
        <w:t> </w:t>
      </w:r>
      <w:r>
        <w:rPr/>
        <w:t>outcome</w:t>
      </w:r>
      <w:r>
        <w:rPr>
          <w:spacing w:val="-14"/>
        </w:rPr>
        <w:t> </w:t>
      </w:r>
      <w:r>
        <w:rPr/>
        <w:t>variable (reporting</w:t>
      </w:r>
      <w:r>
        <w:rPr>
          <w:spacing w:val="-3"/>
        </w:rPr>
        <w:t> </w:t>
      </w:r>
      <w:r>
        <w:rPr/>
        <w:t>quality)</w:t>
      </w:r>
      <w:r>
        <w:rPr>
          <w:spacing w:val="-3"/>
        </w:rPr>
        <w:t> </w:t>
      </w:r>
      <w:r>
        <w:rPr/>
        <w:t>by</w:t>
      </w:r>
      <w:r>
        <w:rPr>
          <w:spacing w:val="-4"/>
        </w:rPr>
        <w:t> </w:t>
      </w:r>
      <w:r>
        <w:rPr/>
        <w:t>comparing</w:t>
      </w:r>
      <w:r>
        <w:rPr>
          <w:spacing w:val="-3"/>
        </w:rPr>
        <w:t> </w:t>
      </w:r>
      <w:r>
        <w:rPr/>
        <w:t>the</w:t>
      </w:r>
      <w:r>
        <w:rPr>
          <w:spacing w:val="-4"/>
        </w:rPr>
        <w:t> </w:t>
      </w:r>
      <w:r>
        <w:rPr/>
        <w:t>average</w:t>
      </w:r>
      <w:r>
        <w:rPr>
          <w:spacing w:val="-4"/>
        </w:rPr>
        <w:t> </w:t>
      </w:r>
      <w:r>
        <w:rPr/>
        <w:t>change</w:t>
      </w:r>
      <w:r>
        <w:rPr>
          <w:spacing w:val="-4"/>
        </w:rPr>
        <w:t> </w:t>
      </w:r>
      <w:r>
        <w:rPr/>
        <w:t>over</w:t>
      </w:r>
      <w:r>
        <w:rPr>
          <w:spacing w:val="-3"/>
        </w:rPr>
        <w:t> </w:t>
      </w:r>
      <w:r>
        <w:rPr/>
        <w:t>time</w:t>
      </w:r>
      <w:r>
        <w:rPr>
          <w:spacing w:val="-4"/>
        </w:rPr>
        <w:t> </w:t>
      </w:r>
      <w:r>
        <w:rPr/>
        <w:t>in</w:t>
      </w:r>
      <w:r>
        <w:rPr>
          <w:spacing w:val="-3"/>
        </w:rPr>
        <w:t> </w:t>
      </w:r>
      <w:r>
        <w:rPr/>
        <w:t>the</w:t>
      </w:r>
      <w:r>
        <w:rPr>
          <w:spacing w:val="-4"/>
        </w:rPr>
        <w:t> </w:t>
      </w:r>
      <w:r>
        <w:rPr/>
        <w:t>outcome</w:t>
      </w:r>
      <w:r>
        <w:rPr>
          <w:spacing w:val="-3"/>
        </w:rPr>
        <w:t> </w:t>
      </w:r>
      <w:r>
        <w:rPr/>
        <w:t>variable</w:t>
      </w:r>
      <w:r>
        <w:rPr>
          <w:spacing w:val="-3"/>
        </w:rPr>
        <w:t> </w:t>
      </w:r>
      <w:r>
        <w:rPr/>
        <w:t>for</w:t>
      </w:r>
      <w:r>
        <w:rPr>
          <w:spacing w:val="-3"/>
        </w:rPr>
        <w:t> </w:t>
      </w:r>
      <w:r>
        <w:rPr/>
        <w:t>the treatment group to the average change over time for the control group. Therefore, the coefficients of DD indicate whether a change in reporting quality is as a result of IFRS adoption, a perspective that did not receive much attention in prior researches. The benefit of this approach is that it removes biases in post-intervention period comparisons between the treatment and control groups that could be the result of the permanent differences between those groups, as well as biases from comparisons over time in the treatment group that could be the result of trends due to other</w:t>
      </w:r>
      <w:r>
        <w:rPr>
          <w:spacing w:val="-1"/>
        </w:rPr>
        <w:t> </w:t>
      </w:r>
      <w:r>
        <w:rPr/>
        <w:t>causes of the outcome. However, to our knowledge, only a few</w:t>
      </w:r>
      <w:r>
        <w:rPr>
          <w:spacing w:val="-6"/>
        </w:rPr>
        <w:t> </w:t>
      </w:r>
      <w:r>
        <w:rPr/>
        <w:t>studies</w:t>
      </w:r>
      <w:r>
        <w:rPr>
          <w:spacing w:val="-6"/>
        </w:rPr>
        <w:t> </w:t>
      </w:r>
      <w:r>
        <w:rPr/>
        <w:t>exist</w:t>
      </w:r>
      <w:r>
        <w:rPr>
          <w:spacing w:val="-5"/>
        </w:rPr>
        <w:t> </w:t>
      </w:r>
      <w:r>
        <w:rPr/>
        <w:t>although</w:t>
      </w:r>
      <w:r>
        <w:rPr>
          <w:spacing w:val="-6"/>
        </w:rPr>
        <w:t> </w:t>
      </w:r>
      <w:r>
        <w:rPr/>
        <w:t>with</w:t>
      </w:r>
      <w:r>
        <w:rPr>
          <w:spacing w:val="-5"/>
        </w:rPr>
        <w:t> </w:t>
      </w:r>
      <w:r>
        <w:rPr/>
        <w:t>a</w:t>
      </w:r>
      <w:r>
        <w:rPr>
          <w:spacing w:val="-7"/>
        </w:rPr>
        <w:t> </w:t>
      </w:r>
      <w:r>
        <w:rPr/>
        <w:t>slightly</w:t>
      </w:r>
      <w:r>
        <w:rPr>
          <w:spacing w:val="-8"/>
        </w:rPr>
        <w:t> </w:t>
      </w:r>
      <w:r>
        <w:rPr/>
        <w:t>different</w:t>
      </w:r>
      <w:r>
        <w:rPr>
          <w:spacing w:val="-3"/>
        </w:rPr>
        <w:t> </w:t>
      </w:r>
      <w:r>
        <w:rPr/>
        <w:t>approach</w:t>
      </w:r>
      <w:r>
        <w:rPr>
          <w:spacing w:val="-6"/>
        </w:rPr>
        <w:t> </w:t>
      </w:r>
      <w:r>
        <w:rPr/>
        <w:t>which</w:t>
      </w:r>
      <w:r>
        <w:rPr>
          <w:spacing w:val="-6"/>
        </w:rPr>
        <w:t> </w:t>
      </w:r>
      <w:r>
        <w:rPr/>
        <w:t>has</w:t>
      </w:r>
      <w:r>
        <w:rPr>
          <w:spacing w:val="-6"/>
        </w:rPr>
        <w:t> </w:t>
      </w:r>
      <w:r>
        <w:rPr/>
        <w:t>analysed</w:t>
      </w:r>
      <w:r>
        <w:rPr>
          <w:spacing w:val="-6"/>
        </w:rPr>
        <w:t> </w:t>
      </w:r>
      <w:r>
        <w:rPr/>
        <w:t>the</w:t>
      </w:r>
      <w:r>
        <w:rPr>
          <w:spacing w:val="-6"/>
        </w:rPr>
        <w:t> </w:t>
      </w:r>
      <w:r>
        <w:rPr/>
        <w:t>effect</w:t>
      </w:r>
      <w:r>
        <w:rPr>
          <w:spacing w:val="-5"/>
        </w:rPr>
        <w:t> </w:t>
      </w:r>
      <w:r>
        <w:rPr/>
        <w:t>of</w:t>
      </w:r>
      <w:r>
        <w:rPr>
          <w:spacing w:val="-7"/>
        </w:rPr>
        <w:t> </w:t>
      </w:r>
      <w:r>
        <w:rPr/>
        <w:t>a specific intervention or treatment (such as passage of law, enactment of policy, or large-scale programme</w:t>
      </w:r>
      <w:r>
        <w:rPr>
          <w:spacing w:val="-2"/>
        </w:rPr>
        <w:t> </w:t>
      </w:r>
      <w:r>
        <w:rPr/>
        <w:t>implementation,</w:t>
      </w:r>
      <w:r>
        <w:rPr>
          <w:spacing w:val="-1"/>
        </w:rPr>
        <w:t> </w:t>
      </w:r>
      <w:r>
        <w:rPr/>
        <w:t>in</w:t>
      </w:r>
      <w:r>
        <w:rPr>
          <w:spacing w:val="-1"/>
        </w:rPr>
        <w:t> </w:t>
      </w:r>
      <w:r>
        <w:rPr/>
        <w:t>this</w:t>
      </w:r>
      <w:r>
        <w:rPr>
          <w:spacing w:val="-1"/>
        </w:rPr>
        <w:t> </w:t>
      </w:r>
      <w:r>
        <w:rPr/>
        <w:t>case IFRS</w:t>
      </w:r>
      <w:r>
        <w:rPr>
          <w:spacing w:val="-1"/>
        </w:rPr>
        <w:t> </w:t>
      </w:r>
      <w:r>
        <w:rPr/>
        <w:t>adoption),</w:t>
      </w:r>
      <w:r>
        <w:rPr>
          <w:spacing w:val="-1"/>
        </w:rPr>
        <w:t> </w:t>
      </w:r>
      <w:r>
        <w:rPr/>
        <w:t>on</w:t>
      </w:r>
      <w:r>
        <w:rPr>
          <w:spacing w:val="-1"/>
        </w:rPr>
        <w:t> </w:t>
      </w:r>
      <w:r>
        <w:rPr/>
        <w:t>an</w:t>
      </w:r>
      <w:r>
        <w:rPr>
          <w:spacing w:val="-1"/>
        </w:rPr>
        <w:t> </w:t>
      </w:r>
      <w:r>
        <w:rPr/>
        <w:t>outcome</w:t>
      </w:r>
      <w:r>
        <w:rPr>
          <w:spacing w:val="-2"/>
        </w:rPr>
        <w:t> </w:t>
      </w:r>
      <w:r>
        <w:rPr/>
        <w:t>variable,</w:t>
      </w:r>
      <w:r>
        <w:rPr>
          <w:spacing w:val="-2"/>
        </w:rPr>
        <w:t> </w:t>
      </w:r>
      <w:r>
        <w:rPr/>
        <w:t>particularly to</w:t>
      </w:r>
      <w:r>
        <w:rPr>
          <w:spacing w:val="-3"/>
        </w:rPr>
        <w:t> </w:t>
      </w:r>
      <w:r>
        <w:rPr/>
        <w:t>control</w:t>
      </w:r>
      <w:r>
        <w:rPr>
          <w:spacing w:val="-1"/>
        </w:rPr>
        <w:t> </w:t>
      </w:r>
      <w:r>
        <w:rPr/>
        <w:t>for</w:t>
      </w:r>
      <w:r>
        <w:rPr>
          <w:spacing w:val="1"/>
        </w:rPr>
        <w:t> </w:t>
      </w:r>
      <w:r>
        <w:rPr/>
        <w:t>confounding</w:t>
      </w:r>
      <w:r>
        <w:rPr>
          <w:spacing w:val="-1"/>
        </w:rPr>
        <w:t> </w:t>
      </w:r>
      <w:r>
        <w:rPr/>
        <w:t>factors on</w:t>
      </w:r>
      <w:r>
        <w:rPr>
          <w:spacing w:val="1"/>
        </w:rPr>
        <w:t> </w:t>
      </w:r>
      <w:r>
        <w:rPr/>
        <w:t>the outcome variable</w:t>
      </w:r>
      <w:r>
        <w:rPr>
          <w:spacing w:val="1"/>
        </w:rPr>
        <w:t> </w:t>
      </w:r>
      <w:r>
        <w:rPr/>
        <w:t>such</w:t>
      </w:r>
      <w:r>
        <w:rPr>
          <w:spacing w:val="1"/>
        </w:rPr>
        <w:t> </w:t>
      </w:r>
      <w:r>
        <w:rPr/>
        <w:t>as financial</w:t>
      </w:r>
      <w:r>
        <w:rPr>
          <w:spacing w:val="1"/>
        </w:rPr>
        <w:t> </w:t>
      </w:r>
      <w:r>
        <w:rPr/>
        <w:t>reporting</w:t>
      </w:r>
      <w:r>
        <w:rPr>
          <w:spacing w:val="2"/>
        </w:rPr>
        <w:t> </w:t>
      </w:r>
      <w:r>
        <w:rPr>
          <w:spacing w:val="-2"/>
        </w:rPr>
        <w:t>quality.</w:t>
      </w:r>
    </w:p>
    <w:p>
      <w:pPr>
        <w:spacing w:after="0" w:line="480" w:lineRule="auto"/>
        <w:jc w:val="both"/>
        <w:sectPr>
          <w:type w:val="continuous"/>
          <w:pgSz w:w="11910" w:h="16840"/>
          <w:pgMar w:header="0" w:footer="971" w:top="1400" w:bottom="1160" w:left="500" w:right="0"/>
        </w:sectPr>
      </w:pPr>
    </w:p>
    <w:p>
      <w:pPr>
        <w:pStyle w:val="BodyText"/>
        <w:spacing w:line="480" w:lineRule="auto" w:before="61"/>
        <w:ind w:left="940" w:right="1435"/>
        <w:jc w:val="both"/>
      </w:pPr>
      <w:r>
        <w:rPr/>
        <w:t>For</w:t>
      </w:r>
      <w:r>
        <w:rPr>
          <w:spacing w:val="-15"/>
        </w:rPr>
        <w:t> </w:t>
      </w:r>
      <w:r>
        <w:rPr/>
        <w:t>instance,</w:t>
      </w:r>
      <w:r>
        <w:rPr>
          <w:spacing w:val="-15"/>
        </w:rPr>
        <w:t> </w:t>
      </w:r>
      <w:r>
        <w:rPr/>
        <w:t>a</w:t>
      </w:r>
      <w:r>
        <w:rPr>
          <w:spacing w:val="-15"/>
        </w:rPr>
        <w:t> </w:t>
      </w:r>
      <w:r>
        <w:rPr/>
        <w:t>particular</w:t>
      </w:r>
      <w:r>
        <w:rPr>
          <w:spacing w:val="-15"/>
        </w:rPr>
        <w:t> </w:t>
      </w:r>
      <w:r>
        <w:rPr/>
        <w:t>line</w:t>
      </w:r>
      <w:r>
        <w:rPr>
          <w:spacing w:val="-15"/>
        </w:rPr>
        <w:t> </w:t>
      </w:r>
      <w:r>
        <w:rPr/>
        <w:t>of</w:t>
      </w:r>
      <w:r>
        <w:rPr>
          <w:spacing w:val="-15"/>
        </w:rPr>
        <w:t> </w:t>
      </w:r>
      <w:r>
        <w:rPr/>
        <w:t>studies</w:t>
      </w:r>
      <w:r>
        <w:rPr>
          <w:spacing w:val="-15"/>
        </w:rPr>
        <w:t> </w:t>
      </w:r>
      <w:r>
        <w:rPr/>
        <w:t>used</w:t>
      </w:r>
      <w:r>
        <w:rPr>
          <w:spacing w:val="-15"/>
        </w:rPr>
        <w:t> </w:t>
      </w:r>
      <w:r>
        <w:rPr/>
        <w:t>the</w:t>
      </w:r>
      <w:r>
        <w:rPr>
          <w:spacing w:val="-15"/>
        </w:rPr>
        <w:t> </w:t>
      </w:r>
      <w:r>
        <w:rPr/>
        <w:t>test</w:t>
      </w:r>
      <w:r>
        <w:rPr>
          <w:spacing w:val="-15"/>
        </w:rPr>
        <w:t> </w:t>
      </w:r>
      <w:r>
        <w:rPr/>
        <w:t>of</w:t>
      </w:r>
      <w:r>
        <w:rPr>
          <w:spacing w:val="-15"/>
        </w:rPr>
        <w:t> </w:t>
      </w:r>
      <w:r>
        <w:rPr/>
        <w:t>significance</w:t>
      </w:r>
      <w:r>
        <w:rPr>
          <w:spacing w:val="-15"/>
        </w:rPr>
        <w:t> </w:t>
      </w:r>
      <w:r>
        <w:rPr/>
        <w:t>difference</w:t>
      </w:r>
      <w:r>
        <w:rPr>
          <w:spacing w:val="-15"/>
        </w:rPr>
        <w:t> </w:t>
      </w:r>
      <w:r>
        <w:rPr/>
        <w:t>approach</w:t>
      </w:r>
      <w:r>
        <w:rPr>
          <w:spacing w:val="-15"/>
        </w:rPr>
        <w:t> </w:t>
      </w:r>
      <w:r>
        <w:rPr/>
        <w:t>(Andre &amp; Filip, 2013; Lee, Walker &amp; Zeng, 2013; Ogundana et al., 2017; Umobong &amp; Akani, 2015) while others used a superior approach, the DD approach (Iyoha &amp; Aggreh, 2020).</w:t>
      </w:r>
    </w:p>
    <w:p>
      <w:pPr>
        <w:pStyle w:val="BodyText"/>
        <w:spacing w:line="480" w:lineRule="auto"/>
        <w:ind w:left="940" w:right="1435"/>
        <w:jc w:val="both"/>
      </w:pPr>
      <w:r>
        <w:rPr/>
        <w:drawing>
          <wp:anchor distT="0" distB="0" distL="0" distR="0" allowOverlap="1" layoutInCell="1" locked="0" behindDoc="1" simplePos="0" relativeHeight="477736960">
            <wp:simplePos x="0" y="0"/>
            <wp:positionH relativeFrom="page">
              <wp:posOffset>1095451</wp:posOffset>
            </wp:positionH>
            <wp:positionV relativeFrom="paragraph">
              <wp:posOffset>760565</wp:posOffset>
            </wp:positionV>
            <wp:extent cx="5106847" cy="5238115"/>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5" cstate="print"/>
                    <a:stretch>
                      <a:fillRect/>
                    </a:stretch>
                  </pic:blipFill>
                  <pic:spPr>
                    <a:xfrm>
                      <a:off x="0" y="0"/>
                      <a:ext cx="5106847" cy="5238115"/>
                    </a:xfrm>
                    <a:prstGeom prst="rect">
                      <a:avLst/>
                    </a:prstGeom>
                  </pic:spPr>
                </pic:pic>
              </a:graphicData>
            </a:graphic>
          </wp:anchor>
        </w:drawing>
      </w:r>
      <w:r>
        <w:rPr/>
        <w:t>The study employed three proxies for financial reporting quality namely, qualitative measure of</w:t>
      </w:r>
      <w:r>
        <w:rPr>
          <w:spacing w:val="-1"/>
        </w:rPr>
        <w:t> </w:t>
      </w:r>
      <w:r>
        <w:rPr/>
        <w:t>reporting quality (QUA-FRQ), discretionary accrual (DACC)</w:t>
      </w:r>
      <w:r>
        <w:rPr>
          <w:spacing w:val="-1"/>
        </w:rPr>
        <w:t> </w:t>
      </w:r>
      <w:r>
        <w:rPr/>
        <w:t>measure</w:t>
      </w:r>
      <w:r>
        <w:rPr>
          <w:spacing w:val="-1"/>
        </w:rPr>
        <w:t> </w:t>
      </w:r>
      <w:r>
        <w:rPr/>
        <w:t>and value relevance measure</w:t>
      </w:r>
      <w:r>
        <w:rPr>
          <w:spacing w:val="-4"/>
        </w:rPr>
        <w:t> </w:t>
      </w:r>
      <w:r>
        <w:rPr/>
        <w:t>(VREL).</w:t>
      </w:r>
      <w:r>
        <w:rPr>
          <w:spacing w:val="-2"/>
        </w:rPr>
        <w:t> </w:t>
      </w:r>
      <w:r>
        <w:rPr/>
        <w:t>If</w:t>
      </w:r>
      <w:r>
        <w:rPr>
          <w:spacing w:val="-4"/>
        </w:rPr>
        <w:t> </w:t>
      </w:r>
      <w:r>
        <w:rPr/>
        <w:t>IFRS</w:t>
      </w:r>
      <w:r>
        <w:rPr>
          <w:spacing w:val="-4"/>
        </w:rPr>
        <w:t> </w:t>
      </w:r>
      <w:r>
        <w:rPr/>
        <w:t>led</w:t>
      </w:r>
      <w:r>
        <w:rPr>
          <w:spacing w:val="-4"/>
        </w:rPr>
        <w:t> </w:t>
      </w:r>
      <w:r>
        <w:rPr/>
        <w:t>to</w:t>
      </w:r>
      <w:r>
        <w:rPr>
          <w:spacing w:val="-4"/>
        </w:rPr>
        <w:t> </w:t>
      </w:r>
      <w:r>
        <w:rPr/>
        <w:t>higher</w:t>
      </w:r>
      <w:r>
        <w:rPr>
          <w:spacing w:val="-6"/>
        </w:rPr>
        <w:t> </w:t>
      </w:r>
      <w:r>
        <w:rPr/>
        <w:t>QUA-FRQ,</w:t>
      </w:r>
      <w:r>
        <w:rPr>
          <w:spacing w:val="-5"/>
        </w:rPr>
        <w:t> </w:t>
      </w:r>
      <w:r>
        <w:rPr/>
        <w:t>we</w:t>
      </w:r>
      <w:r>
        <w:rPr>
          <w:spacing w:val="-4"/>
        </w:rPr>
        <w:t> </w:t>
      </w:r>
      <w:r>
        <w:rPr/>
        <w:t>would</w:t>
      </w:r>
      <w:r>
        <w:rPr>
          <w:spacing w:val="-5"/>
        </w:rPr>
        <w:t> </w:t>
      </w:r>
      <w:r>
        <w:rPr/>
        <w:t>expect</w:t>
      </w:r>
      <w:r>
        <w:rPr>
          <w:spacing w:val="-4"/>
        </w:rPr>
        <w:t> </w:t>
      </w:r>
      <w:r>
        <w:rPr/>
        <w:t>a</w:t>
      </w:r>
      <w:r>
        <w:rPr>
          <w:spacing w:val="-6"/>
        </w:rPr>
        <w:t> </w:t>
      </w:r>
      <w:r>
        <w:rPr/>
        <w:t>positive</w:t>
      </w:r>
      <w:r>
        <w:rPr>
          <w:spacing w:val="-5"/>
        </w:rPr>
        <w:t> </w:t>
      </w:r>
      <w:r>
        <w:rPr/>
        <w:t>coefficient</w:t>
      </w:r>
      <w:r>
        <w:rPr>
          <w:spacing w:val="-4"/>
        </w:rPr>
        <w:t> </w:t>
      </w:r>
      <w:r>
        <w:rPr/>
        <w:t>for the</w:t>
      </w:r>
      <w:r>
        <w:rPr>
          <w:spacing w:val="-3"/>
        </w:rPr>
        <w:t> </w:t>
      </w:r>
      <w:r>
        <w:rPr/>
        <w:t>DID</w:t>
      </w:r>
      <w:r>
        <w:rPr>
          <w:spacing w:val="-5"/>
        </w:rPr>
        <w:t> </w:t>
      </w:r>
      <w:r>
        <w:rPr/>
        <w:t>and,</w:t>
      </w:r>
      <w:r>
        <w:rPr>
          <w:spacing w:val="-3"/>
        </w:rPr>
        <w:t> </w:t>
      </w:r>
      <w:r>
        <w:rPr/>
        <w:t>as</w:t>
      </w:r>
      <w:r>
        <w:rPr>
          <w:spacing w:val="-3"/>
        </w:rPr>
        <w:t> </w:t>
      </w:r>
      <w:r>
        <w:rPr/>
        <w:t>observed</w:t>
      </w:r>
      <w:r>
        <w:rPr>
          <w:spacing w:val="-1"/>
        </w:rPr>
        <w:t> </w:t>
      </w:r>
      <w:r>
        <w:rPr/>
        <w:t>from</w:t>
      </w:r>
      <w:r>
        <w:rPr>
          <w:spacing w:val="-3"/>
        </w:rPr>
        <w:t> </w:t>
      </w:r>
      <w:r>
        <w:rPr/>
        <w:t>the</w:t>
      </w:r>
      <w:r>
        <w:rPr>
          <w:spacing w:val="-4"/>
        </w:rPr>
        <w:t> </w:t>
      </w:r>
      <w:r>
        <w:rPr/>
        <w:t>estimations,</w:t>
      </w:r>
      <w:r>
        <w:rPr>
          <w:spacing w:val="-3"/>
        </w:rPr>
        <w:t> </w:t>
      </w:r>
      <w:r>
        <w:rPr/>
        <w:t>the</w:t>
      </w:r>
      <w:r>
        <w:rPr>
          <w:spacing w:val="-7"/>
        </w:rPr>
        <w:t> </w:t>
      </w:r>
      <w:r>
        <w:rPr/>
        <w:t>D-I-D</w:t>
      </w:r>
      <w:r>
        <w:rPr>
          <w:spacing w:val="-3"/>
        </w:rPr>
        <w:t> </w:t>
      </w:r>
      <w:r>
        <w:rPr/>
        <w:t>coefficient</w:t>
      </w:r>
      <w:r>
        <w:rPr>
          <w:spacing w:val="-3"/>
        </w:rPr>
        <w:t> </w:t>
      </w:r>
      <w:r>
        <w:rPr/>
        <w:t>was</w:t>
      </w:r>
      <w:r>
        <w:rPr>
          <w:spacing w:val="-3"/>
        </w:rPr>
        <w:t> </w:t>
      </w:r>
      <w:r>
        <w:rPr/>
        <w:t>positive</w:t>
      </w:r>
      <w:r>
        <w:rPr>
          <w:spacing w:val="-4"/>
        </w:rPr>
        <w:t> </w:t>
      </w:r>
      <w:r>
        <w:rPr/>
        <w:t>as</w:t>
      </w:r>
      <w:r>
        <w:rPr>
          <w:spacing w:val="-3"/>
        </w:rPr>
        <w:t> </w:t>
      </w:r>
      <w:r>
        <w:rPr/>
        <w:t>expected and significant (0.0550, p=0.000) at 5%. Hence, the adoption of IFRS significantly improved financial reporting quality and accounted for incremental changes in QUA-FRQ for the firms in the sample, at least in terms of the qualitative characteristics. For DACC, if IFRS led to higher</w:t>
      </w:r>
      <w:r>
        <w:rPr>
          <w:spacing w:val="-15"/>
        </w:rPr>
        <w:t> </w:t>
      </w:r>
      <w:r>
        <w:rPr/>
        <w:t>FRQ</w:t>
      </w:r>
      <w:r>
        <w:rPr>
          <w:spacing w:val="-15"/>
        </w:rPr>
        <w:t> </w:t>
      </w:r>
      <w:r>
        <w:rPr/>
        <w:t>resulting</w:t>
      </w:r>
      <w:r>
        <w:rPr>
          <w:spacing w:val="-15"/>
        </w:rPr>
        <w:t> </w:t>
      </w:r>
      <w:r>
        <w:rPr/>
        <w:t>from</w:t>
      </w:r>
      <w:r>
        <w:rPr>
          <w:spacing w:val="-15"/>
        </w:rPr>
        <w:t> </w:t>
      </w:r>
      <w:r>
        <w:rPr/>
        <w:t>lower</w:t>
      </w:r>
      <w:r>
        <w:rPr>
          <w:spacing w:val="-15"/>
        </w:rPr>
        <w:t> </w:t>
      </w:r>
      <w:r>
        <w:rPr/>
        <w:t>discretionary</w:t>
      </w:r>
      <w:r>
        <w:rPr>
          <w:spacing w:val="-15"/>
        </w:rPr>
        <w:t> </w:t>
      </w:r>
      <w:r>
        <w:rPr/>
        <w:t>accruals,</w:t>
      </w:r>
      <w:r>
        <w:rPr>
          <w:spacing w:val="-15"/>
        </w:rPr>
        <w:t> </w:t>
      </w:r>
      <w:r>
        <w:rPr/>
        <w:t>we</w:t>
      </w:r>
      <w:r>
        <w:rPr>
          <w:spacing w:val="-15"/>
        </w:rPr>
        <w:t> </w:t>
      </w:r>
      <w:r>
        <w:rPr/>
        <w:t>would</w:t>
      </w:r>
      <w:r>
        <w:rPr>
          <w:spacing w:val="-15"/>
        </w:rPr>
        <w:t> </w:t>
      </w:r>
      <w:r>
        <w:rPr/>
        <w:t>expect</w:t>
      </w:r>
      <w:r>
        <w:rPr>
          <w:spacing w:val="-15"/>
        </w:rPr>
        <w:t> </w:t>
      </w:r>
      <w:r>
        <w:rPr/>
        <w:t>a</w:t>
      </w:r>
      <w:r>
        <w:rPr>
          <w:spacing w:val="-15"/>
        </w:rPr>
        <w:t> </w:t>
      </w:r>
      <w:r>
        <w:rPr/>
        <w:t>negative</w:t>
      </w:r>
      <w:r>
        <w:rPr>
          <w:spacing w:val="-15"/>
        </w:rPr>
        <w:t> </w:t>
      </w:r>
      <w:r>
        <w:rPr/>
        <w:t>coefficient for the DID, and as observed from the estimations, the D-I-D coefficient was positive at variance with theoretical expectation and significant (0.3509, p=0.000) at 5%. Hence, the adoption</w:t>
      </w:r>
      <w:r>
        <w:rPr>
          <w:spacing w:val="-13"/>
        </w:rPr>
        <w:t> </w:t>
      </w:r>
      <w:r>
        <w:rPr/>
        <w:t>of</w:t>
      </w:r>
      <w:r>
        <w:rPr>
          <w:spacing w:val="-11"/>
        </w:rPr>
        <w:t> </w:t>
      </w:r>
      <w:r>
        <w:rPr/>
        <w:t>IFRS</w:t>
      </w:r>
      <w:r>
        <w:rPr>
          <w:spacing w:val="-12"/>
        </w:rPr>
        <w:t> </w:t>
      </w:r>
      <w:r>
        <w:rPr/>
        <w:t>significantly</w:t>
      </w:r>
      <w:r>
        <w:rPr>
          <w:spacing w:val="-13"/>
        </w:rPr>
        <w:t> </w:t>
      </w:r>
      <w:r>
        <w:rPr/>
        <w:t>increased</w:t>
      </w:r>
      <w:r>
        <w:rPr>
          <w:spacing w:val="-13"/>
        </w:rPr>
        <w:t> </w:t>
      </w:r>
      <w:r>
        <w:rPr/>
        <w:t>discretionary</w:t>
      </w:r>
      <w:r>
        <w:rPr>
          <w:spacing w:val="-14"/>
        </w:rPr>
        <w:t> </w:t>
      </w:r>
      <w:r>
        <w:rPr/>
        <w:t>accruals</w:t>
      </w:r>
      <w:r>
        <w:rPr>
          <w:spacing w:val="-12"/>
        </w:rPr>
        <w:t> </w:t>
      </w:r>
      <w:r>
        <w:rPr/>
        <w:t>and</w:t>
      </w:r>
      <w:r>
        <w:rPr>
          <w:spacing w:val="-11"/>
        </w:rPr>
        <w:t> </w:t>
      </w:r>
      <w:r>
        <w:rPr/>
        <w:t>reduced</w:t>
      </w:r>
      <w:r>
        <w:rPr>
          <w:spacing w:val="-11"/>
        </w:rPr>
        <w:t> </w:t>
      </w:r>
      <w:r>
        <w:rPr/>
        <w:t>financial</w:t>
      </w:r>
      <w:r>
        <w:rPr>
          <w:spacing w:val="-13"/>
        </w:rPr>
        <w:t> </w:t>
      </w:r>
      <w:r>
        <w:rPr/>
        <w:t>reporting quality in relation to accruals. Finally, for VREL, if IFRS led to higher value relevance of financial reporting, we would expect a positive coefficient for the DID and, as observed, the D-I-D coefficient, though positive as expected, was not significant (8.5416, p=0.3407) at 5%. Hence, although the adoption of IFRS had a positive effect on changes in value relevance in the pre and post periods, the effect was weak and far from being significant.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before="1"/>
        <w:ind w:left="1000"/>
        <w:jc w:val="both"/>
        <w:rPr>
          <w:b/>
          <w:i/>
        </w:rPr>
      </w:pPr>
      <w:r>
        <w:rPr/>
        <w:t>Table</w:t>
      </w:r>
      <w:r>
        <w:rPr>
          <w:spacing w:val="-2"/>
        </w:rPr>
        <w:t> </w:t>
      </w:r>
      <w:r>
        <w:rPr/>
        <w:t>4.6:</w:t>
      </w:r>
      <w:r>
        <w:rPr>
          <w:spacing w:val="58"/>
        </w:rPr>
        <w:t> </w:t>
      </w:r>
      <w:r>
        <w:rPr/>
        <w:t>QUA-FRQ</w:t>
      </w:r>
      <w:r>
        <w:rPr>
          <w:spacing w:val="-1"/>
        </w:rPr>
        <w:t> </w:t>
      </w:r>
      <w:r>
        <w:rPr/>
        <w:t>and</w:t>
      </w:r>
      <w:r>
        <w:rPr>
          <w:spacing w:val="-1"/>
        </w:rPr>
        <w:t> </w:t>
      </w:r>
      <w:r>
        <w:rPr/>
        <w:t>Board</w:t>
      </w:r>
      <w:r>
        <w:rPr>
          <w:spacing w:val="-1"/>
        </w:rPr>
        <w:t> </w:t>
      </w:r>
      <w:r>
        <w:rPr/>
        <w:t>Structure</w:t>
      </w:r>
      <w:r>
        <w:rPr>
          <w:spacing w:val="-3"/>
        </w:rPr>
        <w:t> </w:t>
      </w:r>
      <w:r>
        <w:rPr/>
        <w:t>Regression</w:t>
      </w:r>
      <w:r>
        <w:rPr>
          <w:spacing w:val="1"/>
        </w:rPr>
        <w:t> </w:t>
      </w:r>
      <w:r>
        <w:rPr>
          <w:b/>
          <w:i/>
          <w:spacing w:val="-2"/>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634"/>
        <w:gridCol w:w="1260"/>
        <w:gridCol w:w="1891"/>
        <w:gridCol w:w="1800"/>
        <w:gridCol w:w="1888"/>
      </w:tblGrid>
      <w:tr>
        <w:trPr>
          <w:trHeight w:val="328" w:hRule="atLeast"/>
        </w:trPr>
        <w:tc>
          <w:tcPr>
            <w:tcW w:w="1634" w:type="dxa"/>
            <w:tcBorders>
              <w:left w:val="nil"/>
              <w:bottom w:val="single" w:sz="4" w:space="0" w:color="000000"/>
            </w:tcBorders>
          </w:tcPr>
          <w:p>
            <w:pPr>
              <w:pStyle w:val="TableParagraph"/>
              <w:rPr>
                <w:rFonts w:ascii="Times New Roman"/>
                <w:sz w:val="22"/>
              </w:rPr>
            </w:pPr>
          </w:p>
        </w:tc>
        <w:tc>
          <w:tcPr>
            <w:tcW w:w="1260" w:type="dxa"/>
            <w:tcBorders>
              <w:bottom w:val="single" w:sz="4" w:space="0" w:color="000000"/>
            </w:tcBorders>
          </w:tcPr>
          <w:p>
            <w:pPr>
              <w:pStyle w:val="TableParagraph"/>
              <w:ind w:left="103"/>
              <w:rPr>
                <w:rFonts w:ascii="Times New Roman"/>
                <w:sz w:val="20"/>
              </w:rPr>
            </w:pPr>
            <w:r>
              <w:rPr>
                <w:rFonts w:ascii="Times New Roman"/>
                <w:sz w:val="20"/>
              </w:rPr>
              <w:t>Aprori</w:t>
            </w:r>
            <w:r>
              <w:rPr>
                <w:rFonts w:ascii="Times New Roman"/>
                <w:spacing w:val="-5"/>
                <w:sz w:val="20"/>
              </w:rPr>
              <w:t> </w:t>
            </w:r>
            <w:r>
              <w:rPr>
                <w:rFonts w:ascii="Times New Roman"/>
                <w:spacing w:val="-4"/>
                <w:sz w:val="20"/>
              </w:rPr>
              <w:t>sign</w:t>
            </w:r>
          </w:p>
        </w:tc>
        <w:tc>
          <w:tcPr>
            <w:tcW w:w="5579" w:type="dxa"/>
            <w:gridSpan w:val="3"/>
            <w:tcBorders>
              <w:bottom w:val="single" w:sz="4" w:space="0" w:color="000000"/>
              <w:right w:val="nil"/>
            </w:tcBorders>
          </w:tcPr>
          <w:p>
            <w:pPr>
              <w:pStyle w:val="TableParagraph"/>
              <w:ind w:left="1513"/>
              <w:rPr>
                <w:rFonts w:ascii="Times New Roman"/>
                <w:sz w:val="20"/>
              </w:rPr>
            </w:pPr>
            <w:r>
              <w:rPr>
                <w:rFonts w:ascii="Times New Roman"/>
                <w:sz w:val="20"/>
              </w:rPr>
              <w:t>Dependent</w:t>
            </w:r>
            <w:r>
              <w:rPr>
                <w:rFonts w:ascii="Times New Roman"/>
                <w:spacing w:val="-7"/>
                <w:sz w:val="20"/>
              </w:rPr>
              <w:t> </w:t>
            </w:r>
            <w:r>
              <w:rPr>
                <w:rFonts w:ascii="Times New Roman"/>
                <w:sz w:val="20"/>
              </w:rPr>
              <w:t>Variable</w:t>
            </w:r>
            <w:r>
              <w:rPr>
                <w:rFonts w:ascii="Times New Roman"/>
                <w:spacing w:val="-6"/>
                <w:sz w:val="20"/>
              </w:rPr>
              <w:t> </w:t>
            </w:r>
            <w:r>
              <w:rPr>
                <w:rFonts w:ascii="Times New Roman"/>
                <w:sz w:val="20"/>
              </w:rPr>
              <w:t>QUA-</w:t>
            </w:r>
            <w:r>
              <w:rPr>
                <w:rFonts w:ascii="Times New Roman"/>
                <w:spacing w:val="-5"/>
                <w:sz w:val="20"/>
              </w:rPr>
              <w:t>FRQ</w:t>
            </w:r>
          </w:p>
        </w:tc>
      </w:tr>
      <w:tr>
        <w:trPr>
          <w:trHeight w:val="460" w:hRule="atLeast"/>
        </w:trPr>
        <w:tc>
          <w:tcPr>
            <w:tcW w:w="1634" w:type="dxa"/>
            <w:tcBorders>
              <w:top w:val="single" w:sz="4" w:space="0" w:color="000000"/>
              <w:left w:val="nil"/>
            </w:tcBorders>
          </w:tcPr>
          <w:p>
            <w:pPr>
              <w:pStyle w:val="TableParagraph"/>
              <w:rPr>
                <w:rFonts w:ascii="Times New Roman"/>
                <w:sz w:val="22"/>
              </w:rPr>
            </w:pPr>
          </w:p>
        </w:tc>
        <w:tc>
          <w:tcPr>
            <w:tcW w:w="1260" w:type="dxa"/>
            <w:tcBorders>
              <w:top w:val="single" w:sz="4" w:space="0" w:color="000000"/>
            </w:tcBorders>
          </w:tcPr>
          <w:p>
            <w:pPr>
              <w:pStyle w:val="TableParagraph"/>
              <w:rPr>
                <w:rFonts w:ascii="Times New Roman"/>
                <w:sz w:val="22"/>
              </w:rPr>
            </w:pPr>
          </w:p>
        </w:tc>
        <w:tc>
          <w:tcPr>
            <w:tcW w:w="1891" w:type="dxa"/>
            <w:tcBorders>
              <w:top w:val="single" w:sz="4" w:space="0" w:color="000000"/>
              <w:right w:val="single" w:sz="4" w:space="0" w:color="000000"/>
            </w:tcBorders>
          </w:tcPr>
          <w:p>
            <w:pPr>
              <w:pStyle w:val="TableParagraph"/>
              <w:spacing w:line="228" w:lineRule="exact"/>
              <w:ind w:left="567" w:right="415" w:hanging="147"/>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1800" w:type="dxa"/>
            <w:tcBorders>
              <w:top w:val="single" w:sz="4" w:space="0" w:color="000000"/>
              <w:left w:val="single" w:sz="4" w:space="0" w:color="000000"/>
              <w:right w:val="single" w:sz="4" w:space="0" w:color="000000"/>
            </w:tcBorders>
          </w:tcPr>
          <w:p>
            <w:pPr>
              <w:pStyle w:val="TableParagraph"/>
              <w:spacing w:line="228" w:lineRule="exact"/>
              <w:ind w:left="522" w:right="260" w:hanging="260"/>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1888" w:type="dxa"/>
            <w:tcBorders>
              <w:top w:val="single" w:sz="4" w:space="0" w:color="000000"/>
              <w:left w:val="single" w:sz="4" w:space="0" w:color="000000"/>
              <w:right w:val="nil"/>
            </w:tcBorders>
          </w:tcPr>
          <w:p>
            <w:pPr>
              <w:pStyle w:val="TableParagraph"/>
              <w:spacing w:line="228" w:lineRule="exact"/>
              <w:ind w:left="114" w:right="112" w:firstLine="252"/>
              <w:rPr>
                <w:rFonts w:ascii="Times New Roman"/>
                <w:sz w:val="20"/>
              </w:rPr>
            </w:pPr>
            <w:r>
              <w:rPr>
                <w:rFonts w:ascii="Times New Roman"/>
                <w:spacing w:val="-2"/>
                <w:sz w:val="20"/>
              </w:rPr>
              <w:t>Difference-in- </w:t>
            </w:r>
            <w:r>
              <w:rPr>
                <w:rFonts w:ascii="Times New Roman"/>
                <w:sz w:val="20"/>
              </w:rPr>
              <w:t>Difference</w:t>
            </w:r>
            <w:r>
              <w:rPr>
                <w:rFonts w:ascii="Times New Roman"/>
                <w:spacing w:val="-13"/>
                <w:sz w:val="20"/>
              </w:rPr>
              <w:t> </w:t>
            </w:r>
            <w:r>
              <w:rPr>
                <w:rFonts w:ascii="Times New Roman"/>
                <w:sz w:val="20"/>
              </w:rPr>
              <w:t>estimates</w:t>
            </w:r>
          </w:p>
        </w:tc>
      </w:tr>
    </w:tbl>
    <w:p>
      <w:pPr>
        <w:spacing w:after="0" w:line="228" w:lineRule="exact"/>
        <w:rPr>
          <w:rFonts w:ascii="Times New Roman"/>
          <w:sz w:val="20"/>
        </w:rPr>
        <w:sectPr>
          <w:pgSz w:w="11910" w:h="16840"/>
          <w:pgMar w:header="0" w:footer="971" w:top="1360" w:bottom="1160"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634"/>
        <w:gridCol w:w="1260"/>
        <w:gridCol w:w="1891"/>
        <w:gridCol w:w="1800"/>
        <w:gridCol w:w="1888"/>
      </w:tblGrid>
      <w:tr>
        <w:trPr>
          <w:trHeight w:val="1274" w:hRule="atLeast"/>
        </w:trPr>
        <w:tc>
          <w:tcPr>
            <w:tcW w:w="1634" w:type="dxa"/>
            <w:tcBorders>
              <w:left w:val="nil"/>
              <w:bottom w:val="single" w:sz="4" w:space="0" w:color="000000"/>
            </w:tcBorders>
          </w:tcPr>
          <w:p>
            <w:pPr>
              <w:pStyle w:val="TableParagraph"/>
              <w:ind w:left="162" w:right="144"/>
              <w:jc w:val="center"/>
              <w:rPr>
                <w:rFonts w:ascii="Times New Roman"/>
                <w:sz w:val="19"/>
              </w:rPr>
            </w:pPr>
            <w:r>
              <w:rPr>
                <w:rFonts w:ascii="Times New Roman"/>
                <w:spacing w:val="-10"/>
                <w:sz w:val="19"/>
              </w:rPr>
              <w:t>C</w:t>
            </w:r>
          </w:p>
        </w:tc>
        <w:tc>
          <w:tcPr>
            <w:tcW w:w="1260" w:type="dxa"/>
            <w:tcBorders>
              <w:bottom w:val="single" w:sz="4" w:space="0" w:color="000000"/>
            </w:tcBorders>
          </w:tcPr>
          <w:p>
            <w:pPr>
              <w:pStyle w:val="TableParagraph"/>
              <w:rPr>
                <w:rFonts w:ascii="Times New Roman"/>
                <w:sz w:val="18"/>
              </w:rPr>
            </w:pPr>
          </w:p>
        </w:tc>
        <w:tc>
          <w:tcPr>
            <w:tcW w:w="1891" w:type="dxa"/>
            <w:tcBorders>
              <w:bottom w:val="single" w:sz="4" w:space="0" w:color="000000"/>
              <w:right w:val="single" w:sz="4" w:space="0" w:color="000000"/>
            </w:tcBorders>
          </w:tcPr>
          <w:p>
            <w:pPr>
              <w:pStyle w:val="TableParagraph"/>
              <w:spacing w:line="360" w:lineRule="auto"/>
              <w:ind w:left="615" w:right="415" w:hanging="80"/>
              <w:rPr>
                <w:rFonts w:ascii="Times New Roman"/>
                <w:sz w:val="19"/>
              </w:rPr>
            </w:pPr>
            <w:r>
              <w:rPr>
                <w:rFonts w:ascii="Times New Roman"/>
                <w:spacing w:val="-2"/>
                <w:sz w:val="19"/>
              </w:rPr>
              <w:t>0.3285*** (0.0882)</w:t>
            </w:r>
          </w:p>
          <w:p>
            <w:pPr>
              <w:pStyle w:val="TableParagraph"/>
              <w:spacing w:line="218" w:lineRule="exact"/>
              <w:ind w:left="586"/>
              <w:rPr>
                <w:rFonts w:ascii="Times New Roman"/>
                <w:sz w:val="19"/>
              </w:rPr>
            </w:pPr>
            <w:r>
              <w:rPr>
                <w:rFonts w:ascii="Times New Roman"/>
                <w:spacing w:val="-2"/>
                <w:sz w:val="19"/>
              </w:rPr>
              <w:t>{0.0003}</w:t>
            </w:r>
          </w:p>
        </w:tc>
        <w:tc>
          <w:tcPr>
            <w:tcW w:w="1800" w:type="dxa"/>
            <w:tcBorders>
              <w:left w:val="single" w:sz="4" w:space="0" w:color="000000"/>
              <w:bottom w:val="single" w:sz="4" w:space="0" w:color="000000"/>
              <w:right w:val="single" w:sz="4" w:space="0" w:color="000000"/>
            </w:tcBorders>
          </w:tcPr>
          <w:p>
            <w:pPr>
              <w:pStyle w:val="TableParagraph"/>
              <w:spacing w:line="360" w:lineRule="auto"/>
              <w:ind w:left="570" w:hanging="80"/>
              <w:rPr>
                <w:rFonts w:ascii="Times New Roman"/>
                <w:sz w:val="19"/>
              </w:rPr>
            </w:pPr>
            <w:r>
              <w:rPr>
                <w:rFonts w:ascii="Times New Roman"/>
                <w:spacing w:val="-2"/>
                <w:sz w:val="19"/>
              </w:rPr>
              <w:t>0.4451*** (0.0732)</w:t>
            </w:r>
          </w:p>
          <w:p>
            <w:pPr>
              <w:pStyle w:val="TableParagraph"/>
              <w:spacing w:line="218" w:lineRule="exact"/>
              <w:ind w:left="589"/>
              <w:rPr>
                <w:rFonts w:ascii="Times New Roman"/>
                <w:sz w:val="19"/>
              </w:rPr>
            </w:pPr>
            <w:r>
              <w:rPr>
                <w:rFonts w:ascii="Times New Roman"/>
                <w:spacing w:val="-2"/>
                <w:sz w:val="19"/>
              </w:rPr>
              <w:t>{0.000}</w:t>
            </w:r>
          </w:p>
        </w:tc>
        <w:tc>
          <w:tcPr>
            <w:tcW w:w="1888" w:type="dxa"/>
            <w:tcBorders>
              <w:left w:val="single" w:sz="4" w:space="0" w:color="000000"/>
              <w:right w:val="nil"/>
            </w:tcBorders>
          </w:tcPr>
          <w:p>
            <w:pPr>
              <w:pStyle w:val="TableParagraph"/>
              <w:spacing w:line="484" w:lineRule="auto"/>
              <w:ind w:left="592" w:right="523" w:hanging="84"/>
              <w:rPr>
                <w:rFonts w:ascii="Times New Roman"/>
                <w:sz w:val="20"/>
              </w:rPr>
            </w:pPr>
            <w:r>
              <w:rPr>
                <w:rFonts w:ascii="Times New Roman"/>
                <w:spacing w:val="-2"/>
                <w:sz w:val="20"/>
              </w:rPr>
              <w:t>0.2921*** (0.0792)</w:t>
            </w:r>
          </w:p>
          <w:p>
            <w:pPr>
              <w:pStyle w:val="TableParagraph"/>
              <w:spacing w:line="230" w:lineRule="exact"/>
              <w:ind w:left="568"/>
              <w:rPr>
                <w:rFonts w:ascii="Times New Roman"/>
                <w:sz w:val="20"/>
              </w:rPr>
            </w:pPr>
            <w:r>
              <w:rPr>
                <w:rFonts w:ascii="Times New Roman"/>
                <w:spacing w:val="-2"/>
                <w:sz w:val="20"/>
              </w:rPr>
              <w:t>{0.0003}</w:t>
            </w:r>
          </w:p>
        </w:tc>
      </w:tr>
      <w:tr>
        <w:trPr>
          <w:trHeight w:val="1273" w:hRule="atLeast"/>
        </w:trPr>
        <w:tc>
          <w:tcPr>
            <w:tcW w:w="1634" w:type="dxa"/>
            <w:tcBorders>
              <w:top w:val="single" w:sz="4" w:space="0" w:color="000000"/>
              <w:left w:val="nil"/>
              <w:bottom w:val="single" w:sz="4" w:space="0" w:color="000000"/>
            </w:tcBorders>
          </w:tcPr>
          <w:p>
            <w:pPr>
              <w:pStyle w:val="TableParagraph"/>
              <w:ind w:left="162" w:right="147"/>
              <w:jc w:val="center"/>
              <w:rPr>
                <w:rFonts w:ascii="Times New Roman"/>
                <w:sz w:val="19"/>
              </w:rPr>
            </w:pPr>
            <w:r>
              <w:rPr>
                <w:rFonts w:ascii="Times New Roman"/>
                <w:spacing w:val="-2"/>
                <w:sz w:val="19"/>
              </w:rPr>
              <w:t>T-periods</w:t>
            </w:r>
          </w:p>
        </w:tc>
        <w:tc>
          <w:tcPr>
            <w:tcW w:w="1260" w:type="dxa"/>
            <w:tcBorders>
              <w:top w:val="single" w:sz="4" w:space="0" w:color="000000"/>
            </w:tcBorders>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top w:val="single" w:sz="4" w:space="0" w:color="000000"/>
              <w:bottom w:val="single" w:sz="4" w:space="0" w:color="000000"/>
              <w:right w:val="single" w:sz="4" w:space="0" w:color="000000"/>
            </w:tcBorders>
          </w:tcPr>
          <w:p>
            <w:pPr>
              <w:pStyle w:val="TableParagraph"/>
              <w:rPr>
                <w:rFonts w:ascii="Times New Roman"/>
                <w:sz w:val="18"/>
              </w:rPr>
            </w:pP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888" w:type="dxa"/>
            <w:tcBorders>
              <w:left w:val="single" w:sz="4" w:space="0" w:color="000000"/>
              <w:right w:val="nil"/>
            </w:tcBorders>
          </w:tcPr>
          <w:p>
            <w:pPr>
              <w:pStyle w:val="TableParagraph"/>
              <w:ind w:left="3" w:right="14"/>
              <w:jc w:val="center"/>
              <w:rPr>
                <w:rFonts w:ascii="Times New Roman"/>
                <w:sz w:val="20"/>
              </w:rPr>
            </w:pPr>
            <w:r>
              <w:rPr>
                <w:rFonts w:ascii="Times New Roman"/>
                <w:spacing w:val="-2"/>
                <w:sz w:val="20"/>
              </w:rPr>
              <w:t>0.0325</w:t>
            </w:r>
          </w:p>
          <w:p>
            <w:pPr>
              <w:pStyle w:val="TableParagraph"/>
              <w:spacing w:before="5"/>
              <w:rPr>
                <w:rFonts w:ascii="Times New Roman"/>
                <w:b/>
                <w:i/>
                <w:sz w:val="20"/>
              </w:rPr>
            </w:pPr>
          </w:p>
          <w:p>
            <w:pPr>
              <w:pStyle w:val="TableParagraph"/>
              <w:spacing w:before="1"/>
              <w:ind w:left="2" w:right="14"/>
              <w:jc w:val="center"/>
              <w:rPr>
                <w:rFonts w:ascii="Times New Roman"/>
                <w:sz w:val="20"/>
              </w:rPr>
            </w:pPr>
            <w:r>
              <w:rPr>
                <w:rFonts w:ascii="Times New Roman"/>
                <w:spacing w:val="-2"/>
                <w:sz w:val="20"/>
              </w:rPr>
              <w:t>(0.0208)</w:t>
            </w:r>
          </w:p>
          <w:p>
            <w:pPr>
              <w:pStyle w:val="TableParagraph"/>
              <w:spacing w:before="3"/>
              <w:rPr>
                <w:rFonts w:ascii="Times New Roman"/>
                <w:b/>
                <w:i/>
                <w:sz w:val="20"/>
              </w:rPr>
            </w:pPr>
          </w:p>
          <w:p>
            <w:pPr>
              <w:pStyle w:val="TableParagraph"/>
              <w:ind w:left="13" w:right="14"/>
              <w:jc w:val="center"/>
              <w:rPr>
                <w:rFonts w:ascii="Times New Roman"/>
                <w:sz w:val="20"/>
              </w:rPr>
            </w:pPr>
            <w:r>
              <w:rPr>
                <w:rFonts w:ascii="Times New Roman"/>
                <w:spacing w:val="-2"/>
                <w:sz w:val="20"/>
              </w:rPr>
              <w:t>{0.1190}</w:t>
            </w:r>
          </w:p>
        </w:tc>
      </w:tr>
      <w:tr>
        <w:trPr>
          <w:trHeight w:val="1274" w:hRule="atLeast"/>
        </w:trPr>
        <w:tc>
          <w:tcPr>
            <w:tcW w:w="1634" w:type="dxa"/>
            <w:tcBorders>
              <w:top w:val="single" w:sz="4" w:space="0" w:color="000000"/>
              <w:left w:val="nil"/>
              <w:bottom w:val="single" w:sz="4" w:space="0" w:color="000000"/>
            </w:tcBorders>
          </w:tcPr>
          <w:p>
            <w:pPr>
              <w:pStyle w:val="TableParagraph"/>
              <w:ind w:left="162" w:right="143"/>
              <w:jc w:val="center"/>
              <w:rPr>
                <w:rFonts w:ascii="Times New Roman"/>
                <w:sz w:val="19"/>
              </w:rPr>
            </w:pPr>
            <w:r>
              <w:rPr/>
              <mc:AlternateContent>
                <mc:Choice Requires="wps">
                  <w:drawing>
                    <wp:anchor distT="0" distB="0" distL="0" distR="0" allowOverlap="1" layoutInCell="1" locked="0" behindDoc="1" simplePos="0" relativeHeight="477737984">
                      <wp:simplePos x="0" y="0"/>
                      <wp:positionH relativeFrom="column">
                        <wp:posOffset>188239</wp:posOffset>
                      </wp:positionH>
                      <wp:positionV relativeFrom="paragraph">
                        <wp:posOffset>174487</wp:posOffset>
                      </wp:positionV>
                      <wp:extent cx="4933315" cy="497649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4933315" cy="4976495"/>
                                <a:chExt cx="4933315" cy="4976495"/>
                              </a:xfrm>
                            </wpg:grpSpPr>
                            <wps:wsp>
                              <wps:cNvPr id="163" name="Graphic 163"/>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64" name="Image 164"/>
                                <pic:cNvPicPr/>
                              </pic:nvPicPr>
                              <pic:blipFill>
                                <a:blip r:embed="rId9" cstate="print"/>
                                <a:stretch>
                                  <a:fillRect/>
                                </a:stretch>
                              </pic:blipFill>
                              <pic:spPr>
                                <a:xfrm>
                                  <a:off x="1248333" y="3743197"/>
                                  <a:ext cx="221995" cy="221614"/>
                                </a:xfrm>
                                <a:prstGeom prst="rect">
                                  <a:avLst/>
                                </a:prstGeom>
                              </pic:spPr>
                            </pic:pic>
                            <wps:wsp>
                              <wps:cNvPr id="165" name="Graphic 165"/>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822pt;margin-top:13.739155pt;width:388.45pt;height:391.85pt;mso-position-horizontal-relative:column;mso-position-vertical-relative:paragraph;z-index:-25578496" id="docshapegroup28" coordorigin="296,275" coordsize="7769,7837">
                      <v:shape style="position:absolute;left:296;top:6093;width:2142;height:2018" id="docshape29" coordorigin="296,6094" coordsize="2142,2018" path="m1718,7804l1717,7762,1710,7719,1698,7675,1681,7630,1660,7584,1633,7537,1602,7490,1566,7443,1525,7395,1479,7346,824,6692,819,6688,809,6684,799,6685,793,6687,787,6690,780,6694,773,6699,765,6706,747,6724,736,6738,732,6746,729,6752,727,6757,725,6764,726,6768,729,6778,733,6783,1388,7438,1422,7474,1452,7508,1479,7542,1502,7575,1521,7607,1537,7638,1550,7668,1559,7697,1564,7726,1566,7753,1565,7779,1560,7805,1552,7829,1540,7852,1525,7873,1507,7894,1487,7912,1465,7926,1442,7937,1418,7945,1393,7950,1366,7951,1338,7949,1310,7943,1280,7934,1249,7922,1217,7906,1184,7886,1150,7862,1115,7835,1079,7804,1043,7768,395,7120,390,7117,381,7113,376,7113,370,7114,365,7116,358,7119,351,7123,336,7135,318,7152,312,7161,307,7167,300,7181,298,7186,296,7193,297,7197,300,7207,304,7212,969,7877,1018,7923,1066,7964,1113,8001,1160,8032,1206,8058,1251,8078,1294,8094,1336,8104,1377,8111,1417,8112,1455,8108,1493,8100,1528,8087,1561,8069,1593,8047,1622,8021,1651,7989,1675,7955,1693,7920,1706,7882,1715,7844,1718,7804xm2438,7031l2431,6978,2418,6922,2398,6866,2371,6808,2339,6748,2300,6687,2281,6661,2281,7009,2281,7048,2274,7085,2261,7120,2241,7153,2214,7184,2183,7211,2150,7231,2116,7245,2081,7252,2045,7254,2007,7251,1968,7242,1928,7228,1887,7209,1845,7186,1802,7158,1758,7126,1713,7090,1668,7051,1622,7008,1575,6963,1534,6920,1495,6877,1458,6834,1424,6790,1393,6747,1366,6704,1344,6661,1326,6619,1311,6579,1302,6539,1298,6500,1299,6462,1305,6425,1318,6390,1338,6358,1365,6327,1395,6300,1427,6280,1461,6266,1497,6259,1534,6257,1572,6260,1611,6269,1651,6283,1692,6302,1734,6324,1777,6351,1821,6383,1865,6418,1910,6457,1955,6498,2000,6542,2042,6585,2081,6628,2118,6672,2153,6716,2184,6760,2211,6803,2234,6846,2253,6888,2268,6929,2277,6970,2281,7009,2281,6661,2255,6625,2205,6562,2149,6499,2087,6435,2023,6373,1960,6317,1899,6267,1885,6257,1839,6223,1781,6185,1724,6154,1669,6130,1615,6111,1563,6099,1513,6094,1465,6095,1418,6103,1372,6116,1329,6137,1288,6165,1250,6200,1213,6241,1185,6284,1164,6329,1150,6377,1144,6427,1143,6479,1149,6532,1163,6587,1183,6643,1208,6701,1240,6761,1279,6821,1323,6883,1373,6945,1428,7007,1488,7070,1553,7133,1617,7190,1679,7240,1739,7285,1798,7323,1855,7355,1911,7380,1964,7399,2016,7411,2066,7417,2115,7416,2162,7409,2208,7395,2251,7374,2293,7346,2333,7311,2368,7270,2379,7254,2397,7227,2418,7181,2431,7133,2438,7083,2438,7031xe" filled="true" fillcolor="#c0c0c0" stroked="false">
                        <v:path arrowok="t"/>
                        <v:fill opacity="32896f" type="solid"/>
                      </v:shape>
                      <v:shape style="position:absolute;left:2262;top:6169;width:350;height:349" type="#_x0000_t75" id="docshape30" stroked="false">
                        <v:imagedata r:id="rId9" o:title=""/>
                      </v:shape>
                      <v:shape style="position:absolute;left:2056;top:274;width:6009;height:6216" id="docshape31" coordorigin="2057,275" coordsize="6009,6216" path="m3193,6410l3193,6406,3190,6396,3186,6391,3182,6387,2155,5360,2150,5357,2141,5353,2136,5353,2130,5354,2124,5356,2119,5359,2111,5363,2104,5368,2096,5375,2079,5392,2068,5406,2060,5420,2058,5426,2057,5432,2057,5437,2060,5447,2063,5452,3094,6483,3099,6487,3109,6490,3113,6490,3119,6488,3125,6487,3131,6484,3139,6480,3146,6475,3154,6468,3171,6450,3178,6442,3183,6435,3187,6428,3190,6422,3191,6416,3193,6410xm3468,6130l3467,6126,3465,6121,3461,6116,3457,6112,3073,5728,3152,5650,3181,5617,3185,5612,3205,5584,3224,5550,3237,5515,3246,5479,3250,5444,3250,5405,3245,5367,3236,5328,3223,5289,3206,5249,3184,5209,3158,5168,3129,5128,3098,5091,3098,5399,3097,5421,3093,5444,3085,5465,3074,5487,3059,5508,3040,5529,2957,5612,2530,5185,2615,5100,2627,5088,2640,5077,2654,5067,2669,5057,2685,5049,2703,5043,2723,5038,2744,5036,2767,5037,2792,5042,2819,5050,2848,5062,2878,5079,2908,5100,2940,5125,2972,5156,2995,5180,3016,5204,3034,5229,3051,5253,3065,5278,3077,5303,3086,5328,3093,5352,3097,5375,3098,5399,3098,5091,3095,5088,3057,5047,3046,5036,3027,5019,2997,4993,2967,4969,2936,4948,2906,4930,2876,4915,2847,4903,2818,4892,2789,4884,2760,4879,2732,4877,2704,4877,2678,4880,2654,4884,2632,4891,2612,4899,2594,4908,2578,4917,2564,4926,2551,4935,2539,4944,2528,4954,2516,4965,2505,4976,2357,5123,2352,5131,2348,5140,2346,5150,2346,5162,2350,5175,2357,5189,2367,5204,2382,5220,3365,6204,3369,6208,3374,6211,3379,6213,3384,6215,3389,6215,3394,6213,3400,6212,3407,6209,3414,6204,3421,6199,3429,6193,3447,6175,3453,6167,3458,6160,3463,6153,3465,6147,3466,6140,3468,6136,3468,6130xm4161,5442l4161,5438,4158,5428,4154,5423,3226,4495,3423,4298,3425,4295,3425,4290,3424,4285,3423,4280,3420,4273,3417,4267,3412,4260,3390,4234,3379,4224,3368,4213,3359,4204,3342,4190,3334,4184,3321,4178,3316,4176,3306,4176,3303,4178,2817,4664,2815,4667,2816,4672,2815,4677,2817,4682,2824,4695,2829,4702,2836,4710,2843,4720,2852,4729,2873,4751,2883,4759,2891,4765,2899,4772,2907,4778,2919,4784,2924,4785,2929,4785,2934,4786,2937,4784,3134,4587,4062,5515,4067,5518,4077,5522,4081,5522,4087,5520,4093,5519,4107,5512,4122,5500,4140,5482,4146,5474,4151,5467,4155,5460,4158,5454,4159,5448,4161,5442xm4694,4910l4693,4905,4690,4896,4686,4891,3758,3963,3955,3766,3957,3763,3957,3757,3956,3747,3950,3735,3944,3727,3937,3720,3922,3702,3911,3691,3901,3681,3874,3657,3867,3652,3854,3645,3848,3644,3843,3644,3838,3644,3835,3646,3350,4131,3348,4135,3348,4139,3348,4144,3350,4149,3356,4162,3362,4170,3369,4178,3376,4187,3384,4197,3406,4218,3415,4227,3424,4233,3432,4240,3439,4246,3452,4251,3456,4253,3462,4253,3466,4253,3470,4251,3667,4055,4595,4983,4599,4986,4609,4990,4614,4990,4619,4988,4625,4987,4639,4979,4646,4974,4654,4968,4672,4950,4684,4935,4690,4922,4692,4915,4694,4910xm5400,4069l5393,4016,5379,3961,5359,3904,5333,3846,5301,3787,5262,3726,5243,3700,5243,4048,5243,4086,5236,4123,5223,4158,5202,4191,5176,4222,5145,4249,5112,4270,5078,4284,5043,4291,5006,4293,4969,4289,4930,4281,4889,4266,4848,4247,4806,4224,4764,4196,4720,4164,4675,4128,4629,4089,4583,4047,4537,4001,4495,3958,4457,3915,4420,3872,4385,3828,4354,3785,4328,3742,4306,3700,4287,3658,4273,3617,4264,3577,4260,3538,4261,3500,4267,3463,4280,3429,4300,3396,4326,3365,4357,3338,4389,3318,4423,3304,4459,3297,4496,3295,4534,3299,4573,3307,4613,3321,4654,3340,4696,3363,4739,3390,4782,3421,4827,3457,4871,3495,4916,3536,4961,3580,5003,3623,5043,3667,5080,3711,5115,3754,5146,3798,5173,3842,5196,3884,5215,3926,5229,3968,5239,4008,5243,4048,5243,3700,5217,3664,5167,3601,5110,3537,5049,3473,4984,3411,4922,3355,4861,3305,4847,3295,4801,3261,4742,3224,4685,3193,4630,3168,4577,3149,4525,3137,4475,3132,4426,3134,4379,3141,4334,3155,4291,3176,4250,3204,4211,3238,4175,3279,4147,3322,4125,3367,4112,3415,4105,3465,4105,3517,4111,3570,4124,3625,4144,3681,4170,3740,4202,3799,4240,3859,4285,3921,4334,3983,4389,4045,4450,4108,4515,4171,4578,4228,4640,4278,4701,4323,4760,4361,4817,4393,4872,4418,4926,4437,4977,4450,5028,4455,5076,4454,5124,4447,5169,4434,5213,4413,5254,4384,5294,4349,5330,4308,5340,4293,5359,4265,5380,4219,5393,4171,5400,4121,5400,4069xm6352,3142l6352,3114,6351,3104,6350,3095,6348,3086,6346,3080,6341,3068,6338,3063,6334,3057,6312,3031,6296,3015,6278,2998,6255,2977,6241,2967,6236,2964,6231,2962,6225,2962,6222,2964,6214,2972,6211,2984,6213,3004,6214,3019,6214,3036,6213,3054,6212,3074,6210,3095,6207,3116,6201,3139,6195,3162,6185,3185,6173,3207,6157,3229,6138,3250,6113,3272,6085,3289,6055,3302,6024,3310,5990,3314,5955,3313,5918,3307,5880,3296,5839,3281,5798,3261,5754,3236,5709,3206,5662,3172,5615,3134,5566,3090,5516,3042,5467,2991,5423,2942,5384,2893,5349,2845,5319,2799,5293,2754,5272,2711,5256,2670,5243,2630,5236,2592,5234,2555,5236,2521,5243,2489,5255,2460,5271,2433,5293,2409,5314,2390,5335,2373,5358,2361,5381,2352,5404,2346,5426,2341,5447,2338,5468,2336,5487,2335,5522,2336,5537,2337,5557,2339,5570,2338,5577,2330,5578,2326,5578,2321,5577,2317,5575,2312,5568,2298,5556,2282,5540,2264,5511,2235,5495,2221,5488,2217,5482,2211,5471,2204,5459,2199,5451,2196,5439,2194,5428,2192,5416,2191,5385,2192,5366,2193,5348,2196,5330,2199,5311,2204,5292,2210,5274,2217,5255,2225,5237,2234,5219,2244,5202,2256,5186,2269,5170,2284,5139,2319,5115,2358,5097,2400,5085,2445,5079,2493,5080,2543,5086,2596,5099,2650,5118,2708,5144,2766,5175,2827,5213,2889,5257,2952,5307,3016,5364,3081,5427,3147,5491,3209,5554,3264,5616,3312,5676,3355,5735,3391,5792,3421,5848,3445,5902,3463,5953,3475,6003,3480,6050,3480,6096,3473,6139,3461,6179,3442,6217,3417,6252,3387,6270,3367,6287,3346,6301,3325,6313,3304,6323,3281,6331,3260,6338,3239,6343,3218,6347,3198,6350,3178,6352,3160,6352,3142xm6952,2517l6946,2463,6932,2408,6912,2351,6886,2293,6853,2234,6815,2173,6796,2147,6796,2495,6795,2534,6789,2570,6775,2605,6755,2638,6728,2669,6697,2697,6665,2717,6631,2731,6595,2738,6559,2740,6521,2737,6482,2728,6442,2714,6401,2695,6359,2672,6316,2644,6272,2611,6227,2575,6182,2536,6136,2494,6089,2449,6048,2406,6009,2363,5973,2320,5938,2276,5907,2232,5880,2190,5858,2147,5840,2105,5826,2064,5817,2024,5813,1985,5813,1947,5819,1911,5832,1876,5852,1843,5879,1813,5910,1786,5942,1765,5976,1752,6011,1744,6048,1743,6086,1746,6125,1755,6165,1768,6207,1787,6249,1810,6291,1837,6335,1869,6379,1904,6424,1942,6469,1984,6514,2027,6556,2071,6595,2114,6632,2158,6667,2202,6699,2246,6726,2289,6748,2332,6767,2373,6782,2415,6791,2456,6796,2495,6796,2147,6770,2111,6719,2048,6663,1985,6601,1920,6537,1859,6474,1803,6413,1753,6400,1743,6353,1709,6295,1671,6238,1640,6183,1615,6129,1597,6078,1585,6027,1580,5979,1581,5932,1588,5887,1602,5844,1623,5803,1651,5764,1686,5728,1726,5699,1769,5678,1815,5664,1862,5658,1913,5658,1964,5664,2018,5677,2072,5697,2129,5723,2187,5755,2246,5793,2307,5837,2368,5887,2430,5942,2493,6002,2556,6067,2619,6131,2675,6193,2726,6253,2770,6312,2809,6370,2841,6425,2866,6479,2885,6530,2897,6580,2903,6629,2902,6676,2895,6722,2881,6766,2860,6807,2832,6847,2796,6883,2756,6893,2740,6911,2712,6932,2667,6945,2619,6952,2569,6952,2517xm7373,2226l7371,2221,7369,2216,7366,2211,6978,1824,7056,1745,7086,1713,7090,1707,7110,1679,7129,1645,7142,1610,7150,1574,7155,1539,7155,1500,7150,1462,7141,1423,7128,1384,7111,1344,7089,1304,7063,1264,7033,1223,7003,1187,7003,1494,7001,1517,6997,1539,6990,1561,6978,1582,6963,1604,6945,1625,6862,1707,6434,1280,6519,1195,6531,1184,6544,1173,6559,1162,6574,1153,6590,1144,6608,1138,6627,1134,6649,1132,6672,1133,6697,1137,6724,1146,6753,1158,6782,1174,6813,1195,6845,1221,6877,1251,6900,1275,6920,1299,6939,1324,6956,1349,6970,1374,6981,1399,6991,1423,6997,1447,7001,1471,7003,1494,7003,1187,7000,1183,6962,1143,6950,1132,6932,1114,6901,1088,6871,1065,6841,1043,6811,1025,6781,1010,6751,998,6722,987,6693,980,6665,975,6637,972,6609,972,6582,975,6558,979,6536,986,6516,994,6499,1004,6483,1013,6468,1022,6456,1030,6444,1040,6432,1050,6421,1060,6410,1071,6262,1219,6256,1226,6253,1235,6251,1246,6251,1258,6254,1271,6261,1285,6272,1300,6287,1316,7270,2299,7274,2303,7279,2307,7288,2310,7293,2310,7299,2308,7305,2307,7319,2300,7326,2295,7333,2289,7351,2270,7358,2262,7363,2255,7367,2248,7370,2242,7371,2236,7373,2231,7373,2226xm8065,1538l8065,1533,8062,1524,8058,1519,7661,1122,7587,978,7366,543,7255,326,7239,297,7234,290,7227,282,7221,278,7208,275,7200,278,7191,283,7184,288,7168,303,7150,321,7143,330,7133,343,7130,350,7128,354,7127,360,7127,366,7129,371,7131,378,7134,383,7138,390,7174,457,7279,660,7350,794,7449,972,7484,1031,7483,1032,7242,898,7175,862,6840,687,6832,683,6826,681,6821,678,6815,677,6803,679,6798,681,6791,685,6767,704,6744,727,6736,737,6724,752,6721,759,6724,773,6728,779,6743,791,6752,796,6773,808,6918,882,7352,1103,7570,1214,7966,1611,7971,1614,7976,1616,7980,1618,7985,1618,7991,1616,7997,1615,8011,1607,8018,1603,8025,1596,8043,1579,8050,1570,8055,1564,8059,1556,8062,1550,8063,1543,8065,1538xe" filled="true" fillcolor="#c0c0c0" stroked="false">
                        <v:path arrowok="t"/>
                        <v:fill opacity="32896f" type="solid"/>
                      </v:shape>
                      <w10:wrap type="none"/>
                    </v:group>
                  </w:pict>
                </mc:Fallback>
              </mc:AlternateContent>
            </w:r>
            <w:r>
              <w:rPr>
                <w:rFonts w:ascii="Times New Roman"/>
                <w:spacing w:val="-4"/>
                <w:sz w:val="19"/>
              </w:rPr>
              <w:t>IFRS</w:t>
            </w:r>
          </w:p>
        </w:tc>
        <w:tc>
          <w:tcPr>
            <w:tcW w:w="1260" w:type="dxa"/>
            <w:tcBorders>
              <w:right w:val="single" w:sz="4" w:space="0" w:color="000000"/>
            </w:tcBorders>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top w:val="single" w:sz="4" w:space="0" w:color="000000"/>
              <w:left w:val="single" w:sz="4" w:space="0" w:color="000000"/>
              <w:bottom w:val="single" w:sz="4" w:space="0" w:color="000000"/>
              <w:right w:val="single" w:sz="4" w:space="0" w:color="000000"/>
            </w:tcBorders>
          </w:tcPr>
          <w:p>
            <w:pPr>
              <w:pStyle w:val="TableParagraph"/>
              <w:ind w:left="451" w:right="451"/>
              <w:jc w:val="center"/>
              <w:rPr>
                <w:rFonts w:ascii="Times New Roman"/>
                <w:sz w:val="19"/>
              </w:rPr>
            </w:pPr>
            <w:r>
              <w:rPr>
                <w:rFonts w:ascii="Times New Roman"/>
                <w:spacing w:val="-2"/>
                <w:sz w:val="19"/>
              </w:rPr>
              <w:t>-0.0672</w:t>
            </w:r>
          </w:p>
          <w:p>
            <w:pPr>
              <w:pStyle w:val="TableParagraph"/>
              <w:spacing w:before="110"/>
              <w:ind w:left="451" w:right="451"/>
              <w:jc w:val="center"/>
              <w:rPr>
                <w:rFonts w:ascii="Times New Roman"/>
                <w:sz w:val="19"/>
              </w:rPr>
            </w:pPr>
            <w:r>
              <w:rPr>
                <w:rFonts w:ascii="Times New Roman"/>
                <w:spacing w:val="-2"/>
                <w:sz w:val="19"/>
              </w:rPr>
              <w:t>(0.0561)</w:t>
            </w:r>
          </w:p>
          <w:p>
            <w:pPr>
              <w:pStyle w:val="TableParagraph"/>
              <w:spacing w:before="108"/>
              <w:ind w:left="450" w:right="451"/>
              <w:jc w:val="center"/>
              <w:rPr>
                <w:rFonts w:ascii="Times New Roman"/>
                <w:sz w:val="19"/>
              </w:rPr>
            </w:pPr>
            <w:r>
              <w:rPr>
                <w:rFonts w:ascii="Times New Roman"/>
                <w:spacing w:val="-2"/>
                <w:sz w:val="19"/>
              </w:rPr>
              <w:t>{0.2327}</w:t>
            </w:r>
          </w:p>
        </w:tc>
        <w:tc>
          <w:tcPr>
            <w:tcW w:w="1800" w:type="dxa"/>
            <w:tcBorders>
              <w:top w:val="single" w:sz="4" w:space="0" w:color="000000"/>
              <w:left w:val="single" w:sz="4" w:space="0" w:color="000000"/>
              <w:bottom w:val="single" w:sz="4" w:space="0" w:color="000000"/>
            </w:tcBorders>
          </w:tcPr>
          <w:p>
            <w:pPr>
              <w:pStyle w:val="TableParagraph"/>
              <w:ind w:left="173" w:right="174"/>
              <w:jc w:val="center"/>
              <w:rPr>
                <w:rFonts w:ascii="Times New Roman"/>
                <w:sz w:val="19"/>
              </w:rPr>
            </w:pPr>
            <w:r>
              <w:rPr>
                <w:rFonts w:ascii="Times New Roman"/>
                <w:spacing w:val="-2"/>
                <w:sz w:val="19"/>
              </w:rPr>
              <w:t>0.0458</w:t>
            </w:r>
          </w:p>
          <w:p>
            <w:pPr>
              <w:pStyle w:val="TableParagraph"/>
              <w:spacing w:before="110"/>
              <w:ind w:left="174" w:right="174"/>
              <w:jc w:val="center"/>
              <w:rPr>
                <w:rFonts w:ascii="Times New Roman"/>
                <w:sz w:val="19"/>
              </w:rPr>
            </w:pPr>
            <w:r>
              <w:rPr>
                <w:rFonts w:ascii="Times New Roman"/>
                <w:spacing w:val="-2"/>
                <w:sz w:val="19"/>
              </w:rPr>
              <w:t>(0.0599)</w:t>
            </w:r>
          </w:p>
          <w:p>
            <w:pPr>
              <w:pStyle w:val="TableParagraph"/>
              <w:spacing w:before="108"/>
              <w:ind w:left="174" w:right="174"/>
              <w:jc w:val="center"/>
              <w:rPr>
                <w:rFonts w:ascii="Times New Roman"/>
                <w:sz w:val="19"/>
              </w:rPr>
            </w:pPr>
            <w:r>
              <w:rPr>
                <w:rFonts w:ascii="Times New Roman"/>
                <w:spacing w:val="-2"/>
                <w:sz w:val="19"/>
              </w:rPr>
              <w:t>{0.4449}</w:t>
            </w:r>
          </w:p>
        </w:tc>
        <w:tc>
          <w:tcPr>
            <w:tcW w:w="1888" w:type="dxa"/>
            <w:tcBorders>
              <w:right w:val="nil"/>
            </w:tcBorders>
          </w:tcPr>
          <w:p>
            <w:pPr>
              <w:pStyle w:val="TableParagraph"/>
              <w:spacing w:line="484" w:lineRule="auto"/>
              <w:ind w:left="592" w:right="523" w:hanging="84"/>
              <w:rPr>
                <w:rFonts w:ascii="Times New Roman"/>
                <w:sz w:val="20"/>
              </w:rPr>
            </w:pPr>
            <w:r>
              <w:rPr>
                <w:rFonts w:ascii="Times New Roman"/>
                <w:spacing w:val="-2"/>
                <w:sz w:val="20"/>
              </w:rPr>
              <w:t>0.0886*** (0.0220)</w:t>
            </w:r>
          </w:p>
          <w:p>
            <w:pPr>
              <w:pStyle w:val="TableParagraph"/>
              <w:ind w:left="568"/>
              <w:rPr>
                <w:rFonts w:ascii="Times New Roman"/>
                <w:sz w:val="20"/>
              </w:rPr>
            </w:pPr>
            <w:r>
              <w:rPr>
                <w:rFonts w:ascii="Times New Roman"/>
                <w:spacing w:val="-2"/>
                <w:sz w:val="20"/>
              </w:rPr>
              <w:t>{0.0001}</w:t>
            </w:r>
          </w:p>
        </w:tc>
      </w:tr>
      <w:tr>
        <w:trPr>
          <w:trHeight w:val="1273" w:hRule="atLeast"/>
        </w:trPr>
        <w:tc>
          <w:tcPr>
            <w:tcW w:w="1634" w:type="dxa"/>
            <w:tcBorders>
              <w:top w:val="single" w:sz="4" w:space="0" w:color="000000"/>
              <w:left w:val="nil"/>
              <w:bottom w:val="single" w:sz="4" w:space="0" w:color="000000"/>
            </w:tcBorders>
          </w:tcPr>
          <w:p>
            <w:pPr>
              <w:pStyle w:val="TableParagraph"/>
              <w:ind w:left="162" w:right="145"/>
              <w:jc w:val="center"/>
              <w:rPr>
                <w:rFonts w:ascii="Times New Roman"/>
                <w:sz w:val="19"/>
              </w:rPr>
            </w:pPr>
            <w:r>
              <w:rPr>
                <w:rFonts w:ascii="Times New Roman"/>
                <w:spacing w:val="-5"/>
                <w:sz w:val="19"/>
              </w:rPr>
              <w:t>DID</w:t>
            </w:r>
          </w:p>
        </w:tc>
        <w:tc>
          <w:tcPr>
            <w:tcW w:w="1260" w:type="dxa"/>
            <w:tcBorders>
              <w:right w:val="single" w:sz="4" w:space="0" w:color="000000"/>
            </w:tcBorders>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80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888" w:type="dxa"/>
            <w:tcBorders>
              <w:left w:val="single" w:sz="4" w:space="0" w:color="000000"/>
              <w:right w:val="nil"/>
            </w:tcBorders>
          </w:tcPr>
          <w:p>
            <w:pPr>
              <w:pStyle w:val="TableParagraph"/>
              <w:spacing w:line="484" w:lineRule="auto"/>
              <w:ind w:left="592" w:right="523" w:hanging="68"/>
              <w:rPr>
                <w:rFonts w:ascii="Times New Roman"/>
                <w:sz w:val="20"/>
              </w:rPr>
            </w:pPr>
            <w:r>
              <w:rPr>
                <w:rFonts w:ascii="Times New Roman"/>
                <w:spacing w:val="-2"/>
                <w:sz w:val="20"/>
              </w:rPr>
              <w:t>-0.0612** (0.0296)</w:t>
            </w:r>
          </w:p>
          <w:p>
            <w:pPr>
              <w:pStyle w:val="TableParagraph"/>
              <w:spacing w:line="230" w:lineRule="exact"/>
              <w:ind w:left="568"/>
              <w:rPr>
                <w:rFonts w:ascii="Times New Roman"/>
                <w:sz w:val="20"/>
              </w:rPr>
            </w:pPr>
            <w:r>
              <w:rPr>
                <w:rFonts w:ascii="Times New Roman"/>
                <w:spacing w:val="-2"/>
                <w:sz w:val="20"/>
              </w:rPr>
              <w:t>{0.0398}</w:t>
            </w:r>
          </w:p>
        </w:tc>
      </w:tr>
      <w:tr>
        <w:trPr>
          <w:trHeight w:val="1274" w:hRule="atLeast"/>
        </w:trPr>
        <w:tc>
          <w:tcPr>
            <w:tcW w:w="1634" w:type="dxa"/>
            <w:tcBorders>
              <w:top w:val="single" w:sz="4" w:space="0" w:color="000000"/>
              <w:left w:val="nil"/>
            </w:tcBorders>
          </w:tcPr>
          <w:p>
            <w:pPr>
              <w:pStyle w:val="TableParagraph"/>
              <w:ind w:left="162" w:right="145"/>
              <w:jc w:val="center"/>
              <w:rPr>
                <w:rFonts w:ascii="Times New Roman"/>
                <w:sz w:val="19"/>
              </w:rPr>
            </w:pPr>
            <w:r>
              <w:rPr>
                <w:rFonts w:ascii="Times New Roman"/>
                <w:spacing w:val="-5"/>
                <w:sz w:val="19"/>
              </w:rPr>
              <w:t>BDS</w:t>
            </w:r>
          </w:p>
        </w:tc>
        <w:tc>
          <w:tcPr>
            <w:tcW w:w="1260" w:type="dxa"/>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top w:val="single" w:sz="4" w:space="0" w:color="000000"/>
            </w:tcBorders>
          </w:tcPr>
          <w:p>
            <w:pPr>
              <w:pStyle w:val="TableParagraph"/>
              <w:ind w:left="451" w:right="451"/>
              <w:jc w:val="center"/>
              <w:rPr>
                <w:rFonts w:ascii="Times New Roman"/>
                <w:sz w:val="19"/>
              </w:rPr>
            </w:pPr>
            <w:r>
              <w:rPr>
                <w:rFonts w:ascii="Times New Roman"/>
                <w:spacing w:val="-2"/>
                <w:sz w:val="19"/>
              </w:rPr>
              <w:t>-0.0009</w:t>
            </w:r>
          </w:p>
          <w:p>
            <w:pPr>
              <w:pStyle w:val="TableParagraph"/>
              <w:spacing w:before="110"/>
              <w:ind w:left="451" w:right="451"/>
              <w:jc w:val="center"/>
              <w:rPr>
                <w:rFonts w:ascii="Times New Roman"/>
                <w:sz w:val="19"/>
              </w:rPr>
            </w:pPr>
            <w:r>
              <w:rPr>
                <w:rFonts w:ascii="Times New Roman"/>
                <w:spacing w:val="-2"/>
                <w:sz w:val="19"/>
              </w:rPr>
              <w:t>(0.0013)</w:t>
            </w:r>
          </w:p>
          <w:p>
            <w:pPr>
              <w:pStyle w:val="TableParagraph"/>
              <w:spacing w:before="108"/>
              <w:ind w:left="450" w:right="451"/>
              <w:jc w:val="center"/>
              <w:rPr>
                <w:rFonts w:ascii="Times New Roman"/>
                <w:sz w:val="19"/>
              </w:rPr>
            </w:pPr>
            <w:r>
              <w:rPr>
                <w:rFonts w:ascii="Times New Roman"/>
                <w:spacing w:val="-2"/>
                <w:sz w:val="19"/>
              </w:rPr>
              <w:t>{0.5163}</w:t>
            </w:r>
          </w:p>
        </w:tc>
        <w:tc>
          <w:tcPr>
            <w:tcW w:w="1800" w:type="dxa"/>
            <w:tcBorders>
              <w:top w:val="single" w:sz="4" w:space="0" w:color="000000"/>
              <w:right w:val="single" w:sz="4" w:space="0" w:color="000000"/>
            </w:tcBorders>
          </w:tcPr>
          <w:p>
            <w:pPr>
              <w:pStyle w:val="TableParagraph"/>
              <w:ind w:left="173" w:right="174"/>
              <w:jc w:val="center"/>
              <w:rPr>
                <w:rFonts w:ascii="Times New Roman"/>
                <w:sz w:val="19"/>
              </w:rPr>
            </w:pPr>
            <w:r>
              <w:rPr>
                <w:rFonts w:ascii="Times New Roman"/>
                <w:spacing w:val="-2"/>
                <w:sz w:val="19"/>
              </w:rPr>
              <w:t>0.0016</w:t>
            </w:r>
          </w:p>
          <w:p>
            <w:pPr>
              <w:pStyle w:val="TableParagraph"/>
              <w:spacing w:before="110"/>
              <w:ind w:left="174" w:right="174"/>
              <w:jc w:val="center"/>
              <w:rPr>
                <w:rFonts w:ascii="Times New Roman"/>
                <w:sz w:val="19"/>
              </w:rPr>
            </w:pPr>
            <w:r>
              <w:rPr>
                <w:rFonts w:ascii="Times New Roman"/>
                <w:spacing w:val="-2"/>
                <w:sz w:val="19"/>
              </w:rPr>
              <w:t>(0.0015)</w:t>
            </w:r>
          </w:p>
          <w:p>
            <w:pPr>
              <w:pStyle w:val="TableParagraph"/>
              <w:spacing w:before="108"/>
              <w:ind w:left="174" w:right="174"/>
              <w:jc w:val="center"/>
              <w:rPr>
                <w:rFonts w:ascii="Times New Roman"/>
                <w:sz w:val="19"/>
              </w:rPr>
            </w:pPr>
            <w:r>
              <w:rPr>
                <w:rFonts w:ascii="Times New Roman"/>
                <w:spacing w:val="-2"/>
                <w:sz w:val="19"/>
              </w:rPr>
              <w:t>{0.2783}</w:t>
            </w:r>
          </w:p>
        </w:tc>
        <w:tc>
          <w:tcPr>
            <w:tcW w:w="1888" w:type="dxa"/>
            <w:tcBorders>
              <w:left w:val="single" w:sz="4" w:space="0" w:color="000000"/>
              <w:right w:val="nil"/>
            </w:tcBorders>
          </w:tcPr>
          <w:p>
            <w:pPr>
              <w:pStyle w:val="TableParagraph"/>
              <w:spacing w:line="484" w:lineRule="auto"/>
              <w:ind w:left="592" w:hanging="17"/>
              <w:rPr>
                <w:rFonts w:ascii="Times New Roman"/>
                <w:sz w:val="20"/>
              </w:rPr>
            </w:pPr>
            <w:r>
              <w:rPr>
                <w:rFonts w:ascii="Times New Roman"/>
                <w:spacing w:val="-2"/>
                <w:sz w:val="20"/>
              </w:rPr>
              <w:t>-0.0026* (0.0014)</w:t>
            </w:r>
          </w:p>
          <w:p>
            <w:pPr>
              <w:pStyle w:val="TableParagraph"/>
              <w:spacing w:line="230" w:lineRule="exact"/>
              <w:ind w:left="568"/>
              <w:rPr>
                <w:rFonts w:ascii="Times New Roman"/>
                <w:sz w:val="20"/>
              </w:rPr>
            </w:pPr>
            <w:r>
              <w:rPr>
                <w:rFonts w:ascii="Times New Roman"/>
                <w:spacing w:val="-2"/>
                <w:sz w:val="20"/>
              </w:rPr>
              <w:t>{0.0628}</w:t>
            </w:r>
          </w:p>
        </w:tc>
      </w:tr>
      <w:tr>
        <w:trPr>
          <w:trHeight w:val="1274" w:hRule="atLeast"/>
        </w:trPr>
        <w:tc>
          <w:tcPr>
            <w:tcW w:w="1634" w:type="dxa"/>
            <w:tcBorders>
              <w:left w:val="nil"/>
            </w:tcBorders>
          </w:tcPr>
          <w:p>
            <w:pPr>
              <w:pStyle w:val="TableParagraph"/>
              <w:ind w:left="162" w:right="145"/>
              <w:jc w:val="center"/>
              <w:rPr>
                <w:rFonts w:ascii="Times New Roman"/>
                <w:sz w:val="19"/>
              </w:rPr>
            </w:pPr>
            <w:r>
              <w:rPr>
                <w:rFonts w:ascii="Times New Roman"/>
                <w:spacing w:val="-2"/>
                <w:sz w:val="19"/>
              </w:rPr>
              <w:t>BDIND</w:t>
            </w:r>
          </w:p>
        </w:tc>
        <w:tc>
          <w:tcPr>
            <w:tcW w:w="1260" w:type="dxa"/>
            <w:tcBorders>
              <w:right w:val="single" w:sz="4" w:space="0" w:color="000000"/>
            </w:tcBorders>
          </w:tcPr>
          <w:p>
            <w:pPr>
              <w:pStyle w:val="TableParagraph"/>
              <w:spacing w:before="110"/>
              <w:rPr>
                <w:rFonts w:ascii="Times New Roman"/>
                <w:b/>
                <w:i/>
                <w:sz w:val="19"/>
              </w:rPr>
            </w:pPr>
          </w:p>
          <w:p>
            <w:pPr>
              <w:pStyle w:val="TableParagraph"/>
              <w:ind w:left="485"/>
              <w:rPr>
                <w:rFonts w:ascii="Times New Roman"/>
                <w:sz w:val="19"/>
              </w:rPr>
            </w:pPr>
            <w:r>
              <w:rPr>
                <w:rFonts w:ascii="Times New Roman"/>
                <w:spacing w:val="-10"/>
                <w:sz w:val="19"/>
              </w:rPr>
              <w:t>+</w:t>
            </w:r>
          </w:p>
        </w:tc>
        <w:tc>
          <w:tcPr>
            <w:tcW w:w="1891" w:type="dxa"/>
            <w:tcBorders>
              <w:left w:val="single" w:sz="4" w:space="0" w:color="000000"/>
              <w:right w:val="single" w:sz="4" w:space="0" w:color="000000"/>
            </w:tcBorders>
          </w:tcPr>
          <w:p>
            <w:pPr>
              <w:pStyle w:val="TableParagraph"/>
              <w:ind w:left="451" w:right="451"/>
              <w:jc w:val="center"/>
              <w:rPr>
                <w:rFonts w:ascii="Times New Roman"/>
                <w:sz w:val="19"/>
              </w:rPr>
            </w:pPr>
            <w:r>
              <w:rPr>
                <w:rFonts w:ascii="Times New Roman"/>
                <w:spacing w:val="-2"/>
                <w:sz w:val="19"/>
              </w:rPr>
              <w:t>-0.0646</w:t>
            </w:r>
          </w:p>
          <w:p>
            <w:pPr>
              <w:pStyle w:val="TableParagraph"/>
              <w:spacing w:before="110"/>
              <w:ind w:left="451" w:right="451"/>
              <w:jc w:val="center"/>
              <w:rPr>
                <w:rFonts w:ascii="Times New Roman"/>
                <w:sz w:val="19"/>
              </w:rPr>
            </w:pPr>
            <w:r>
              <w:rPr>
                <w:rFonts w:ascii="Times New Roman"/>
                <w:spacing w:val="-2"/>
                <w:sz w:val="19"/>
              </w:rPr>
              <w:t>(0.0539)</w:t>
            </w:r>
          </w:p>
          <w:p>
            <w:pPr>
              <w:pStyle w:val="TableParagraph"/>
              <w:spacing w:before="108"/>
              <w:ind w:left="450" w:right="451"/>
              <w:jc w:val="center"/>
              <w:rPr>
                <w:rFonts w:ascii="Times New Roman"/>
                <w:sz w:val="19"/>
              </w:rPr>
            </w:pPr>
            <w:r>
              <w:rPr>
                <w:rFonts w:ascii="Times New Roman"/>
                <w:spacing w:val="-2"/>
                <w:sz w:val="19"/>
              </w:rPr>
              <w:t>{0.2330}</w:t>
            </w:r>
          </w:p>
        </w:tc>
        <w:tc>
          <w:tcPr>
            <w:tcW w:w="1800" w:type="dxa"/>
            <w:tcBorders>
              <w:left w:val="single" w:sz="4" w:space="0" w:color="000000"/>
              <w:right w:val="single" w:sz="4" w:space="0" w:color="000000"/>
            </w:tcBorders>
          </w:tcPr>
          <w:p>
            <w:pPr>
              <w:pStyle w:val="TableParagraph"/>
              <w:spacing w:line="362" w:lineRule="auto"/>
              <w:ind w:left="172" w:right="174"/>
              <w:jc w:val="center"/>
              <w:rPr>
                <w:rFonts w:ascii="Times New Roman"/>
                <w:sz w:val="19"/>
              </w:rPr>
            </w:pPr>
            <w:r>
              <w:rPr>
                <w:rFonts w:ascii="Times New Roman"/>
                <w:spacing w:val="-2"/>
                <w:sz w:val="19"/>
              </w:rPr>
              <w:t>-0.1743*** (0.0408)</w:t>
            </w:r>
          </w:p>
          <w:p>
            <w:pPr>
              <w:pStyle w:val="TableParagraph"/>
              <w:spacing w:line="214" w:lineRule="exact"/>
              <w:ind w:left="174" w:right="174"/>
              <w:jc w:val="center"/>
              <w:rPr>
                <w:rFonts w:ascii="Times New Roman"/>
                <w:sz w:val="19"/>
              </w:rPr>
            </w:pPr>
            <w:r>
              <w:rPr>
                <w:rFonts w:ascii="Times New Roman"/>
                <w:spacing w:val="-2"/>
                <w:sz w:val="19"/>
              </w:rPr>
              <w:t>{0.000}</w:t>
            </w:r>
          </w:p>
        </w:tc>
        <w:tc>
          <w:tcPr>
            <w:tcW w:w="1888" w:type="dxa"/>
            <w:tcBorders>
              <w:left w:val="single" w:sz="4" w:space="0" w:color="000000"/>
              <w:right w:val="nil"/>
            </w:tcBorders>
          </w:tcPr>
          <w:p>
            <w:pPr>
              <w:pStyle w:val="TableParagraph"/>
              <w:spacing w:line="487" w:lineRule="auto"/>
              <w:ind w:left="592" w:hanging="17"/>
              <w:rPr>
                <w:rFonts w:ascii="Times New Roman"/>
                <w:sz w:val="20"/>
              </w:rPr>
            </w:pPr>
            <w:r>
              <w:rPr>
                <w:rFonts w:ascii="Times New Roman"/>
                <w:spacing w:val="-2"/>
                <w:sz w:val="20"/>
              </w:rPr>
              <w:t>-0.0634* (0.0332)</w:t>
            </w:r>
          </w:p>
          <w:p>
            <w:pPr>
              <w:pStyle w:val="TableParagraph"/>
              <w:spacing w:line="225" w:lineRule="exact"/>
              <w:ind w:left="568"/>
              <w:rPr>
                <w:rFonts w:ascii="Times New Roman"/>
                <w:sz w:val="20"/>
              </w:rPr>
            </w:pPr>
            <w:r>
              <w:rPr>
                <w:rFonts w:ascii="Times New Roman"/>
                <w:spacing w:val="-2"/>
                <w:sz w:val="20"/>
              </w:rPr>
              <w:t>{0.0580}</w:t>
            </w:r>
          </w:p>
        </w:tc>
      </w:tr>
      <w:tr>
        <w:trPr>
          <w:trHeight w:val="1273" w:hRule="atLeast"/>
        </w:trPr>
        <w:tc>
          <w:tcPr>
            <w:tcW w:w="1634" w:type="dxa"/>
            <w:tcBorders>
              <w:left w:val="nil"/>
            </w:tcBorders>
          </w:tcPr>
          <w:p>
            <w:pPr>
              <w:pStyle w:val="TableParagraph"/>
              <w:ind w:left="162" w:right="145"/>
              <w:jc w:val="center"/>
              <w:rPr>
                <w:rFonts w:ascii="Times New Roman"/>
                <w:sz w:val="19"/>
              </w:rPr>
            </w:pPr>
            <w:r>
              <w:rPr>
                <w:rFonts w:ascii="Times New Roman"/>
                <w:spacing w:val="-2"/>
                <w:sz w:val="19"/>
              </w:rPr>
              <w:t>BFEXP</w:t>
            </w:r>
          </w:p>
        </w:tc>
        <w:tc>
          <w:tcPr>
            <w:tcW w:w="1260" w:type="dxa"/>
            <w:tcBorders>
              <w:right w:val="single" w:sz="4" w:space="0" w:color="000000"/>
            </w:tcBorders>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left w:val="single" w:sz="4" w:space="0" w:color="000000"/>
              <w:right w:val="single" w:sz="4" w:space="0" w:color="000000"/>
            </w:tcBorders>
          </w:tcPr>
          <w:p>
            <w:pPr>
              <w:pStyle w:val="TableParagraph"/>
              <w:ind w:left="598"/>
              <w:rPr>
                <w:rFonts w:ascii="Times New Roman"/>
                <w:sz w:val="19"/>
              </w:rPr>
            </w:pPr>
            <w:r>
              <w:rPr>
                <w:rFonts w:ascii="Times New Roman"/>
                <w:spacing w:val="-2"/>
                <w:sz w:val="19"/>
              </w:rPr>
              <w:t>-0.01458</w:t>
            </w:r>
          </w:p>
          <w:p>
            <w:pPr>
              <w:pStyle w:val="TableParagraph"/>
              <w:spacing w:before="110"/>
              <w:ind w:left="615"/>
              <w:rPr>
                <w:rFonts w:ascii="Times New Roman"/>
                <w:sz w:val="19"/>
              </w:rPr>
            </w:pPr>
            <w:r>
              <w:rPr>
                <w:rFonts w:ascii="Times New Roman"/>
                <w:spacing w:val="-2"/>
                <w:sz w:val="19"/>
              </w:rPr>
              <w:t>(0.0134)</w:t>
            </w:r>
          </w:p>
          <w:p>
            <w:pPr>
              <w:pStyle w:val="TableParagraph"/>
              <w:spacing w:before="108"/>
              <w:ind w:left="586"/>
              <w:rPr>
                <w:rFonts w:ascii="Times New Roman"/>
                <w:sz w:val="19"/>
              </w:rPr>
            </w:pPr>
            <w:r>
              <w:rPr>
                <w:rFonts w:ascii="Times New Roman"/>
                <w:spacing w:val="-2"/>
                <w:sz w:val="19"/>
              </w:rPr>
              <w:t>{0.2765}</w:t>
            </w:r>
          </w:p>
        </w:tc>
        <w:tc>
          <w:tcPr>
            <w:tcW w:w="1800" w:type="dxa"/>
            <w:tcBorders>
              <w:left w:val="single" w:sz="4" w:space="0" w:color="000000"/>
              <w:right w:val="single" w:sz="4" w:space="0" w:color="000000"/>
            </w:tcBorders>
          </w:tcPr>
          <w:p>
            <w:pPr>
              <w:pStyle w:val="TableParagraph"/>
              <w:ind w:left="173" w:right="174"/>
              <w:jc w:val="center"/>
              <w:rPr>
                <w:rFonts w:ascii="Times New Roman"/>
                <w:sz w:val="19"/>
              </w:rPr>
            </w:pPr>
            <w:r>
              <w:rPr>
                <w:rFonts w:ascii="Times New Roman"/>
                <w:spacing w:val="-2"/>
                <w:sz w:val="19"/>
              </w:rPr>
              <w:t>0.0110</w:t>
            </w:r>
          </w:p>
          <w:p>
            <w:pPr>
              <w:pStyle w:val="TableParagraph"/>
              <w:spacing w:before="110"/>
              <w:ind w:left="174" w:right="174"/>
              <w:jc w:val="center"/>
              <w:rPr>
                <w:rFonts w:ascii="Times New Roman"/>
                <w:sz w:val="19"/>
              </w:rPr>
            </w:pPr>
            <w:r>
              <w:rPr>
                <w:rFonts w:ascii="Times New Roman"/>
                <w:spacing w:val="-2"/>
                <w:sz w:val="19"/>
              </w:rPr>
              <w:t>(0.0363)</w:t>
            </w:r>
          </w:p>
          <w:p>
            <w:pPr>
              <w:pStyle w:val="TableParagraph"/>
              <w:spacing w:before="108"/>
              <w:ind w:left="174" w:right="174"/>
              <w:jc w:val="center"/>
              <w:rPr>
                <w:rFonts w:ascii="Times New Roman"/>
                <w:sz w:val="19"/>
              </w:rPr>
            </w:pPr>
            <w:r>
              <w:rPr>
                <w:rFonts w:ascii="Times New Roman"/>
                <w:spacing w:val="-2"/>
                <w:sz w:val="19"/>
              </w:rPr>
              <w:t>{0.7619}</w:t>
            </w:r>
          </w:p>
        </w:tc>
        <w:tc>
          <w:tcPr>
            <w:tcW w:w="1888" w:type="dxa"/>
            <w:tcBorders>
              <w:left w:val="single" w:sz="4" w:space="0" w:color="000000"/>
              <w:right w:val="nil"/>
            </w:tcBorders>
          </w:tcPr>
          <w:p>
            <w:pPr>
              <w:pStyle w:val="TableParagraph"/>
              <w:ind w:left="3" w:right="14"/>
              <w:jc w:val="center"/>
              <w:rPr>
                <w:rFonts w:ascii="Times New Roman"/>
                <w:sz w:val="20"/>
              </w:rPr>
            </w:pPr>
            <w:r>
              <w:rPr>
                <w:rFonts w:ascii="Times New Roman"/>
                <w:spacing w:val="-2"/>
                <w:sz w:val="20"/>
              </w:rPr>
              <w:t>0.0530</w:t>
            </w:r>
          </w:p>
          <w:p>
            <w:pPr>
              <w:pStyle w:val="TableParagraph"/>
              <w:spacing w:before="5"/>
              <w:rPr>
                <w:rFonts w:ascii="Times New Roman"/>
                <w:b/>
                <w:i/>
                <w:sz w:val="20"/>
              </w:rPr>
            </w:pPr>
          </w:p>
          <w:p>
            <w:pPr>
              <w:pStyle w:val="TableParagraph"/>
              <w:spacing w:before="1"/>
              <w:ind w:left="2" w:right="14"/>
              <w:jc w:val="center"/>
              <w:rPr>
                <w:rFonts w:ascii="Times New Roman"/>
                <w:sz w:val="20"/>
              </w:rPr>
            </w:pPr>
            <w:r>
              <w:rPr>
                <w:rFonts w:ascii="Times New Roman"/>
                <w:spacing w:val="-2"/>
                <w:sz w:val="20"/>
              </w:rPr>
              <w:t>(0.0385)</w:t>
            </w:r>
          </w:p>
          <w:p>
            <w:pPr>
              <w:pStyle w:val="TableParagraph"/>
              <w:spacing w:before="3"/>
              <w:rPr>
                <w:rFonts w:ascii="Times New Roman"/>
                <w:b/>
                <w:i/>
                <w:sz w:val="20"/>
              </w:rPr>
            </w:pPr>
          </w:p>
          <w:p>
            <w:pPr>
              <w:pStyle w:val="TableParagraph"/>
              <w:ind w:left="13" w:right="14"/>
              <w:jc w:val="center"/>
              <w:rPr>
                <w:rFonts w:ascii="Times New Roman"/>
                <w:sz w:val="20"/>
              </w:rPr>
            </w:pPr>
            <w:r>
              <w:rPr>
                <w:rFonts w:ascii="Times New Roman"/>
                <w:spacing w:val="-2"/>
                <w:sz w:val="20"/>
              </w:rPr>
              <w:t>{0.1692}</w:t>
            </w:r>
          </w:p>
        </w:tc>
      </w:tr>
      <w:tr>
        <w:trPr>
          <w:trHeight w:val="1185" w:hRule="atLeast"/>
        </w:trPr>
        <w:tc>
          <w:tcPr>
            <w:tcW w:w="1634" w:type="dxa"/>
            <w:tcBorders>
              <w:left w:val="nil"/>
            </w:tcBorders>
          </w:tcPr>
          <w:p>
            <w:pPr>
              <w:pStyle w:val="TableParagraph"/>
              <w:ind w:left="162" w:right="145"/>
              <w:jc w:val="center"/>
              <w:rPr>
                <w:rFonts w:ascii="Times New Roman"/>
                <w:sz w:val="19"/>
              </w:rPr>
            </w:pPr>
            <w:r>
              <w:rPr>
                <w:rFonts w:ascii="Times New Roman"/>
                <w:spacing w:val="-4"/>
                <w:sz w:val="19"/>
              </w:rPr>
              <w:t>FAGE</w:t>
            </w:r>
          </w:p>
        </w:tc>
        <w:tc>
          <w:tcPr>
            <w:tcW w:w="1260" w:type="dxa"/>
            <w:tcBorders>
              <w:right w:val="single" w:sz="4" w:space="0" w:color="000000"/>
            </w:tcBorders>
          </w:tcPr>
          <w:p>
            <w:pPr>
              <w:pStyle w:val="TableParagraph"/>
              <w:spacing w:before="110"/>
              <w:rPr>
                <w:rFonts w:ascii="Times New Roman"/>
                <w:b/>
                <w:i/>
                <w:sz w:val="19"/>
              </w:rPr>
            </w:pPr>
          </w:p>
          <w:p>
            <w:pPr>
              <w:pStyle w:val="TableParagraph"/>
              <w:ind w:left="485"/>
              <w:rPr>
                <w:rFonts w:ascii="Times New Roman"/>
                <w:sz w:val="19"/>
              </w:rPr>
            </w:pPr>
            <w:r>
              <w:rPr>
                <w:rFonts w:ascii="Times New Roman"/>
                <w:spacing w:val="-10"/>
                <w:sz w:val="19"/>
              </w:rPr>
              <w:t>+</w:t>
            </w:r>
          </w:p>
        </w:tc>
        <w:tc>
          <w:tcPr>
            <w:tcW w:w="1891" w:type="dxa"/>
            <w:tcBorders>
              <w:left w:val="single" w:sz="4" w:space="0" w:color="000000"/>
              <w:right w:val="single" w:sz="4" w:space="0" w:color="000000"/>
            </w:tcBorders>
          </w:tcPr>
          <w:p>
            <w:pPr>
              <w:pStyle w:val="TableParagraph"/>
              <w:spacing w:line="360" w:lineRule="auto"/>
              <w:ind w:left="615" w:right="415" w:hanging="80"/>
              <w:rPr>
                <w:rFonts w:ascii="Times New Roman"/>
                <w:sz w:val="19"/>
              </w:rPr>
            </w:pPr>
            <w:r>
              <w:rPr>
                <w:rFonts w:ascii="Times New Roman"/>
                <w:spacing w:val="-2"/>
                <w:sz w:val="19"/>
              </w:rPr>
              <w:t>0.0095*** (0.0014)</w:t>
            </w:r>
          </w:p>
          <w:p>
            <w:pPr>
              <w:pStyle w:val="TableParagraph"/>
              <w:spacing w:line="218" w:lineRule="exact"/>
              <w:ind w:left="586"/>
              <w:rPr>
                <w:rFonts w:ascii="Times New Roman"/>
                <w:sz w:val="19"/>
              </w:rPr>
            </w:pPr>
            <w:r>
              <w:rPr>
                <w:rFonts w:ascii="Times New Roman"/>
                <w:spacing w:val="-2"/>
                <w:sz w:val="19"/>
              </w:rPr>
              <w:t>{0.0000}</w:t>
            </w:r>
          </w:p>
        </w:tc>
        <w:tc>
          <w:tcPr>
            <w:tcW w:w="1800" w:type="dxa"/>
            <w:tcBorders>
              <w:left w:val="single" w:sz="4" w:space="0" w:color="000000"/>
            </w:tcBorders>
          </w:tcPr>
          <w:p>
            <w:pPr>
              <w:pStyle w:val="TableParagraph"/>
              <w:ind w:left="526"/>
              <w:rPr>
                <w:rFonts w:ascii="Times New Roman"/>
                <w:sz w:val="19"/>
              </w:rPr>
            </w:pPr>
            <w:r>
              <w:rPr>
                <w:rFonts w:ascii="Times New Roman"/>
                <w:spacing w:val="-2"/>
                <w:sz w:val="19"/>
              </w:rPr>
              <w:t>-3.98e-</w:t>
            </w:r>
            <w:r>
              <w:rPr>
                <w:rFonts w:ascii="Times New Roman"/>
                <w:spacing w:val="-5"/>
                <w:sz w:val="19"/>
              </w:rPr>
              <w:t>05</w:t>
            </w:r>
          </w:p>
          <w:p>
            <w:pPr>
              <w:pStyle w:val="TableParagraph"/>
              <w:spacing w:before="110"/>
              <w:ind w:left="570"/>
              <w:rPr>
                <w:rFonts w:ascii="Times New Roman"/>
                <w:sz w:val="19"/>
              </w:rPr>
            </w:pPr>
            <w:r>
              <w:rPr>
                <w:rFonts w:ascii="Times New Roman"/>
                <w:spacing w:val="-2"/>
                <w:sz w:val="19"/>
              </w:rPr>
              <w:t>(0.0003)</w:t>
            </w:r>
          </w:p>
          <w:p>
            <w:pPr>
              <w:pStyle w:val="TableParagraph"/>
              <w:spacing w:before="108"/>
              <w:ind w:left="541"/>
              <w:rPr>
                <w:rFonts w:ascii="Times New Roman"/>
                <w:sz w:val="19"/>
              </w:rPr>
            </w:pPr>
            <w:r>
              <w:rPr>
                <w:rFonts w:ascii="Times New Roman"/>
                <w:spacing w:val="-2"/>
                <w:sz w:val="19"/>
              </w:rPr>
              <w:t>{0.8974}</w:t>
            </w:r>
          </w:p>
        </w:tc>
        <w:tc>
          <w:tcPr>
            <w:tcW w:w="1888" w:type="dxa"/>
            <w:tcBorders>
              <w:right w:val="nil"/>
            </w:tcBorders>
          </w:tcPr>
          <w:p>
            <w:pPr>
              <w:pStyle w:val="TableParagraph"/>
              <w:spacing w:line="506" w:lineRule="auto" w:before="2"/>
              <w:ind w:left="625" w:right="613" w:hanging="24"/>
              <w:rPr>
                <w:rFonts w:ascii="Times New Roman"/>
                <w:sz w:val="18"/>
              </w:rPr>
            </w:pPr>
            <w:r>
              <w:rPr>
                <w:rFonts w:ascii="Times New Roman"/>
                <w:spacing w:val="-2"/>
                <w:sz w:val="18"/>
              </w:rPr>
              <w:t>1.09E-06 (0.0004)</w:t>
            </w:r>
          </w:p>
          <w:p>
            <w:pPr>
              <w:pStyle w:val="TableParagraph"/>
              <w:ind w:left="604"/>
              <w:rPr>
                <w:rFonts w:ascii="Times New Roman"/>
                <w:sz w:val="18"/>
              </w:rPr>
            </w:pPr>
            <w:r>
              <w:rPr>
                <w:rFonts w:ascii="Times New Roman"/>
                <w:spacing w:val="-2"/>
                <w:sz w:val="18"/>
              </w:rPr>
              <w:t>{0.9980}</w:t>
            </w:r>
          </w:p>
        </w:tc>
      </w:tr>
      <w:tr>
        <w:trPr>
          <w:trHeight w:val="1188" w:hRule="atLeast"/>
        </w:trPr>
        <w:tc>
          <w:tcPr>
            <w:tcW w:w="1634" w:type="dxa"/>
            <w:tcBorders>
              <w:left w:val="nil"/>
            </w:tcBorders>
          </w:tcPr>
          <w:p>
            <w:pPr>
              <w:pStyle w:val="TableParagraph"/>
              <w:spacing w:before="3"/>
              <w:ind w:left="162" w:right="145"/>
              <w:jc w:val="center"/>
              <w:rPr>
                <w:rFonts w:ascii="Times New Roman"/>
                <w:sz w:val="19"/>
              </w:rPr>
            </w:pPr>
            <w:r>
              <w:rPr/>
              <mc:AlternateContent>
                <mc:Choice Requires="wps">
                  <w:drawing>
                    <wp:anchor distT="0" distB="0" distL="0" distR="0" allowOverlap="1" layoutInCell="1" locked="0" behindDoc="1" simplePos="0" relativeHeight="477737472">
                      <wp:simplePos x="0" y="0"/>
                      <wp:positionH relativeFrom="column">
                        <wp:posOffset>14630</wp:posOffset>
                      </wp:positionH>
                      <wp:positionV relativeFrom="paragraph">
                        <wp:posOffset>-145807</wp:posOffset>
                      </wp:positionV>
                      <wp:extent cx="721995" cy="722630"/>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721995" cy="722630"/>
                                <a:chExt cx="721995" cy="722630"/>
                              </a:xfrm>
                            </wpg:grpSpPr>
                            <wps:wsp>
                              <wps:cNvPr id="167" name="Graphic 167"/>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52pt;margin-top:-11.480866pt;width:56.85pt;height:56.9pt;mso-position-horizontal-relative:column;mso-position-vertical-relative:paragraph;z-index:-25579008" id="docshapegroup32" coordorigin="23,-230" coordsize="1137,1138">
                      <v:shape style="position:absolute;left:23;top:-230;width:1137;height:1138" id="docshape33" coordorigin="23,-230" coordsize="1137,1138" path="m107,-229l45,-191,23,-146,27,-136,1061,900,1080,908,1085,906,1091,905,1150,853,1158,833,1160,828,121,-222,117,-226,107,-229xe" filled="true" fillcolor="#c0c0c0" stroked="false">
                        <v:path arrowok="t"/>
                        <v:fill opacity="32896f" type="solid"/>
                      </v:shape>
                      <w10:wrap type="none"/>
                    </v:group>
                  </w:pict>
                </mc:Fallback>
              </mc:AlternateContent>
            </w:r>
            <w:r>
              <w:rPr>
                <w:rFonts w:ascii="Times New Roman"/>
                <w:spacing w:val="-2"/>
                <w:sz w:val="19"/>
              </w:rPr>
              <w:t>FSIZE</w:t>
            </w:r>
          </w:p>
        </w:tc>
        <w:tc>
          <w:tcPr>
            <w:tcW w:w="1260" w:type="dxa"/>
            <w:tcBorders>
              <w:right w:val="single" w:sz="4" w:space="0" w:color="000000"/>
            </w:tcBorders>
          </w:tcPr>
          <w:p>
            <w:pPr>
              <w:pStyle w:val="TableParagraph"/>
              <w:spacing w:before="110"/>
              <w:rPr>
                <w:rFonts w:ascii="Times New Roman"/>
                <w:b/>
                <w:i/>
                <w:sz w:val="19"/>
              </w:rPr>
            </w:pPr>
          </w:p>
          <w:p>
            <w:pPr>
              <w:pStyle w:val="TableParagraph"/>
              <w:spacing w:before="1"/>
              <w:ind w:right="569"/>
              <w:jc w:val="right"/>
              <w:rPr>
                <w:rFonts w:ascii="Times New Roman"/>
                <w:sz w:val="19"/>
              </w:rPr>
            </w:pPr>
            <w:r>
              <w:rPr>
                <w:rFonts w:ascii="Times New Roman"/>
                <w:spacing w:val="-10"/>
                <w:sz w:val="19"/>
              </w:rPr>
              <w:t>+</w:t>
            </w:r>
          </w:p>
        </w:tc>
        <w:tc>
          <w:tcPr>
            <w:tcW w:w="1891" w:type="dxa"/>
            <w:tcBorders>
              <w:left w:val="single" w:sz="4" w:space="0" w:color="000000"/>
            </w:tcBorders>
          </w:tcPr>
          <w:p>
            <w:pPr>
              <w:pStyle w:val="TableParagraph"/>
              <w:spacing w:before="3"/>
              <w:ind w:left="451" w:right="451"/>
              <w:jc w:val="center"/>
              <w:rPr>
                <w:rFonts w:ascii="Times New Roman"/>
                <w:sz w:val="19"/>
              </w:rPr>
            </w:pPr>
            <w:r>
              <w:rPr>
                <w:rFonts w:ascii="Times New Roman"/>
                <w:spacing w:val="-2"/>
                <w:sz w:val="19"/>
              </w:rPr>
              <w:t>0.00133</w:t>
            </w:r>
          </w:p>
          <w:p>
            <w:pPr>
              <w:pStyle w:val="TableParagraph"/>
              <w:spacing w:before="108"/>
              <w:ind w:left="451" w:right="451"/>
              <w:jc w:val="center"/>
              <w:rPr>
                <w:rFonts w:ascii="Times New Roman"/>
                <w:sz w:val="19"/>
              </w:rPr>
            </w:pPr>
            <w:r>
              <w:rPr>
                <w:rFonts w:ascii="Times New Roman"/>
                <w:spacing w:val="-2"/>
                <w:sz w:val="19"/>
              </w:rPr>
              <w:t>(0.0114)</w:t>
            </w:r>
          </w:p>
          <w:p>
            <w:pPr>
              <w:pStyle w:val="TableParagraph"/>
              <w:spacing w:before="110"/>
              <w:ind w:left="450" w:right="451"/>
              <w:jc w:val="center"/>
              <w:rPr>
                <w:rFonts w:ascii="Times New Roman"/>
                <w:sz w:val="19"/>
              </w:rPr>
            </w:pPr>
            <w:r>
              <w:rPr>
                <w:rFonts w:ascii="Times New Roman"/>
                <w:spacing w:val="-2"/>
                <w:sz w:val="19"/>
              </w:rPr>
              <w:t>{0.9078}</w:t>
            </w:r>
          </w:p>
        </w:tc>
        <w:tc>
          <w:tcPr>
            <w:tcW w:w="1800" w:type="dxa"/>
            <w:tcBorders>
              <w:right w:val="single" w:sz="4" w:space="0" w:color="000000"/>
            </w:tcBorders>
          </w:tcPr>
          <w:p>
            <w:pPr>
              <w:pStyle w:val="TableParagraph"/>
              <w:spacing w:line="357" w:lineRule="auto" w:before="3"/>
              <w:ind w:left="570" w:right="538" w:hanging="34"/>
              <w:rPr>
                <w:rFonts w:ascii="Times New Roman"/>
                <w:sz w:val="19"/>
              </w:rPr>
            </w:pPr>
            <w:r>
              <w:rPr>
                <w:rFonts w:ascii="Times New Roman"/>
                <w:spacing w:val="-2"/>
                <w:sz w:val="19"/>
              </w:rPr>
              <w:t>0.0221** (0.0074)</w:t>
            </w:r>
          </w:p>
          <w:p>
            <w:pPr>
              <w:pStyle w:val="TableParagraph"/>
              <w:spacing w:before="4"/>
              <w:ind w:left="541"/>
              <w:rPr>
                <w:rFonts w:ascii="Times New Roman"/>
                <w:sz w:val="19"/>
              </w:rPr>
            </w:pPr>
            <w:r>
              <w:rPr>
                <w:rFonts w:ascii="Times New Roman"/>
                <w:spacing w:val="-2"/>
                <w:sz w:val="19"/>
              </w:rPr>
              <w:t>{0.0030}</w:t>
            </w:r>
          </w:p>
        </w:tc>
        <w:tc>
          <w:tcPr>
            <w:tcW w:w="1888" w:type="dxa"/>
            <w:tcBorders>
              <w:left w:val="single" w:sz="4" w:space="0" w:color="000000"/>
              <w:right w:val="nil"/>
            </w:tcBorders>
          </w:tcPr>
          <w:p>
            <w:pPr>
              <w:pStyle w:val="TableParagraph"/>
              <w:spacing w:line="506" w:lineRule="auto" w:before="5"/>
              <w:ind w:left="625" w:hanging="120"/>
              <w:rPr>
                <w:rFonts w:ascii="Times New Roman"/>
                <w:sz w:val="18"/>
              </w:rPr>
            </w:pPr>
            <w:r>
              <w:rPr>
                <w:rFonts w:ascii="Times New Roman"/>
                <w:spacing w:val="-2"/>
                <w:sz w:val="18"/>
              </w:rPr>
              <w:t>0.03202*** (0.0087)</w:t>
            </w:r>
          </w:p>
          <w:p>
            <w:pPr>
              <w:pStyle w:val="TableParagraph"/>
              <w:ind w:left="604"/>
              <w:rPr>
                <w:rFonts w:ascii="Times New Roman"/>
                <w:sz w:val="18"/>
              </w:rPr>
            </w:pPr>
            <w:r>
              <w:rPr>
                <w:rFonts w:ascii="Times New Roman"/>
                <w:spacing w:val="-2"/>
                <w:sz w:val="18"/>
              </w:rPr>
              <w:t>{0.0003}</w:t>
            </w:r>
          </w:p>
        </w:tc>
      </w:tr>
      <w:tr>
        <w:trPr>
          <w:trHeight w:val="1185" w:hRule="atLeast"/>
        </w:trPr>
        <w:tc>
          <w:tcPr>
            <w:tcW w:w="1634" w:type="dxa"/>
            <w:tcBorders>
              <w:left w:val="nil"/>
              <w:bottom w:val="single" w:sz="4" w:space="0" w:color="000000"/>
            </w:tcBorders>
          </w:tcPr>
          <w:p>
            <w:pPr>
              <w:pStyle w:val="TableParagraph"/>
              <w:ind w:left="162" w:right="148"/>
              <w:jc w:val="center"/>
              <w:rPr>
                <w:rFonts w:ascii="Times New Roman"/>
                <w:sz w:val="19"/>
              </w:rPr>
            </w:pPr>
            <w:r>
              <w:rPr>
                <w:rFonts w:ascii="Times New Roman"/>
                <w:spacing w:val="-5"/>
                <w:sz w:val="19"/>
              </w:rPr>
              <w:t>LEV</w:t>
            </w:r>
          </w:p>
        </w:tc>
        <w:tc>
          <w:tcPr>
            <w:tcW w:w="1260" w:type="dxa"/>
            <w:tcBorders>
              <w:right w:val="single" w:sz="4" w:space="0" w:color="000000"/>
            </w:tcBorders>
          </w:tcPr>
          <w:p>
            <w:pPr>
              <w:pStyle w:val="TableParagraph"/>
              <w:spacing w:before="110"/>
              <w:rPr>
                <w:rFonts w:ascii="Times New Roman"/>
                <w:b/>
                <w:i/>
                <w:sz w:val="19"/>
              </w:rPr>
            </w:pPr>
          </w:p>
          <w:p>
            <w:pPr>
              <w:pStyle w:val="TableParagraph"/>
              <w:ind w:right="569"/>
              <w:jc w:val="right"/>
              <w:rPr>
                <w:rFonts w:ascii="Times New Roman"/>
                <w:sz w:val="19"/>
              </w:rPr>
            </w:pPr>
            <w:r>
              <w:rPr>
                <w:rFonts w:ascii="Times New Roman"/>
                <w:spacing w:val="-10"/>
                <w:sz w:val="19"/>
              </w:rPr>
              <w:t>+</w:t>
            </w:r>
          </w:p>
        </w:tc>
        <w:tc>
          <w:tcPr>
            <w:tcW w:w="1891" w:type="dxa"/>
            <w:tcBorders>
              <w:left w:val="single" w:sz="4" w:space="0" w:color="000000"/>
              <w:right w:val="single" w:sz="4" w:space="0" w:color="000000"/>
            </w:tcBorders>
          </w:tcPr>
          <w:p>
            <w:pPr>
              <w:pStyle w:val="TableParagraph"/>
              <w:ind w:left="451" w:right="451"/>
              <w:jc w:val="center"/>
              <w:rPr>
                <w:rFonts w:ascii="Times New Roman"/>
                <w:sz w:val="19"/>
              </w:rPr>
            </w:pPr>
            <w:r>
              <w:rPr>
                <w:rFonts w:ascii="Times New Roman"/>
                <w:spacing w:val="-2"/>
                <w:sz w:val="19"/>
              </w:rPr>
              <w:t>-0.0018</w:t>
            </w:r>
          </w:p>
          <w:p>
            <w:pPr>
              <w:pStyle w:val="TableParagraph"/>
              <w:spacing w:before="110"/>
              <w:ind w:left="451" w:right="451"/>
              <w:jc w:val="center"/>
              <w:rPr>
                <w:rFonts w:ascii="Times New Roman"/>
                <w:sz w:val="19"/>
              </w:rPr>
            </w:pPr>
            <w:r>
              <w:rPr>
                <w:rFonts w:ascii="Times New Roman"/>
                <w:spacing w:val="-2"/>
                <w:sz w:val="19"/>
              </w:rPr>
              <w:t>(0.0031)</w:t>
            </w:r>
          </w:p>
          <w:p>
            <w:pPr>
              <w:pStyle w:val="TableParagraph"/>
              <w:spacing w:before="108"/>
              <w:ind w:left="450" w:right="451"/>
              <w:jc w:val="center"/>
              <w:rPr>
                <w:rFonts w:ascii="Times New Roman"/>
                <w:sz w:val="19"/>
              </w:rPr>
            </w:pPr>
            <w:r>
              <w:rPr>
                <w:rFonts w:ascii="Times New Roman"/>
                <w:spacing w:val="-2"/>
                <w:sz w:val="19"/>
              </w:rPr>
              <w:t>{0.5636}</w:t>
            </w:r>
          </w:p>
        </w:tc>
        <w:tc>
          <w:tcPr>
            <w:tcW w:w="1800" w:type="dxa"/>
            <w:tcBorders>
              <w:left w:val="single" w:sz="4" w:space="0" w:color="000000"/>
            </w:tcBorders>
          </w:tcPr>
          <w:p>
            <w:pPr>
              <w:pStyle w:val="TableParagraph"/>
              <w:spacing w:line="360" w:lineRule="auto"/>
              <w:ind w:left="570" w:hanging="65"/>
              <w:rPr>
                <w:rFonts w:ascii="Times New Roman"/>
                <w:sz w:val="19"/>
              </w:rPr>
            </w:pPr>
            <w:r>
              <w:rPr>
                <w:rFonts w:ascii="Times New Roman"/>
                <w:spacing w:val="-2"/>
                <w:sz w:val="19"/>
              </w:rPr>
              <w:t>-0.0121** (0.0041)</w:t>
            </w:r>
          </w:p>
          <w:p>
            <w:pPr>
              <w:pStyle w:val="TableParagraph"/>
              <w:spacing w:line="218" w:lineRule="exact"/>
              <w:ind w:left="541"/>
              <w:rPr>
                <w:rFonts w:ascii="Times New Roman"/>
                <w:sz w:val="19"/>
              </w:rPr>
            </w:pPr>
            <w:r>
              <w:rPr>
                <w:rFonts w:ascii="Times New Roman"/>
                <w:spacing w:val="-2"/>
                <w:sz w:val="19"/>
              </w:rPr>
              <w:t>{0.0033}</w:t>
            </w:r>
          </w:p>
        </w:tc>
        <w:tc>
          <w:tcPr>
            <w:tcW w:w="1888" w:type="dxa"/>
            <w:tcBorders>
              <w:right w:val="nil"/>
            </w:tcBorders>
          </w:tcPr>
          <w:p>
            <w:pPr>
              <w:pStyle w:val="TableParagraph"/>
              <w:spacing w:before="2"/>
              <w:ind w:left="3" w:right="14"/>
              <w:jc w:val="center"/>
              <w:rPr>
                <w:rFonts w:ascii="Times New Roman"/>
                <w:sz w:val="18"/>
              </w:rPr>
            </w:pPr>
            <w:r>
              <w:rPr>
                <w:rFonts w:ascii="Times New Roman"/>
                <w:sz w:val="18"/>
              </w:rPr>
              <w:t>-</w:t>
            </w:r>
            <w:r>
              <w:rPr>
                <w:rFonts w:ascii="Times New Roman"/>
                <w:spacing w:val="-2"/>
                <w:sz w:val="18"/>
              </w:rPr>
              <w:t>0.0058</w:t>
            </w:r>
          </w:p>
          <w:p>
            <w:pPr>
              <w:pStyle w:val="TableParagraph"/>
              <w:spacing w:before="25"/>
              <w:rPr>
                <w:rFonts w:ascii="Times New Roman"/>
                <w:b/>
                <w:i/>
                <w:sz w:val="18"/>
              </w:rPr>
            </w:pPr>
          </w:p>
          <w:p>
            <w:pPr>
              <w:pStyle w:val="TableParagraph"/>
              <w:ind w:left="1" w:right="14"/>
              <w:jc w:val="center"/>
              <w:rPr>
                <w:rFonts w:ascii="Times New Roman"/>
                <w:sz w:val="18"/>
              </w:rPr>
            </w:pPr>
            <w:r>
              <w:rPr>
                <w:rFonts w:ascii="Times New Roman"/>
                <w:spacing w:val="-2"/>
                <w:sz w:val="18"/>
              </w:rPr>
              <w:t>(0.0049)</w:t>
            </w:r>
          </w:p>
          <w:p>
            <w:pPr>
              <w:pStyle w:val="TableParagraph"/>
              <w:spacing w:before="20"/>
              <w:rPr>
                <w:rFonts w:ascii="Times New Roman"/>
                <w:b/>
                <w:i/>
                <w:sz w:val="18"/>
              </w:rPr>
            </w:pPr>
          </w:p>
          <w:p>
            <w:pPr>
              <w:pStyle w:val="TableParagraph"/>
              <w:spacing w:before="1"/>
              <w:ind w:left="11" w:right="14"/>
              <w:jc w:val="center"/>
              <w:rPr>
                <w:rFonts w:ascii="Times New Roman"/>
                <w:sz w:val="18"/>
              </w:rPr>
            </w:pPr>
            <w:r>
              <w:rPr>
                <w:rFonts w:ascii="Times New Roman"/>
                <w:spacing w:val="-2"/>
                <w:sz w:val="18"/>
              </w:rPr>
              <w:t>{0.2336}</w:t>
            </w:r>
          </w:p>
        </w:tc>
      </w:tr>
      <w:tr>
        <w:trPr>
          <w:trHeight w:val="983" w:hRule="atLeast"/>
        </w:trPr>
        <w:tc>
          <w:tcPr>
            <w:tcW w:w="1634" w:type="dxa"/>
            <w:tcBorders>
              <w:top w:val="single" w:sz="4" w:space="0" w:color="000000"/>
              <w:left w:val="nil"/>
              <w:bottom w:val="single" w:sz="4" w:space="0" w:color="000000"/>
            </w:tcBorders>
          </w:tcPr>
          <w:p>
            <w:pPr>
              <w:pStyle w:val="TableParagraph"/>
              <w:spacing w:before="2"/>
              <w:ind w:left="162" w:right="143"/>
              <w:jc w:val="center"/>
              <w:rPr>
                <w:rFonts w:ascii="Times New Roman"/>
                <w:sz w:val="19"/>
              </w:rPr>
            </w:pPr>
            <w:r>
              <w:rPr>
                <w:rFonts w:ascii="Times New Roman"/>
                <w:spacing w:val="-2"/>
                <w:sz w:val="19"/>
              </w:rPr>
              <w:t>BDS*IFRS</w:t>
            </w:r>
          </w:p>
        </w:tc>
        <w:tc>
          <w:tcPr>
            <w:tcW w:w="1260" w:type="dxa"/>
            <w:tcBorders>
              <w:bottom w:val="single" w:sz="4" w:space="0" w:color="000000"/>
              <w:right w:val="single" w:sz="4" w:space="0" w:color="000000"/>
            </w:tcBorders>
          </w:tcPr>
          <w:p>
            <w:pPr>
              <w:pStyle w:val="TableParagraph"/>
              <w:spacing w:before="110"/>
              <w:rPr>
                <w:rFonts w:ascii="Times New Roman"/>
                <w:b/>
                <w:i/>
                <w:sz w:val="19"/>
              </w:rPr>
            </w:pPr>
          </w:p>
          <w:p>
            <w:pPr>
              <w:pStyle w:val="TableParagraph"/>
              <w:ind w:right="591"/>
              <w:jc w:val="right"/>
              <w:rPr>
                <w:rFonts w:ascii="Times New Roman"/>
                <w:sz w:val="19"/>
              </w:rPr>
            </w:pPr>
            <w:r>
              <w:rPr>
                <w:rFonts w:ascii="Times New Roman"/>
                <w:spacing w:val="-10"/>
                <w:sz w:val="19"/>
              </w:rPr>
              <w:t>-</w:t>
            </w:r>
          </w:p>
        </w:tc>
        <w:tc>
          <w:tcPr>
            <w:tcW w:w="1891" w:type="dxa"/>
            <w:tcBorders>
              <w:left w:val="single" w:sz="4" w:space="0" w:color="000000"/>
              <w:bottom w:val="single" w:sz="4" w:space="0" w:color="000000"/>
              <w:right w:val="single" w:sz="4" w:space="0" w:color="000000"/>
            </w:tcBorders>
          </w:tcPr>
          <w:p>
            <w:pPr>
              <w:pStyle w:val="TableParagraph"/>
              <w:spacing w:before="2"/>
              <w:ind w:left="598"/>
              <w:rPr>
                <w:rFonts w:ascii="Times New Roman"/>
                <w:sz w:val="19"/>
              </w:rPr>
            </w:pPr>
            <w:r>
              <w:rPr>
                <w:rFonts w:ascii="Times New Roman"/>
                <w:spacing w:val="-2"/>
                <w:sz w:val="19"/>
              </w:rPr>
              <w:t>-0.00115</w:t>
            </w:r>
          </w:p>
          <w:p>
            <w:pPr>
              <w:pStyle w:val="TableParagraph"/>
              <w:spacing w:before="108"/>
              <w:ind w:left="639"/>
              <w:rPr>
                <w:rFonts w:ascii="Times New Roman"/>
                <w:sz w:val="19"/>
              </w:rPr>
            </w:pPr>
            <w:r>
              <w:rPr>
                <w:rFonts w:ascii="Times New Roman"/>
                <w:spacing w:val="-2"/>
                <w:sz w:val="19"/>
              </w:rPr>
              <w:t>(0.0021)</w:t>
            </w:r>
          </w:p>
          <w:p>
            <w:pPr>
              <w:pStyle w:val="TableParagraph"/>
              <w:spacing w:before="110"/>
              <w:ind w:left="586"/>
              <w:rPr>
                <w:rFonts w:ascii="Times New Roman"/>
                <w:sz w:val="19"/>
              </w:rPr>
            </w:pPr>
            <w:r>
              <w:rPr>
                <w:rFonts w:ascii="Times New Roman"/>
                <w:spacing w:val="-2"/>
                <w:sz w:val="19"/>
              </w:rPr>
              <w:t>{0.5851}</w:t>
            </w:r>
          </w:p>
        </w:tc>
        <w:tc>
          <w:tcPr>
            <w:tcW w:w="1800" w:type="dxa"/>
            <w:tcBorders>
              <w:left w:val="single" w:sz="4" w:space="0" w:color="000000"/>
              <w:bottom w:val="single" w:sz="4" w:space="0" w:color="000000"/>
              <w:right w:val="single" w:sz="4" w:space="0" w:color="000000"/>
            </w:tcBorders>
          </w:tcPr>
          <w:p>
            <w:pPr>
              <w:pStyle w:val="TableParagraph"/>
              <w:spacing w:line="357" w:lineRule="auto" w:before="2"/>
              <w:ind w:left="594" w:right="542" w:hanging="41"/>
              <w:rPr>
                <w:rFonts w:ascii="Times New Roman"/>
                <w:sz w:val="19"/>
              </w:rPr>
            </w:pPr>
            <w:r>
              <w:rPr>
                <w:rFonts w:ascii="Times New Roman"/>
                <w:spacing w:val="-2"/>
                <w:sz w:val="19"/>
              </w:rPr>
              <w:t>-0.0072* (0.0021)</w:t>
            </w:r>
          </w:p>
          <w:p>
            <w:pPr>
              <w:pStyle w:val="TableParagraph"/>
              <w:spacing w:before="4"/>
              <w:ind w:left="541"/>
              <w:rPr>
                <w:rFonts w:ascii="Times New Roman"/>
                <w:sz w:val="19"/>
              </w:rPr>
            </w:pPr>
            <w:r>
              <w:rPr>
                <w:rFonts w:ascii="Times New Roman"/>
                <w:spacing w:val="-2"/>
                <w:sz w:val="19"/>
              </w:rPr>
              <w:t>{0.0009}</w:t>
            </w:r>
          </w:p>
        </w:tc>
        <w:tc>
          <w:tcPr>
            <w:tcW w:w="1888" w:type="dxa"/>
            <w:tcBorders>
              <w:left w:val="single" w:sz="4" w:space="0" w:color="000000"/>
              <w:bottom w:val="single" w:sz="4" w:space="0" w:color="000000"/>
              <w:right w:val="nil"/>
            </w:tcBorders>
          </w:tcPr>
          <w:p>
            <w:pPr>
              <w:pStyle w:val="TableParagraph"/>
              <w:rPr>
                <w:rFonts w:ascii="Times New Roman"/>
                <w:sz w:val="18"/>
              </w:rPr>
            </w:pPr>
          </w:p>
        </w:tc>
      </w:tr>
      <w:tr>
        <w:trPr>
          <w:trHeight w:val="328" w:hRule="atLeast"/>
        </w:trPr>
        <w:tc>
          <w:tcPr>
            <w:tcW w:w="1634" w:type="dxa"/>
            <w:tcBorders>
              <w:top w:val="single" w:sz="4" w:space="0" w:color="000000"/>
              <w:left w:val="nil"/>
              <w:bottom w:val="single" w:sz="4" w:space="0" w:color="000000"/>
            </w:tcBorders>
          </w:tcPr>
          <w:p>
            <w:pPr>
              <w:pStyle w:val="TableParagraph"/>
              <w:ind w:left="162" w:right="148"/>
              <w:jc w:val="center"/>
              <w:rPr>
                <w:rFonts w:ascii="Times New Roman"/>
                <w:sz w:val="19"/>
              </w:rPr>
            </w:pPr>
            <w:r>
              <w:rPr>
                <w:rFonts w:ascii="Times New Roman"/>
                <w:spacing w:val="-2"/>
                <w:sz w:val="19"/>
              </w:rPr>
              <w:t>BDIND*IFRS</w:t>
            </w:r>
          </w:p>
        </w:tc>
        <w:tc>
          <w:tcPr>
            <w:tcW w:w="1260" w:type="dxa"/>
            <w:tcBorders>
              <w:top w:val="single" w:sz="4" w:space="0" w:color="000000"/>
              <w:bottom w:val="single" w:sz="4" w:space="0" w:color="000000"/>
              <w:right w:val="single" w:sz="4" w:space="0" w:color="000000"/>
            </w:tcBorders>
          </w:tcPr>
          <w:p>
            <w:pPr>
              <w:pStyle w:val="TableParagraph"/>
              <w:rPr>
                <w:rFonts w:ascii="Times New Roman"/>
                <w:sz w:val="18"/>
              </w:rPr>
            </w:pPr>
          </w:p>
        </w:tc>
        <w:tc>
          <w:tcPr>
            <w:tcW w:w="1891" w:type="dxa"/>
            <w:tcBorders>
              <w:top w:val="single" w:sz="4" w:space="0" w:color="000000"/>
              <w:left w:val="single" w:sz="4" w:space="0" w:color="000000"/>
              <w:bottom w:val="single" w:sz="4" w:space="0" w:color="000000"/>
              <w:right w:val="single" w:sz="4" w:space="0" w:color="000000"/>
            </w:tcBorders>
          </w:tcPr>
          <w:p>
            <w:pPr>
              <w:pStyle w:val="TableParagraph"/>
              <w:ind w:left="583"/>
              <w:rPr>
                <w:rFonts w:ascii="Times New Roman"/>
                <w:sz w:val="19"/>
              </w:rPr>
            </w:pPr>
            <w:r>
              <w:rPr>
                <w:rFonts w:ascii="Times New Roman"/>
                <w:spacing w:val="-2"/>
                <w:sz w:val="19"/>
              </w:rPr>
              <w:t>0.1067**</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536"/>
              <w:rPr>
                <w:rFonts w:ascii="Times New Roman"/>
                <w:sz w:val="19"/>
              </w:rPr>
            </w:pPr>
            <w:r>
              <w:rPr>
                <w:rFonts w:ascii="Times New Roman"/>
                <w:spacing w:val="-2"/>
                <w:sz w:val="19"/>
              </w:rPr>
              <w:t>0.1266**</w:t>
            </w:r>
          </w:p>
        </w:tc>
        <w:tc>
          <w:tcPr>
            <w:tcW w:w="1888" w:type="dxa"/>
            <w:tcBorders>
              <w:top w:val="single" w:sz="4" w:space="0" w:color="000000"/>
              <w:left w:val="single" w:sz="4" w:space="0" w:color="000000"/>
              <w:bottom w:val="single" w:sz="4" w:space="0" w:color="000000"/>
              <w:right w:val="nil"/>
            </w:tcBorders>
          </w:tcPr>
          <w:p>
            <w:pPr>
              <w:pStyle w:val="TableParagraph"/>
              <w:rPr>
                <w:rFonts w:ascii="Times New Roman"/>
                <w:sz w:val="18"/>
              </w:rPr>
            </w:pPr>
          </w:p>
        </w:tc>
      </w:tr>
    </w:tbl>
    <w:p>
      <w:pPr>
        <w:spacing w:after="0"/>
        <w:rPr>
          <w:rFonts w:ascii="Times New Roman"/>
          <w:sz w:val="18"/>
        </w:rPr>
        <w:sectPr>
          <w:type w:val="continuous"/>
          <w:pgSz w:w="11910" w:h="16840"/>
          <w:pgMar w:header="0" w:footer="971" w:top="1400" w:bottom="1160" w:left="500" w:right="0"/>
        </w:sect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60"/>
        <w:gridCol w:w="1891"/>
        <w:gridCol w:w="1800"/>
        <w:gridCol w:w="1888"/>
      </w:tblGrid>
      <w:tr>
        <w:trPr>
          <w:trHeight w:val="655" w:hRule="atLeast"/>
        </w:trPr>
        <w:tc>
          <w:tcPr>
            <w:tcW w:w="1634" w:type="dxa"/>
            <w:tcBorders>
              <w:left w:val="nil"/>
              <w:right w:val="single" w:sz="4" w:space="0" w:color="BEBEBE"/>
            </w:tcBorders>
          </w:tcPr>
          <w:p>
            <w:pPr>
              <w:pStyle w:val="TableParagraph"/>
              <w:rPr>
                <w:rFonts w:ascii="Times New Roman"/>
                <w:sz w:val="22"/>
              </w:rPr>
            </w:pPr>
          </w:p>
        </w:tc>
        <w:tc>
          <w:tcPr>
            <w:tcW w:w="1260" w:type="dxa"/>
            <w:tcBorders>
              <w:top w:val="single" w:sz="4" w:space="0" w:color="BEBEBE"/>
              <w:left w:val="single" w:sz="4" w:space="0" w:color="BEBEBE"/>
            </w:tcBorders>
          </w:tcPr>
          <w:p>
            <w:pPr>
              <w:pStyle w:val="TableParagraph"/>
              <w:ind w:left="170" w:right="170"/>
              <w:jc w:val="center"/>
              <w:rPr>
                <w:rFonts w:ascii="Times New Roman"/>
                <w:sz w:val="19"/>
              </w:rPr>
            </w:pPr>
            <w:r>
              <w:rPr>
                <w:rFonts w:ascii="Times New Roman"/>
                <w:spacing w:val="-10"/>
                <w:sz w:val="19"/>
              </w:rPr>
              <w:t>-</w:t>
            </w:r>
          </w:p>
        </w:tc>
        <w:tc>
          <w:tcPr>
            <w:tcW w:w="1891" w:type="dxa"/>
            <w:tcBorders>
              <w:top w:val="single" w:sz="4" w:space="0" w:color="BEBEBE"/>
            </w:tcBorders>
          </w:tcPr>
          <w:p>
            <w:pPr>
              <w:pStyle w:val="TableParagraph"/>
              <w:ind w:left="639"/>
              <w:rPr>
                <w:rFonts w:ascii="Times New Roman"/>
                <w:sz w:val="19"/>
              </w:rPr>
            </w:pPr>
            <w:r>
              <w:rPr>
                <w:rFonts w:ascii="Times New Roman"/>
                <w:spacing w:val="-2"/>
                <w:sz w:val="19"/>
              </w:rPr>
              <w:t>(0.0497)</w:t>
            </w:r>
          </w:p>
          <w:p>
            <w:pPr>
              <w:pStyle w:val="TableParagraph"/>
              <w:spacing w:before="110"/>
              <w:ind w:left="586"/>
              <w:rPr>
                <w:rFonts w:ascii="Times New Roman"/>
                <w:sz w:val="19"/>
              </w:rPr>
            </w:pPr>
            <w:r>
              <w:rPr>
                <w:rFonts w:ascii="Times New Roman"/>
                <w:spacing w:val="-2"/>
                <w:sz w:val="19"/>
              </w:rPr>
              <w:t>{0.0333}</w:t>
            </w:r>
          </w:p>
        </w:tc>
        <w:tc>
          <w:tcPr>
            <w:tcW w:w="1800" w:type="dxa"/>
            <w:tcBorders>
              <w:top w:val="single" w:sz="4" w:space="0" w:color="BEBEBE"/>
            </w:tcBorders>
          </w:tcPr>
          <w:p>
            <w:pPr>
              <w:pStyle w:val="TableParagraph"/>
              <w:ind w:left="594"/>
              <w:rPr>
                <w:rFonts w:ascii="Times New Roman"/>
                <w:sz w:val="19"/>
              </w:rPr>
            </w:pPr>
            <w:r>
              <w:rPr>
                <w:rFonts w:ascii="Times New Roman"/>
                <w:spacing w:val="-2"/>
                <w:sz w:val="19"/>
              </w:rPr>
              <w:t>(0.0588)</w:t>
            </w:r>
          </w:p>
          <w:p>
            <w:pPr>
              <w:pStyle w:val="TableParagraph"/>
              <w:spacing w:before="110"/>
              <w:ind w:left="541"/>
              <w:rPr>
                <w:rFonts w:ascii="Times New Roman"/>
                <w:sz w:val="19"/>
              </w:rPr>
            </w:pPr>
            <w:r>
              <w:rPr>
                <w:rFonts w:ascii="Times New Roman"/>
                <w:spacing w:val="-2"/>
                <w:sz w:val="19"/>
              </w:rPr>
              <w:t>{0.0327}</w:t>
            </w:r>
          </w:p>
        </w:tc>
        <w:tc>
          <w:tcPr>
            <w:tcW w:w="1888" w:type="dxa"/>
            <w:tcBorders>
              <w:top w:val="single" w:sz="4" w:space="0" w:color="BEBEBE"/>
              <w:right w:val="nil"/>
            </w:tcBorders>
          </w:tcPr>
          <w:p>
            <w:pPr>
              <w:pStyle w:val="TableParagraph"/>
              <w:rPr>
                <w:rFonts w:ascii="Times New Roman"/>
                <w:sz w:val="22"/>
              </w:rPr>
            </w:pPr>
          </w:p>
        </w:tc>
      </w:tr>
      <w:tr>
        <w:trPr>
          <w:trHeight w:val="983" w:hRule="atLeast"/>
        </w:trPr>
        <w:tc>
          <w:tcPr>
            <w:tcW w:w="1634" w:type="dxa"/>
            <w:tcBorders>
              <w:left w:val="nil"/>
              <w:right w:val="single" w:sz="4" w:space="0" w:color="BEBEBE"/>
            </w:tcBorders>
          </w:tcPr>
          <w:p>
            <w:pPr>
              <w:pStyle w:val="TableParagraph"/>
              <w:ind w:left="162" w:right="143"/>
              <w:jc w:val="center"/>
              <w:rPr>
                <w:rFonts w:ascii="Times New Roman"/>
                <w:sz w:val="19"/>
              </w:rPr>
            </w:pPr>
            <w:r>
              <w:rPr>
                <w:rFonts w:ascii="Times New Roman"/>
                <w:spacing w:val="-2"/>
                <w:sz w:val="19"/>
              </w:rPr>
              <w:t>BFEXP*IFRS</w:t>
            </w:r>
          </w:p>
        </w:tc>
        <w:tc>
          <w:tcPr>
            <w:tcW w:w="1260" w:type="dxa"/>
            <w:tcBorders>
              <w:left w:val="single" w:sz="4" w:space="0" w:color="BEBEBE"/>
            </w:tcBorders>
          </w:tcPr>
          <w:p>
            <w:pPr>
              <w:pStyle w:val="TableParagraph"/>
              <w:rPr>
                <w:rFonts w:ascii="Times New Roman"/>
                <w:sz w:val="22"/>
              </w:rPr>
            </w:pPr>
          </w:p>
        </w:tc>
        <w:tc>
          <w:tcPr>
            <w:tcW w:w="1891" w:type="dxa"/>
            <w:tcBorders>
              <w:bottom w:val="single" w:sz="4" w:space="0" w:color="BEBEBE"/>
            </w:tcBorders>
          </w:tcPr>
          <w:p>
            <w:pPr>
              <w:pStyle w:val="TableParagraph"/>
              <w:spacing w:line="360" w:lineRule="auto"/>
              <w:ind w:left="567" w:right="415" w:firstLine="16"/>
              <w:rPr>
                <w:rFonts w:ascii="Times New Roman"/>
                <w:sz w:val="19"/>
              </w:rPr>
            </w:pPr>
            <w:r>
              <w:rPr>
                <w:rFonts w:ascii="Times New Roman"/>
                <w:spacing w:val="-2"/>
                <w:sz w:val="19"/>
              </w:rPr>
              <w:t>0.0748** (0.02511)</w:t>
            </w:r>
          </w:p>
          <w:p>
            <w:pPr>
              <w:pStyle w:val="TableParagraph"/>
              <w:spacing w:before="2"/>
              <w:ind w:left="586"/>
              <w:rPr>
                <w:rFonts w:ascii="Times New Roman"/>
                <w:sz w:val="19"/>
              </w:rPr>
            </w:pPr>
            <w:r>
              <w:rPr>
                <w:rFonts w:ascii="Times New Roman"/>
                <w:spacing w:val="-2"/>
                <w:sz w:val="19"/>
              </w:rPr>
              <w:t>{0.0034}</w:t>
            </w:r>
          </w:p>
        </w:tc>
        <w:tc>
          <w:tcPr>
            <w:tcW w:w="1800" w:type="dxa"/>
            <w:tcBorders>
              <w:bottom w:val="single" w:sz="4" w:space="0" w:color="BEBEBE"/>
            </w:tcBorders>
          </w:tcPr>
          <w:p>
            <w:pPr>
              <w:pStyle w:val="TableParagraph"/>
              <w:spacing w:line="360" w:lineRule="auto"/>
              <w:ind w:left="570" w:right="566" w:firstLine="14"/>
              <w:rPr>
                <w:rFonts w:ascii="Times New Roman"/>
                <w:sz w:val="19"/>
              </w:rPr>
            </w:pPr>
            <w:r>
              <w:rPr>
                <w:rFonts w:ascii="Times New Roman"/>
                <w:spacing w:val="-2"/>
                <w:sz w:val="19"/>
              </w:rPr>
              <w:t>0.0829* (0.0631)</w:t>
            </w:r>
          </w:p>
          <w:p>
            <w:pPr>
              <w:pStyle w:val="TableParagraph"/>
              <w:spacing w:before="2"/>
              <w:ind w:left="541"/>
              <w:rPr>
                <w:rFonts w:ascii="Times New Roman"/>
                <w:sz w:val="19"/>
              </w:rPr>
            </w:pPr>
            <w:r>
              <w:rPr>
                <w:rFonts w:ascii="Times New Roman"/>
                <w:spacing w:val="-2"/>
                <w:sz w:val="19"/>
              </w:rPr>
              <w:t>{0.1907}</w:t>
            </w:r>
          </w:p>
        </w:tc>
        <w:tc>
          <w:tcPr>
            <w:tcW w:w="1888" w:type="dxa"/>
            <w:tcBorders>
              <w:bottom w:val="single" w:sz="4" w:space="0" w:color="BEBEBE"/>
              <w:right w:val="nil"/>
            </w:tcBorders>
          </w:tcPr>
          <w:p>
            <w:pPr>
              <w:pStyle w:val="TableParagraph"/>
              <w:rPr>
                <w:rFonts w:ascii="Times New Roman"/>
                <w:sz w:val="22"/>
              </w:rPr>
            </w:pPr>
          </w:p>
        </w:tc>
      </w:tr>
      <w:tr>
        <w:trPr>
          <w:trHeight w:val="983" w:hRule="atLeast"/>
        </w:trPr>
        <w:tc>
          <w:tcPr>
            <w:tcW w:w="1634" w:type="dxa"/>
            <w:tcBorders>
              <w:left w:val="nil"/>
              <w:right w:val="single" w:sz="4" w:space="0" w:color="BEBEBE"/>
            </w:tcBorders>
          </w:tcPr>
          <w:p>
            <w:pPr>
              <w:pStyle w:val="TableParagraph"/>
              <w:ind w:left="162" w:right="147"/>
              <w:jc w:val="center"/>
              <w:rPr>
                <w:rFonts w:ascii="Times New Roman"/>
                <w:sz w:val="19"/>
              </w:rPr>
            </w:pPr>
            <w:r>
              <w:rPr>
                <w:rFonts w:ascii="Times New Roman"/>
                <w:spacing w:val="-2"/>
                <w:sz w:val="19"/>
              </w:rPr>
              <w:t>Ar(1)</w:t>
            </w:r>
          </w:p>
        </w:tc>
        <w:tc>
          <w:tcPr>
            <w:tcW w:w="1260" w:type="dxa"/>
            <w:tcBorders>
              <w:left w:val="single" w:sz="4" w:space="0" w:color="BEBEBE"/>
            </w:tcBorders>
          </w:tcPr>
          <w:p>
            <w:pPr>
              <w:pStyle w:val="TableParagraph"/>
              <w:rPr>
                <w:rFonts w:ascii="Times New Roman"/>
                <w:sz w:val="22"/>
              </w:rPr>
            </w:pPr>
          </w:p>
        </w:tc>
        <w:tc>
          <w:tcPr>
            <w:tcW w:w="1891" w:type="dxa"/>
            <w:tcBorders>
              <w:top w:val="single" w:sz="4" w:space="0" w:color="BEBEBE"/>
            </w:tcBorders>
          </w:tcPr>
          <w:p>
            <w:pPr>
              <w:pStyle w:val="TableParagraph"/>
              <w:ind w:left="451" w:right="451"/>
              <w:jc w:val="center"/>
              <w:rPr>
                <w:rFonts w:ascii="Times New Roman"/>
                <w:sz w:val="19"/>
              </w:rPr>
            </w:pPr>
            <w:r>
              <w:rPr>
                <w:rFonts w:ascii="Times New Roman"/>
                <w:spacing w:val="-2"/>
                <w:sz w:val="19"/>
              </w:rPr>
              <w:t>-0.0461</w:t>
            </w:r>
          </w:p>
          <w:p>
            <w:pPr>
              <w:pStyle w:val="TableParagraph"/>
              <w:spacing w:before="110"/>
              <w:ind w:left="498" w:right="451"/>
              <w:jc w:val="center"/>
              <w:rPr>
                <w:rFonts w:ascii="Times New Roman"/>
                <w:sz w:val="19"/>
              </w:rPr>
            </w:pPr>
            <w:r>
              <w:rPr>
                <w:rFonts w:ascii="Times New Roman"/>
                <w:spacing w:val="-2"/>
                <w:sz w:val="19"/>
              </w:rPr>
              <w:t>(0.0475)</w:t>
            </w:r>
          </w:p>
          <w:p>
            <w:pPr>
              <w:pStyle w:val="TableParagraph"/>
              <w:spacing w:before="108"/>
              <w:ind w:left="450" w:right="451"/>
              <w:jc w:val="center"/>
              <w:rPr>
                <w:rFonts w:ascii="Times New Roman"/>
                <w:sz w:val="19"/>
              </w:rPr>
            </w:pPr>
            <w:r>
              <w:rPr>
                <w:rFonts w:ascii="Times New Roman"/>
                <w:spacing w:val="-2"/>
                <w:sz w:val="19"/>
              </w:rPr>
              <w:t>{0.3333}</w:t>
            </w:r>
          </w:p>
        </w:tc>
        <w:tc>
          <w:tcPr>
            <w:tcW w:w="1800" w:type="dxa"/>
            <w:tcBorders>
              <w:top w:val="single" w:sz="4" w:space="0" w:color="BEBEBE"/>
            </w:tcBorders>
          </w:tcPr>
          <w:p>
            <w:pPr>
              <w:pStyle w:val="TableParagraph"/>
              <w:rPr>
                <w:rFonts w:ascii="Times New Roman"/>
                <w:sz w:val="22"/>
              </w:rPr>
            </w:pPr>
          </w:p>
        </w:tc>
        <w:tc>
          <w:tcPr>
            <w:tcW w:w="1888" w:type="dxa"/>
            <w:tcBorders>
              <w:top w:val="single" w:sz="4" w:space="0" w:color="BEBEBE"/>
              <w:right w:val="nil"/>
            </w:tcBorders>
          </w:tcPr>
          <w:p>
            <w:pPr>
              <w:pStyle w:val="TableParagraph"/>
              <w:rPr>
                <w:rFonts w:ascii="Times New Roman"/>
                <w:sz w:val="22"/>
              </w:rPr>
            </w:pPr>
          </w:p>
        </w:tc>
      </w:tr>
      <w:tr>
        <w:trPr>
          <w:trHeight w:val="984" w:hRule="atLeast"/>
        </w:trPr>
        <w:tc>
          <w:tcPr>
            <w:tcW w:w="1634" w:type="dxa"/>
            <w:tcBorders>
              <w:left w:val="nil"/>
              <w:right w:val="single" w:sz="4" w:space="0" w:color="BEBEBE"/>
            </w:tcBorders>
          </w:tcPr>
          <w:p>
            <w:pPr>
              <w:pStyle w:val="TableParagraph"/>
              <w:ind w:left="162" w:right="147"/>
              <w:jc w:val="center"/>
              <w:rPr>
                <w:rFonts w:ascii="Times New Roman"/>
                <w:sz w:val="19"/>
              </w:rPr>
            </w:pPr>
            <w:r>
              <w:rPr>
                <w:rFonts w:ascii="Times New Roman"/>
                <w:spacing w:val="-2"/>
                <w:sz w:val="19"/>
              </w:rPr>
              <w:t>Ar(2)</w:t>
            </w:r>
          </w:p>
        </w:tc>
        <w:tc>
          <w:tcPr>
            <w:tcW w:w="1260" w:type="dxa"/>
            <w:tcBorders>
              <w:left w:val="single" w:sz="4" w:space="0" w:color="BEBEBE"/>
            </w:tcBorders>
          </w:tcPr>
          <w:p>
            <w:pPr>
              <w:pStyle w:val="TableParagraph"/>
              <w:rPr>
                <w:rFonts w:ascii="Times New Roman"/>
                <w:sz w:val="22"/>
              </w:rPr>
            </w:pPr>
          </w:p>
        </w:tc>
        <w:tc>
          <w:tcPr>
            <w:tcW w:w="1891" w:type="dxa"/>
          </w:tcPr>
          <w:p>
            <w:pPr>
              <w:pStyle w:val="TableParagraph"/>
              <w:spacing w:line="360" w:lineRule="auto"/>
              <w:ind w:left="450" w:right="451"/>
              <w:jc w:val="center"/>
              <w:rPr>
                <w:rFonts w:ascii="Times New Roman"/>
                <w:sz w:val="19"/>
              </w:rPr>
            </w:pPr>
            <w:r>
              <w:rPr>
                <w:rFonts w:ascii="Times New Roman"/>
                <w:spacing w:val="-2"/>
                <w:sz w:val="19"/>
              </w:rPr>
              <w:t>0.5948*** (0.1002)</w:t>
            </w:r>
          </w:p>
          <w:p>
            <w:pPr>
              <w:pStyle w:val="TableParagraph"/>
              <w:spacing w:line="218" w:lineRule="exact"/>
              <w:ind w:left="450" w:right="451"/>
              <w:jc w:val="center"/>
              <w:rPr>
                <w:rFonts w:ascii="Times New Roman"/>
                <w:sz w:val="19"/>
              </w:rPr>
            </w:pPr>
            <w:r>
              <w:rPr>
                <w:rFonts w:ascii="Times New Roman"/>
                <w:spacing w:val="-2"/>
                <w:sz w:val="19"/>
              </w:rPr>
              <w:t>{0.000}</w:t>
            </w:r>
          </w:p>
        </w:tc>
        <w:tc>
          <w:tcPr>
            <w:tcW w:w="1800" w:type="dxa"/>
          </w:tcPr>
          <w:p>
            <w:pPr>
              <w:pStyle w:val="TableParagraph"/>
              <w:rPr>
                <w:rFonts w:ascii="Times New Roman"/>
                <w:sz w:val="22"/>
              </w:rPr>
            </w:pPr>
          </w:p>
        </w:tc>
        <w:tc>
          <w:tcPr>
            <w:tcW w:w="1888" w:type="dxa"/>
            <w:tcBorders>
              <w:right w:val="nil"/>
            </w:tcBorders>
          </w:tcPr>
          <w:p>
            <w:pPr>
              <w:pStyle w:val="TableParagraph"/>
              <w:rPr>
                <w:rFonts w:ascii="Times New Roman"/>
                <w:sz w:val="22"/>
              </w:rPr>
            </w:pPr>
          </w:p>
        </w:tc>
      </w:tr>
      <w:tr>
        <w:trPr>
          <w:trHeight w:val="325" w:hRule="atLeast"/>
        </w:trPr>
        <w:tc>
          <w:tcPr>
            <w:tcW w:w="6585" w:type="dxa"/>
            <w:gridSpan w:val="4"/>
            <w:tcBorders>
              <w:left w:val="nil"/>
            </w:tcBorders>
          </w:tcPr>
          <w:p>
            <w:pPr>
              <w:pStyle w:val="TableParagraph"/>
              <w:ind w:left="12"/>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1888" w:type="dxa"/>
            <w:tcBorders>
              <w:right w:val="nil"/>
            </w:tcBorders>
          </w:tcPr>
          <w:p>
            <w:pPr>
              <w:pStyle w:val="TableParagraph"/>
              <w:rPr>
                <w:rFonts w:ascii="Times New Roman"/>
                <w:sz w:val="22"/>
              </w:rPr>
            </w:pPr>
          </w:p>
        </w:tc>
      </w:tr>
      <w:tr>
        <w:trPr>
          <w:trHeight w:val="328" w:hRule="atLeast"/>
        </w:trPr>
        <w:tc>
          <w:tcPr>
            <w:tcW w:w="1634" w:type="dxa"/>
            <w:tcBorders>
              <w:left w:val="nil"/>
            </w:tcBorders>
          </w:tcPr>
          <w:p>
            <w:pPr>
              <w:pStyle w:val="TableParagraph"/>
              <w:spacing w:line="148" w:lineRule="auto" w:before="39"/>
              <w:ind w:left="162" w:right="145"/>
              <w:jc w:val="center"/>
              <w:rPr>
                <w:rFonts w:ascii="Times New Roman"/>
                <w:sz w:val="12"/>
              </w:rPr>
            </w:pPr>
            <w:r>
              <w:rPr>
                <w:rFonts w:ascii="Times New Roman"/>
                <w:spacing w:val="-5"/>
                <w:position w:val="-6"/>
                <w:sz w:val="19"/>
              </w:rPr>
              <w:t>R</w:t>
            </w:r>
            <w:r>
              <w:rPr>
                <w:rFonts w:ascii="Times New Roman"/>
                <w:spacing w:val="-5"/>
                <w:sz w:val="12"/>
              </w:rPr>
              <w:t>2</w:t>
            </w:r>
          </w:p>
        </w:tc>
        <w:tc>
          <w:tcPr>
            <w:tcW w:w="1260" w:type="dxa"/>
          </w:tcPr>
          <w:p>
            <w:pPr>
              <w:pStyle w:val="TableParagraph"/>
              <w:rPr>
                <w:rFonts w:ascii="Times New Roman"/>
                <w:sz w:val="22"/>
              </w:rPr>
            </w:pPr>
          </w:p>
        </w:tc>
        <w:tc>
          <w:tcPr>
            <w:tcW w:w="1891" w:type="dxa"/>
          </w:tcPr>
          <w:p>
            <w:pPr>
              <w:pStyle w:val="TableParagraph"/>
              <w:spacing w:before="2"/>
              <w:ind w:left="451" w:right="451"/>
              <w:jc w:val="center"/>
              <w:rPr>
                <w:rFonts w:ascii="Times New Roman"/>
                <w:sz w:val="19"/>
              </w:rPr>
            </w:pPr>
            <w:r>
              <w:rPr>
                <w:rFonts w:ascii="Times New Roman"/>
                <w:spacing w:val="-2"/>
                <w:sz w:val="19"/>
              </w:rPr>
              <w:t>0.904</w:t>
            </w:r>
          </w:p>
        </w:tc>
        <w:tc>
          <w:tcPr>
            <w:tcW w:w="1800" w:type="dxa"/>
            <w:tcBorders>
              <w:right w:val="single" w:sz="4" w:space="0" w:color="BEBEBE"/>
            </w:tcBorders>
          </w:tcPr>
          <w:p>
            <w:pPr>
              <w:pStyle w:val="TableParagraph"/>
              <w:spacing w:before="2"/>
              <w:ind w:left="173" w:right="174"/>
              <w:jc w:val="center"/>
              <w:rPr>
                <w:rFonts w:ascii="Times New Roman"/>
                <w:sz w:val="19"/>
              </w:rPr>
            </w:pPr>
            <w:r>
              <w:rPr/>
              <mc:AlternateContent>
                <mc:Choice Requires="wps">
                  <w:drawing>
                    <wp:anchor distT="0" distB="0" distL="0" distR="0" allowOverlap="1" layoutInCell="1" locked="0" behindDoc="1" simplePos="0" relativeHeight="477739520">
                      <wp:simplePos x="0" y="0"/>
                      <wp:positionH relativeFrom="column">
                        <wp:posOffset>553085</wp:posOffset>
                      </wp:positionH>
                      <wp:positionV relativeFrom="paragraph">
                        <wp:posOffset>-723783</wp:posOffset>
                      </wp:positionV>
                      <wp:extent cx="1529080" cy="166878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1529080" cy="1668780"/>
                                <a:chExt cx="1529080" cy="1668780"/>
                              </a:xfrm>
                            </wpg:grpSpPr>
                            <wps:wsp>
                              <wps:cNvPr id="169" name="Graphic 169"/>
                              <wps:cNvSpPr/>
                              <wps:spPr>
                                <a:xfrm>
                                  <a:off x="-12" y="0"/>
                                  <a:ext cx="1529080" cy="1668780"/>
                                </a:xfrm>
                                <a:custGeom>
                                  <a:avLst/>
                                  <a:gdLst/>
                                  <a:ahLst/>
                                  <a:cxnLst/>
                                  <a:rect l="l" t="t" r="r" b="b"/>
                                  <a:pathLst>
                                    <a:path w="1529080" h="1668780">
                                      <a:moveTo>
                                        <a:pt x="822236" y="1423746"/>
                                      </a:moveTo>
                                      <a:lnTo>
                                        <a:pt x="809383" y="1354582"/>
                                      </a:lnTo>
                                      <a:lnTo>
                                        <a:pt x="796493" y="1318704"/>
                                      </a:lnTo>
                                      <a:lnTo>
                                        <a:pt x="779856" y="1281874"/>
                                      </a:lnTo>
                                      <a:lnTo>
                                        <a:pt x="759294" y="1244104"/>
                                      </a:lnTo>
                                      <a:lnTo>
                                        <a:pt x="734707" y="1205357"/>
                                      </a:lnTo>
                                      <a:lnTo>
                                        <a:pt x="722680" y="1188770"/>
                                      </a:lnTo>
                                      <a:lnTo>
                                        <a:pt x="722680" y="1409928"/>
                                      </a:lnTo>
                                      <a:lnTo>
                                        <a:pt x="722388" y="1434338"/>
                                      </a:lnTo>
                                      <a:lnTo>
                                        <a:pt x="709841" y="1479892"/>
                                      </a:lnTo>
                                      <a:lnTo>
                                        <a:pt x="679970" y="1520571"/>
                                      </a:lnTo>
                                      <a:lnTo>
                                        <a:pt x="639546" y="1550949"/>
                                      </a:lnTo>
                                      <a:lnTo>
                                        <a:pt x="595515" y="1564259"/>
                                      </a:lnTo>
                                      <a:lnTo>
                                        <a:pt x="572363" y="1565490"/>
                                      </a:lnTo>
                                      <a:lnTo>
                                        <a:pt x="548424" y="1563357"/>
                                      </a:lnTo>
                                      <a:lnTo>
                                        <a:pt x="498106" y="1548638"/>
                                      </a:lnTo>
                                      <a:lnTo>
                                        <a:pt x="445592" y="1521955"/>
                                      </a:lnTo>
                                      <a:lnTo>
                                        <a:pt x="390410" y="1483741"/>
                                      </a:lnTo>
                                      <a:lnTo>
                                        <a:pt x="333070" y="1436065"/>
                                      </a:lnTo>
                                      <a:lnTo>
                                        <a:pt x="303822" y="1409204"/>
                                      </a:lnTo>
                                      <a:lnTo>
                                        <a:pt x="274205" y="1380363"/>
                                      </a:lnTo>
                                      <a:lnTo>
                                        <a:pt x="223316" y="1325930"/>
                                      </a:lnTo>
                                      <a:lnTo>
                                        <a:pt x="178066" y="1270635"/>
                                      </a:lnTo>
                                      <a:lnTo>
                                        <a:pt x="141592" y="1215898"/>
                                      </a:lnTo>
                                      <a:lnTo>
                                        <a:pt x="115709" y="1162304"/>
                                      </a:lnTo>
                                      <a:lnTo>
                                        <a:pt x="101130" y="1111059"/>
                                      </a:lnTo>
                                      <a:lnTo>
                                        <a:pt x="98590" y="1086294"/>
                                      </a:lnTo>
                                      <a:lnTo>
                                        <a:pt x="98945" y="1062101"/>
                                      </a:lnTo>
                                      <a:lnTo>
                                        <a:pt x="111048" y="1016787"/>
                                      </a:lnTo>
                                      <a:lnTo>
                                        <a:pt x="140601" y="976503"/>
                                      </a:lnTo>
                                      <a:lnTo>
                                        <a:pt x="180543" y="946569"/>
                                      </a:lnTo>
                                      <a:lnTo>
                                        <a:pt x="224675" y="933196"/>
                                      </a:lnTo>
                                      <a:lnTo>
                                        <a:pt x="248132" y="932218"/>
                                      </a:lnTo>
                                      <a:lnTo>
                                        <a:pt x="272237" y="934326"/>
                                      </a:lnTo>
                                      <a:lnTo>
                                        <a:pt x="322465" y="948309"/>
                                      </a:lnTo>
                                      <a:lnTo>
                                        <a:pt x="375361" y="975004"/>
                                      </a:lnTo>
                                      <a:lnTo>
                                        <a:pt x="430161" y="1012063"/>
                                      </a:lnTo>
                                      <a:lnTo>
                                        <a:pt x="486702" y="1058913"/>
                                      </a:lnTo>
                                      <a:lnTo>
                                        <a:pt x="515239" y="1085062"/>
                                      </a:lnTo>
                                      <a:lnTo>
                                        <a:pt x="543826" y="1112901"/>
                                      </a:lnTo>
                                      <a:lnTo>
                                        <a:pt x="570484" y="1140409"/>
                                      </a:lnTo>
                                      <a:lnTo>
                                        <a:pt x="619010" y="1195793"/>
                                      </a:lnTo>
                                      <a:lnTo>
                                        <a:pt x="661136" y="1251458"/>
                                      </a:lnTo>
                                      <a:lnTo>
                                        <a:pt x="692772" y="1306093"/>
                                      </a:lnTo>
                                      <a:lnTo>
                                        <a:pt x="714082" y="1358963"/>
                                      </a:lnTo>
                                      <a:lnTo>
                                        <a:pt x="722680" y="1409928"/>
                                      </a:lnTo>
                                      <a:lnTo>
                                        <a:pt x="722680" y="1188770"/>
                                      </a:lnTo>
                                      <a:lnTo>
                                        <a:pt x="674141" y="1126159"/>
                                      </a:lnTo>
                                      <a:lnTo>
                                        <a:pt x="638492" y="1085824"/>
                                      </a:lnTo>
                                      <a:lnTo>
                                        <a:pt x="599198" y="1044956"/>
                                      </a:lnTo>
                                      <a:lnTo>
                                        <a:pt x="558495" y="1005700"/>
                                      </a:lnTo>
                                      <a:lnTo>
                                        <a:pt x="518706" y="970203"/>
                                      </a:lnTo>
                                      <a:lnTo>
                                        <a:pt x="479818" y="938504"/>
                                      </a:lnTo>
                                      <a:lnTo>
                                        <a:pt x="441845" y="910590"/>
                                      </a:lnTo>
                                      <a:lnTo>
                                        <a:pt x="404749" y="886663"/>
                                      </a:lnTo>
                                      <a:lnTo>
                                        <a:pt x="368630" y="866940"/>
                                      </a:lnTo>
                                      <a:lnTo>
                                        <a:pt x="333540" y="851268"/>
                                      </a:lnTo>
                                      <a:lnTo>
                                        <a:pt x="266725" y="831850"/>
                                      </a:lnTo>
                                      <a:lnTo>
                                        <a:pt x="234924" y="828611"/>
                                      </a:lnTo>
                                      <a:lnTo>
                                        <a:pt x="204127" y="829475"/>
                                      </a:lnTo>
                                      <a:lnTo>
                                        <a:pt x="145529" y="842860"/>
                                      </a:lnTo>
                                      <a:lnTo>
                                        <a:pt x="92163" y="873861"/>
                                      </a:lnTo>
                                      <a:lnTo>
                                        <a:pt x="44615" y="921740"/>
                                      </a:lnTo>
                                      <a:lnTo>
                                        <a:pt x="12954" y="977887"/>
                                      </a:lnTo>
                                      <a:lnTo>
                                        <a:pt x="190" y="1040053"/>
                                      </a:lnTo>
                                      <a:lnTo>
                                        <a:pt x="0" y="1072946"/>
                                      </a:lnTo>
                                      <a:lnTo>
                                        <a:pt x="3911" y="1106766"/>
                                      </a:lnTo>
                                      <a:lnTo>
                                        <a:pt x="24942" y="1177404"/>
                                      </a:lnTo>
                                      <a:lnTo>
                                        <a:pt x="41376" y="1214234"/>
                                      </a:lnTo>
                                      <a:lnTo>
                                        <a:pt x="61671" y="1251902"/>
                                      </a:lnTo>
                                      <a:lnTo>
                                        <a:pt x="85991" y="1290320"/>
                                      </a:lnTo>
                                      <a:lnTo>
                                        <a:pt x="114084" y="1329372"/>
                                      </a:lnTo>
                                      <a:lnTo>
                                        <a:pt x="145592" y="1368742"/>
                                      </a:lnTo>
                                      <a:lnTo>
                                        <a:pt x="180517" y="1408417"/>
                                      </a:lnTo>
                                      <a:lnTo>
                                        <a:pt x="218833" y="1448308"/>
                                      </a:lnTo>
                                      <a:lnTo>
                                        <a:pt x="260286" y="1488313"/>
                                      </a:lnTo>
                                      <a:lnTo>
                                        <a:pt x="300634" y="1524317"/>
                                      </a:lnTo>
                                      <a:lnTo>
                                        <a:pt x="339966" y="1556435"/>
                                      </a:lnTo>
                                      <a:lnTo>
                                        <a:pt x="378345" y="1584706"/>
                                      </a:lnTo>
                                      <a:lnTo>
                                        <a:pt x="415798" y="1609077"/>
                                      </a:lnTo>
                                      <a:lnTo>
                                        <a:pt x="452132" y="1629257"/>
                                      </a:lnTo>
                                      <a:lnTo>
                                        <a:pt x="487311" y="1645297"/>
                                      </a:lnTo>
                                      <a:lnTo>
                                        <a:pt x="554075" y="1665147"/>
                                      </a:lnTo>
                                      <a:lnTo>
                                        <a:pt x="585939" y="1668691"/>
                                      </a:lnTo>
                                      <a:lnTo>
                                        <a:pt x="616877" y="1668081"/>
                                      </a:lnTo>
                                      <a:lnTo>
                                        <a:pt x="675906" y="1655089"/>
                                      </a:lnTo>
                                      <a:lnTo>
                                        <a:pt x="729983" y="1623720"/>
                                      </a:lnTo>
                                      <a:lnTo>
                                        <a:pt x="777951" y="1575333"/>
                                      </a:lnTo>
                                      <a:lnTo>
                                        <a:pt x="809320" y="1518932"/>
                                      </a:lnTo>
                                      <a:lnTo>
                                        <a:pt x="822096" y="1456677"/>
                                      </a:lnTo>
                                      <a:lnTo>
                                        <a:pt x="822236" y="1423746"/>
                                      </a:lnTo>
                                      <a:close/>
                                    </a:path>
                                    <a:path w="1529080" h="1668780">
                                      <a:moveTo>
                                        <a:pt x="1089164" y="1238885"/>
                                      </a:moveTo>
                                      <a:lnTo>
                                        <a:pt x="1088148" y="1235837"/>
                                      </a:lnTo>
                                      <a:lnTo>
                                        <a:pt x="1087005" y="1232789"/>
                                      </a:lnTo>
                                      <a:lnTo>
                                        <a:pt x="1084719" y="1229741"/>
                                      </a:lnTo>
                                      <a:lnTo>
                                        <a:pt x="838466" y="983488"/>
                                      </a:lnTo>
                                      <a:lnTo>
                                        <a:pt x="888250" y="933704"/>
                                      </a:lnTo>
                                      <a:lnTo>
                                        <a:pt x="906907" y="913079"/>
                                      </a:lnTo>
                                      <a:lnTo>
                                        <a:pt x="909345" y="909701"/>
                                      </a:lnTo>
                                      <a:lnTo>
                                        <a:pt x="922248" y="891921"/>
                                      </a:lnTo>
                                      <a:lnTo>
                                        <a:pt x="942733" y="847852"/>
                                      </a:lnTo>
                                      <a:lnTo>
                                        <a:pt x="950595" y="802767"/>
                                      </a:lnTo>
                                      <a:lnTo>
                                        <a:pt x="950671" y="778319"/>
                                      </a:lnTo>
                                      <a:lnTo>
                                        <a:pt x="947686" y="753999"/>
                                      </a:lnTo>
                                      <a:lnTo>
                                        <a:pt x="933500" y="704456"/>
                                      </a:lnTo>
                                      <a:lnTo>
                                        <a:pt x="908951" y="653669"/>
                                      </a:lnTo>
                                      <a:lnTo>
                                        <a:pt x="873747" y="602348"/>
                                      </a:lnTo>
                                      <a:lnTo>
                                        <a:pt x="854290" y="579158"/>
                                      </a:lnTo>
                                      <a:lnTo>
                                        <a:pt x="854290" y="774280"/>
                                      </a:lnTo>
                                      <a:lnTo>
                                        <a:pt x="853389" y="788733"/>
                                      </a:lnTo>
                                      <a:lnTo>
                                        <a:pt x="838784" y="830376"/>
                                      </a:lnTo>
                                      <a:lnTo>
                                        <a:pt x="764679" y="909701"/>
                                      </a:lnTo>
                                      <a:lnTo>
                                        <a:pt x="493280" y="638429"/>
                                      </a:lnTo>
                                      <a:lnTo>
                                        <a:pt x="547268" y="584441"/>
                                      </a:lnTo>
                                      <a:lnTo>
                                        <a:pt x="581799" y="557403"/>
                                      </a:lnTo>
                                      <a:lnTo>
                                        <a:pt x="629424" y="544068"/>
                                      </a:lnTo>
                                      <a:lnTo>
                                        <a:pt x="644144" y="544715"/>
                                      </a:lnTo>
                                      <a:lnTo>
                                        <a:pt x="695464" y="560705"/>
                                      </a:lnTo>
                                      <a:lnTo>
                                        <a:pt x="733767" y="584454"/>
                                      </a:lnTo>
                                      <a:lnTo>
                                        <a:pt x="774331" y="619887"/>
                                      </a:lnTo>
                                      <a:lnTo>
                                        <a:pt x="801954" y="650608"/>
                                      </a:lnTo>
                                      <a:lnTo>
                                        <a:pt x="824242" y="681990"/>
                                      </a:lnTo>
                                      <a:lnTo>
                                        <a:pt x="846505" y="729234"/>
                                      </a:lnTo>
                                      <a:lnTo>
                                        <a:pt x="854290" y="774280"/>
                                      </a:lnTo>
                                      <a:lnTo>
                                        <a:pt x="854290" y="579158"/>
                                      </a:lnTo>
                                      <a:lnTo>
                                        <a:pt x="852309" y="576795"/>
                                      </a:lnTo>
                                      <a:lnTo>
                                        <a:pt x="828179" y="551307"/>
                                      </a:lnTo>
                                      <a:lnTo>
                                        <a:pt x="820610" y="544068"/>
                                      </a:lnTo>
                                      <a:lnTo>
                                        <a:pt x="809040" y="532993"/>
                                      </a:lnTo>
                                      <a:lnTo>
                                        <a:pt x="770737" y="501472"/>
                                      </a:lnTo>
                                      <a:lnTo>
                                        <a:pt x="732320" y="476669"/>
                                      </a:lnTo>
                                      <a:lnTo>
                                        <a:pt x="694601" y="459130"/>
                                      </a:lnTo>
                                      <a:lnTo>
                                        <a:pt x="657656" y="447548"/>
                                      </a:lnTo>
                                      <a:lnTo>
                                        <a:pt x="604151" y="442849"/>
                                      </a:lnTo>
                                      <a:lnTo>
                                        <a:pt x="587260" y="444538"/>
                                      </a:lnTo>
                                      <a:lnTo>
                                        <a:pt x="545350" y="456692"/>
                                      </a:lnTo>
                                      <a:lnTo>
                                        <a:pt x="506742" y="479679"/>
                                      </a:lnTo>
                                      <a:lnTo>
                                        <a:pt x="477786" y="505460"/>
                                      </a:lnTo>
                                      <a:lnTo>
                                        <a:pt x="383933" y="599313"/>
                                      </a:lnTo>
                                      <a:lnTo>
                                        <a:pt x="376694" y="616623"/>
                                      </a:lnTo>
                                      <a:lnTo>
                                        <a:pt x="376821" y="624205"/>
                                      </a:lnTo>
                                      <a:lnTo>
                                        <a:pt x="399554" y="661035"/>
                                      </a:lnTo>
                                      <a:lnTo>
                                        <a:pt x="1023886" y="1285367"/>
                                      </a:lnTo>
                                      <a:lnTo>
                                        <a:pt x="1026426" y="1288034"/>
                                      </a:lnTo>
                                      <a:lnTo>
                                        <a:pt x="1029474" y="1290193"/>
                                      </a:lnTo>
                                      <a:lnTo>
                                        <a:pt x="1035570" y="1292479"/>
                                      </a:lnTo>
                                      <a:lnTo>
                                        <a:pt x="1038618" y="1292606"/>
                                      </a:lnTo>
                                      <a:lnTo>
                                        <a:pt x="1042047" y="1291336"/>
                                      </a:lnTo>
                                      <a:lnTo>
                                        <a:pt x="1045984" y="1290574"/>
                                      </a:lnTo>
                                      <a:lnTo>
                                        <a:pt x="1079766" y="1261999"/>
                                      </a:lnTo>
                                      <a:lnTo>
                                        <a:pt x="1088021" y="1245235"/>
                                      </a:lnTo>
                                      <a:lnTo>
                                        <a:pt x="1089037" y="1242187"/>
                                      </a:lnTo>
                                      <a:lnTo>
                                        <a:pt x="1089164" y="1238885"/>
                                      </a:lnTo>
                                      <a:close/>
                                    </a:path>
                                    <a:path w="1529080" h="1668780">
                                      <a:moveTo>
                                        <a:pt x="1528965" y="802259"/>
                                      </a:moveTo>
                                      <a:lnTo>
                                        <a:pt x="1528838" y="799211"/>
                                      </a:lnTo>
                                      <a:lnTo>
                                        <a:pt x="1526679" y="793115"/>
                                      </a:lnTo>
                                      <a:lnTo>
                                        <a:pt x="1524393" y="790067"/>
                                      </a:lnTo>
                                      <a:lnTo>
                                        <a:pt x="1272298" y="538099"/>
                                      </a:lnTo>
                                      <a:lnTo>
                                        <a:pt x="1225169" y="446278"/>
                                      </a:lnTo>
                                      <a:lnTo>
                                        <a:pt x="1085151" y="170192"/>
                                      </a:lnTo>
                                      <a:lnTo>
                                        <a:pt x="1014615" y="32385"/>
                                      </a:lnTo>
                                      <a:lnTo>
                                        <a:pt x="984262" y="0"/>
                                      </a:lnTo>
                                      <a:lnTo>
                                        <a:pt x="979182" y="1905"/>
                                      </a:lnTo>
                                      <a:lnTo>
                                        <a:pt x="947686" y="29210"/>
                                      </a:lnTo>
                                      <a:lnTo>
                                        <a:pt x="932827" y="57658"/>
                                      </a:lnTo>
                                      <a:lnTo>
                                        <a:pt x="934351" y="61341"/>
                                      </a:lnTo>
                                      <a:lnTo>
                                        <a:pt x="935621" y="65278"/>
                                      </a:lnTo>
                                      <a:lnTo>
                                        <a:pt x="937272" y="68961"/>
                                      </a:lnTo>
                                      <a:lnTo>
                                        <a:pt x="940320" y="73279"/>
                                      </a:lnTo>
                                      <a:lnTo>
                                        <a:pt x="962875" y="116001"/>
                                      </a:lnTo>
                                      <a:lnTo>
                                        <a:pt x="1029868" y="244411"/>
                                      </a:lnTo>
                                      <a:lnTo>
                                        <a:pt x="1074813" y="329819"/>
                                      </a:lnTo>
                                      <a:lnTo>
                                        <a:pt x="1137754" y="442645"/>
                                      </a:lnTo>
                                      <a:lnTo>
                                        <a:pt x="1159649" y="480314"/>
                                      </a:lnTo>
                                      <a:lnTo>
                                        <a:pt x="1159014" y="480949"/>
                                      </a:lnTo>
                                      <a:lnTo>
                                        <a:pt x="1005979" y="395605"/>
                                      </a:lnTo>
                                      <a:lnTo>
                                        <a:pt x="963498" y="373176"/>
                                      </a:lnTo>
                                      <a:lnTo>
                                        <a:pt x="750709" y="261747"/>
                                      </a:lnTo>
                                      <a:lnTo>
                                        <a:pt x="746010" y="259080"/>
                                      </a:lnTo>
                                      <a:lnTo>
                                        <a:pt x="742073" y="257937"/>
                                      </a:lnTo>
                                      <a:lnTo>
                                        <a:pt x="738517" y="256286"/>
                                      </a:lnTo>
                                      <a:lnTo>
                                        <a:pt x="734961" y="255524"/>
                                      </a:lnTo>
                                      <a:lnTo>
                                        <a:pt x="690003" y="286893"/>
                                      </a:lnTo>
                                      <a:lnTo>
                                        <a:pt x="675398" y="307721"/>
                                      </a:lnTo>
                                      <a:lnTo>
                                        <a:pt x="677430" y="316357"/>
                                      </a:lnTo>
                                      <a:lnTo>
                                        <a:pt x="708418" y="338582"/>
                                      </a:lnTo>
                                      <a:lnTo>
                                        <a:pt x="800188" y="385762"/>
                                      </a:lnTo>
                                      <a:lnTo>
                                        <a:pt x="1076299" y="525754"/>
                                      </a:lnTo>
                                      <a:lnTo>
                                        <a:pt x="1214132" y="596265"/>
                                      </a:lnTo>
                                      <a:lnTo>
                                        <a:pt x="1466100" y="848360"/>
                                      </a:lnTo>
                                      <a:lnTo>
                                        <a:pt x="1469148" y="850646"/>
                                      </a:lnTo>
                                      <a:lnTo>
                                        <a:pt x="1472196" y="851789"/>
                                      </a:lnTo>
                                      <a:lnTo>
                                        <a:pt x="1474863" y="853186"/>
                                      </a:lnTo>
                                      <a:lnTo>
                                        <a:pt x="1478165" y="853059"/>
                                      </a:lnTo>
                                      <a:lnTo>
                                        <a:pt x="1481594" y="851662"/>
                                      </a:lnTo>
                                      <a:lnTo>
                                        <a:pt x="1485658" y="850900"/>
                                      </a:lnTo>
                                      <a:lnTo>
                                        <a:pt x="1519059" y="822706"/>
                                      </a:lnTo>
                                      <a:lnTo>
                                        <a:pt x="1527695" y="805561"/>
                                      </a:lnTo>
                                      <a:lnTo>
                                        <a:pt x="1528965"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43.550011pt;margin-top:-56.99086pt;width:120.4pt;height:131.4pt;mso-position-horizontal-relative:column;mso-position-vertical-relative:paragraph;z-index:-25576960" id="docshapegroup34" coordorigin="871,-1140" coordsize="2408,2628">
                      <v:shape style="position:absolute;left:870;top:-1140;width:2408;height:2628" id="docshape35" coordorigin="871,-1140" coordsize="2408,2628" path="m2166,1102l2159,1049,2146,993,2125,937,2099,879,2067,819,2028,758,2009,732,2009,1081,2009,1119,2002,1156,1989,1191,1969,1224,1942,1255,1911,1282,1878,1303,1844,1317,1809,1324,1772,1326,1735,1322,1696,1313,1655,1299,1615,1280,1573,1257,1530,1229,1486,1197,1441,1161,1396,1122,1349,1079,1303,1034,1262,991,1223,948,1186,905,1151,861,1120,818,1094,775,1072,733,1053,691,1039,650,1030,610,1026,571,1027,533,1033,496,1046,461,1066,429,1092,398,1123,371,1155,351,1189,337,1225,330,1262,328,1300,332,1339,340,1379,354,1420,373,1462,396,1505,423,1548,454,1593,489,1637,528,1682,569,1727,613,1769,656,1809,700,1846,743,1881,787,1912,831,1939,874,1962,917,1981,959,1996,1000,2005,1041,2009,1081,2009,732,1983,696,1933,634,1876,570,1815,506,1751,444,1688,388,1627,338,1613,328,1567,294,1508,257,1452,225,1396,201,1343,182,1291,170,1241,165,1192,166,1145,174,1100,188,1057,208,1016,236,977,271,941,312,913,355,891,400,878,448,871,498,871,550,877,603,890,658,910,714,936,772,968,832,1006,892,1051,954,1100,1016,1155,1078,1216,1141,1281,1204,1344,1261,1406,1311,1467,1356,1526,1394,1583,1426,1638,1451,1692,1470,1744,1482,1794,1488,1842,1487,1890,1480,1935,1467,1979,1446,2021,1417,2060,1382,2096,1341,2106,1326,2125,1298,2146,1252,2159,1204,2166,1154,2166,1102xm2586,811l2585,806,2583,802,2579,797,2191,409,2270,331,2299,298,2303,293,2323,265,2342,231,2356,195,2364,160,2368,124,2368,86,2363,48,2354,9,2341,-30,2324,-70,2302,-110,2277,-151,2247,-191,2216,-228,2216,80,2215,102,2211,124,2203,146,2192,168,2177,189,2158,210,2075,293,1648,-134,1733,-219,1745,-231,1758,-242,1772,-252,1787,-262,1803,-270,1821,-277,1841,-281,1862,-283,1885,-282,1911,-277,1937,-269,1966,-257,1996,-240,2027,-219,2058,-194,2090,-164,2113,-139,2134,-115,2152,-91,2169,-66,2183,-41,2195,-16,2204,9,2211,32,2215,56,2216,80,2216,-228,2213,-231,2175,-272,2163,-283,2145,-300,2115,-327,2085,-350,2054,-371,2024,-389,1994,-404,1965,-417,1936,-427,1907,-435,1878,-440,1850,-442,1822,-442,1796,-440,1772,-435,1750,-429,1730,-421,1712,-411,1696,-402,1682,-393,1669,-384,1657,-375,1646,-365,1635,-355,1623,-344,1476,-196,1470,-188,1466,-179,1464,-169,1464,-157,1468,-144,1475,-130,1485,-115,1500,-99,2483,884,2487,889,2492,892,2502,896,2507,896,2512,894,2518,893,2532,885,2539,880,2547,874,2565,856,2571,848,2576,841,2581,833,2583,827,2584,821,2586,816,2586,811xm3279,124l3279,119,3275,109,3272,104,2875,-292,2800,-437,2580,-872,2469,-1089,2452,-1118,2447,-1125,2441,-1133,2434,-1137,2421,-1140,2413,-1137,2404,-1132,2398,-1126,2382,-1112,2363,-1094,2356,-1085,2346,-1072,2343,-1065,2341,-1060,2340,-1054,2340,-1049,2342,-1043,2344,-1037,2347,-1031,2352,-1024,2387,-957,2493,-755,2564,-620,2663,-443,2697,-383,2696,-382,2455,-517,2388,-552,2053,-728,2046,-732,2040,-734,2034,-736,2028,-737,2017,-735,2011,-733,2004,-730,1980,-710,1958,-688,1949,-678,1937,-662,1935,-655,1938,-642,1942,-636,1957,-624,1965,-619,1987,-607,2131,-532,2566,-312,2783,-201,3180,196,3185,200,3189,202,3194,204,3199,204,3204,201,3211,200,3224,193,3231,188,3239,182,3256,164,3263,156,3268,149,3272,142,3276,135,3277,129,3279,124xe" filled="true" fillcolor="#c0c0c0" stroked="false">
                        <v:path arrowok="t"/>
                        <v:fill opacity="32896f" type="solid"/>
                      </v:shape>
                      <w10:wrap type="none"/>
                    </v:group>
                  </w:pict>
                </mc:Fallback>
              </mc:AlternateContent>
            </w:r>
            <w:r>
              <w:rPr>
                <w:rFonts w:ascii="Times New Roman"/>
                <w:spacing w:val="-2"/>
                <w:sz w:val="19"/>
              </w:rPr>
              <w:t>0.5058</w:t>
            </w:r>
          </w:p>
        </w:tc>
        <w:tc>
          <w:tcPr>
            <w:tcW w:w="1888" w:type="dxa"/>
            <w:tcBorders>
              <w:left w:val="single" w:sz="4" w:space="0" w:color="BEBEBE"/>
              <w:bottom w:val="single" w:sz="4" w:space="0" w:color="BEBEBE"/>
              <w:right w:val="nil"/>
            </w:tcBorders>
          </w:tcPr>
          <w:p>
            <w:pPr>
              <w:pStyle w:val="TableParagraph"/>
              <w:spacing w:before="1"/>
              <w:ind w:left="10" w:right="14"/>
              <w:jc w:val="center"/>
              <w:rPr>
                <w:sz w:val="18"/>
              </w:rPr>
            </w:pPr>
            <w:r>
              <w:rPr>
                <w:spacing w:val="-2"/>
                <w:sz w:val="18"/>
              </w:rPr>
              <w:t>0.415</w:t>
            </w:r>
          </w:p>
        </w:tc>
      </w:tr>
      <w:tr>
        <w:trPr>
          <w:trHeight w:val="328" w:hRule="atLeast"/>
        </w:trPr>
        <w:tc>
          <w:tcPr>
            <w:tcW w:w="1634" w:type="dxa"/>
            <w:tcBorders>
              <w:left w:val="nil"/>
            </w:tcBorders>
          </w:tcPr>
          <w:p>
            <w:pPr>
              <w:pStyle w:val="TableParagraph"/>
              <w:ind w:left="162" w:right="140"/>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1260" w:type="dxa"/>
          </w:tcPr>
          <w:p>
            <w:pPr>
              <w:pStyle w:val="TableParagraph"/>
              <w:rPr>
                <w:rFonts w:ascii="Times New Roman"/>
                <w:sz w:val="22"/>
              </w:rPr>
            </w:pPr>
          </w:p>
        </w:tc>
        <w:tc>
          <w:tcPr>
            <w:tcW w:w="1891" w:type="dxa"/>
          </w:tcPr>
          <w:p>
            <w:pPr>
              <w:pStyle w:val="TableParagraph"/>
              <w:ind w:left="451" w:right="451"/>
              <w:jc w:val="center"/>
              <w:rPr>
                <w:rFonts w:ascii="Times New Roman"/>
                <w:sz w:val="19"/>
              </w:rPr>
            </w:pPr>
            <w:r>
              <w:rPr>
                <w:rFonts w:ascii="Times New Roman"/>
                <w:spacing w:val="-2"/>
                <w:sz w:val="19"/>
              </w:rPr>
              <w:t>0.887</w:t>
            </w:r>
          </w:p>
        </w:tc>
        <w:tc>
          <w:tcPr>
            <w:tcW w:w="1800" w:type="dxa"/>
            <w:tcBorders>
              <w:right w:val="single" w:sz="4" w:space="0" w:color="BEBEBE"/>
            </w:tcBorders>
          </w:tcPr>
          <w:p>
            <w:pPr>
              <w:pStyle w:val="TableParagraph"/>
              <w:ind w:left="173" w:right="174"/>
              <w:jc w:val="center"/>
              <w:rPr>
                <w:rFonts w:ascii="Times New Roman"/>
                <w:sz w:val="19"/>
              </w:rPr>
            </w:pPr>
            <w:r>
              <w:rPr>
                <w:rFonts w:ascii="Times New Roman"/>
                <w:spacing w:val="-2"/>
                <w:sz w:val="19"/>
              </w:rPr>
              <w:t>0.3843</w:t>
            </w:r>
          </w:p>
        </w:tc>
        <w:tc>
          <w:tcPr>
            <w:tcW w:w="1888" w:type="dxa"/>
            <w:tcBorders>
              <w:top w:val="single" w:sz="4" w:space="0" w:color="BEBEBE"/>
              <w:left w:val="single" w:sz="4" w:space="0" w:color="BEBEBE"/>
              <w:bottom w:val="single" w:sz="4" w:space="0" w:color="BEBEBE"/>
              <w:right w:val="nil"/>
            </w:tcBorders>
          </w:tcPr>
          <w:p>
            <w:pPr>
              <w:pStyle w:val="TableParagraph"/>
              <w:spacing w:line="206" w:lineRule="exact"/>
              <w:ind w:left="10" w:right="14"/>
              <w:jc w:val="center"/>
              <w:rPr>
                <w:sz w:val="18"/>
              </w:rPr>
            </w:pPr>
            <w:r>
              <w:rPr>
                <w:spacing w:val="-2"/>
                <w:sz w:val="18"/>
              </w:rPr>
              <w:t>0.386</w:t>
            </w:r>
          </w:p>
        </w:tc>
      </w:tr>
      <w:tr>
        <w:trPr>
          <w:trHeight w:val="328" w:hRule="atLeast"/>
        </w:trPr>
        <w:tc>
          <w:tcPr>
            <w:tcW w:w="1634" w:type="dxa"/>
            <w:tcBorders>
              <w:left w:val="nil"/>
            </w:tcBorders>
          </w:tcPr>
          <w:p>
            <w:pPr>
              <w:pStyle w:val="TableParagraph"/>
              <w:ind w:left="162" w:right="146"/>
              <w:jc w:val="center"/>
              <w:rPr>
                <w:rFonts w:ascii="Times New Roman"/>
                <w:sz w:val="19"/>
              </w:rPr>
            </w:pPr>
            <w:r>
              <w:rPr>
                <w:rFonts w:ascii="Times New Roman"/>
                <w:spacing w:val="-2"/>
                <w:sz w:val="19"/>
              </w:rPr>
              <w:t>F-statistic</w:t>
            </w:r>
          </w:p>
        </w:tc>
        <w:tc>
          <w:tcPr>
            <w:tcW w:w="1260" w:type="dxa"/>
          </w:tcPr>
          <w:p>
            <w:pPr>
              <w:pStyle w:val="TableParagraph"/>
              <w:rPr>
                <w:rFonts w:ascii="Times New Roman"/>
                <w:sz w:val="22"/>
              </w:rPr>
            </w:pPr>
          </w:p>
        </w:tc>
        <w:tc>
          <w:tcPr>
            <w:tcW w:w="1891" w:type="dxa"/>
          </w:tcPr>
          <w:p>
            <w:pPr>
              <w:pStyle w:val="TableParagraph"/>
              <w:ind w:left="451" w:right="451"/>
              <w:jc w:val="center"/>
              <w:rPr>
                <w:rFonts w:ascii="Times New Roman"/>
                <w:sz w:val="19"/>
              </w:rPr>
            </w:pPr>
            <w:r>
              <w:rPr>
                <w:rFonts w:ascii="Times New Roman"/>
                <w:spacing w:val="-2"/>
                <w:sz w:val="19"/>
              </w:rPr>
              <w:t>56.218</w:t>
            </w:r>
          </w:p>
        </w:tc>
        <w:tc>
          <w:tcPr>
            <w:tcW w:w="1800" w:type="dxa"/>
            <w:tcBorders>
              <w:right w:val="single" w:sz="4" w:space="0" w:color="BEBEBE"/>
            </w:tcBorders>
          </w:tcPr>
          <w:p>
            <w:pPr>
              <w:pStyle w:val="TableParagraph"/>
              <w:ind w:left="173" w:right="174"/>
              <w:jc w:val="center"/>
              <w:rPr>
                <w:rFonts w:ascii="Times New Roman"/>
                <w:sz w:val="19"/>
              </w:rPr>
            </w:pPr>
            <w:r>
              <w:rPr>
                <w:rFonts w:ascii="Times New Roman"/>
                <w:spacing w:val="-2"/>
                <w:sz w:val="19"/>
              </w:rPr>
              <w:t>18.832</w:t>
            </w:r>
          </w:p>
        </w:tc>
        <w:tc>
          <w:tcPr>
            <w:tcW w:w="1888" w:type="dxa"/>
            <w:tcBorders>
              <w:top w:val="single" w:sz="4" w:space="0" w:color="BEBEBE"/>
              <w:left w:val="single" w:sz="4" w:space="0" w:color="BEBEBE"/>
              <w:bottom w:val="single" w:sz="4" w:space="0" w:color="BEBEBE"/>
              <w:right w:val="nil"/>
            </w:tcBorders>
          </w:tcPr>
          <w:p>
            <w:pPr>
              <w:pStyle w:val="TableParagraph"/>
              <w:spacing w:line="206" w:lineRule="exact"/>
              <w:ind w:left="13" w:right="14"/>
              <w:jc w:val="center"/>
              <w:rPr>
                <w:sz w:val="18"/>
              </w:rPr>
            </w:pPr>
            <w:r>
              <w:rPr>
                <w:spacing w:val="-2"/>
                <w:sz w:val="18"/>
              </w:rPr>
              <w:t>14.553</w:t>
            </w:r>
          </w:p>
        </w:tc>
      </w:tr>
      <w:tr>
        <w:trPr>
          <w:trHeight w:val="325" w:hRule="atLeast"/>
        </w:trPr>
        <w:tc>
          <w:tcPr>
            <w:tcW w:w="1634" w:type="dxa"/>
            <w:tcBorders>
              <w:left w:val="nil"/>
            </w:tcBorders>
          </w:tcPr>
          <w:p>
            <w:pPr>
              <w:pStyle w:val="TableParagraph"/>
              <w:ind w:left="162" w:right="145"/>
              <w:jc w:val="center"/>
              <w:rPr>
                <w:rFonts w:ascii="Times New Roman"/>
                <w:sz w:val="19"/>
              </w:rPr>
            </w:pPr>
            <w:r>
              <w:rPr>
                <w:rFonts w:ascii="Times New Roman"/>
                <w:spacing w:val="-2"/>
                <w:sz w:val="19"/>
              </w:rPr>
              <w:t>Prob(F-stat)</w:t>
            </w:r>
          </w:p>
        </w:tc>
        <w:tc>
          <w:tcPr>
            <w:tcW w:w="1260" w:type="dxa"/>
          </w:tcPr>
          <w:p>
            <w:pPr>
              <w:pStyle w:val="TableParagraph"/>
              <w:rPr>
                <w:rFonts w:ascii="Times New Roman"/>
                <w:sz w:val="22"/>
              </w:rPr>
            </w:pPr>
          </w:p>
        </w:tc>
        <w:tc>
          <w:tcPr>
            <w:tcW w:w="1891" w:type="dxa"/>
          </w:tcPr>
          <w:p>
            <w:pPr>
              <w:pStyle w:val="TableParagraph"/>
              <w:ind w:left="451" w:right="451"/>
              <w:jc w:val="center"/>
              <w:rPr>
                <w:rFonts w:ascii="Times New Roman"/>
                <w:sz w:val="19"/>
              </w:rPr>
            </w:pPr>
            <w:r>
              <w:rPr>
                <w:rFonts w:ascii="Times New Roman"/>
                <w:spacing w:val="-2"/>
                <w:sz w:val="19"/>
              </w:rPr>
              <w:t>0.000</w:t>
            </w:r>
          </w:p>
        </w:tc>
        <w:tc>
          <w:tcPr>
            <w:tcW w:w="1800" w:type="dxa"/>
            <w:tcBorders>
              <w:right w:val="single" w:sz="4" w:space="0" w:color="BEBEBE"/>
            </w:tcBorders>
          </w:tcPr>
          <w:p>
            <w:pPr>
              <w:pStyle w:val="TableParagraph"/>
              <w:ind w:left="173" w:right="174"/>
              <w:jc w:val="center"/>
              <w:rPr>
                <w:rFonts w:ascii="Times New Roman"/>
                <w:sz w:val="19"/>
              </w:rPr>
            </w:pPr>
            <w:r>
              <w:rPr>
                <w:rFonts w:ascii="Times New Roman"/>
                <w:spacing w:val="-2"/>
                <w:sz w:val="19"/>
              </w:rPr>
              <w:t>0.000</w:t>
            </w:r>
          </w:p>
        </w:tc>
        <w:tc>
          <w:tcPr>
            <w:tcW w:w="1888" w:type="dxa"/>
            <w:tcBorders>
              <w:top w:val="single" w:sz="4" w:space="0" w:color="BEBEBE"/>
              <w:left w:val="single" w:sz="4" w:space="0" w:color="BEBEBE"/>
              <w:right w:val="nil"/>
            </w:tcBorders>
          </w:tcPr>
          <w:p>
            <w:pPr>
              <w:pStyle w:val="TableParagraph"/>
              <w:spacing w:line="206" w:lineRule="exact"/>
              <w:ind w:left="10" w:right="14"/>
              <w:jc w:val="center"/>
              <w:rPr>
                <w:sz w:val="18"/>
              </w:rPr>
            </w:pPr>
            <w:r>
              <w:rPr>
                <w:spacing w:val="-2"/>
                <w:sz w:val="18"/>
              </w:rPr>
              <w:t>0.000</w:t>
            </w:r>
          </w:p>
        </w:tc>
      </w:tr>
      <w:tr>
        <w:trPr>
          <w:trHeight w:val="328" w:hRule="atLeast"/>
        </w:trPr>
        <w:tc>
          <w:tcPr>
            <w:tcW w:w="1634" w:type="dxa"/>
            <w:tcBorders>
              <w:left w:val="nil"/>
            </w:tcBorders>
          </w:tcPr>
          <w:p>
            <w:pPr>
              <w:pStyle w:val="TableParagraph"/>
              <w:ind w:left="162" w:right="142"/>
              <w:jc w:val="center"/>
              <w:rPr>
                <w:rFonts w:ascii="Times New Roman"/>
                <w:sz w:val="19"/>
              </w:rPr>
            </w:pPr>
            <w:r>
              <w:rPr>
                <w:rFonts w:ascii="Times New Roman"/>
                <w:spacing w:val="-2"/>
                <w:sz w:val="19"/>
              </w:rPr>
              <w:t>Durbin-Watson</w:t>
            </w:r>
          </w:p>
        </w:tc>
        <w:tc>
          <w:tcPr>
            <w:tcW w:w="1260" w:type="dxa"/>
          </w:tcPr>
          <w:p>
            <w:pPr>
              <w:pStyle w:val="TableParagraph"/>
              <w:rPr>
                <w:rFonts w:ascii="Times New Roman"/>
                <w:sz w:val="22"/>
              </w:rPr>
            </w:pPr>
          </w:p>
        </w:tc>
        <w:tc>
          <w:tcPr>
            <w:tcW w:w="1891" w:type="dxa"/>
          </w:tcPr>
          <w:p>
            <w:pPr>
              <w:pStyle w:val="TableParagraph"/>
              <w:ind w:left="451" w:right="451"/>
              <w:jc w:val="center"/>
              <w:rPr>
                <w:rFonts w:ascii="Times New Roman"/>
                <w:sz w:val="19"/>
              </w:rPr>
            </w:pPr>
            <w:r>
              <w:rPr>
                <w:rFonts w:ascii="Times New Roman"/>
                <w:spacing w:val="-5"/>
                <w:sz w:val="19"/>
              </w:rPr>
              <w:t>2.0</w:t>
            </w:r>
          </w:p>
        </w:tc>
        <w:tc>
          <w:tcPr>
            <w:tcW w:w="1800" w:type="dxa"/>
          </w:tcPr>
          <w:p>
            <w:pPr>
              <w:pStyle w:val="TableParagraph"/>
              <w:ind w:left="173" w:right="174"/>
              <w:jc w:val="center"/>
              <w:rPr>
                <w:rFonts w:ascii="Times New Roman"/>
                <w:sz w:val="19"/>
              </w:rPr>
            </w:pPr>
            <w:r>
              <w:rPr>
                <w:rFonts w:ascii="Times New Roman"/>
                <w:spacing w:val="-2"/>
                <w:sz w:val="19"/>
              </w:rPr>
              <w:t>0.6985</w:t>
            </w:r>
          </w:p>
        </w:tc>
        <w:tc>
          <w:tcPr>
            <w:tcW w:w="1888" w:type="dxa"/>
            <w:tcBorders>
              <w:right w:val="nil"/>
            </w:tcBorders>
          </w:tcPr>
          <w:p>
            <w:pPr>
              <w:pStyle w:val="TableParagraph"/>
              <w:spacing w:line="206" w:lineRule="exact"/>
              <w:ind w:left="10" w:right="14"/>
              <w:jc w:val="center"/>
              <w:rPr>
                <w:sz w:val="18"/>
              </w:rPr>
            </w:pPr>
            <w:r>
              <w:rPr>
                <w:spacing w:val="-2"/>
                <w:sz w:val="18"/>
              </w:rPr>
              <w:t>0.994</w:t>
            </w:r>
          </w:p>
        </w:tc>
      </w:tr>
    </w:tbl>
    <w:p>
      <w:pPr>
        <w:spacing w:before="26"/>
        <w:ind w:left="846" w:right="1358" w:firstLine="0"/>
        <w:jc w:val="center"/>
        <w:rPr>
          <w:sz w:val="19"/>
        </w:rPr>
      </w:pPr>
      <w:r>
        <w:rPr/>
        <mc:AlternateContent>
          <mc:Choice Requires="wps">
            <w:drawing>
              <wp:anchor distT="0" distB="0" distL="0" distR="0" allowOverlap="1" layoutInCell="1" locked="0" behindDoc="1" simplePos="0" relativeHeight="477739008">
                <wp:simplePos x="0" y="0"/>
                <wp:positionH relativeFrom="page">
                  <wp:posOffset>1269060</wp:posOffset>
                </wp:positionH>
                <wp:positionV relativeFrom="paragraph">
                  <wp:posOffset>-562467</wp:posOffset>
                </wp:positionV>
                <wp:extent cx="3845560" cy="3759835"/>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3845560" cy="3759835"/>
                          <a:chExt cx="3845560" cy="3759835"/>
                        </a:xfrm>
                      </wpg:grpSpPr>
                      <wps:wsp>
                        <wps:cNvPr id="171" name="Graphic 171"/>
                        <wps:cNvSpPr/>
                        <wps:spPr>
                          <a:xfrm>
                            <a:off x="0" y="2478071"/>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72" name="Image 172"/>
                          <pic:cNvPicPr/>
                        </pic:nvPicPr>
                        <pic:blipFill>
                          <a:blip r:embed="rId9" cstate="print"/>
                          <a:stretch>
                            <a:fillRect/>
                          </a:stretch>
                        </pic:blipFill>
                        <pic:spPr>
                          <a:xfrm>
                            <a:off x="1248333" y="2526141"/>
                            <a:ext cx="221995" cy="221614"/>
                          </a:xfrm>
                          <a:prstGeom prst="rect">
                            <a:avLst/>
                          </a:prstGeom>
                        </pic:spPr>
                      </pic:pic>
                      <wps:wsp>
                        <wps:cNvPr id="173" name="Graphic 173"/>
                        <wps:cNvSpPr/>
                        <wps:spPr>
                          <a:xfrm>
                            <a:off x="1117777" y="9"/>
                            <a:ext cx="2727960" cy="2729865"/>
                          </a:xfrm>
                          <a:custGeom>
                            <a:avLst/>
                            <a:gdLst/>
                            <a:ahLst/>
                            <a:cxnLst/>
                            <a:rect l="l" t="t" r="r" b="b"/>
                            <a:pathLst>
                              <a:path w="2727960" h="2729865">
                                <a:moveTo>
                                  <a:pt x="721741" y="2678912"/>
                                </a:moveTo>
                                <a:lnTo>
                                  <a:pt x="721487" y="2675991"/>
                                </a:lnTo>
                                <a:lnTo>
                                  <a:pt x="719328" y="2669895"/>
                                </a:lnTo>
                                <a:lnTo>
                                  <a:pt x="717042" y="2666847"/>
                                </a:lnTo>
                                <a:lnTo>
                                  <a:pt x="714375" y="2664307"/>
                                </a:lnTo>
                                <a:lnTo>
                                  <a:pt x="62357" y="2012289"/>
                                </a:lnTo>
                                <a:lnTo>
                                  <a:pt x="59436" y="2010003"/>
                                </a:lnTo>
                                <a:lnTo>
                                  <a:pt x="53213" y="2007717"/>
                                </a:lnTo>
                                <a:lnTo>
                                  <a:pt x="50292" y="2007590"/>
                                </a:lnTo>
                                <a:lnTo>
                                  <a:pt x="46355" y="2008352"/>
                                </a:lnTo>
                                <a:lnTo>
                                  <a:pt x="13970" y="2032355"/>
                                </a:lnTo>
                                <a:lnTo>
                                  <a:pt x="0" y="2060930"/>
                                </a:lnTo>
                                <a:lnTo>
                                  <a:pt x="2286" y="2067153"/>
                                </a:lnTo>
                                <a:lnTo>
                                  <a:pt x="658749" y="2725140"/>
                                </a:lnTo>
                                <a:lnTo>
                                  <a:pt x="670941" y="2729712"/>
                                </a:lnTo>
                                <a:lnTo>
                                  <a:pt x="674243" y="2728442"/>
                                </a:lnTo>
                                <a:lnTo>
                                  <a:pt x="678307" y="2727680"/>
                                </a:lnTo>
                                <a:lnTo>
                                  <a:pt x="712089" y="2699232"/>
                                </a:lnTo>
                                <a:lnTo>
                                  <a:pt x="720344" y="2682341"/>
                                </a:lnTo>
                                <a:lnTo>
                                  <a:pt x="721741" y="2678912"/>
                                </a:lnTo>
                                <a:close/>
                              </a:path>
                              <a:path w="2727960" h="2729865">
                                <a:moveTo>
                                  <a:pt x="896239" y="2501239"/>
                                </a:moveTo>
                                <a:lnTo>
                                  <a:pt x="645541" y="2245842"/>
                                </a:lnTo>
                                <a:lnTo>
                                  <a:pt x="695325" y="2196058"/>
                                </a:lnTo>
                                <a:lnTo>
                                  <a:pt x="729310" y="2154339"/>
                                </a:lnTo>
                                <a:lnTo>
                                  <a:pt x="749681" y="2110333"/>
                                </a:lnTo>
                                <a:lnTo>
                                  <a:pt x="757631" y="2065121"/>
                                </a:lnTo>
                                <a:lnTo>
                                  <a:pt x="757694" y="2040648"/>
                                </a:lnTo>
                                <a:lnTo>
                                  <a:pt x="754634" y="2016353"/>
                                </a:lnTo>
                                <a:lnTo>
                                  <a:pt x="740511" y="1966798"/>
                                </a:lnTo>
                                <a:lnTo>
                                  <a:pt x="716026" y="1915896"/>
                                </a:lnTo>
                                <a:lnTo>
                                  <a:pt x="680796" y="1864715"/>
                                </a:lnTo>
                                <a:lnTo>
                                  <a:pt x="661314" y="1841385"/>
                                </a:lnTo>
                                <a:lnTo>
                                  <a:pt x="661314" y="2036635"/>
                                </a:lnTo>
                                <a:lnTo>
                                  <a:pt x="660438" y="2051088"/>
                                </a:lnTo>
                                <a:lnTo>
                                  <a:pt x="645807" y="2092744"/>
                                </a:lnTo>
                                <a:lnTo>
                                  <a:pt x="571754" y="2172055"/>
                                </a:lnTo>
                                <a:lnTo>
                                  <a:pt x="300482" y="1900656"/>
                                </a:lnTo>
                                <a:lnTo>
                                  <a:pt x="354330" y="1846935"/>
                                </a:lnTo>
                                <a:lnTo>
                                  <a:pt x="388747" y="1819757"/>
                                </a:lnTo>
                                <a:lnTo>
                                  <a:pt x="436499" y="1806549"/>
                                </a:lnTo>
                                <a:lnTo>
                                  <a:pt x="451167" y="1807171"/>
                                </a:lnTo>
                                <a:lnTo>
                                  <a:pt x="502412" y="1823059"/>
                                </a:lnTo>
                                <a:lnTo>
                                  <a:pt x="540804" y="1846745"/>
                                </a:lnTo>
                                <a:lnTo>
                                  <a:pt x="581406" y="1882241"/>
                                </a:lnTo>
                                <a:lnTo>
                                  <a:pt x="609015" y="1913153"/>
                                </a:lnTo>
                                <a:lnTo>
                                  <a:pt x="631190" y="1944344"/>
                                </a:lnTo>
                                <a:lnTo>
                                  <a:pt x="653580" y="1991588"/>
                                </a:lnTo>
                                <a:lnTo>
                                  <a:pt x="661314" y="2036635"/>
                                </a:lnTo>
                                <a:lnTo>
                                  <a:pt x="661314" y="1841385"/>
                                </a:lnTo>
                                <a:lnTo>
                                  <a:pt x="659422" y="1839112"/>
                                </a:lnTo>
                                <a:lnTo>
                                  <a:pt x="635381" y="1813534"/>
                                </a:lnTo>
                                <a:lnTo>
                                  <a:pt x="628015" y="1806549"/>
                                </a:lnTo>
                                <a:lnTo>
                                  <a:pt x="616153" y="1795297"/>
                                </a:lnTo>
                                <a:lnTo>
                                  <a:pt x="577710" y="1763814"/>
                                </a:lnTo>
                                <a:lnTo>
                                  <a:pt x="539343" y="1739087"/>
                                </a:lnTo>
                                <a:lnTo>
                                  <a:pt x="501675" y="1721561"/>
                                </a:lnTo>
                                <a:lnTo>
                                  <a:pt x="464718" y="1709966"/>
                                </a:lnTo>
                                <a:lnTo>
                                  <a:pt x="428688" y="1705292"/>
                                </a:lnTo>
                                <a:lnTo>
                                  <a:pt x="411099" y="1705330"/>
                                </a:lnTo>
                                <a:lnTo>
                                  <a:pt x="365036" y="1713928"/>
                                </a:lnTo>
                                <a:lnTo>
                                  <a:pt x="321881" y="1736648"/>
                                </a:lnTo>
                                <a:lnTo>
                                  <a:pt x="291896" y="1760969"/>
                                </a:lnTo>
                                <a:lnTo>
                                  <a:pt x="190881" y="1861794"/>
                                </a:lnTo>
                                <a:lnTo>
                                  <a:pt x="183692" y="1879003"/>
                                </a:lnTo>
                                <a:lnTo>
                                  <a:pt x="183896" y="1886432"/>
                                </a:lnTo>
                                <a:lnTo>
                                  <a:pt x="206629" y="1923389"/>
                                </a:lnTo>
                                <a:lnTo>
                                  <a:pt x="830961" y="2547721"/>
                                </a:lnTo>
                                <a:lnTo>
                                  <a:pt x="833501" y="2550388"/>
                                </a:lnTo>
                                <a:lnTo>
                                  <a:pt x="836549" y="2552674"/>
                                </a:lnTo>
                                <a:lnTo>
                                  <a:pt x="839597" y="2553817"/>
                                </a:lnTo>
                                <a:lnTo>
                                  <a:pt x="842772" y="2554706"/>
                                </a:lnTo>
                                <a:lnTo>
                                  <a:pt x="845693" y="2554960"/>
                                </a:lnTo>
                                <a:lnTo>
                                  <a:pt x="848995" y="2553690"/>
                                </a:lnTo>
                                <a:lnTo>
                                  <a:pt x="853059" y="2552928"/>
                                </a:lnTo>
                                <a:lnTo>
                                  <a:pt x="886828" y="2524353"/>
                                </a:lnTo>
                                <a:lnTo>
                                  <a:pt x="895096" y="2507589"/>
                                </a:lnTo>
                                <a:lnTo>
                                  <a:pt x="896112" y="2504541"/>
                                </a:lnTo>
                                <a:lnTo>
                                  <a:pt x="896239" y="2501239"/>
                                </a:lnTo>
                                <a:close/>
                              </a:path>
                              <a:path w="2727960" h="2729865">
                                <a:moveTo>
                                  <a:pt x="1336294" y="2064232"/>
                                </a:moveTo>
                                <a:lnTo>
                                  <a:pt x="1336167" y="2061311"/>
                                </a:lnTo>
                                <a:lnTo>
                                  <a:pt x="1334008" y="2055088"/>
                                </a:lnTo>
                                <a:lnTo>
                                  <a:pt x="1331722" y="2052167"/>
                                </a:lnTo>
                                <a:lnTo>
                                  <a:pt x="742442" y="1462887"/>
                                </a:lnTo>
                                <a:lnTo>
                                  <a:pt x="867410" y="1337919"/>
                                </a:lnTo>
                                <a:lnTo>
                                  <a:pt x="868540" y="1335760"/>
                                </a:lnTo>
                                <a:lnTo>
                                  <a:pt x="868667" y="1332458"/>
                                </a:lnTo>
                                <a:lnTo>
                                  <a:pt x="868426" y="1329410"/>
                                </a:lnTo>
                                <a:lnTo>
                                  <a:pt x="867778" y="1325981"/>
                                </a:lnTo>
                                <a:lnTo>
                                  <a:pt x="865632" y="1321917"/>
                                </a:lnTo>
                                <a:lnTo>
                                  <a:pt x="863981" y="1318234"/>
                                </a:lnTo>
                                <a:lnTo>
                                  <a:pt x="832739" y="1283690"/>
                                </a:lnTo>
                                <a:lnTo>
                                  <a:pt x="799465" y="1260449"/>
                                </a:lnTo>
                                <a:lnTo>
                                  <a:pt x="793242" y="1260449"/>
                                </a:lnTo>
                                <a:lnTo>
                                  <a:pt x="791083" y="1261592"/>
                                </a:lnTo>
                                <a:lnTo>
                                  <a:pt x="482854" y="1569821"/>
                                </a:lnTo>
                                <a:lnTo>
                                  <a:pt x="481711" y="1571980"/>
                                </a:lnTo>
                                <a:lnTo>
                                  <a:pt x="481965" y="1574901"/>
                                </a:lnTo>
                                <a:lnTo>
                                  <a:pt x="481711" y="1578203"/>
                                </a:lnTo>
                                <a:lnTo>
                                  <a:pt x="482854" y="1581251"/>
                                </a:lnTo>
                                <a:lnTo>
                                  <a:pt x="487045" y="1589506"/>
                                </a:lnTo>
                                <a:lnTo>
                                  <a:pt x="490601" y="1594459"/>
                                </a:lnTo>
                                <a:lnTo>
                                  <a:pt x="495046" y="1599412"/>
                                </a:lnTo>
                                <a:lnTo>
                                  <a:pt x="499491" y="1605381"/>
                                </a:lnTo>
                                <a:lnTo>
                                  <a:pt x="504952" y="1611477"/>
                                </a:lnTo>
                                <a:lnTo>
                                  <a:pt x="518541" y="1625066"/>
                                </a:lnTo>
                                <a:lnTo>
                                  <a:pt x="524637" y="1630527"/>
                                </a:lnTo>
                                <a:lnTo>
                                  <a:pt x="529971" y="1634464"/>
                                </a:lnTo>
                                <a:lnTo>
                                  <a:pt x="535051" y="1638909"/>
                                </a:lnTo>
                                <a:lnTo>
                                  <a:pt x="539877" y="1642338"/>
                                </a:lnTo>
                                <a:lnTo>
                                  <a:pt x="547751" y="1646021"/>
                                </a:lnTo>
                                <a:lnTo>
                                  <a:pt x="550799" y="1647164"/>
                                </a:lnTo>
                                <a:lnTo>
                                  <a:pt x="554101" y="1647037"/>
                                </a:lnTo>
                                <a:lnTo>
                                  <a:pt x="557022" y="1647291"/>
                                </a:lnTo>
                                <a:lnTo>
                                  <a:pt x="559181" y="1646021"/>
                                </a:lnTo>
                                <a:lnTo>
                                  <a:pt x="684149" y="1521053"/>
                                </a:lnTo>
                                <a:lnTo>
                                  <a:pt x="1273556" y="2110333"/>
                                </a:lnTo>
                                <a:lnTo>
                                  <a:pt x="1276477" y="2112619"/>
                                </a:lnTo>
                                <a:lnTo>
                                  <a:pt x="1282700" y="2114778"/>
                                </a:lnTo>
                                <a:lnTo>
                                  <a:pt x="1285494" y="2115032"/>
                                </a:lnTo>
                                <a:lnTo>
                                  <a:pt x="1289050" y="2113762"/>
                                </a:lnTo>
                                <a:lnTo>
                                  <a:pt x="1292987" y="2113000"/>
                                </a:lnTo>
                                <a:lnTo>
                                  <a:pt x="1326769" y="2084425"/>
                                </a:lnTo>
                                <a:lnTo>
                                  <a:pt x="1335024" y="2067661"/>
                                </a:lnTo>
                                <a:lnTo>
                                  <a:pt x="1336294" y="2064232"/>
                                </a:lnTo>
                                <a:close/>
                              </a:path>
                              <a:path w="2727960" h="2729865">
                                <a:moveTo>
                                  <a:pt x="1674368" y="1726285"/>
                                </a:moveTo>
                                <a:lnTo>
                                  <a:pt x="1674241" y="1723237"/>
                                </a:lnTo>
                                <a:lnTo>
                                  <a:pt x="1671955" y="1717141"/>
                                </a:lnTo>
                                <a:lnTo>
                                  <a:pt x="1669796" y="1714093"/>
                                </a:lnTo>
                                <a:lnTo>
                                  <a:pt x="1080389" y="1124813"/>
                                </a:lnTo>
                                <a:lnTo>
                                  <a:pt x="1205357" y="999845"/>
                                </a:lnTo>
                                <a:lnTo>
                                  <a:pt x="1206627" y="997686"/>
                                </a:lnTo>
                                <a:lnTo>
                                  <a:pt x="1206754" y="994384"/>
                                </a:lnTo>
                                <a:lnTo>
                                  <a:pt x="1205738" y="988034"/>
                                </a:lnTo>
                                <a:lnTo>
                                  <a:pt x="1202055" y="980287"/>
                                </a:lnTo>
                                <a:lnTo>
                                  <a:pt x="1198626" y="975334"/>
                                </a:lnTo>
                                <a:lnTo>
                                  <a:pt x="1194054" y="970381"/>
                                </a:lnTo>
                                <a:lnTo>
                                  <a:pt x="1184402" y="959205"/>
                                </a:lnTo>
                                <a:lnTo>
                                  <a:pt x="1177544" y="952474"/>
                                </a:lnTo>
                                <a:lnTo>
                                  <a:pt x="1170813" y="945616"/>
                                </a:lnTo>
                                <a:lnTo>
                                  <a:pt x="1154049" y="930884"/>
                                </a:lnTo>
                                <a:lnTo>
                                  <a:pt x="1149223" y="927455"/>
                                </a:lnTo>
                                <a:lnTo>
                                  <a:pt x="1140968" y="923137"/>
                                </a:lnTo>
                                <a:lnTo>
                                  <a:pt x="1137412" y="922502"/>
                                </a:lnTo>
                                <a:lnTo>
                                  <a:pt x="1134491" y="922248"/>
                                </a:lnTo>
                                <a:lnTo>
                                  <a:pt x="1131316" y="922375"/>
                                </a:lnTo>
                                <a:lnTo>
                                  <a:pt x="1129030" y="923645"/>
                                </a:lnTo>
                                <a:lnTo>
                                  <a:pt x="820928" y="1231747"/>
                                </a:lnTo>
                                <a:lnTo>
                                  <a:pt x="819658" y="1234033"/>
                                </a:lnTo>
                                <a:lnTo>
                                  <a:pt x="819912" y="1236954"/>
                                </a:lnTo>
                                <a:lnTo>
                                  <a:pt x="819785" y="1240129"/>
                                </a:lnTo>
                                <a:lnTo>
                                  <a:pt x="820928" y="1243304"/>
                                </a:lnTo>
                                <a:lnTo>
                                  <a:pt x="825119" y="1251559"/>
                                </a:lnTo>
                                <a:lnTo>
                                  <a:pt x="828548" y="1256385"/>
                                </a:lnTo>
                                <a:lnTo>
                                  <a:pt x="832993" y="1261465"/>
                                </a:lnTo>
                                <a:lnTo>
                                  <a:pt x="837565" y="1267434"/>
                                </a:lnTo>
                                <a:lnTo>
                                  <a:pt x="842899" y="1273530"/>
                                </a:lnTo>
                                <a:lnTo>
                                  <a:pt x="856488" y="1287119"/>
                                </a:lnTo>
                                <a:lnTo>
                                  <a:pt x="862584" y="1292453"/>
                                </a:lnTo>
                                <a:lnTo>
                                  <a:pt x="868045" y="1296517"/>
                                </a:lnTo>
                                <a:lnTo>
                                  <a:pt x="872998" y="1300962"/>
                                </a:lnTo>
                                <a:lnTo>
                                  <a:pt x="877951" y="1304391"/>
                                </a:lnTo>
                                <a:lnTo>
                                  <a:pt x="885698" y="1308074"/>
                                </a:lnTo>
                                <a:lnTo>
                                  <a:pt x="888746" y="1309090"/>
                                </a:lnTo>
                                <a:lnTo>
                                  <a:pt x="892048" y="1309090"/>
                                </a:lnTo>
                                <a:lnTo>
                                  <a:pt x="894969" y="1309344"/>
                                </a:lnTo>
                                <a:lnTo>
                                  <a:pt x="897115" y="1308074"/>
                                </a:lnTo>
                                <a:lnTo>
                                  <a:pt x="1022223" y="1183106"/>
                                </a:lnTo>
                                <a:lnTo>
                                  <a:pt x="1611503" y="1772386"/>
                                </a:lnTo>
                                <a:lnTo>
                                  <a:pt x="1614551" y="1774672"/>
                                </a:lnTo>
                                <a:lnTo>
                                  <a:pt x="1620647" y="1776831"/>
                                </a:lnTo>
                                <a:lnTo>
                                  <a:pt x="1623568" y="1777085"/>
                                </a:lnTo>
                                <a:lnTo>
                                  <a:pt x="1626997" y="1775688"/>
                                </a:lnTo>
                                <a:lnTo>
                                  <a:pt x="1630934" y="1775053"/>
                                </a:lnTo>
                                <a:lnTo>
                                  <a:pt x="1668018" y="1742160"/>
                                </a:lnTo>
                                <a:lnTo>
                                  <a:pt x="1673098" y="1729714"/>
                                </a:lnTo>
                                <a:lnTo>
                                  <a:pt x="1674368" y="1726285"/>
                                </a:lnTo>
                                <a:close/>
                              </a:path>
                              <a:path w="2727960" h="2729865">
                                <a:moveTo>
                                  <a:pt x="2122817" y="1192530"/>
                                </a:moveTo>
                                <a:lnTo>
                                  <a:pt x="2109851" y="1123416"/>
                                </a:lnTo>
                                <a:lnTo>
                                  <a:pt x="2080412" y="1050734"/>
                                </a:lnTo>
                                <a:lnTo>
                                  <a:pt x="2059838" y="1013002"/>
                                </a:lnTo>
                                <a:lnTo>
                                  <a:pt x="2035175" y="974318"/>
                                </a:lnTo>
                                <a:lnTo>
                                  <a:pt x="2023275" y="957834"/>
                                </a:lnTo>
                                <a:lnTo>
                                  <a:pt x="2023275" y="1178788"/>
                                </a:lnTo>
                                <a:lnTo>
                                  <a:pt x="2022983" y="1203172"/>
                                </a:lnTo>
                                <a:lnTo>
                                  <a:pt x="2010384" y="1248727"/>
                                </a:lnTo>
                                <a:lnTo>
                                  <a:pt x="1980565" y="1289405"/>
                                </a:lnTo>
                                <a:lnTo>
                                  <a:pt x="1940153" y="1319720"/>
                                </a:lnTo>
                                <a:lnTo>
                                  <a:pt x="1896237" y="1332966"/>
                                </a:lnTo>
                                <a:lnTo>
                                  <a:pt x="1872983" y="1334287"/>
                                </a:lnTo>
                                <a:lnTo>
                                  <a:pt x="1848993" y="1332230"/>
                                </a:lnTo>
                                <a:lnTo>
                                  <a:pt x="1798701" y="1317472"/>
                                </a:lnTo>
                                <a:lnTo>
                                  <a:pt x="1746084" y="1290789"/>
                                </a:lnTo>
                                <a:lnTo>
                                  <a:pt x="1691005" y="1252575"/>
                                </a:lnTo>
                                <a:lnTo>
                                  <a:pt x="1633664" y="1204887"/>
                                </a:lnTo>
                                <a:lnTo>
                                  <a:pt x="1604416" y="1178039"/>
                                </a:lnTo>
                                <a:lnTo>
                                  <a:pt x="1574800" y="1149197"/>
                                </a:lnTo>
                                <a:lnTo>
                                  <a:pt x="1523911" y="1094765"/>
                                </a:lnTo>
                                <a:lnTo>
                                  <a:pt x="1478661" y="1039469"/>
                                </a:lnTo>
                                <a:lnTo>
                                  <a:pt x="1442186" y="984732"/>
                                </a:lnTo>
                                <a:lnTo>
                                  <a:pt x="1416304" y="931138"/>
                                </a:lnTo>
                                <a:lnTo>
                                  <a:pt x="1401673" y="879894"/>
                                </a:lnTo>
                                <a:lnTo>
                                  <a:pt x="1399133" y="855167"/>
                                </a:lnTo>
                                <a:lnTo>
                                  <a:pt x="1399540" y="830935"/>
                                </a:lnTo>
                                <a:lnTo>
                                  <a:pt x="1411693" y="785596"/>
                                </a:lnTo>
                                <a:lnTo>
                                  <a:pt x="1441196" y="745210"/>
                                </a:lnTo>
                                <a:lnTo>
                                  <a:pt x="1481175" y="715340"/>
                                </a:lnTo>
                                <a:lnTo>
                                  <a:pt x="1525270" y="702030"/>
                                </a:lnTo>
                                <a:lnTo>
                                  <a:pt x="1548726" y="701001"/>
                                </a:lnTo>
                                <a:lnTo>
                                  <a:pt x="1572831" y="703135"/>
                                </a:lnTo>
                                <a:lnTo>
                                  <a:pt x="1623060" y="717270"/>
                                </a:lnTo>
                                <a:lnTo>
                                  <a:pt x="1675955" y="743851"/>
                                </a:lnTo>
                                <a:lnTo>
                                  <a:pt x="1730756" y="780897"/>
                                </a:lnTo>
                                <a:lnTo>
                                  <a:pt x="1787296" y="827747"/>
                                </a:lnTo>
                                <a:lnTo>
                                  <a:pt x="1815833" y="853897"/>
                                </a:lnTo>
                                <a:lnTo>
                                  <a:pt x="1844421" y="881735"/>
                                </a:lnTo>
                                <a:lnTo>
                                  <a:pt x="1871078" y="909243"/>
                                </a:lnTo>
                                <a:lnTo>
                                  <a:pt x="1919605" y="964628"/>
                                </a:lnTo>
                                <a:lnTo>
                                  <a:pt x="1961730" y="1020292"/>
                                </a:lnTo>
                                <a:lnTo>
                                  <a:pt x="1993366" y="1074928"/>
                                </a:lnTo>
                                <a:lnTo>
                                  <a:pt x="2014677" y="1127848"/>
                                </a:lnTo>
                                <a:lnTo>
                                  <a:pt x="2023275" y="1178788"/>
                                </a:lnTo>
                                <a:lnTo>
                                  <a:pt x="2023275" y="957834"/>
                                </a:lnTo>
                                <a:lnTo>
                                  <a:pt x="1974723" y="895007"/>
                                </a:lnTo>
                                <a:lnTo>
                                  <a:pt x="1939086" y="854671"/>
                                </a:lnTo>
                                <a:lnTo>
                                  <a:pt x="1899793" y="813790"/>
                                </a:lnTo>
                                <a:lnTo>
                                  <a:pt x="1859089" y="774534"/>
                                </a:lnTo>
                                <a:lnTo>
                                  <a:pt x="1819300" y="739038"/>
                                </a:lnTo>
                                <a:lnTo>
                                  <a:pt x="1780413" y="707339"/>
                                </a:lnTo>
                                <a:lnTo>
                                  <a:pt x="1742440" y="679424"/>
                                </a:lnTo>
                                <a:lnTo>
                                  <a:pt x="1705368" y="655497"/>
                                </a:lnTo>
                                <a:lnTo>
                                  <a:pt x="1669262" y="635774"/>
                                </a:lnTo>
                                <a:lnTo>
                                  <a:pt x="1634185" y="620102"/>
                                </a:lnTo>
                                <a:lnTo>
                                  <a:pt x="1567332" y="600684"/>
                                </a:lnTo>
                                <a:lnTo>
                                  <a:pt x="1535569" y="597433"/>
                                </a:lnTo>
                                <a:lnTo>
                                  <a:pt x="1504772" y="598258"/>
                                </a:lnTo>
                                <a:lnTo>
                                  <a:pt x="1446123" y="611581"/>
                                </a:lnTo>
                                <a:lnTo>
                                  <a:pt x="1392758" y="642670"/>
                                </a:lnTo>
                                <a:lnTo>
                                  <a:pt x="1345222" y="690575"/>
                                </a:lnTo>
                                <a:lnTo>
                                  <a:pt x="1313649" y="746721"/>
                                </a:lnTo>
                                <a:lnTo>
                                  <a:pt x="1300848" y="808888"/>
                                </a:lnTo>
                                <a:lnTo>
                                  <a:pt x="1300632" y="841768"/>
                                </a:lnTo>
                                <a:lnTo>
                                  <a:pt x="1304556" y="875550"/>
                                </a:lnTo>
                                <a:lnTo>
                                  <a:pt x="1325664" y="946188"/>
                                </a:lnTo>
                                <a:lnTo>
                                  <a:pt x="1342085" y="983056"/>
                                </a:lnTo>
                                <a:lnTo>
                                  <a:pt x="1362341" y="1020737"/>
                                </a:lnTo>
                                <a:lnTo>
                                  <a:pt x="1386586" y="1059154"/>
                                </a:lnTo>
                                <a:lnTo>
                                  <a:pt x="1414691" y="1098207"/>
                                </a:lnTo>
                                <a:lnTo>
                                  <a:pt x="1446250" y="1137577"/>
                                </a:lnTo>
                                <a:lnTo>
                                  <a:pt x="1481213" y="1177251"/>
                                </a:lnTo>
                                <a:lnTo>
                                  <a:pt x="1519555" y="1217142"/>
                                </a:lnTo>
                                <a:lnTo>
                                  <a:pt x="1560957" y="1257147"/>
                                </a:lnTo>
                                <a:lnTo>
                                  <a:pt x="1601254" y="1293114"/>
                                </a:lnTo>
                                <a:lnTo>
                                  <a:pt x="1640611" y="1325219"/>
                                </a:lnTo>
                                <a:lnTo>
                                  <a:pt x="1679067" y="1353540"/>
                                </a:lnTo>
                                <a:lnTo>
                                  <a:pt x="1716443" y="1377911"/>
                                </a:lnTo>
                                <a:lnTo>
                                  <a:pt x="1752739" y="1398092"/>
                                </a:lnTo>
                                <a:lnTo>
                                  <a:pt x="1787918" y="1414119"/>
                                </a:lnTo>
                                <a:lnTo>
                                  <a:pt x="1854669" y="1433982"/>
                                </a:lnTo>
                                <a:lnTo>
                                  <a:pt x="1886534" y="1437513"/>
                                </a:lnTo>
                                <a:lnTo>
                                  <a:pt x="1917471" y="1436865"/>
                                </a:lnTo>
                                <a:lnTo>
                                  <a:pt x="1976501" y="1423797"/>
                                </a:lnTo>
                                <a:lnTo>
                                  <a:pt x="2030577" y="1392478"/>
                                </a:lnTo>
                                <a:lnTo>
                                  <a:pt x="2078558" y="1344168"/>
                                </a:lnTo>
                                <a:lnTo>
                                  <a:pt x="2109965" y="1287767"/>
                                </a:lnTo>
                                <a:lnTo>
                                  <a:pt x="2122690" y="1225448"/>
                                </a:lnTo>
                                <a:lnTo>
                                  <a:pt x="2122817" y="1192530"/>
                                </a:lnTo>
                                <a:close/>
                              </a:path>
                              <a:path w="2727960" h="2729865">
                                <a:moveTo>
                                  <a:pt x="2727706" y="603859"/>
                                </a:moveTo>
                                <a:lnTo>
                                  <a:pt x="2723642" y="563981"/>
                                </a:lnTo>
                                <a:lnTo>
                                  <a:pt x="2691765" y="522706"/>
                                </a:lnTo>
                                <a:lnTo>
                                  <a:pt x="2657094" y="492607"/>
                                </a:lnTo>
                                <a:lnTo>
                                  <a:pt x="2650617" y="489559"/>
                                </a:lnTo>
                                <a:lnTo>
                                  <a:pt x="2646553" y="489559"/>
                                </a:lnTo>
                                <a:lnTo>
                                  <a:pt x="2644648" y="490321"/>
                                </a:lnTo>
                                <a:lnTo>
                                  <a:pt x="2639568" y="495401"/>
                                </a:lnTo>
                                <a:lnTo>
                                  <a:pt x="2637790" y="503402"/>
                                </a:lnTo>
                                <a:lnTo>
                                  <a:pt x="2639060" y="515975"/>
                                </a:lnTo>
                                <a:lnTo>
                                  <a:pt x="2639618" y="525767"/>
                                </a:lnTo>
                                <a:lnTo>
                                  <a:pt x="2637447" y="573620"/>
                                </a:lnTo>
                                <a:lnTo>
                                  <a:pt x="2627503" y="616178"/>
                                </a:lnTo>
                                <a:lnTo>
                                  <a:pt x="2603690" y="658774"/>
                                </a:lnTo>
                                <a:lnTo>
                                  <a:pt x="2575547" y="685965"/>
                                </a:lnTo>
                                <a:lnTo>
                                  <a:pt x="2539123" y="705205"/>
                                </a:lnTo>
                                <a:lnTo>
                                  <a:pt x="2497709" y="712724"/>
                                </a:lnTo>
                                <a:lnTo>
                                  <a:pt x="2475433" y="712152"/>
                                </a:lnTo>
                                <a:lnTo>
                                  <a:pt x="2427478" y="701268"/>
                                </a:lnTo>
                                <a:lnTo>
                                  <a:pt x="2375408" y="678967"/>
                                </a:lnTo>
                                <a:lnTo>
                                  <a:pt x="2319147" y="644372"/>
                                </a:lnTo>
                                <a:lnTo>
                                  <a:pt x="2259279" y="598246"/>
                                </a:lnTo>
                                <a:lnTo>
                                  <a:pt x="2228253" y="570725"/>
                                </a:lnTo>
                                <a:lnTo>
                                  <a:pt x="2196465" y="540105"/>
                                </a:lnTo>
                                <a:lnTo>
                                  <a:pt x="2165464" y="507923"/>
                                </a:lnTo>
                                <a:lnTo>
                                  <a:pt x="2137537" y="476427"/>
                                </a:lnTo>
                                <a:lnTo>
                                  <a:pt x="2112556" y="445490"/>
                                </a:lnTo>
                                <a:lnTo>
                                  <a:pt x="2071306" y="385826"/>
                                </a:lnTo>
                                <a:lnTo>
                                  <a:pt x="2041906" y="330161"/>
                                </a:lnTo>
                                <a:lnTo>
                                  <a:pt x="2023503" y="278345"/>
                                </a:lnTo>
                                <a:lnTo>
                                  <a:pt x="2017572" y="231114"/>
                                </a:lnTo>
                                <a:lnTo>
                                  <a:pt x="2018919" y="209397"/>
                                </a:lnTo>
                                <a:lnTo>
                                  <a:pt x="2030768" y="170688"/>
                                </a:lnTo>
                                <a:lnTo>
                                  <a:pt x="2054733" y="138163"/>
                                </a:lnTo>
                                <a:lnTo>
                                  <a:pt x="2096084" y="107619"/>
                                </a:lnTo>
                                <a:lnTo>
                                  <a:pt x="2139340" y="94996"/>
                                </a:lnTo>
                                <a:lnTo>
                                  <a:pt x="2178354" y="91478"/>
                                </a:lnTo>
                                <a:lnTo>
                                  <a:pt x="2200376" y="91795"/>
                                </a:lnTo>
                                <a:lnTo>
                                  <a:pt x="2210181" y="92443"/>
                                </a:lnTo>
                                <a:lnTo>
                                  <a:pt x="2222754" y="93573"/>
                                </a:lnTo>
                                <a:lnTo>
                                  <a:pt x="2230755" y="92811"/>
                                </a:lnTo>
                                <a:lnTo>
                                  <a:pt x="2235454" y="87985"/>
                                </a:lnTo>
                                <a:lnTo>
                                  <a:pt x="2236089" y="85318"/>
                                </a:lnTo>
                                <a:lnTo>
                                  <a:pt x="2235962" y="82397"/>
                                </a:lnTo>
                                <a:lnTo>
                                  <a:pt x="2211578" y="45948"/>
                                </a:lnTo>
                                <a:lnTo>
                                  <a:pt x="2183257" y="18897"/>
                                </a:lnTo>
                                <a:lnTo>
                                  <a:pt x="2178939" y="15976"/>
                                </a:lnTo>
                                <a:lnTo>
                                  <a:pt x="2175002" y="12547"/>
                                </a:lnTo>
                                <a:lnTo>
                                  <a:pt x="2133054" y="0"/>
                                </a:lnTo>
                                <a:lnTo>
                                  <a:pt x="2113153" y="228"/>
                                </a:lnTo>
                                <a:lnTo>
                                  <a:pt x="2066671" y="7975"/>
                                </a:lnTo>
                                <a:lnTo>
                                  <a:pt x="2019300" y="27025"/>
                                </a:lnTo>
                                <a:lnTo>
                                  <a:pt x="1986838" y="49555"/>
                                </a:lnTo>
                                <a:lnTo>
                                  <a:pt x="1957463" y="81241"/>
                                </a:lnTo>
                                <a:lnTo>
                                  <a:pt x="1930273" y="132359"/>
                                </a:lnTo>
                                <a:lnTo>
                                  <a:pt x="1919427" y="191592"/>
                                </a:lnTo>
                                <a:lnTo>
                                  <a:pt x="1919490" y="223520"/>
                                </a:lnTo>
                                <a:lnTo>
                                  <a:pt x="1931670" y="291439"/>
                                </a:lnTo>
                                <a:lnTo>
                                  <a:pt x="1944090" y="327774"/>
                                </a:lnTo>
                                <a:lnTo>
                                  <a:pt x="1960181" y="365125"/>
                                </a:lnTo>
                                <a:lnTo>
                                  <a:pt x="1980171" y="403440"/>
                                </a:lnTo>
                                <a:lnTo>
                                  <a:pt x="2004314" y="442696"/>
                                </a:lnTo>
                                <a:lnTo>
                                  <a:pt x="2032241" y="482955"/>
                                </a:lnTo>
                                <a:lnTo>
                                  <a:pt x="2064194" y="523811"/>
                                </a:lnTo>
                                <a:lnTo>
                                  <a:pt x="2100135" y="565162"/>
                                </a:lnTo>
                                <a:lnTo>
                                  <a:pt x="2140077" y="606907"/>
                                </a:lnTo>
                                <a:lnTo>
                                  <a:pt x="2180818" y="646010"/>
                                </a:lnTo>
                                <a:lnTo>
                                  <a:pt x="2220747" y="680910"/>
                                </a:lnTo>
                                <a:lnTo>
                                  <a:pt x="2259876" y="711733"/>
                                </a:lnTo>
                                <a:lnTo>
                                  <a:pt x="2298192" y="738606"/>
                                </a:lnTo>
                                <a:lnTo>
                                  <a:pt x="2335644" y="761923"/>
                                </a:lnTo>
                                <a:lnTo>
                                  <a:pt x="2372017" y="780986"/>
                                </a:lnTo>
                                <a:lnTo>
                                  <a:pt x="2407323" y="796061"/>
                                </a:lnTo>
                                <a:lnTo>
                                  <a:pt x="2474353" y="815136"/>
                                </a:lnTo>
                                <a:lnTo>
                                  <a:pt x="2505849" y="818553"/>
                                </a:lnTo>
                                <a:lnTo>
                                  <a:pt x="2536025" y="817981"/>
                                </a:lnTo>
                                <a:lnTo>
                                  <a:pt x="2592146" y="805891"/>
                                </a:lnTo>
                                <a:lnTo>
                                  <a:pt x="2641625" y="778357"/>
                                </a:lnTo>
                                <a:lnTo>
                                  <a:pt x="2675648" y="746302"/>
                                </a:lnTo>
                                <a:lnTo>
                                  <a:pt x="2702814" y="706348"/>
                                </a:lnTo>
                                <a:lnTo>
                                  <a:pt x="2718447" y="664921"/>
                                </a:lnTo>
                                <a:lnTo>
                                  <a:pt x="2726258" y="626745"/>
                                </a:lnTo>
                                <a:lnTo>
                                  <a:pt x="2727452" y="615061"/>
                                </a:lnTo>
                                <a:lnTo>
                                  <a:pt x="2727706" y="6038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4.28875pt;width:302.8pt;height:296.05pt;mso-position-horizontal-relative:page;mso-position-vertical-relative:paragraph;z-index:-25577472" id="docshapegroup36" coordorigin="1999,-886" coordsize="6056,5921">
                <v:shape style="position:absolute;left:1998;top:3016;width:2142;height:2018" id="docshape37" coordorigin="1999,3017" coordsize="2142,2018" path="m3420,4726l3419,4685,3412,4642,3400,4598,3383,4553,3362,4507,3335,4460,3304,4413,3268,4365,3227,4317,3181,4269,2526,3614,2521,3611,2511,3607,2501,3608,2495,3610,2489,3613,2482,3617,2475,3622,2467,3629,2449,3646,2438,3661,2434,3668,2431,3675,2429,3680,2427,3686,2428,3691,2431,3701,2435,3706,3090,4361,3124,4396,3154,4431,3181,4465,3204,4497,3223,4529,3239,4561,3252,4591,3261,4620,3266,4648,3268,4676,3267,4702,3262,4727,3254,4752,3243,4775,3227,4796,3209,4817,3189,4835,3167,4849,3144,4860,3120,4868,3095,4872,3068,4874,3040,4872,3012,4866,2982,4857,2951,4845,2919,4829,2886,4809,2852,4785,2817,4758,2782,4726,2745,4691,2097,4043,2092,4040,2083,4036,2078,4036,2072,4037,2067,4039,2060,4042,2053,4046,2038,4058,2020,4075,2014,4083,2009,4090,2002,4104,2000,4109,1999,4115,1999,4120,2002,4130,2006,4134,2671,4800,2720,4846,2768,4887,2815,4923,2862,4955,2908,4980,2953,5001,2996,5017,3038,5027,3080,5033,3119,5034,3157,5031,3195,5022,3230,5010,3263,4992,3295,4970,3324,4944,3353,4912,3377,4878,3395,4842,3408,4805,3417,4766,3420,4726xm4140,3954l4134,3900,4120,3845,4100,3789,4073,3731,4041,3671,4002,3610,3983,3584,3983,3932,3983,3971,3977,4007,3963,4042,3943,4075,3916,4106,3885,4134,3852,4154,3819,4168,3783,4175,3747,4177,3709,4174,3670,4165,3630,4151,3589,4132,3547,4109,3504,4081,3460,4048,3415,4012,3370,3973,3324,3931,3277,3886,3236,3843,3197,3800,3160,3757,3126,3713,3095,3670,3068,3627,3046,3584,3028,3542,3013,3501,3004,3462,3000,3423,3001,3385,3007,3348,3020,3313,3040,3280,3067,3250,3097,3223,3130,3203,3163,3189,3199,3181,3236,3180,3274,3183,3313,3192,3353,3205,3394,3224,3436,3247,3479,3274,3523,3306,3567,3341,3612,3379,3657,3421,3702,3464,3744,3508,3783,3551,3820,3595,3855,3639,3887,3683,3914,3726,3936,3769,3955,3811,3970,3852,3979,3893,3983,3932,3983,3584,3957,3548,3907,3485,3851,3422,3789,3357,3725,3296,3662,3240,3601,3190,3588,3180,3541,3146,3483,3108,3426,3077,3371,3052,3317,3034,3265,3022,3215,3017,3167,3018,3120,3025,3075,3039,3032,3060,2991,3088,2952,3123,2916,3163,2887,3207,2866,3252,2852,3300,2846,3350,2845,3402,2852,3455,2865,3509,2885,3566,2911,3624,2943,3683,2981,3744,3025,3805,3075,3867,3130,3930,3190,3993,3255,4056,3319,4112,3381,4163,3441,4208,3500,4246,3557,4278,3613,4303,3666,4322,3718,4334,3768,4340,3817,4339,3864,4332,3910,4318,3953,4297,3995,4269,4035,4234,4071,4193,4081,4177,4099,4150,4120,4104,4133,4056,4140,4006,4140,3954xe" filled="true" fillcolor="#c0c0c0" stroked="false">
                  <v:path arrowok="t"/>
                  <v:fill opacity="32896f" type="solid"/>
                </v:shape>
                <v:shape style="position:absolute;left:3964;top:3092;width:350;height:349" type="#_x0000_t75" id="docshape38" stroked="false">
                  <v:imagedata r:id="rId9" o:title=""/>
                </v:shape>
                <v:shape style="position:absolute;left:3758;top:-886;width:4296;height:4299" id="docshape39" coordorigin="3759,-886" coordsize="4296,4299" path="m4895,3333l4895,3328,4892,3319,4888,3314,4884,3310,3857,2283,3852,2280,3843,2276,3838,2276,3832,2277,3826,2279,3821,2282,3813,2286,3806,2291,3798,2298,3781,2315,3770,2329,3762,2343,3760,2348,3759,2355,3759,2360,3762,2370,3765,2375,4796,3406,4801,3409,4811,3413,4815,3413,4821,3411,4827,3410,4833,3407,4841,3402,4848,3397,4856,3391,4873,3373,4880,3365,4885,3358,4889,3351,4892,3345,4893,3338,4895,3333xm5170,3053l5169,3048,5167,3043,5163,3039,5159,3035,4775,2651,4854,2573,4883,2540,4887,2535,4907,2507,4926,2473,4939,2438,4948,2402,4952,2366,4952,2328,4947,2290,4938,2251,4925,2212,4908,2172,4886,2131,4861,2091,4831,2051,4800,2014,4800,2322,4799,2344,4795,2366,4787,2388,4776,2410,4761,2431,4742,2452,4659,2535,4232,2107,4317,2023,4329,2011,4342,2000,4356,1990,4371,1980,4387,1972,4405,1965,4425,1961,4446,1959,4469,1960,4494,1965,4521,1973,4550,1985,4580,2002,4610,2022,4642,2048,4674,2078,4697,2103,4718,2127,4736,2151,4753,2176,4767,2201,4779,2226,4788,2251,4795,2274,4799,2298,4800,2322,4800,2014,4797,2010,4759,1970,4748,1959,4729,1941,4699,1915,4669,1892,4638,1871,4608,1853,4578,1838,4549,1825,4520,1815,4491,1807,4462,1802,4434,1800,4406,1800,4380,1802,4356,1807,4334,1813,4314,1821,4296,1831,4280,1840,4266,1849,4253,1858,4241,1867,4230,1877,4218,1887,4207,1898,4059,2046,4054,2054,4050,2063,4048,2073,4048,2085,4052,2098,4059,2112,4069,2127,4084,2143,5067,3126,5071,3131,5076,3134,5081,3136,5086,3137,5091,3138,5096,3136,5102,3135,5109,3131,5116,3127,5123,3122,5131,3116,5149,3098,5155,3090,5160,3083,5165,3075,5167,3070,5168,3063,5170,3058,5170,3053xm5863,2365l5863,2360,5860,2351,5856,2346,4928,1418,5125,1221,5127,1218,5127,1213,5126,1208,5125,1202,5122,1196,5119,1190,5114,1183,5092,1157,5081,1146,5070,1136,5061,1127,5044,1113,5036,1107,5023,1100,5018,1099,5008,1099,5005,1101,4519,1586,4517,1590,4518,1594,4517,1600,4519,1604,4526,1617,4531,1625,4538,1633,4545,1642,4554,1652,4575,1673,4585,1682,4593,1688,4601,1695,4609,1701,4621,1706,4626,1708,4631,1708,4636,1708,4639,1706,4836,1510,5764,2438,5769,2441,5779,2445,5783,2445,5789,2443,5795,2442,5809,2434,5824,2423,5842,2405,5848,2397,5853,2390,5857,2383,5860,2377,5861,2370,5863,2365xm6396,1833l6395,1828,6392,1818,6388,1814,5460,886,5657,689,5659,685,5659,680,5658,670,5652,658,5646,650,5639,642,5624,625,5613,614,5603,603,5576,580,5569,575,5556,568,5550,567,5545,567,5540,567,5537,569,5052,1054,5050,1058,5050,1062,5050,1067,5052,1072,5058,1085,5064,1093,5071,1101,5078,1110,5086,1120,5108,1141,5117,1150,5126,1156,5134,1163,5141,1168,5154,1174,5158,1176,5164,1176,5168,1176,5172,1174,5369,977,6297,1905,6301,1909,6311,1912,6316,1913,6321,1911,6327,1910,6341,1902,6348,1897,6356,1890,6374,1873,6386,1858,6392,1844,6394,1838,6396,1833xm7102,992l7095,939,7081,883,7061,827,7035,769,7003,710,6964,649,6945,623,6945,971,6945,1009,6938,1046,6925,1081,6905,1114,6878,1145,6847,1172,6814,1193,6780,1206,6745,1213,6708,1215,6671,1212,6632,1203,6591,1189,6551,1170,6509,1147,6466,1119,6422,1087,6377,1051,6332,1012,6285,969,6239,924,6198,881,6159,838,6122,795,6087,751,6056,708,6030,665,6008,623,5989,581,5975,540,5966,500,5962,461,5963,423,5969,386,5982,351,6002,319,6028,288,6059,261,6091,241,6125,227,6161,220,6198,218,6236,222,6275,230,6315,244,6356,263,6398,286,6441,313,6484,344,6529,379,6573,418,6618,459,6663,503,6705,546,6745,590,6782,633,6817,677,6848,721,6875,764,6898,807,6917,849,6932,890,6941,931,6945,971,6945,623,6919,586,6869,524,6812,460,6751,396,6687,334,6624,278,6563,228,6549,218,6503,184,6444,147,6388,115,6332,91,6279,72,6227,60,6177,55,6129,56,6081,64,6036,77,5993,98,5952,126,5913,161,5877,202,5849,245,5828,290,5814,338,5807,388,5807,440,5813,493,5826,548,5846,604,5872,662,5904,722,5942,782,5987,844,6036,906,6091,968,6152,1031,6217,1094,6280,1151,6342,1201,6403,1246,6462,1284,6519,1316,6574,1341,6628,1360,6680,1372,6730,1378,6778,1377,6826,1370,6871,1356,6915,1335,6957,1307,6996,1272,7032,1231,7042,1215,7061,1188,7082,1142,7095,1094,7102,1044,7102,992xm8054,65l8054,37,8054,26,8052,18,8050,9,8048,2,8043,-9,8040,-14,8036,-20,8014,-46,7998,-63,7980,-79,7957,-101,7943,-110,7938,-113,7933,-115,7927,-115,7924,-114,7916,-106,7913,-93,7915,-73,7916,-58,7916,-41,7915,-23,7914,-3,7912,18,7909,39,7903,61,7897,85,7887,108,7875,130,7859,152,7840,172,7815,194,7787,212,7757,225,7726,233,7692,237,7657,236,7620,230,7582,219,7542,203,7500,183,7456,159,7411,129,7364,95,7317,56,7268,13,7218,-35,7169,-86,7125,-135,7086,-184,7051,-232,7021,-278,6995,-323,6974,-366,6958,-407,6945,-447,6938,-486,6936,-522,6938,-556,6945,-588,6957,-617,6973,-644,6995,-668,7016,-688,7038,-704,7060,-716,7083,-725,7106,-731,7128,-736,7149,-740,7170,-742,7189,-742,7224,-741,7239,-740,7259,-738,7272,-740,7279,-747,7280,-751,7280,-756,7279,-760,7277,-765,7270,-779,7258,-795,7242,-813,7213,-842,7197,-856,7190,-861,7184,-866,7173,-873,7161,-878,7153,-881,7141,-884,7130,-885,7118,-886,7087,-885,7069,-884,7050,-882,7032,-878,7013,-873,6995,-868,6976,-861,6957,-852,6939,-843,6921,-833,6904,-821,6888,-808,6872,-793,6841,-758,6817,-719,6799,-677,6787,-632,6782,-584,6782,-534,6788,-481,6801,-427,6820,-370,6846,-311,6877,-250,6915,-189,6959,-125,7010,-61,7066,4,7129,70,7193,132,7256,187,7318,235,7378,277,7437,314,7494,344,7550,368,7604,386,7655,398,7705,403,7753,402,7798,396,7841,383,7881,365,7919,340,7954,309,7972,290,7989,269,8003,248,8015,227,8025,204,8033,183,8040,161,8045,140,8049,120,8052,101,8054,83,8054,65xe" filled="true" fillcolor="#c0c0c0" stroked="false">
                  <v:path arrowok="t"/>
                  <v:fill opacity="32896f" type="solid"/>
                </v:shape>
                <w10:wrap type="none"/>
              </v:group>
            </w:pict>
          </mc:Fallback>
        </mc:AlternateContent>
      </w:r>
      <w:r>
        <w:rPr>
          <w:sz w:val="19"/>
        </w:rPr>
        <w:t>Model</w:t>
      </w:r>
      <w:r>
        <w:rPr>
          <w:spacing w:val="-6"/>
          <w:sz w:val="19"/>
        </w:rPr>
        <w:t> </w:t>
      </w:r>
      <w:r>
        <w:rPr>
          <w:spacing w:val="-2"/>
          <w:sz w:val="19"/>
        </w:rPr>
        <w:t>Diagnostics</w:t>
      </w:r>
    </w:p>
    <w:p>
      <w:pPr>
        <w:pStyle w:val="BodyText"/>
        <w:spacing w:before="7"/>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60"/>
        <w:gridCol w:w="1891"/>
        <w:gridCol w:w="3689"/>
      </w:tblGrid>
      <w:tr>
        <w:trPr>
          <w:trHeight w:val="654" w:hRule="atLeast"/>
        </w:trPr>
        <w:tc>
          <w:tcPr>
            <w:tcW w:w="1634" w:type="dxa"/>
            <w:tcBorders>
              <w:left w:val="nil"/>
            </w:tcBorders>
          </w:tcPr>
          <w:p>
            <w:pPr>
              <w:pStyle w:val="TableParagraph"/>
              <w:spacing w:line="152" w:lineRule="exact"/>
              <w:ind w:left="587"/>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62" w:right="1"/>
              <w:jc w:val="center"/>
              <w:rPr>
                <w:rFonts w:ascii="Times New Roman"/>
                <w:sz w:val="12"/>
              </w:rPr>
            </w:pPr>
            <w:r>
              <w:rPr>
                <w:rFonts w:ascii="Times New Roman"/>
                <w:spacing w:val="-2"/>
                <w:sz w:val="12"/>
              </w:rPr>
              <w:t>Hetero</w:t>
            </w:r>
          </w:p>
          <w:p>
            <w:pPr>
              <w:pStyle w:val="TableParagraph"/>
              <w:spacing w:line="156" w:lineRule="exact" w:before="99"/>
              <w:ind w:left="48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62"/>
              <w:jc w:val="center"/>
              <w:rPr>
                <w:rFonts w:ascii="Times New Roman"/>
                <w:sz w:val="12"/>
              </w:rPr>
            </w:pPr>
            <w:r>
              <w:rPr>
                <w:rFonts w:ascii="Times New Roman"/>
                <w:spacing w:val="-2"/>
                <w:sz w:val="12"/>
              </w:rPr>
              <w:t>Serial/Corr</w:t>
            </w:r>
          </w:p>
        </w:tc>
        <w:tc>
          <w:tcPr>
            <w:tcW w:w="1260" w:type="dxa"/>
          </w:tcPr>
          <w:p>
            <w:pPr>
              <w:pStyle w:val="TableParagraph"/>
              <w:ind w:left="411"/>
              <w:rPr>
                <w:rFonts w:ascii="Times New Roman"/>
                <w:sz w:val="19"/>
              </w:rPr>
            </w:pPr>
            <w:r>
              <w:rPr>
                <w:rFonts w:ascii="Times New Roman"/>
                <w:spacing w:val="-2"/>
                <w:sz w:val="19"/>
              </w:rPr>
              <w:t>0.621</w:t>
            </w:r>
          </w:p>
          <w:p>
            <w:pPr>
              <w:pStyle w:val="TableParagraph"/>
              <w:spacing w:before="108"/>
              <w:ind w:left="411"/>
              <w:rPr>
                <w:rFonts w:ascii="Times New Roman"/>
                <w:sz w:val="19"/>
              </w:rPr>
            </w:pPr>
            <w:r>
              <w:rPr>
                <w:rFonts w:ascii="Times New Roman"/>
                <w:spacing w:val="-2"/>
                <w:sz w:val="19"/>
              </w:rPr>
              <w:t>0.095</w:t>
            </w:r>
          </w:p>
        </w:tc>
        <w:tc>
          <w:tcPr>
            <w:tcW w:w="1891" w:type="dxa"/>
          </w:tcPr>
          <w:p>
            <w:pPr>
              <w:pStyle w:val="TableParagraph"/>
              <w:spacing w:line="152" w:lineRule="exact"/>
              <w:ind w:left="521"/>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40"/>
              <w:jc w:val="center"/>
              <w:rPr>
                <w:rFonts w:ascii="Times New Roman"/>
                <w:sz w:val="12"/>
              </w:rPr>
            </w:pPr>
            <w:r>
              <w:rPr>
                <w:rFonts w:ascii="Times New Roman"/>
                <w:spacing w:val="-2"/>
                <w:sz w:val="12"/>
              </w:rPr>
              <w:t>Ramsey-Reset</w:t>
            </w:r>
          </w:p>
          <w:p>
            <w:pPr>
              <w:pStyle w:val="TableParagraph"/>
              <w:spacing w:line="156" w:lineRule="exact" w:before="99"/>
              <w:ind w:right="451"/>
              <w:jc w:val="center"/>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41"/>
              <w:jc w:val="center"/>
              <w:rPr>
                <w:rFonts w:ascii="Times New Roman"/>
                <w:sz w:val="12"/>
              </w:rPr>
            </w:pPr>
            <w:r>
              <w:rPr>
                <w:rFonts w:ascii="Times New Roman"/>
                <w:spacing w:val="-2"/>
                <w:sz w:val="12"/>
              </w:rPr>
              <w:t>Hausman</w:t>
            </w:r>
          </w:p>
        </w:tc>
        <w:tc>
          <w:tcPr>
            <w:tcW w:w="3689" w:type="dxa"/>
            <w:tcBorders>
              <w:right w:val="nil"/>
            </w:tcBorders>
          </w:tcPr>
          <w:p>
            <w:pPr>
              <w:pStyle w:val="TableParagraph"/>
              <w:ind w:right="6"/>
              <w:jc w:val="center"/>
              <w:rPr>
                <w:rFonts w:ascii="Times New Roman"/>
                <w:sz w:val="19"/>
              </w:rPr>
            </w:pPr>
            <w:r>
              <w:rPr>
                <w:rFonts w:ascii="Times New Roman"/>
                <w:spacing w:val="-2"/>
                <w:sz w:val="19"/>
              </w:rPr>
              <w:t>0.725</w:t>
            </w:r>
          </w:p>
          <w:p>
            <w:pPr>
              <w:pStyle w:val="TableParagraph"/>
              <w:spacing w:before="108"/>
              <w:ind w:right="6"/>
              <w:jc w:val="center"/>
              <w:rPr>
                <w:rFonts w:ascii="Times New Roman"/>
                <w:sz w:val="19"/>
              </w:rPr>
            </w:pPr>
            <w:r>
              <w:rPr>
                <w:rFonts w:ascii="Times New Roman"/>
                <w:spacing w:val="-2"/>
                <w:sz w:val="19"/>
              </w:rPr>
              <w:t>11.526(0.022)</w:t>
            </w:r>
          </w:p>
        </w:tc>
      </w:tr>
    </w:tbl>
    <w:p>
      <w:pPr>
        <w:spacing w:before="0"/>
        <w:ind w:left="940" w:right="0" w:firstLine="0"/>
        <w:jc w:val="both"/>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1"/>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spacing w:line="477" w:lineRule="auto" w:before="200"/>
        <w:ind w:left="940" w:right="1435"/>
        <w:jc w:val="both"/>
      </w:pPr>
      <w:r>
        <w:rPr/>
        <mc:AlternateContent>
          <mc:Choice Requires="wps">
            <w:drawing>
              <wp:anchor distT="0" distB="0" distL="0" distR="0" allowOverlap="1" layoutInCell="1" locked="0" behindDoc="1" simplePos="0" relativeHeight="477738496">
                <wp:simplePos x="0" y="0"/>
                <wp:positionH relativeFrom="page">
                  <wp:posOffset>1095451</wp:posOffset>
                </wp:positionH>
                <wp:positionV relativeFrom="paragraph">
                  <wp:posOffset>1804820</wp:posOffset>
                </wp:positionV>
                <wp:extent cx="721995" cy="72263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142.111847pt;width:56.85pt;height:56.9pt;mso-position-horizontal-relative:page;mso-position-vertical-relative:paragraph;z-index:-25577984" id="docshape40" coordorigin="1725,2842" coordsize="1137,1138" path="m1809,2842l1747,2881,1725,2926,1729,2936,2763,3972,2782,3979,2787,3977,2793,3976,2852,3925,2860,3905,2862,3899,1823,2850,1819,2846,1809,2842xe" filled="true" fillcolor="#c0c0c0" stroked="false">
                <v:path arrowok="t"/>
                <v:fill opacity="32896f" type="solid"/>
                <w10:wrap type="none"/>
              </v:shape>
            </w:pict>
          </mc:Fallback>
        </mc:AlternateContent>
      </w:r>
      <w:r>
        <w:rPr/>
        <w:t>Table 4.6 showed the regression results examining the impact of board structure on the Qualitative attributes of financial reporting quality (QUA-FRQ) (Appendices 8 to 10). The </w:t>
      </w:r>
      <w:r>
        <w:rPr>
          <w:position w:val="2"/>
        </w:rPr>
        <w:t>model diagnostics revealed that the χ</w:t>
      </w:r>
      <w:r>
        <w:rPr>
          <w:position w:val="2"/>
          <w:vertAlign w:val="superscript"/>
        </w:rPr>
        <w:t>2</w:t>
      </w:r>
      <w:r>
        <w:rPr>
          <w:sz w:val="16"/>
          <w:vertAlign w:val="baseline"/>
        </w:rPr>
        <w:t>Hausman</w:t>
      </w:r>
      <w:r>
        <w:rPr>
          <w:spacing w:val="40"/>
          <w:sz w:val="16"/>
          <w:vertAlign w:val="baseline"/>
        </w:rPr>
        <w:t> </w:t>
      </w:r>
      <w:r>
        <w:rPr>
          <w:position w:val="2"/>
          <w:vertAlign w:val="baseline"/>
        </w:rPr>
        <w:t>statistic (11.526) and p-value (0.022) indicated </w:t>
      </w:r>
      <w:r>
        <w:rPr>
          <w:vertAlign w:val="baseline"/>
        </w:rPr>
        <w:t>that the fixed effects model estimation was the appropriate estimation of the model indicating the existence of significant correlations between a firm’s specific disturbances and the beta’s. Hence,</w:t>
      </w:r>
      <w:r>
        <w:rPr>
          <w:spacing w:val="6"/>
          <w:vertAlign w:val="baseline"/>
        </w:rPr>
        <w:t> </w:t>
      </w:r>
      <w:r>
        <w:rPr>
          <w:vertAlign w:val="baseline"/>
        </w:rPr>
        <w:t>the</w:t>
      </w:r>
      <w:r>
        <w:rPr>
          <w:spacing w:val="5"/>
          <w:vertAlign w:val="baseline"/>
        </w:rPr>
        <w:t> </w:t>
      </w:r>
      <w:r>
        <w:rPr>
          <w:vertAlign w:val="baseline"/>
        </w:rPr>
        <w:t>R</w:t>
      </w:r>
      <w:r>
        <w:rPr>
          <w:vertAlign w:val="superscript"/>
        </w:rPr>
        <w:t>2</w:t>
      </w:r>
      <w:r>
        <w:rPr>
          <w:spacing w:val="7"/>
          <w:vertAlign w:val="baseline"/>
        </w:rPr>
        <w:t> </w:t>
      </w:r>
      <w:r>
        <w:rPr>
          <w:vertAlign w:val="baseline"/>
        </w:rPr>
        <w:t>and</w:t>
      </w:r>
      <w:r>
        <w:rPr>
          <w:spacing w:val="5"/>
          <w:vertAlign w:val="baseline"/>
        </w:rPr>
        <w:t> </w:t>
      </w:r>
      <w:r>
        <w:rPr>
          <w:vertAlign w:val="baseline"/>
        </w:rPr>
        <w:t>Adj</w:t>
      </w:r>
      <w:r>
        <w:rPr>
          <w:spacing w:val="5"/>
          <w:vertAlign w:val="baseline"/>
        </w:rPr>
        <w:t> </w:t>
      </w:r>
      <w:r>
        <w:rPr>
          <w:vertAlign w:val="baseline"/>
        </w:rPr>
        <w:t>R</w:t>
      </w:r>
      <w:r>
        <w:rPr>
          <w:vertAlign w:val="superscript"/>
        </w:rPr>
        <w:t>2</w:t>
      </w:r>
      <w:r>
        <w:rPr>
          <w:spacing w:val="-15"/>
          <w:vertAlign w:val="baseline"/>
        </w:rPr>
        <w:t> </w:t>
      </w:r>
      <w:r>
        <w:rPr>
          <w:vertAlign w:val="baseline"/>
        </w:rPr>
        <w:t>stood</w:t>
      </w:r>
      <w:r>
        <w:rPr>
          <w:spacing w:val="4"/>
          <w:vertAlign w:val="baseline"/>
        </w:rPr>
        <w:t> </w:t>
      </w:r>
      <w:r>
        <w:rPr>
          <w:vertAlign w:val="baseline"/>
        </w:rPr>
        <w:t>at</w:t>
      </w:r>
      <w:r>
        <w:rPr>
          <w:spacing w:val="6"/>
          <w:vertAlign w:val="baseline"/>
        </w:rPr>
        <w:t> </w:t>
      </w:r>
      <w:r>
        <w:rPr>
          <w:vertAlign w:val="baseline"/>
        </w:rPr>
        <w:t>90%</w:t>
      </w:r>
      <w:r>
        <w:rPr>
          <w:spacing w:val="5"/>
          <w:vertAlign w:val="baseline"/>
        </w:rPr>
        <w:t> </w:t>
      </w:r>
      <w:r>
        <w:rPr>
          <w:vertAlign w:val="baseline"/>
        </w:rPr>
        <w:t>and</w:t>
      </w:r>
      <w:r>
        <w:rPr>
          <w:spacing w:val="5"/>
          <w:vertAlign w:val="baseline"/>
        </w:rPr>
        <w:t> </w:t>
      </w:r>
      <w:r>
        <w:rPr>
          <w:vertAlign w:val="baseline"/>
        </w:rPr>
        <w:t>88.7%</w:t>
      </w:r>
      <w:r>
        <w:rPr>
          <w:spacing w:val="5"/>
          <w:vertAlign w:val="baseline"/>
        </w:rPr>
        <w:t> </w:t>
      </w:r>
      <w:r>
        <w:rPr>
          <w:vertAlign w:val="baseline"/>
        </w:rPr>
        <w:t>respectively.</w:t>
      </w:r>
      <w:r>
        <w:rPr>
          <w:spacing w:val="6"/>
          <w:vertAlign w:val="baseline"/>
        </w:rPr>
        <w:t> </w:t>
      </w:r>
      <w:r>
        <w:rPr>
          <w:vertAlign w:val="baseline"/>
        </w:rPr>
        <w:t>The</w:t>
      </w:r>
      <w:r>
        <w:rPr>
          <w:spacing w:val="7"/>
          <w:vertAlign w:val="baseline"/>
        </w:rPr>
        <w:t> </w:t>
      </w:r>
      <w:r>
        <w:rPr>
          <w:vertAlign w:val="baseline"/>
        </w:rPr>
        <w:t>F-stat</w:t>
      </w:r>
      <w:r>
        <w:rPr>
          <w:spacing w:val="6"/>
          <w:vertAlign w:val="baseline"/>
        </w:rPr>
        <w:t> </w:t>
      </w:r>
      <w:r>
        <w:rPr>
          <w:vertAlign w:val="baseline"/>
        </w:rPr>
        <w:t>of</w:t>
      </w:r>
      <w:r>
        <w:rPr>
          <w:spacing w:val="5"/>
          <w:vertAlign w:val="baseline"/>
        </w:rPr>
        <w:t> </w:t>
      </w:r>
      <w:r>
        <w:rPr>
          <w:vertAlign w:val="baseline"/>
        </w:rPr>
        <w:t>56.218(p-</w:t>
      </w:r>
      <w:r>
        <w:rPr>
          <w:spacing w:val="-2"/>
          <w:vertAlign w:val="baseline"/>
        </w:rPr>
        <w:t>value</w:t>
      </w:r>
    </w:p>
    <w:p>
      <w:pPr>
        <w:pStyle w:val="BodyText"/>
        <w:spacing w:line="480" w:lineRule="auto"/>
        <w:ind w:left="940" w:right="1435"/>
        <w:jc w:val="both"/>
      </w:pPr>
      <w:r>
        <w:rPr/>
        <w:t>= 0.00) which was significant at 1% suggested that the hypothesis of a significant linear relationship</w:t>
      </w:r>
      <w:r>
        <w:rPr>
          <w:spacing w:val="-15"/>
        </w:rPr>
        <w:t> </w:t>
      </w:r>
      <w:r>
        <w:rPr/>
        <w:t>between</w:t>
      </w:r>
      <w:r>
        <w:rPr>
          <w:spacing w:val="-15"/>
        </w:rPr>
        <w:t> </w:t>
      </w:r>
      <w:r>
        <w:rPr/>
        <w:t>the</w:t>
      </w:r>
      <w:r>
        <w:rPr>
          <w:spacing w:val="-11"/>
        </w:rPr>
        <w:t> </w:t>
      </w:r>
      <w:r>
        <w:rPr/>
        <w:t>dependent</w:t>
      </w:r>
      <w:r>
        <w:rPr>
          <w:spacing w:val="-13"/>
        </w:rPr>
        <w:t> </w:t>
      </w:r>
      <w:r>
        <w:rPr/>
        <w:t>and</w:t>
      </w:r>
      <w:r>
        <w:rPr>
          <w:spacing w:val="-15"/>
        </w:rPr>
        <w:t> </w:t>
      </w:r>
      <w:r>
        <w:rPr/>
        <w:t>independent</w:t>
      </w:r>
      <w:r>
        <w:rPr>
          <w:spacing w:val="-15"/>
        </w:rPr>
        <w:t> </w:t>
      </w:r>
      <w:r>
        <w:rPr/>
        <w:t>variables</w:t>
      </w:r>
      <w:r>
        <w:rPr>
          <w:spacing w:val="-10"/>
        </w:rPr>
        <w:t> </w:t>
      </w:r>
      <w:r>
        <w:rPr/>
        <w:t>could</w:t>
      </w:r>
      <w:r>
        <w:rPr>
          <w:spacing w:val="-15"/>
        </w:rPr>
        <w:t> </w:t>
      </w:r>
      <w:r>
        <w:rPr/>
        <w:t>not</w:t>
      </w:r>
      <w:r>
        <w:rPr>
          <w:spacing w:val="-15"/>
        </w:rPr>
        <w:t> </w:t>
      </w:r>
      <w:r>
        <w:rPr/>
        <w:t>be</w:t>
      </w:r>
      <w:r>
        <w:rPr>
          <w:spacing w:val="-15"/>
        </w:rPr>
        <w:t> </w:t>
      </w:r>
      <w:r>
        <w:rPr/>
        <w:t>rejected.</w:t>
      </w:r>
      <w:r>
        <w:rPr>
          <w:spacing w:val="-11"/>
        </w:rPr>
        <w:t> </w:t>
      </w:r>
      <w:r>
        <w:rPr/>
        <w:t>It</w:t>
      </w:r>
      <w:r>
        <w:rPr>
          <w:spacing w:val="-15"/>
        </w:rPr>
        <w:t> </w:t>
      </w:r>
      <w:r>
        <w:rPr/>
        <w:t>was</w:t>
      </w:r>
      <w:r>
        <w:rPr>
          <w:spacing w:val="-15"/>
        </w:rPr>
        <w:t> </w:t>
      </w:r>
      <w:r>
        <w:rPr/>
        <w:t>also indicative of the joint statistical significance of the model. The estimations revealed that BDS had</w:t>
      </w:r>
      <w:r>
        <w:rPr>
          <w:spacing w:val="-10"/>
        </w:rPr>
        <w:t> </w:t>
      </w:r>
      <w:r>
        <w:rPr/>
        <w:t>a</w:t>
      </w:r>
      <w:r>
        <w:rPr>
          <w:spacing w:val="-11"/>
        </w:rPr>
        <w:t> </w:t>
      </w:r>
      <w:r>
        <w:rPr/>
        <w:t>negative</w:t>
      </w:r>
      <w:r>
        <w:rPr>
          <w:spacing w:val="-11"/>
        </w:rPr>
        <w:t> </w:t>
      </w:r>
      <w:r>
        <w:rPr/>
        <w:t>effect</w:t>
      </w:r>
      <w:r>
        <w:rPr>
          <w:spacing w:val="-9"/>
        </w:rPr>
        <w:t> </w:t>
      </w:r>
      <w:r>
        <w:rPr/>
        <w:t>on</w:t>
      </w:r>
      <w:r>
        <w:rPr>
          <w:spacing w:val="-7"/>
        </w:rPr>
        <w:t> </w:t>
      </w:r>
      <w:r>
        <w:rPr/>
        <w:t>QUA-FRQ</w:t>
      </w:r>
      <w:r>
        <w:rPr>
          <w:spacing w:val="-10"/>
        </w:rPr>
        <w:t> </w:t>
      </w:r>
      <w:r>
        <w:rPr/>
        <w:t>although</w:t>
      </w:r>
      <w:r>
        <w:rPr>
          <w:spacing w:val="-9"/>
        </w:rPr>
        <w:t> </w:t>
      </w:r>
      <w:r>
        <w:rPr/>
        <w:t>not</w:t>
      </w:r>
      <w:r>
        <w:rPr>
          <w:spacing w:val="-9"/>
        </w:rPr>
        <w:t> </w:t>
      </w:r>
      <w:r>
        <w:rPr/>
        <w:t>significant</w:t>
      </w:r>
      <w:r>
        <w:rPr>
          <w:spacing w:val="-9"/>
        </w:rPr>
        <w:t> </w:t>
      </w:r>
      <w:r>
        <w:rPr/>
        <w:t>at</w:t>
      </w:r>
      <w:r>
        <w:rPr>
          <w:spacing w:val="-9"/>
        </w:rPr>
        <w:t> </w:t>
      </w:r>
      <w:r>
        <w:rPr/>
        <w:t>5%</w:t>
      </w:r>
      <w:r>
        <w:rPr>
          <w:spacing w:val="-10"/>
        </w:rPr>
        <w:t> </w:t>
      </w:r>
      <w:r>
        <w:rPr/>
        <w:t>(-0.0009,</w:t>
      </w:r>
      <w:r>
        <w:rPr>
          <w:spacing w:val="-10"/>
        </w:rPr>
        <w:t> </w:t>
      </w:r>
      <w:r>
        <w:rPr/>
        <w:t>p=0.5163)</w:t>
      </w:r>
      <w:r>
        <w:rPr>
          <w:spacing w:val="-10"/>
        </w:rPr>
        <w:t> </w:t>
      </w:r>
      <w:r>
        <w:rPr/>
        <w:t>and</w:t>
      </w:r>
      <w:r>
        <w:rPr>
          <w:spacing w:val="-10"/>
        </w:rPr>
        <w:t> </w:t>
      </w:r>
      <w:r>
        <w:rPr/>
        <w:t>the interaction Post-IFRS*BDS testing the presence of incremental IFRS adoption effect also did not</w:t>
      </w:r>
      <w:r>
        <w:rPr>
          <w:spacing w:val="-15"/>
        </w:rPr>
        <w:t> </w:t>
      </w:r>
      <w:r>
        <w:rPr/>
        <w:t>show</w:t>
      </w:r>
      <w:r>
        <w:rPr>
          <w:spacing w:val="-14"/>
        </w:rPr>
        <w:t> </w:t>
      </w:r>
      <w:r>
        <w:rPr/>
        <w:t>that</w:t>
      </w:r>
      <w:r>
        <w:rPr>
          <w:spacing w:val="-13"/>
        </w:rPr>
        <w:t> </w:t>
      </w:r>
      <w:r>
        <w:rPr/>
        <w:t>board</w:t>
      </w:r>
      <w:r>
        <w:rPr>
          <w:spacing w:val="-13"/>
        </w:rPr>
        <w:t> </w:t>
      </w:r>
      <w:r>
        <w:rPr/>
        <w:t>size</w:t>
      </w:r>
      <w:r>
        <w:rPr>
          <w:spacing w:val="-14"/>
        </w:rPr>
        <w:t> </w:t>
      </w:r>
      <w:r>
        <w:rPr/>
        <w:t>had</w:t>
      </w:r>
      <w:r>
        <w:rPr>
          <w:spacing w:val="-13"/>
        </w:rPr>
        <w:t> </w:t>
      </w:r>
      <w:r>
        <w:rPr/>
        <w:t>a</w:t>
      </w:r>
      <w:r>
        <w:rPr>
          <w:spacing w:val="-14"/>
        </w:rPr>
        <w:t> </w:t>
      </w:r>
      <w:r>
        <w:rPr/>
        <w:t>significant</w:t>
      </w:r>
      <w:r>
        <w:rPr>
          <w:spacing w:val="-13"/>
        </w:rPr>
        <w:t> </w:t>
      </w:r>
      <w:r>
        <w:rPr/>
        <w:t>incremental</w:t>
      </w:r>
      <w:r>
        <w:rPr>
          <w:spacing w:val="-13"/>
        </w:rPr>
        <w:t> </w:t>
      </w:r>
      <w:r>
        <w:rPr/>
        <w:t>effect</w:t>
      </w:r>
      <w:r>
        <w:rPr>
          <w:spacing w:val="-12"/>
        </w:rPr>
        <w:t> </w:t>
      </w:r>
      <w:r>
        <w:rPr/>
        <w:t>on</w:t>
      </w:r>
      <w:r>
        <w:rPr>
          <w:spacing w:val="-13"/>
        </w:rPr>
        <w:t> </w:t>
      </w:r>
      <w:r>
        <w:rPr/>
        <w:t>QUA-FRQ</w:t>
      </w:r>
      <w:r>
        <w:rPr>
          <w:spacing w:val="-14"/>
        </w:rPr>
        <w:t> </w:t>
      </w:r>
      <w:r>
        <w:rPr/>
        <w:t>resulting</w:t>
      </w:r>
      <w:r>
        <w:rPr>
          <w:spacing w:val="-13"/>
        </w:rPr>
        <w:t> </w:t>
      </w:r>
      <w:r>
        <w:rPr/>
        <w:t>from</w:t>
      </w:r>
      <w:r>
        <w:rPr>
          <w:spacing w:val="-12"/>
        </w:rPr>
        <w:t> </w:t>
      </w:r>
      <w:r>
        <w:rPr>
          <w:spacing w:val="-4"/>
        </w:rPr>
        <w:t>IFRS</w:t>
      </w:r>
    </w:p>
    <w:p>
      <w:pPr>
        <w:spacing w:after="0" w:line="480" w:lineRule="auto"/>
        <w:jc w:val="both"/>
        <w:sectPr>
          <w:type w:val="continuous"/>
          <w:pgSz w:w="11910" w:h="16840"/>
          <w:pgMar w:header="0" w:footer="971" w:top="1400" w:bottom="1160" w:left="500" w:right="0"/>
        </w:sectPr>
      </w:pPr>
    </w:p>
    <w:p>
      <w:pPr>
        <w:pStyle w:val="BodyText"/>
        <w:spacing w:line="477" w:lineRule="auto" w:before="61"/>
        <w:ind w:left="940" w:right="1436"/>
        <w:jc w:val="both"/>
      </w:pPr>
      <w:r>
        <w:rPr/>
        <w:drawing>
          <wp:anchor distT="0" distB="0" distL="0" distR="0" allowOverlap="1" layoutInCell="1" locked="0" behindDoc="1" simplePos="0" relativeHeight="477740032">
            <wp:simplePos x="0" y="0"/>
            <wp:positionH relativeFrom="page">
              <wp:posOffset>1095451</wp:posOffset>
            </wp:positionH>
            <wp:positionV relativeFrom="paragraph">
              <wp:posOffset>1850770</wp:posOffset>
            </wp:positionV>
            <wp:extent cx="5106847" cy="5238115"/>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5" cstate="print"/>
                    <a:stretch>
                      <a:fillRect/>
                    </a:stretch>
                  </pic:blipFill>
                  <pic:spPr>
                    <a:xfrm>
                      <a:off x="0" y="0"/>
                      <a:ext cx="5106847" cy="5238115"/>
                    </a:xfrm>
                    <a:prstGeom prst="rect">
                      <a:avLst/>
                    </a:prstGeom>
                  </pic:spPr>
                </pic:pic>
              </a:graphicData>
            </a:graphic>
          </wp:anchor>
        </w:drawing>
      </w:r>
      <w:r>
        <w:rPr/>
        <w:t>adoption (-0.00115, p=0.5851). BDIND had a negative coefficient (-0.0646) although not significant (p=-0.646) at 5%. The interaction; Post-IFRS*BDIND, testing the presence of incremental</w:t>
      </w:r>
      <w:r>
        <w:rPr>
          <w:spacing w:val="-6"/>
        </w:rPr>
        <w:t> </w:t>
      </w:r>
      <w:r>
        <w:rPr/>
        <w:t>IFRS</w:t>
      </w:r>
      <w:r>
        <w:rPr>
          <w:spacing w:val="-7"/>
        </w:rPr>
        <w:t> </w:t>
      </w:r>
      <w:r>
        <w:rPr/>
        <w:t>adoption</w:t>
      </w:r>
      <w:r>
        <w:rPr>
          <w:spacing w:val="-8"/>
        </w:rPr>
        <w:t> </w:t>
      </w:r>
      <w:r>
        <w:rPr/>
        <w:t>effect</w:t>
      </w:r>
      <w:r>
        <w:rPr>
          <w:spacing w:val="-8"/>
        </w:rPr>
        <w:t> </w:t>
      </w:r>
      <w:r>
        <w:rPr/>
        <w:t>however,</w:t>
      </w:r>
      <w:r>
        <w:rPr>
          <w:spacing w:val="-9"/>
        </w:rPr>
        <w:t> </w:t>
      </w:r>
      <w:r>
        <w:rPr/>
        <w:t>revealed</w:t>
      </w:r>
      <w:r>
        <w:rPr>
          <w:spacing w:val="-6"/>
        </w:rPr>
        <w:t> </w:t>
      </w:r>
      <w:r>
        <w:rPr/>
        <w:t>that</w:t>
      </w:r>
      <w:r>
        <w:rPr>
          <w:spacing w:val="-8"/>
        </w:rPr>
        <w:t> </w:t>
      </w:r>
      <w:r>
        <w:rPr/>
        <w:t>board</w:t>
      </w:r>
      <w:r>
        <w:rPr>
          <w:spacing w:val="-9"/>
        </w:rPr>
        <w:t> </w:t>
      </w:r>
      <w:r>
        <w:rPr/>
        <w:t>independence</w:t>
      </w:r>
      <w:r>
        <w:rPr>
          <w:spacing w:val="-9"/>
        </w:rPr>
        <w:t> </w:t>
      </w:r>
      <w:r>
        <w:rPr/>
        <w:t>had</w:t>
      </w:r>
      <w:r>
        <w:rPr>
          <w:spacing w:val="-6"/>
        </w:rPr>
        <w:t> </w:t>
      </w:r>
      <w:r>
        <w:rPr/>
        <w:t>a</w:t>
      </w:r>
      <w:r>
        <w:rPr>
          <w:spacing w:val="-9"/>
        </w:rPr>
        <w:t> </w:t>
      </w:r>
      <w:r>
        <w:rPr/>
        <w:t>significant incremental</w:t>
      </w:r>
      <w:r>
        <w:rPr>
          <w:spacing w:val="-1"/>
        </w:rPr>
        <w:t> </w:t>
      </w:r>
      <w:r>
        <w:rPr/>
        <w:t>effect</w:t>
      </w:r>
      <w:r>
        <w:rPr>
          <w:spacing w:val="-1"/>
        </w:rPr>
        <w:t> </w:t>
      </w:r>
      <w:r>
        <w:rPr/>
        <w:t>on</w:t>
      </w:r>
      <w:r>
        <w:rPr>
          <w:spacing w:val="-1"/>
        </w:rPr>
        <w:t> </w:t>
      </w:r>
      <w:r>
        <w:rPr/>
        <w:t>QUA-FRQ</w:t>
      </w:r>
      <w:r>
        <w:rPr>
          <w:spacing w:val="-2"/>
        </w:rPr>
        <w:t> </w:t>
      </w:r>
      <w:r>
        <w:rPr/>
        <w:t>resulting</w:t>
      </w:r>
      <w:r>
        <w:rPr>
          <w:spacing w:val="-1"/>
        </w:rPr>
        <w:t> </w:t>
      </w:r>
      <w:r>
        <w:rPr/>
        <w:t>from IFRS</w:t>
      </w:r>
      <w:r>
        <w:rPr>
          <w:spacing w:val="-1"/>
        </w:rPr>
        <w:t> </w:t>
      </w:r>
      <w:r>
        <w:rPr/>
        <w:t>adoption</w:t>
      </w:r>
      <w:r>
        <w:rPr>
          <w:spacing w:val="-1"/>
        </w:rPr>
        <w:t> </w:t>
      </w:r>
      <w:r>
        <w:rPr/>
        <w:t>(0.1067,</w:t>
      </w:r>
      <w:r>
        <w:rPr>
          <w:spacing w:val="-1"/>
        </w:rPr>
        <w:t> </w:t>
      </w:r>
      <w:r>
        <w:rPr/>
        <w:t>p=0.033).</w:t>
      </w:r>
      <w:r>
        <w:rPr>
          <w:spacing w:val="-1"/>
        </w:rPr>
        <w:t> </w:t>
      </w:r>
      <w:r>
        <w:rPr/>
        <w:t>Hence,</w:t>
      </w:r>
      <w:r>
        <w:rPr>
          <w:spacing w:val="-1"/>
        </w:rPr>
        <w:t> </w:t>
      </w:r>
      <w:r>
        <w:rPr/>
        <w:t>the results suggested that with IFRS, board independence became effective in improving QUA- FRQ.</w:t>
      </w:r>
      <w:r>
        <w:rPr>
          <w:spacing w:val="40"/>
        </w:rPr>
        <w:t> </w:t>
      </w:r>
      <w:r>
        <w:rPr/>
        <w:t>BFEXP had a negative effect on QUA-FRQ although not significant at 5% (-0.01458, p=0.2765) and the interaction; Post-IFRS*BFEXP, testing the presence of incremental IFRS adoption effect also showed that BFEXP had a significant incremental effect on QUA-FRQ resulting</w:t>
      </w:r>
      <w:r>
        <w:rPr>
          <w:spacing w:val="-11"/>
        </w:rPr>
        <w:t> </w:t>
      </w:r>
      <w:r>
        <w:rPr/>
        <w:t>from</w:t>
      </w:r>
      <w:r>
        <w:rPr>
          <w:spacing w:val="-11"/>
        </w:rPr>
        <w:t> </w:t>
      </w:r>
      <w:r>
        <w:rPr/>
        <w:t>IFRS</w:t>
      </w:r>
      <w:r>
        <w:rPr>
          <w:spacing w:val="-11"/>
        </w:rPr>
        <w:t> </w:t>
      </w:r>
      <w:r>
        <w:rPr/>
        <w:t>adoption</w:t>
      </w:r>
      <w:r>
        <w:rPr>
          <w:spacing w:val="-11"/>
        </w:rPr>
        <w:t> </w:t>
      </w:r>
      <w:r>
        <w:rPr/>
        <w:t>(0.0748,</w:t>
      </w:r>
      <w:r>
        <w:rPr>
          <w:spacing w:val="-12"/>
        </w:rPr>
        <w:t> </w:t>
      </w:r>
      <w:r>
        <w:rPr/>
        <w:t>p=0.0034).</w:t>
      </w:r>
      <w:r>
        <w:rPr>
          <w:spacing w:val="-11"/>
        </w:rPr>
        <w:t> </w:t>
      </w:r>
      <w:r>
        <w:rPr/>
        <w:t>Hence,</w:t>
      </w:r>
      <w:r>
        <w:rPr>
          <w:spacing w:val="-12"/>
        </w:rPr>
        <w:t> </w:t>
      </w:r>
      <w:r>
        <w:rPr/>
        <w:t>the</w:t>
      </w:r>
      <w:r>
        <w:rPr>
          <w:spacing w:val="-11"/>
        </w:rPr>
        <w:t> </w:t>
      </w:r>
      <w:r>
        <w:rPr/>
        <w:t>results</w:t>
      </w:r>
      <w:r>
        <w:rPr>
          <w:spacing w:val="-11"/>
        </w:rPr>
        <w:t> </w:t>
      </w:r>
      <w:r>
        <w:rPr/>
        <w:t>suggested</w:t>
      </w:r>
      <w:r>
        <w:rPr>
          <w:spacing w:val="-11"/>
        </w:rPr>
        <w:t> </w:t>
      </w:r>
      <w:r>
        <w:rPr/>
        <w:t>that</w:t>
      </w:r>
      <w:r>
        <w:rPr>
          <w:spacing w:val="-12"/>
        </w:rPr>
        <w:t> </w:t>
      </w:r>
      <w:r>
        <w:rPr/>
        <w:t>with</w:t>
      </w:r>
      <w:r>
        <w:rPr>
          <w:spacing w:val="-11"/>
        </w:rPr>
        <w:t> </w:t>
      </w:r>
      <w:r>
        <w:rPr/>
        <w:t>IFRS, board financial expertise became effective in improving QUA-FRQ.</w:t>
      </w:r>
      <w:r>
        <w:rPr>
          <w:spacing w:val="40"/>
        </w:rPr>
        <w:t> </w:t>
      </w:r>
      <w:r>
        <w:rPr/>
        <w:t>Looking at the control variables, only FAGE showed evidence of significant effects with coefficients of 0.0095 and </w:t>
      </w:r>
      <w:r>
        <w:rPr>
          <w:position w:val="2"/>
        </w:rPr>
        <w:t>P-value</w:t>
      </w:r>
      <w:r>
        <w:rPr>
          <w:spacing w:val="-15"/>
          <w:position w:val="2"/>
        </w:rPr>
        <w:t> </w:t>
      </w:r>
      <w:r>
        <w:rPr>
          <w:position w:val="2"/>
        </w:rPr>
        <w:t>of</w:t>
      </w:r>
      <w:r>
        <w:rPr>
          <w:spacing w:val="-15"/>
          <w:position w:val="2"/>
        </w:rPr>
        <w:t> </w:t>
      </w:r>
      <w:r>
        <w:rPr>
          <w:position w:val="2"/>
        </w:rPr>
        <w:t>0.000</w:t>
      </w:r>
      <w:r>
        <w:rPr>
          <w:spacing w:val="-15"/>
          <w:position w:val="2"/>
        </w:rPr>
        <w:t> </w:t>
      </w:r>
      <w:r>
        <w:rPr>
          <w:position w:val="2"/>
        </w:rPr>
        <w:t>respectively.</w:t>
      </w:r>
      <w:r>
        <w:rPr>
          <w:spacing w:val="-15"/>
          <w:position w:val="2"/>
        </w:rPr>
        <w:t> </w:t>
      </w:r>
      <w:r>
        <w:rPr>
          <w:position w:val="2"/>
        </w:rPr>
        <w:t>The</w:t>
      </w:r>
      <w:r>
        <w:rPr>
          <w:spacing w:val="-15"/>
          <w:position w:val="2"/>
        </w:rPr>
        <w:t> </w:t>
      </w:r>
      <w:r>
        <w:rPr>
          <w:position w:val="2"/>
        </w:rPr>
        <w:t>χ</w:t>
      </w:r>
      <w:r>
        <w:rPr>
          <w:position w:val="2"/>
          <w:vertAlign w:val="superscript"/>
        </w:rPr>
        <w:t>2</w:t>
      </w:r>
      <w:r>
        <w:rPr>
          <w:sz w:val="16"/>
          <w:vertAlign w:val="baseline"/>
        </w:rPr>
        <w:t>Hetero</w:t>
      </w:r>
      <w:r>
        <w:rPr>
          <w:spacing w:val="-4"/>
          <w:sz w:val="16"/>
          <w:vertAlign w:val="baseline"/>
        </w:rPr>
        <w:t> </w:t>
      </w:r>
      <w:r>
        <w:rPr>
          <w:position w:val="2"/>
          <w:vertAlign w:val="baseline"/>
        </w:rPr>
        <w:t>p-value</w:t>
      </w:r>
      <w:r>
        <w:rPr>
          <w:spacing w:val="-15"/>
          <w:position w:val="2"/>
          <w:vertAlign w:val="baseline"/>
        </w:rPr>
        <w:t> </w:t>
      </w:r>
      <w:r>
        <w:rPr>
          <w:position w:val="2"/>
          <w:vertAlign w:val="baseline"/>
        </w:rPr>
        <w:t>(0.621)</w:t>
      </w:r>
      <w:r>
        <w:rPr>
          <w:spacing w:val="-15"/>
          <w:position w:val="2"/>
          <w:vertAlign w:val="baseline"/>
        </w:rPr>
        <w:t> </w:t>
      </w:r>
      <w:r>
        <w:rPr>
          <w:position w:val="2"/>
          <w:vertAlign w:val="baseline"/>
        </w:rPr>
        <w:t>implied</w:t>
      </w:r>
      <w:r>
        <w:rPr>
          <w:spacing w:val="-14"/>
          <w:position w:val="2"/>
          <w:vertAlign w:val="baseline"/>
        </w:rPr>
        <w:t> </w:t>
      </w:r>
      <w:r>
        <w:rPr>
          <w:position w:val="2"/>
          <w:vertAlign w:val="baseline"/>
        </w:rPr>
        <w:t>the</w:t>
      </w:r>
      <w:r>
        <w:rPr>
          <w:spacing w:val="-15"/>
          <w:position w:val="2"/>
          <w:vertAlign w:val="baseline"/>
        </w:rPr>
        <w:t> </w:t>
      </w:r>
      <w:r>
        <w:rPr>
          <w:position w:val="2"/>
          <w:vertAlign w:val="baseline"/>
        </w:rPr>
        <w:t>homoscedastic</w:t>
      </w:r>
      <w:r>
        <w:rPr>
          <w:spacing w:val="-15"/>
          <w:position w:val="2"/>
          <w:vertAlign w:val="baseline"/>
        </w:rPr>
        <w:t> </w:t>
      </w:r>
      <w:r>
        <w:rPr>
          <w:position w:val="2"/>
          <w:vertAlign w:val="baseline"/>
        </w:rPr>
        <w:t>behaviour of the errors and the χ</w:t>
      </w:r>
      <w:r>
        <w:rPr>
          <w:position w:val="2"/>
          <w:vertAlign w:val="superscript"/>
        </w:rPr>
        <w:t>2</w:t>
      </w:r>
      <w:r>
        <w:rPr>
          <w:sz w:val="16"/>
          <w:vertAlign w:val="baseline"/>
        </w:rPr>
        <w:t>Serial/Corr </w:t>
      </w:r>
      <w:r>
        <w:rPr>
          <w:position w:val="2"/>
          <w:vertAlign w:val="baseline"/>
        </w:rPr>
        <w:t>p-value (0.095) also revealed the absence of serial correlation. In addition, χ</w:t>
      </w:r>
      <w:r>
        <w:rPr>
          <w:position w:val="2"/>
          <w:vertAlign w:val="superscript"/>
        </w:rPr>
        <w:t>2</w:t>
      </w:r>
      <w:r>
        <w:rPr>
          <w:sz w:val="16"/>
          <w:vertAlign w:val="baseline"/>
        </w:rPr>
        <w:t>ramsey-reset</w:t>
      </w:r>
      <w:r>
        <w:rPr>
          <w:spacing w:val="33"/>
          <w:sz w:val="16"/>
          <w:vertAlign w:val="baseline"/>
        </w:rPr>
        <w:t> </w:t>
      </w:r>
      <w:r>
        <w:rPr>
          <w:position w:val="2"/>
          <w:vertAlign w:val="baseline"/>
        </w:rPr>
        <w:t>(0.725) revealed that the series followed a normal distribution.</w:t>
      </w:r>
    </w:p>
    <w:p>
      <w:pPr>
        <w:pStyle w:val="BodyText"/>
        <w:spacing w:line="256" w:lineRule="exact"/>
        <w:ind w:left="940"/>
        <w:jc w:val="both"/>
      </w:pPr>
      <w:r>
        <w:rPr/>
        <w:t>Moving</w:t>
      </w:r>
      <w:r>
        <w:rPr>
          <w:spacing w:val="43"/>
        </w:rPr>
        <w:t> </w:t>
      </w:r>
      <w:r>
        <w:rPr/>
        <w:t>to</w:t>
      </w:r>
      <w:r>
        <w:rPr>
          <w:spacing w:val="47"/>
        </w:rPr>
        <w:t> </w:t>
      </w:r>
      <w:r>
        <w:rPr/>
        <w:t>the</w:t>
      </w:r>
      <w:r>
        <w:rPr>
          <w:spacing w:val="45"/>
        </w:rPr>
        <w:t> </w:t>
      </w:r>
      <w:r>
        <w:rPr/>
        <w:t>difference</w:t>
      </w:r>
      <w:r>
        <w:rPr>
          <w:spacing w:val="45"/>
        </w:rPr>
        <w:t> </w:t>
      </w:r>
      <w:r>
        <w:rPr/>
        <w:t>in</w:t>
      </w:r>
      <w:r>
        <w:rPr>
          <w:spacing w:val="46"/>
        </w:rPr>
        <w:t> </w:t>
      </w:r>
      <w:r>
        <w:rPr/>
        <w:t>difference</w:t>
      </w:r>
      <w:r>
        <w:rPr>
          <w:spacing w:val="45"/>
        </w:rPr>
        <w:t> </w:t>
      </w:r>
      <w:r>
        <w:rPr/>
        <w:t>estimations,</w:t>
      </w:r>
      <w:r>
        <w:rPr>
          <w:spacing w:val="46"/>
        </w:rPr>
        <w:t> </w:t>
      </w:r>
      <w:r>
        <w:rPr/>
        <w:t>the</w:t>
      </w:r>
      <w:r>
        <w:rPr>
          <w:spacing w:val="46"/>
        </w:rPr>
        <w:t> </w:t>
      </w:r>
      <w:r>
        <w:rPr/>
        <w:t>coefficient</w:t>
      </w:r>
      <w:r>
        <w:rPr>
          <w:spacing w:val="51"/>
        </w:rPr>
        <w:t> </w:t>
      </w:r>
      <w:r>
        <w:rPr/>
        <w:t>TG</w:t>
      </w:r>
      <w:r>
        <w:rPr>
          <w:spacing w:val="48"/>
        </w:rPr>
        <w:t> </w:t>
      </w:r>
      <w:r>
        <w:rPr/>
        <w:t>(treatment</w:t>
      </w:r>
      <w:r>
        <w:rPr>
          <w:spacing w:val="47"/>
        </w:rPr>
        <w:t> </w:t>
      </w:r>
      <w:r>
        <w:rPr>
          <w:spacing w:val="-2"/>
        </w:rPr>
        <w:t>period)</w:t>
      </w:r>
    </w:p>
    <w:p>
      <w:pPr>
        <w:pStyle w:val="BodyText"/>
      </w:pPr>
    </w:p>
    <w:p>
      <w:pPr>
        <w:pStyle w:val="BodyText"/>
        <w:spacing w:line="480" w:lineRule="auto"/>
        <w:ind w:left="940" w:right="1434"/>
        <w:jc w:val="both"/>
      </w:pPr>
      <w:r>
        <w:rPr/>
        <w:t>represented the difference in QUA-FRQ between the pre and post IFRS adoption periods and controlled</w:t>
      </w:r>
      <w:r>
        <w:rPr>
          <w:spacing w:val="-12"/>
        </w:rPr>
        <w:t> </w:t>
      </w:r>
      <w:r>
        <w:rPr/>
        <w:t>for</w:t>
      </w:r>
      <w:r>
        <w:rPr>
          <w:spacing w:val="-12"/>
        </w:rPr>
        <w:t> </w:t>
      </w:r>
      <w:r>
        <w:rPr/>
        <w:t>pre-existing</w:t>
      </w:r>
      <w:r>
        <w:rPr>
          <w:spacing w:val="-12"/>
        </w:rPr>
        <w:t> </w:t>
      </w:r>
      <w:r>
        <w:rPr/>
        <w:t>differences</w:t>
      </w:r>
      <w:r>
        <w:rPr>
          <w:spacing w:val="-12"/>
        </w:rPr>
        <w:t> </w:t>
      </w:r>
      <w:r>
        <w:rPr/>
        <w:t>between</w:t>
      </w:r>
      <w:r>
        <w:rPr>
          <w:spacing w:val="-11"/>
        </w:rPr>
        <w:t> </w:t>
      </w:r>
      <w:r>
        <w:rPr/>
        <w:t>the</w:t>
      </w:r>
      <w:r>
        <w:rPr>
          <w:spacing w:val="-12"/>
        </w:rPr>
        <w:t> </w:t>
      </w:r>
      <w:r>
        <w:rPr/>
        <w:t>two</w:t>
      </w:r>
      <w:r>
        <w:rPr>
          <w:spacing w:val="-12"/>
        </w:rPr>
        <w:t> </w:t>
      </w:r>
      <w:r>
        <w:rPr/>
        <w:t>groups.</w:t>
      </w:r>
      <w:r>
        <w:rPr>
          <w:spacing w:val="-10"/>
        </w:rPr>
        <w:t> </w:t>
      </w:r>
      <w:r>
        <w:rPr/>
        <w:t>The</w:t>
      </w:r>
      <w:r>
        <w:rPr>
          <w:spacing w:val="-12"/>
        </w:rPr>
        <w:t> </w:t>
      </w:r>
      <w:r>
        <w:rPr/>
        <w:t>coefficient</w:t>
      </w:r>
      <w:r>
        <w:rPr>
          <w:spacing w:val="-12"/>
        </w:rPr>
        <w:t> </w:t>
      </w:r>
      <w:r>
        <w:rPr/>
        <w:t>was</w:t>
      </w:r>
      <w:r>
        <w:rPr>
          <w:spacing w:val="-11"/>
        </w:rPr>
        <w:t> </w:t>
      </w:r>
      <w:r>
        <w:rPr/>
        <w:t>0.0325</w:t>
      </w:r>
      <w:r>
        <w:rPr>
          <w:spacing w:val="-12"/>
        </w:rPr>
        <w:t> </w:t>
      </w:r>
      <w:r>
        <w:rPr/>
        <w:t>and insignificant at 5% {0.1190}. The result indicated that there was no change in QUA-FRQ between the pre- and post-IFRS periods. The Post-IFRS variable represented the incremental effect in QUA-FRQ from the pre- to post-IFRS periods and controlled for contemporaneous changes in QUA-FRQ</w:t>
      </w:r>
      <w:r>
        <w:rPr>
          <w:spacing w:val="-1"/>
        </w:rPr>
        <w:t> </w:t>
      </w:r>
      <w:r>
        <w:rPr/>
        <w:t>that were</w:t>
      </w:r>
      <w:r>
        <w:rPr>
          <w:spacing w:val="-1"/>
        </w:rPr>
        <w:t> </w:t>
      </w:r>
      <w:r>
        <w:rPr/>
        <w:t>not related to IFRS adoption and the</w:t>
      </w:r>
      <w:r>
        <w:rPr>
          <w:spacing w:val="-1"/>
        </w:rPr>
        <w:t> </w:t>
      </w:r>
      <w:r>
        <w:rPr/>
        <w:t>coefficient was positive and</w:t>
      </w:r>
      <w:r>
        <w:rPr>
          <w:spacing w:val="-11"/>
        </w:rPr>
        <w:t> </w:t>
      </w:r>
      <w:r>
        <w:rPr/>
        <w:t>significant</w:t>
      </w:r>
      <w:r>
        <w:rPr>
          <w:spacing w:val="-10"/>
        </w:rPr>
        <w:t> </w:t>
      </w:r>
      <w:r>
        <w:rPr/>
        <w:t>(0.0886,</w:t>
      </w:r>
      <w:r>
        <w:rPr>
          <w:spacing w:val="-11"/>
        </w:rPr>
        <w:t> </w:t>
      </w:r>
      <w:r>
        <w:rPr/>
        <w:t>p=0.000}.</w:t>
      </w:r>
      <w:r>
        <w:rPr>
          <w:spacing w:val="-11"/>
        </w:rPr>
        <w:t> </w:t>
      </w:r>
      <w:r>
        <w:rPr/>
        <w:t>Particularly,</w:t>
      </w:r>
      <w:r>
        <w:rPr>
          <w:spacing w:val="-10"/>
        </w:rPr>
        <w:t> </w:t>
      </w:r>
      <w:r>
        <w:rPr/>
        <w:t>the</w:t>
      </w:r>
      <w:r>
        <w:rPr>
          <w:spacing w:val="-9"/>
        </w:rPr>
        <w:t> </w:t>
      </w:r>
      <w:r>
        <w:rPr/>
        <w:t>study</w:t>
      </w:r>
      <w:r>
        <w:rPr>
          <w:spacing w:val="-8"/>
        </w:rPr>
        <w:t> </w:t>
      </w:r>
      <w:r>
        <w:rPr/>
        <w:t>was</w:t>
      </w:r>
      <w:r>
        <w:rPr>
          <w:spacing w:val="-10"/>
        </w:rPr>
        <w:t> </w:t>
      </w:r>
      <w:r>
        <w:rPr/>
        <w:t>interested</w:t>
      </w:r>
      <w:r>
        <w:rPr>
          <w:spacing w:val="-9"/>
        </w:rPr>
        <w:t> </w:t>
      </w:r>
      <w:r>
        <w:rPr/>
        <w:t>in</w:t>
      </w:r>
      <w:r>
        <w:rPr>
          <w:spacing w:val="-10"/>
        </w:rPr>
        <w:t> </w:t>
      </w:r>
      <w:r>
        <w:rPr/>
        <w:t>the</w:t>
      </w:r>
      <w:r>
        <w:rPr>
          <w:spacing w:val="-12"/>
        </w:rPr>
        <w:t> </w:t>
      </w:r>
      <w:r>
        <w:rPr/>
        <w:t>D-I-D</w:t>
      </w:r>
      <w:r>
        <w:rPr>
          <w:spacing w:val="-11"/>
        </w:rPr>
        <w:t> </w:t>
      </w:r>
      <w:r>
        <w:rPr/>
        <w:t>estimates which</w:t>
      </w:r>
      <w:r>
        <w:rPr>
          <w:spacing w:val="-9"/>
        </w:rPr>
        <w:t> </w:t>
      </w:r>
      <w:r>
        <w:rPr/>
        <w:t>reflected</w:t>
      </w:r>
      <w:r>
        <w:rPr>
          <w:spacing w:val="-10"/>
        </w:rPr>
        <w:t> </w:t>
      </w:r>
      <w:r>
        <w:rPr/>
        <w:t>an</w:t>
      </w:r>
      <w:r>
        <w:rPr>
          <w:spacing w:val="-9"/>
        </w:rPr>
        <w:t> </w:t>
      </w:r>
      <w:r>
        <w:rPr/>
        <w:t>incremental</w:t>
      </w:r>
      <w:r>
        <w:rPr>
          <w:spacing w:val="-8"/>
        </w:rPr>
        <w:t> </w:t>
      </w:r>
      <w:r>
        <w:rPr/>
        <w:t>change</w:t>
      </w:r>
      <w:r>
        <w:rPr>
          <w:spacing w:val="-10"/>
        </w:rPr>
        <w:t> </w:t>
      </w:r>
      <w:r>
        <w:rPr/>
        <w:t>in</w:t>
      </w:r>
      <w:r>
        <w:rPr>
          <w:spacing w:val="-9"/>
        </w:rPr>
        <w:t> </w:t>
      </w:r>
      <w:r>
        <w:rPr/>
        <w:t>QUA-FRQ</w:t>
      </w:r>
      <w:r>
        <w:rPr>
          <w:spacing w:val="-10"/>
        </w:rPr>
        <w:t> </w:t>
      </w:r>
      <w:r>
        <w:rPr/>
        <w:t>which</w:t>
      </w:r>
      <w:r>
        <w:rPr>
          <w:spacing w:val="-9"/>
        </w:rPr>
        <w:t> </w:t>
      </w:r>
      <w:r>
        <w:rPr/>
        <w:t>captured</w:t>
      </w:r>
      <w:r>
        <w:rPr>
          <w:spacing w:val="-9"/>
        </w:rPr>
        <w:t> </w:t>
      </w:r>
      <w:r>
        <w:rPr/>
        <w:t>the</w:t>
      </w:r>
      <w:r>
        <w:rPr>
          <w:spacing w:val="-10"/>
        </w:rPr>
        <w:t> </w:t>
      </w:r>
      <w:r>
        <w:rPr/>
        <w:t>IFRS</w:t>
      </w:r>
      <w:r>
        <w:rPr>
          <w:spacing w:val="-9"/>
        </w:rPr>
        <w:t> </w:t>
      </w:r>
      <w:r>
        <w:rPr/>
        <w:t>adoption</w:t>
      </w:r>
      <w:r>
        <w:rPr>
          <w:spacing w:val="-9"/>
        </w:rPr>
        <w:t> </w:t>
      </w:r>
      <w:r>
        <w:rPr/>
        <w:t>effect. If</w:t>
      </w:r>
      <w:r>
        <w:rPr>
          <w:spacing w:val="-5"/>
        </w:rPr>
        <w:t> </w:t>
      </w:r>
      <w:r>
        <w:rPr/>
        <w:t>IFRS</w:t>
      </w:r>
      <w:r>
        <w:rPr>
          <w:spacing w:val="-5"/>
        </w:rPr>
        <w:t> </w:t>
      </w:r>
      <w:r>
        <w:rPr/>
        <w:t>led</w:t>
      </w:r>
      <w:r>
        <w:rPr>
          <w:spacing w:val="-6"/>
        </w:rPr>
        <w:t> </w:t>
      </w:r>
      <w:r>
        <w:rPr/>
        <w:t>to</w:t>
      </w:r>
      <w:r>
        <w:rPr>
          <w:spacing w:val="-5"/>
        </w:rPr>
        <w:t> </w:t>
      </w:r>
      <w:r>
        <w:rPr/>
        <w:t>higher</w:t>
      </w:r>
      <w:r>
        <w:rPr>
          <w:spacing w:val="-7"/>
        </w:rPr>
        <w:t> </w:t>
      </w:r>
      <w:r>
        <w:rPr/>
        <w:t>QUA-FRQ,</w:t>
      </w:r>
      <w:r>
        <w:rPr>
          <w:spacing w:val="-6"/>
        </w:rPr>
        <w:t> </w:t>
      </w:r>
      <w:r>
        <w:rPr/>
        <w:t>we</w:t>
      </w:r>
      <w:r>
        <w:rPr>
          <w:spacing w:val="-7"/>
        </w:rPr>
        <w:t> </w:t>
      </w:r>
      <w:r>
        <w:rPr/>
        <w:t>expected</w:t>
      </w:r>
      <w:r>
        <w:rPr>
          <w:spacing w:val="-5"/>
        </w:rPr>
        <w:t> </w:t>
      </w:r>
      <w:r>
        <w:rPr/>
        <w:t>a</w:t>
      </w:r>
      <w:r>
        <w:rPr>
          <w:spacing w:val="-7"/>
        </w:rPr>
        <w:t> </w:t>
      </w:r>
      <w:r>
        <w:rPr/>
        <w:t>positive</w:t>
      </w:r>
      <w:r>
        <w:rPr>
          <w:spacing w:val="-7"/>
        </w:rPr>
        <w:t> </w:t>
      </w:r>
      <w:r>
        <w:rPr/>
        <w:t>coefficient.</w:t>
      </w:r>
      <w:r>
        <w:rPr>
          <w:spacing w:val="-5"/>
        </w:rPr>
        <w:t> </w:t>
      </w:r>
      <w:r>
        <w:rPr/>
        <w:t>From</w:t>
      </w:r>
      <w:r>
        <w:rPr>
          <w:spacing w:val="-3"/>
        </w:rPr>
        <w:t> </w:t>
      </w:r>
      <w:r>
        <w:rPr/>
        <w:t>the</w:t>
      </w:r>
      <w:r>
        <w:rPr>
          <w:spacing w:val="-7"/>
        </w:rPr>
        <w:t> </w:t>
      </w:r>
      <w:r>
        <w:rPr/>
        <w:t>estimations,</w:t>
      </w:r>
      <w:r>
        <w:rPr>
          <w:spacing w:val="-5"/>
        </w:rPr>
        <w:t> </w:t>
      </w:r>
      <w:r>
        <w:rPr/>
        <w:t>the D-I-D</w:t>
      </w:r>
      <w:r>
        <w:rPr>
          <w:spacing w:val="54"/>
        </w:rPr>
        <w:t> </w:t>
      </w:r>
      <w:r>
        <w:rPr/>
        <w:t>coefficient</w:t>
      </w:r>
      <w:r>
        <w:rPr>
          <w:spacing w:val="57"/>
        </w:rPr>
        <w:t> </w:t>
      </w:r>
      <w:r>
        <w:rPr/>
        <w:t>was</w:t>
      </w:r>
      <w:r>
        <w:rPr>
          <w:spacing w:val="55"/>
        </w:rPr>
        <w:t> </w:t>
      </w:r>
      <w:r>
        <w:rPr/>
        <w:t>negative</w:t>
      </w:r>
      <w:r>
        <w:rPr>
          <w:spacing w:val="55"/>
        </w:rPr>
        <w:t> </w:t>
      </w:r>
      <w:r>
        <w:rPr/>
        <w:t>and</w:t>
      </w:r>
      <w:r>
        <w:rPr>
          <w:spacing w:val="55"/>
        </w:rPr>
        <w:t> </w:t>
      </w:r>
      <w:r>
        <w:rPr/>
        <w:t>significant</w:t>
      </w:r>
      <w:r>
        <w:rPr>
          <w:spacing w:val="56"/>
        </w:rPr>
        <w:t> </w:t>
      </w:r>
      <w:r>
        <w:rPr/>
        <w:t>(-0.0612,</w:t>
      </w:r>
      <w:r>
        <w:rPr>
          <w:spacing w:val="55"/>
        </w:rPr>
        <w:t> </w:t>
      </w:r>
      <w:r>
        <w:rPr/>
        <w:t>p=0.0398)</w:t>
      </w:r>
      <w:r>
        <w:rPr>
          <w:spacing w:val="55"/>
        </w:rPr>
        <w:t> </w:t>
      </w:r>
      <w:r>
        <w:rPr/>
        <w:t>at</w:t>
      </w:r>
      <w:r>
        <w:rPr>
          <w:spacing w:val="55"/>
        </w:rPr>
        <w:t> </w:t>
      </w:r>
      <w:r>
        <w:rPr/>
        <w:t>5%</w:t>
      </w:r>
      <w:r>
        <w:rPr>
          <w:spacing w:val="55"/>
        </w:rPr>
        <w:t> </w:t>
      </w:r>
      <w:r>
        <w:rPr/>
        <w:t>and</w:t>
      </w:r>
      <w:r>
        <w:rPr>
          <w:spacing w:val="55"/>
        </w:rPr>
        <w:t> </w:t>
      </w:r>
      <w:r>
        <w:rPr/>
        <w:t>hence,</w:t>
      </w:r>
      <w:r>
        <w:rPr>
          <w:spacing w:val="56"/>
        </w:rPr>
        <w:t> </w:t>
      </w:r>
      <w:r>
        <w:rPr>
          <w:spacing w:val="-5"/>
        </w:rPr>
        <w:t>it</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t>suggested that the change in QUA-FRQ was decrementally different, suggesting that mandatory adoption of IFRS significantly declined financial reporting quality, at least as measured by QUA-FRQ.</w:t>
      </w:r>
    </w:p>
    <w:p>
      <w:pPr>
        <w:pStyle w:val="BodyText"/>
      </w:pPr>
    </w:p>
    <w:p>
      <w:pPr>
        <w:pStyle w:val="BodyText"/>
      </w:pPr>
    </w:p>
    <w:p>
      <w:pPr>
        <w:pStyle w:val="BodyText"/>
        <w:ind w:left="2073"/>
      </w:pPr>
      <w:r>
        <w:rPr>
          <w:b/>
        </w:rPr>
        <w:t>Table</w:t>
      </w:r>
      <w:r>
        <w:rPr>
          <w:b/>
          <w:spacing w:val="-2"/>
        </w:rPr>
        <w:t> </w:t>
      </w:r>
      <w:r>
        <w:rPr>
          <w:b/>
        </w:rPr>
        <w:t>4.7:</w:t>
      </w:r>
      <w:r>
        <w:rPr>
          <w:b/>
          <w:spacing w:val="27"/>
        </w:rPr>
        <w:t>  </w:t>
      </w:r>
      <w:r>
        <w:rPr/>
        <w:t>QUA-FRQ</w:t>
      </w:r>
      <w:r>
        <w:rPr>
          <w:spacing w:val="1"/>
        </w:rPr>
        <w:t> </w:t>
      </w:r>
      <w:r>
        <w:rPr/>
        <w:t>and</w:t>
      </w:r>
      <w:r>
        <w:rPr>
          <w:spacing w:val="-1"/>
        </w:rPr>
        <w:t> </w:t>
      </w:r>
      <w:r>
        <w:rPr/>
        <w:t>Ownership</w:t>
      </w:r>
      <w:r>
        <w:rPr>
          <w:spacing w:val="-2"/>
        </w:rPr>
        <w:t> </w:t>
      </w:r>
      <w:r>
        <w:rPr/>
        <w:t>Structure</w:t>
      </w:r>
      <w:r>
        <w:rPr>
          <w:spacing w:val="-1"/>
        </w:rPr>
        <w:t> </w:t>
      </w:r>
      <w:r>
        <w:rPr/>
        <w:t>Regression</w:t>
      </w:r>
      <w:r>
        <w:rPr>
          <w:spacing w:val="-1"/>
        </w:rPr>
        <w:t> </w:t>
      </w:r>
      <w:r>
        <w:rPr>
          <w:spacing w:val="-2"/>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622"/>
        <w:gridCol w:w="2340"/>
      </w:tblGrid>
      <w:tr>
        <w:trPr>
          <w:trHeight w:val="460" w:hRule="atLeast"/>
        </w:trPr>
        <w:tc>
          <w:tcPr>
            <w:tcW w:w="1906" w:type="dxa"/>
            <w:tcBorders>
              <w:left w:val="nil"/>
              <w:bottom w:val="single" w:sz="4" w:space="0" w:color="000000"/>
            </w:tcBorders>
          </w:tcPr>
          <w:p>
            <w:pPr>
              <w:pStyle w:val="TableParagraph"/>
              <w:rPr>
                <w:rFonts w:ascii="Times New Roman"/>
                <w:sz w:val="20"/>
              </w:rPr>
            </w:pPr>
          </w:p>
        </w:tc>
        <w:tc>
          <w:tcPr>
            <w:tcW w:w="986" w:type="dxa"/>
            <w:tcBorders>
              <w:bottom w:val="single" w:sz="4" w:space="0" w:color="000000"/>
            </w:tcBorders>
          </w:tcPr>
          <w:p>
            <w:pPr>
              <w:pStyle w:val="TableParagraph"/>
              <w:spacing w:line="230" w:lineRule="atLeast"/>
              <w:ind w:left="100" w:right="334"/>
              <w:rPr>
                <w:rFonts w:ascii="Times New Roman"/>
                <w:sz w:val="20"/>
              </w:rPr>
            </w:pPr>
            <w:r>
              <w:rPr>
                <w:rFonts w:ascii="Times New Roman"/>
                <w:spacing w:val="-2"/>
                <w:sz w:val="20"/>
              </w:rPr>
              <w:t>Aprori </w:t>
            </w:r>
            <w:r>
              <w:rPr>
                <w:rFonts w:ascii="Times New Roman"/>
                <w:spacing w:val="-4"/>
                <w:sz w:val="20"/>
              </w:rPr>
              <w:t>sign</w:t>
            </w:r>
          </w:p>
        </w:tc>
        <w:tc>
          <w:tcPr>
            <w:tcW w:w="5582" w:type="dxa"/>
            <w:gridSpan w:val="3"/>
            <w:tcBorders>
              <w:bottom w:val="single" w:sz="4" w:space="0" w:color="000000"/>
              <w:right w:val="nil"/>
            </w:tcBorders>
          </w:tcPr>
          <w:p>
            <w:pPr>
              <w:pStyle w:val="TableParagraph"/>
              <w:ind w:left="1762"/>
              <w:rPr>
                <w:rFonts w:ascii="Times New Roman"/>
                <w:sz w:val="20"/>
              </w:rPr>
            </w:pPr>
            <w:r>
              <w:rPr>
                <w:rFonts w:ascii="Times New Roman"/>
                <w:sz w:val="20"/>
              </w:rPr>
              <w:t>Dependent</w:t>
            </w:r>
            <w:r>
              <w:rPr>
                <w:rFonts w:ascii="Times New Roman"/>
                <w:spacing w:val="-6"/>
                <w:sz w:val="20"/>
              </w:rPr>
              <w:t> </w:t>
            </w:r>
            <w:r>
              <w:rPr>
                <w:rFonts w:ascii="Times New Roman"/>
                <w:sz w:val="20"/>
              </w:rPr>
              <w:t>Variable</w:t>
            </w:r>
            <w:r>
              <w:rPr>
                <w:rFonts w:ascii="Times New Roman"/>
                <w:spacing w:val="-5"/>
                <w:sz w:val="20"/>
              </w:rPr>
              <w:t> FRQ</w:t>
            </w:r>
          </w:p>
        </w:tc>
      </w:tr>
      <w:tr>
        <w:trPr>
          <w:trHeight w:val="460" w:hRule="atLeast"/>
        </w:trPr>
        <w:tc>
          <w:tcPr>
            <w:tcW w:w="1906" w:type="dxa"/>
            <w:tcBorders>
              <w:top w:val="single" w:sz="4" w:space="0" w:color="000000"/>
              <w:left w:val="nil"/>
            </w:tcBorders>
          </w:tcPr>
          <w:p>
            <w:pPr>
              <w:pStyle w:val="TableParagraph"/>
              <w:rPr>
                <w:rFonts w:ascii="Times New Roman"/>
                <w:sz w:val="20"/>
              </w:rPr>
            </w:pPr>
          </w:p>
        </w:tc>
        <w:tc>
          <w:tcPr>
            <w:tcW w:w="986" w:type="dxa"/>
            <w:tcBorders>
              <w:top w:val="single" w:sz="4" w:space="0" w:color="000000"/>
            </w:tcBorders>
          </w:tcPr>
          <w:p>
            <w:pPr>
              <w:pStyle w:val="TableParagraph"/>
              <w:rPr>
                <w:rFonts w:ascii="Times New Roman"/>
                <w:sz w:val="20"/>
              </w:rPr>
            </w:pPr>
          </w:p>
        </w:tc>
        <w:tc>
          <w:tcPr>
            <w:tcW w:w="1620" w:type="dxa"/>
            <w:tcBorders>
              <w:top w:val="single" w:sz="4" w:space="0" w:color="000000"/>
              <w:right w:val="single" w:sz="4" w:space="0" w:color="000000"/>
            </w:tcBorders>
          </w:tcPr>
          <w:p>
            <w:pPr>
              <w:pStyle w:val="TableParagraph"/>
              <w:spacing w:line="230" w:lineRule="atLeast"/>
              <w:ind w:left="429" w:right="282" w:hanging="147"/>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1622" w:type="dxa"/>
            <w:tcBorders>
              <w:top w:val="single" w:sz="4" w:space="0" w:color="000000"/>
              <w:left w:val="single" w:sz="4" w:space="0" w:color="000000"/>
              <w:right w:val="single" w:sz="4" w:space="0" w:color="000000"/>
            </w:tcBorders>
          </w:tcPr>
          <w:p>
            <w:pPr>
              <w:pStyle w:val="TableParagraph"/>
              <w:spacing w:line="230" w:lineRule="atLeast"/>
              <w:ind w:left="432" w:right="172" w:hanging="260"/>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2340" w:type="dxa"/>
            <w:tcBorders>
              <w:top w:val="single" w:sz="4" w:space="0" w:color="000000"/>
              <w:left w:val="single" w:sz="4" w:space="0" w:color="000000"/>
              <w:right w:val="nil"/>
            </w:tcBorders>
          </w:tcPr>
          <w:p>
            <w:pPr>
              <w:pStyle w:val="TableParagraph"/>
              <w:spacing w:line="230" w:lineRule="atLeast"/>
              <w:ind w:left="793" w:hanging="630"/>
              <w:rPr>
                <w:rFonts w:ascii="Times New Roman"/>
                <w:sz w:val="20"/>
              </w:rPr>
            </w:pPr>
            <w:r>
              <w:rPr>
                <w:rFonts w:ascii="Times New Roman"/>
                <w:spacing w:val="-2"/>
                <w:sz w:val="20"/>
              </w:rPr>
              <w:t>Difference-in-Difference estimates</w:t>
            </w:r>
          </w:p>
        </w:tc>
      </w:tr>
      <w:tr>
        <w:trPr>
          <w:trHeight w:val="279" w:hRule="atLeast"/>
        </w:trPr>
        <w:tc>
          <w:tcPr>
            <w:tcW w:w="1906" w:type="dxa"/>
            <w:tcBorders>
              <w:left w:val="nil"/>
              <w:bottom w:val="nil"/>
            </w:tcBorders>
          </w:tcPr>
          <w:p>
            <w:pPr>
              <w:pStyle w:val="TableParagraph"/>
              <w:ind w:left="159" w:right="144"/>
              <w:jc w:val="center"/>
              <w:rPr>
                <w:rFonts w:ascii="Times New Roman"/>
                <w:sz w:val="19"/>
              </w:rPr>
            </w:pPr>
            <w:r>
              <w:rPr/>
              <mc:AlternateContent>
                <mc:Choice Requires="wps">
                  <w:drawing>
                    <wp:anchor distT="0" distB="0" distL="0" distR="0" allowOverlap="1" layoutInCell="1" locked="0" behindDoc="1" simplePos="0" relativeHeight="477740544">
                      <wp:simplePos x="0" y="0"/>
                      <wp:positionH relativeFrom="column">
                        <wp:posOffset>14630</wp:posOffset>
                      </wp:positionH>
                      <wp:positionV relativeFrom="paragraph">
                        <wp:posOffset>-369961</wp:posOffset>
                      </wp:positionV>
                      <wp:extent cx="5107305" cy="523811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107305" cy="5238115"/>
                                <a:chExt cx="5107305" cy="5238115"/>
                              </a:xfrm>
                            </wpg:grpSpPr>
                            <pic:pic>
                              <pic:nvPicPr>
                                <pic:cNvPr id="177" name="Image 177"/>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1.152pt;margin-top:-29.13084pt;width:402.15pt;height:412.45pt;mso-position-horizontal-relative:column;mso-position-vertical-relative:paragraph;z-index:-25575936" id="docshapegroup41" coordorigin="23,-583" coordsize="8043,8249">
                      <v:shape style="position:absolute;left:23;top:-583;width:8043;height:8249" type="#_x0000_t75" id="docshape42" stroked="false">
                        <v:imagedata r:id="rId5" o:title=""/>
                      </v:shape>
                      <w10:wrap type="none"/>
                    </v:group>
                  </w:pict>
                </mc:Fallback>
              </mc:AlternateContent>
            </w:r>
            <w:r>
              <w:rPr>
                <w:rFonts w:ascii="Times New Roman"/>
                <w:spacing w:val="-10"/>
                <w:sz w:val="19"/>
              </w:rPr>
              <w:t>C</w:t>
            </w:r>
          </w:p>
        </w:tc>
        <w:tc>
          <w:tcPr>
            <w:tcW w:w="986" w:type="dxa"/>
            <w:vMerge w:val="restart"/>
            <w:tcBorders>
              <w:bottom w:val="single" w:sz="4" w:space="0" w:color="000000"/>
            </w:tcBorders>
          </w:tcPr>
          <w:p>
            <w:pPr>
              <w:pStyle w:val="TableParagraph"/>
              <w:rPr>
                <w:rFonts w:ascii="Times New Roman"/>
                <w:sz w:val="20"/>
              </w:rPr>
            </w:pPr>
          </w:p>
        </w:tc>
        <w:tc>
          <w:tcPr>
            <w:tcW w:w="1620" w:type="dxa"/>
            <w:tcBorders>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0.2463</w:t>
            </w:r>
          </w:p>
        </w:tc>
        <w:tc>
          <w:tcPr>
            <w:tcW w:w="1622" w:type="dxa"/>
            <w:tcBorders>
              <w:left w:val="single" w:sz="4" w:space="0" w:color="000000"/>
              <w:bottom w:val="nil"/>
              <w:right w:val="single" w:sz="4" w:space="0" w:color="000000"/>
            </w:tcBorders>
          </w:tcPr>
          <w:p>
            <w:pPr>
              <w:pStyle w:val="TableParagraph"/>
              <w:ind w:left="47" w:right="47"/>
              <w:jc w:val="center"/>
              <w:rPr>
                <w:rFonts w:ascii="Times New Roman"/>
                <w:sz w:val="19"/>
              </w:rPr>
            </w:pPr>
            <w:r>
              <w:rPr>
                <w:rFonts w:ascii="Times New Roman"/>
                <w:spacing w:val="-2"/>
                <w:sz w:val="19"/>
              </w:rPr>
              <w:t>0.2936***</w:t>
            </w:r>
          </w:p>
        </w:tc>
        <w:tc>
          <w:tcPr>
            <w:tcW w:w="2340" w:type="dxa"/>
            <w:tcBorders>
              <w:left w:val="single" w:sz="4" w:space="0" w:color="000000"/>
              <w:bottom w:val="nil"/>
              <w:right w:val="nil"/>
            </w:tcBorders>
          </w:tcPr>
          <w:p>
            <w:pPr>
              <w:pStyle w:val="TableParagraph"/>
              <w:spacing w:before="1"/>
              <w:ind w:left="3" w:right="13"/>
              <w:jc w:val="center"/>
              <w:rPr>
                <w:rFonts w:ascii="Times New Roman"/>
                <w:sz w:val="20"/>
              </w:rPr>
            </w:pPr>
            <w:r>
              <w:rPr>
                <w:rFonts w:ascii="Times New Roman"/>
                <w:spacing w:val="-2"/>
                <w:sz w:val="20"/>
              </w:rPr>
              <w:t>0.2276**</w:t>
            </w:r>
          </w:p>
        </w:tc>
      </w:tr>
      <w:tr>
        <w:trPr>
          <w:trHeight w:val="612"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tcBorders>
          </w:tcPr>
          <w:p>
            <w:pPr>
              <w:rPr>
                <w:sz w:val="2"/>
                <w:szCs w:val="2"/>
              </w:rPr>
            </w:pPr>
          </w:p>
        </w:tc>
        <w:tc>
          <w:tcPr>
            <w:tcW w:w="1620" w:type="dxa"/>
            <w:tcBorders>
              <w:top w:val="nil"/>
              <w:bottom w:val="nil"/>
              <w:right w:val="single" w:sz="4" w:space="0" w:color="000000"/>
            </w:tcBorders>
          </w:tcPr>
          <w:p>
            <w:pPr>
              <w:pStyle w:val="TableParagraph"/>
              <w:spacing w:before="40"/>
              <w:ind w:left="477"/>
              <w:rPr>
                <w:rFonts w:ascii="Times New Roman"/>
                <w:sz w:val="19"/>
              </w:rPr>
            </w:pPr>
            <w:r>
              <w:rPr>
                <w:rFonts w:ascii="Times New Roman"/>
                <w:spacing w:val="-2"/>
                <w:sz w:val="19"/>
              </w:rPr>
              <w:t>(0.0732)</w:t>
            </w:r>
          </w:p>
          <w:p>
            <w:pPr>
              <w:pStyle w:val="TableParagraph"/>
              <w:spacing w:before="108"/>
              <w:ind w:left="449"/>
              <w:rPr>
                <w:rFonts w:ascii="Times New Roman"/>
                <w:sz w:val="19"/>
              </w:rPr>
            </w:pPr>
            <w:r>
              <w:rPr>
                <w:rFonts w:ascii="Times New Roman"/>
                <w:spacing w:val="-2"/>
                <w:sz w:val="19"/>
              </w:rPr>
              <w:t>{0.0010}</w:t>
            </w:r>
          </w:p>
        </w:tc>
        <w:tc>
          <w:tcPr>
            <w:tcW w:w="1622" w:type="dxa"/>
            <w:tcBorders>
              <w:top w:val="nil"/>
              <w:left w:val="single" w:sz="4" w:space="0" w:color="000000"/>
              <w:bottom w:val="nil"/>
              <w:right w:val="single" w:sz="4" w:space="0" w:color="000000"/>
            </w:tcBorders>
          </w:tcPr>
          <w:p>
            <w:pPr>
              <w:pStyle w:val="TableParagraph"/>
              <w:spacing w:before="40"/>
              <w:ind w:left="480"/>
              <w:rPr>
                <w:rFonts w:ascii="Times New Roman"/>
                <w:sz w:val="19"/>
              </w:rPr>
            </w:pPr>
            <w:r>
              <w:rPr>
                <w:rFonts w:ascii="Times New Roman"/>
                <w:spacing w:val="-2"/>
                <w:sz w:val="19"/>
              </w:rPr>
              <w:t>(0.0608)</w:t>
            </w:r>
          </w:p>
          <w:p>
            <w:pPr>
              <w:pStyle w:val="TableParagraph"/>
              <w:spacing w:before="108"/>
              <w:ind w:left="499"/>
              <w:rPr>
                <w:rFonts w:ascii="Times New Roman"/>
                <w:sz w:val="19"/>
              </w:rPr>
            </w:pPr>
            <w:r>
              <w:rPr>
                <w:rFonts w:ascii="Times New Roman"/>
                <w:spacing w:val="-2"/>
                <w:sz w:val="19"/>
              </w:rPr>
              <w:t>{0.000}</w:t>
            </w:r>
          </w:p>
        </w:tc>
        <w:tc>
          <w:tcPr>
            <w:tcW w:w="2340" w:type="dxa"/>
            <w:tcBorders>
              <w:top w:val="nil"/>
              <w:left w:val="single" w:sz="4" w:space="0" w:color="000000"/>
              <w:bottom w:val="nil"/>
              <w:right w:val="nil"/>
            </w:tcBorders>
          </w:tcPr>
          <w:p>
            <w:pPr>
              <w:pStyle w:val="TableParagraph"/>
              <w:spacing w:before="177"/>
              <w:ind w:left="5" w:right="13"/>
              <w:jc w:val="center"/>
              <w:rPr>
                <w:rFonts w:ascii="Times New Roman"/>
                <w:sz w:val="20"/>
              </w:rPr>
            </w:pPr>
            <w:r>
              <w:rPr>
                <w:rFonts w:ascii="Times New Roman"/>
                <w:spacing w:val="-2"/>
                <w:sz w:val="20"/>
              </w:rPr>
              <w:t>(0.0773)</w:t>
            </w:r>
          </w:p>
        </w:tc>
      </w:tr>
      <w:tr>
        <w:trPr>
          <w:trHeight w:val="363"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tcBorders>
          </w:tcPr>
          <w:p>
            <w:pPr>
              <w:rPr>
                <w:sz w:val="2"/>
                <w:szCs w:val="2"/>
              </w:rPr>
            </w:pPr>
          </w:p>
        </w:tc>
        <w:tc>
          <w:tcPr>
            <w:tcW w:w="1620" w:type="dxa"/>
            <w:tcBorders>
              <w:top w:val="nil"/>
              <w:bottom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340" w:type="dxa"/>
            <w:tcBorders>
              <w:top w:val="nil"/>
              <w:left w:val="single" w:sz="4" w:space="0" w:color="000000"/>
              <w:right w:val="nil"/>
            </w:tcBorders>
          </w:tcPr>
          <w:p>
            <w:pPr>
              <w:pStyle w:val="TableParagraph"/>
              <w:spacing w:before="18"/>
              <w:ind w:left="13" w:right="13"/>
              <w:jc w:val="center"/>
              <w:rPr>
                <w:rFonts w:ascii="Times New Roman"/>
                <w:sz w:val="20"/>
              </w:rPr>
            </w:pPr>
            <w:r>
              <w:rPr>
                <w:rFonts w:ascii="Times New Roman"/>
                <w:spacing w:val="-2"/>
                <w:sz w:val="20"/>
              </w:rPr>
              <w:t>{0.0037}</w:t>
            </w:r>
          </w:p>
        </w:tc>
      </w:tr>
      <w:tr>
        <w:trPr>
          <w:trHeight w:val="278" w:hRule="atLeast"/>
        </w:trPr>
        <w:tc>
          <w:tcPr>
            <w:tcW w:w="1906" w:type="dxa"/>
            <w:tcBorders>
              <w:top w:val="single" w:sz="4" w:space="0" w:color="000000"/>
              <w:left w:val="nil"/>
              <w:bottom w:val="nil"/>
            </w:tcBorders>
          </w:tcPr>
          <w:p>
            <w:pPr>
              <w:pStyle w:val="TableParagraph"/>
              <w:ind w:left="159" w:right="147"/>
              <w:jc w:val="center"/>
              <w:rPr>
                <w:rFonts w:ascii="Times New Roman"/>
                <w:sz w:val="19"/>
              </w:rPr>
            </w:pPr>
            <w:r>
              <w:rPr>
                <w:rFonts w:ascii="Times New Roman"/>
                <w:spacing w:val="-2"/>
                <w:sz w:val="19"/>
              </w:rPr>
              <w:t>T-periods</w:t>
            </w:r>
          </w:p>
        </w:tc>
        <w:tc>
          <w:tcPr>
            <w:tcW w:w="986" w:type="dxa"/>
            <w:tcBorders>
              <w:top w:val="single" w:sz="4" w:space="0" w:color="000000"/>
              <w:bottom w:val="nil"/>
            </w:tcBorders>
          </w:tcPr>
          <w:p>
            <w:pPr>
              <w:pStyle w:val="TableParagraph"/>
              <w:rPr>
                <w:rFonts w:ascii="Times New Roman"/>
                <w:sz w:val="20"/>
              </w:rPr>
            </w:pPr>
          </w:p>
        </w:tc>
        <w:tc>
          <w:tcPr>
            <w:tcW w:w="1620"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40" w:type="dxa"/>
            <w:tcBorders>
              <w:left w:val="single" w:sz="4" w:space="0" w:color="000000"/>
              <w:bottom w:val="nil"/>
              <w:right w:val="nil"/>
            </w:tcBorders>
          </w:tcPr>
          <w:p>
            <w:pPr>
              <w:pStyle w:val="TableParagraph"/>
              <w:ind w:left="5" w:right="13"/>
              <w:jc w:val="center"/>
              <w:rPr>
                <w:rFonts w:ascii="Times New Roman"/>
                <w:sz w:val="20"/>
              </w:rPr>
            </w:pPr>
            <w:r>
              <w:rPr>
                <w:rFonts w:ascii="Times New Roman"/>
                <w:spacing w:val="-2"/>
                <w:sz w:val="20"/>
              </w:rPr>
              <w:t>0.0231</w:t>
            </w:r>
          </w:p>
        </w:tc>
      </w:tr>
      <w:tr>
        <w:trPr>
          <w:trHeight w:val="5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tcBorders>
          </w:tcPr>
          <w:p>
            <w:pPr>
              <w:pStyle w:val="TableParagraph"/>
              <w:spacing w:before="40"/>
              <w:ind w:left="431"/>
              <w:rPr>
                <w:rFonts w:ascii="Times New Roman"/>
                <w:sz w:val="19"/>
              </w:rPr>
            </w:pPr>
            <w:r>
              <w:rPr>
                <w:rFonts w:ascii="Times New Roman"/>
                <w:spacing w:val="-10"/>
                <w:sz w:val="19"/>
              </w:rPr>
              <w:t>+</w:t>
            </w:r>
          </w:p>
        </w:tc>
        <w:tc>
          <w:tcPr>
            <w:tcW w:w="1620" w:type="dxa"/>
            <w:vMerge/>
            <w:tcBorders>
              <w:top w:val="nil"/>
              <w:bottom w:val="single" w:sz="4" w:space="0" w:color="000000"/>
              <w:right w:val="single" w:sz="4" w:space="0" w:color="000000"/>
            </w:tcBorders>
          </w:tcPr>
          <w:p>
            <w:pPr>
              <w:rPr>
                <w:sz w:val="2"/>
                <w:szCs w:val="2"/>
              </w:rPr>
            </w:pP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tcBorders>
              <w:top w:val="nil"/>
              <w:left w:val="single" w:sz="4" w:space="0" w:color="000000"/>
              <w:bottom w:val="nil"/>
              <w:right w:val="nil"/>
            </w:tcBorders>
          </w:tcPr>
          <w:p>
            <w:pPr>
              <w:pStyle w:val="TableParagraph"/>
              <w:spacing w:before="177"/>
              <w:ind w:left="5" w:right="13"/>
              <w:jc w:val="center"/>
              <w:rPr>
                <w:rFonts w:ascii="Times New Roman"/>
                <w:sz w:val="20"/>
              </w:rPr>
            </w:pPr>
            <w:r>
              <w:rPr>
                <w:rFonts w:ascii="Times New Roman"/>
                <w:spacing w:val="-2"/>
                <w:sz w:val="20"/>
              </w:rPr>
              <w:t>(0.0189)</w:t>
            </w:r>
          </w:p>
        </w:tc>
      </w:tr>
      <w:tr>
        <w:trPr>
          <w:trHeight w:val="452"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tcBorders>
          </w:tcPr>
          <w:p>
            <w:pPr>
              <w:pStyle w:val="TableParagraph"/>
              <w:rPr>
                <w:rFonts w:ascii="Times New Roman"/>
                <w:sz w:val="20"/>
              </w:rPr>
            </w:pPr>
          </w:p>
        </w:tc>
        <w:tc>
          <w:tcPr>
            <w:tcW w:w="1620" w:type="dxa"/>
            <w:vMerge/>
            <w:tcBorders>
              <w:top w:val="nil"/>
              <w:bottom w:val="single" w:sz="4" w:space="0" w:color="000000"/>
              <w:right w:val="single" w:sz="4" w:space="0" w:color="000000"/>
            </w:tcBorders>
          </w:tcPr>
          <w:p>
            <w:pPr>
              <w:rPr>
                <w:sz w:val="2"/>
                <w:szCs w:val="2"/>
              </w:rPr>
            </w:pP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tcBorders>
              <w:top w:val="nil"/>
              <w:left w:val="single" w:sz="4" w:space="0" w:color="000000"/>
              <w:right w:val="nil"/>
            </w:tcBorders>
          </w:tcPr>
          <w:p>
            <w:pPr>
              <w:pStyle w:val="TableParagraph"/>
              <w:spacing w:before="107"/>
              <w:ind w:left="13" w:right="13"/>
              <w:jc w:val="center"/>
              <w:rPr>
                <w:rFonts w:ascii="Times New Roman"/>
                <w:sz w:val="20"/>
              </w:rPr>
            </w:pPr>
            <w:r>
              <w:rPr>
                <w:rFonts w:ascii="Times New Roman"/>
                <w:spacing w:val="-2"/>
                <w:sz w:val="20"/>
              </w:rPr>
              <w:t>{0.2242}</w:t>
            </w:r>
          </w:p>
        </w:tc>
      </w:tr>
      <w:tr>
        <w:trPr>
          <w:trHeight w:val="283" w:hRule="atLeast"/>
        </w:trPr>
        <w:tc>
          <w:tcPr>
            <w:tcW w:w="1906" w:type="dxa"/>
            <w:tcBorders>
              <w:top w:val="single" w:sz="4" w:space="0" w:color="000000"/>
              <w:left w:val="nil"/>
              <w:bottom w:val="nil"/>
            </w:tcBorders>
          </w:tcPr>
          <w:p>
            <w:pPr>
              <w:pStyle w:val="TableParagraph"/>
              <w:ind w:left="159" w:right="143"/>
              <w:jc w:val="center"/>
              <w:rPr>
                <w:rFonts w:ascii="Times New Roman"/>
                <w:sz w:val="19"/>
              </w:rPr>
            </w:pPr>
            <w:r>
              <w:rPr>
                <w:rFonts w:ascii="Times New Roman"/>
                <w:spacing w:val="-4"/>
                <w:sz w:val="19"/>
              </w:rPr>
              <w:t>IFRS</w:t>
            </w:r>
          </w:p>
        </w:tc>
        <w:tc>
          <w:tcPr>
            <w:tcW w:w="986" w:type="dxa"/>
            <w:tcBorders>
              <w:bottom w:val="nil"/>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tcBorders>
          </w:tcPr>
          <w:p>
            <w:pPr>
              <w:pStyle w:val="TableParagraph"/>
              <w:ind w:left="143" w:right="146"/>
              <w:jc w:val="center"/>
              <w:rPr>
                <w:rFonts w:ascii="Times New Roman"/>
                <w:sz w:val="19"/>
              </w:rPr>
            </w:pPr>
            <w:r>
              <w:rPr>
                <w:rFonts w:ascii="Times New Roman"/>
                <w:spacing w:val="-2"/>
                <w:sz w:val="19"/>
              </w:rPr>
              <w:t>-0.0005</w:t>
            </w:r>
          </w:p>
        </w:tc>
        <w:tc>
          <w:tcPr>
            <w:tcW w:w="1622" w:type="dxa"/>
            <w:tcBorders>
              <w:top w:val="single" w:sz="4" w:space="0" w:color="000000"/>
              <w:bottom w:val="nil"/>
              <w:right w:val="single" w:sz="4" w:space="0" w:color="000000"/>
            </w:tcBorders>
          </w:tcPr>
          <w:p>
            <w:pPr>
              <w:pStyle w:val="TableParagraph"/>
              <w:ind w:left="47" w:right="47"/>
              <w:jc w:val="center"/>
              <w:rPr>
                <w:rFonts w:ascii="Times New Roman"/>
                <w:sz w:val="19"/>
              </w:rPr>
            </w:pPr>
            <w:r>
              <w:rPr>
                <w:rFonts w:ascii="Times New Roman"/>
                <w:spacing w:val="-2"/>
                <w:sz w:val="19"/>
              </w:rPr>
              <w:t>0.03196***</w:t>
            </w:r>
          </w:p>
        </w:tc>
        <w:tc>
          <w:tcPr>
            <w:tcW w:w="2340" w:type="dxa"/>
            <w:tcBorders>
              <w:left w:val="single" w:sz="4" w:space="0" w:color="000000"/>
              <w:bottom w:val="nil"/>
              <w:right w:val="nil"/>
            </w:tcBorders>
          </w:tcPr>
          <w:p>
            <w:pPr>
              <w:pStyle w:val="TableParagraph"/>
              <w:ind w:left="3" w:right="13"/>
              <w:jc w:val="center"/>
              <w:rPr>
                <w:rFonts w:ascii="Times New Roman"/>
                <w:sz w:val="20"/>
              </w:rPr>
            </w:pPr>
            <w:r>
              <w:rPr>
                <w:rFonts w:ascii="Times New Roman"/>
                <w:spacing w:val="-2"/>
                <w:sz w:val="20"/>
              </w:rPr>
              <w:t>0.084***</w:t>
            </w:r>
          </w:p>
        </w:tc>
      </w:tr>
      <w:tr>
        <w:trPr>
          <w:trHeight w:val="622"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31"/>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45"/>
              <w:ind w:left="477"/>
              <w:rPr>
                <w:rFonts w:ascii="Times New Roman"/>
                <w:sz w:val="19"/>
              </w:rPr>
            </w:pPr>
            <w:r>
              <w:rPr>
                <w:rFonts w:ascii="Times New Roman"/>
                <w:spacing w:val="-2"/>
                <w:sz w:val="19"/>
              </w:rPr>
              <w:t>(0.0101)</w:t>
            </w:r>
          </w:p>
          <w:p>
            <w:pPr>
              <w:pStyle w:val="TableParagraph"/>
              <w:spacing w:before="108"/>
              <w:ind w:left="449"/>
              <w:rPr>
                <w:rFonts w:ascii="Times New Roman"/>
                <w:sz w:val="19"/>
              </w:rPr>
            </w:pPr>
            <w:r>
              <w:rPr>
                <w:rFonts w:ascii="Times New Roman"/>
                <w:spacing w:val="-2"/>
                <w:sz w:val="19"/>
              </w:rPr>
              <w:t>{0.9635}</w:t>
            </w:r>
          </w:p>
        </w:tc>
        <w:tc>
          <w:tcPr>
            <w:tcW w:w="1622" w:type="dxa"/>
            <w:tcBorders>
              <w:top w:val="nil"/>
              <w:bottom w:val="nil"/>
              <w:right w:val="single" w:sz="4" w:space="0" w:color="000000"/>
            </w:tcBorders>
          </w:tcPr>
          <w:p>
            <w:pPr>
              <w:pStyle w:val="TableParagraph"/>
              <w:spacing w:before="45"/>
              <w:ind w:left="432"/>
              <w:rPr>
                <w:rFonts w:ascii="Times New Roman"/>
                <w:sz w:val="19"/>
              </w:rPr>
            </w:pPr>
            <w:r>
              <w:rPr>
                <w:rFonts w:ascii="Times New Roman"/>
                <w:spacing w:val="-2"/>
                <w:sz w:val="19"/>
              </w:rPr>
              <w:t>(0.00697)</w:t>
            </w:r>
          </w:p>
          <w:p>
            <w:pPr>
              <w:pStyle w:val="TableParagraph"/>
              <w:spacing w:before="108"/>
              <w:ind w:left="499"/>
              <w:rPr>
                <w:rFonts w:ascii="Times New Roman"/>
                <w:sz w:val="19"/>
              </w:rPr>
            </w:pPr>
            <w:r>
              <w:rPr>
                <w:rFonts w:ascii="Times New Roman"/>
                <w:spacing w:val="-2"/>
                <w:sz w:val="19"/>
              </w:rPr>
              <w:t>{0.000}</w:t>
            </w:r>
          </w:p>
        </w:tc>
        <w:tc>
          <w:tcPr>
            <w:tcW w:w="2340" w:type="dxa"/>
            <w:tcBorders>
              <w:top w:val="nil"/>
              <w:left w:val="single" w:sz="4" w:space="0" w:color="000000"/>
              <w:bottom w:val="nil"/>
              <w:right w:val="nil"/>
            </w:tcBorders>
          </w:tcPr>
          <w:p>
            <w:pPr>
              <w:pStyle w:val="TableParagraph"/>
              <w:spacing w:before="182"/>
              <w:ind w:left="5" w:right="13"/>
              <w:jc w:val="center"/>
              <w:rPr>
                <w:rFonts w:ascii="Times New Roman"/>
                <w:sz w:val="20"/>
              </w:rPr>
            </w:pPr>
            <w:r>
              <w:rPr>
                <w:rFonts w:ascii="Times New Roman"/>
                <w:spacing w:val="-2"/>
                <w:sz w:val="20"/>
              </w:rPr>
              <w:t>(0.0234)</w:t>
            </w:r>
          </w:p>
        </w:tc>
      </w:tr>
      <w:tr>
        <w:trPr>
          <w:trHeight w:val="488"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tcBorders>
          </w:tcPr>
          <w:p>
            <w:pPr>
              <w:pStyle w:val="TableParagraph"/>
              <w:rPr>
                <w:rFonts w:ascii="Times New Roman"/>
                <w:sz w:val="20"/>
              </w:rPr>
            </w:pPr>
          </w:p>
        </w:tc>
        <w:tc>
          <w:tcPr>
            <w:tcW w:w="1622" w:type="dxa"/>
            <w:tcBorders>
              <w:top w:val="nil"/>
              <w:bottom w:val="single" w:sz="4" w:space="0" w:color="000000"/>
              <w:right w:val="single" w:sz="4" w:space="0" w:color="000000"/>
            </w:tcBorders>
          </w:tcPr>
          <w:p>
            <w:pPr>
              <w:pStyle w:val="TableParagraph"/>
              <w:rPr>
                <w:rFonts w:ascii="Times New Roman"/>
                <w:sz w:val="20"/>
              </w:rPr>
            </w:pPr>
          </w:p>
        </w:tc>
        <w:tc>
          <w:tcPr>
            <w:tcW w:w="2340" w:type="dxa"/>
            <w:tcBorders>
              <w:top w:val="nil"/>
              <w:left w:val="single" w:sz="4" w:space="0" w:color="000000"/>
              <w:right w:val="nil"/>
            </w:tcBorders>
          </w:tcPr>
          <w:p>
            <w:pPr>
              <w:pStyle w:val="TableParagraph"/>
              <w:spacing w:before="23"/>
              <w:ind w:left="6" w:right="13"/>
              <w:jc w:val="center"/>
              <w:rPr>
                <w:rFonts w:ascii="Times New Roman"/>
                <w:sz w:val="20"/>
              </w:rPr>
            </w:pPr>
            <w:r>
              <w:rPr>
                <w:rFonts w:ascii="Times New Roman"/>
                <w:spacing w:val="-2"/>
                <w:sz w:val="20"/>
              </w:rPr>
              <w:t>{0.0004}</w:t>
            </w:r>
          </w:p>
        </w:tc>
      </w:tr>
      <w:tr>
        <w:trPr>
          <w:trHeight w:val="277" w:hRule="atLeast"/>
        </w:trPr>
        <w:tc>
          <w:tcPr>
            <w:tcW w:w="1906" w:type="dxa"/>
            <w:tcBorders>
              <w:top w:val="single" w:sz="4" w:space="0" w:color="000000"/>
              <w:left w:val="nil"/>
              <w:bottom w:val="nil"/>
            </w:tcBorders>
          </w:tcPr>
          <w:p>
            <w:pPr>
              <w:pStyle w:val="TableParagraph"/>
              <w:ind w:left="159" w:right="145"/>
              <w:jc w:val="center"/>
              <w:rPr>
                <w:rFonts w:ascii="Times New Roman"/>
                <w:sz w:val="19"/>
              </w:rPr>
            </w:pPr>
            <w:r>
              <w:rPr>
                <w:rFonts w:ascii="Times New Roman"/>
                <w:spacing w:val="-2"/>
                <w:sz w:val="19"/>
              </w:rPr>
              <w:t>D-I-</w:t>
            </w:r>
            <w:r>
              <w:rPr>
                <w:rFonts w:ascii="Times New Roman"/>
                <w:spacing w:val="-10"/>
                <w:sz w:val="19"/>
              </w:rPr>
              <w:t>D</w:t>
            </w:r>
          </w:p>
        </w:tc>
        <w:tc>
          <w:tcPr>
            <w:tcW w:w="986" w:type="dxa"/>
            <w:tcBorders>
              <w:bottom w:val="nil"/>
              <w:right w:val="single" w:sz="4" w:space="0" w:color="000000"/>
            </w:tcBorders>
          </w:tcPr>
          <w:p>
            <w:pPr>
              <w:pStyle w:val="TableParagraph"/>
              <w:rPr>
                <w:rFonts w:ascii="Times New Roman"/>
                <w:sz w:val="20"/>
              </w:rPr>
            </w:pPr>
          </w:p>
        </w:tc>
        <w:tc>
          <w:tcPr>
            <w:tcW w:w="162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40" w:type="dxa"/>
            <w:tcBorders>
              <w:left w:val="single" w:sz="4" w:space="0" w:color="000000"/>
              <w:bottom w:val="nil"/>
              <w:right w:val="nil"/>
            </w:tcBorders>
          </w:tcPr>
          <w:p>
            <w:pPr>
              <w:pStyle w:val="TableParagraph"/>
              <w:ind w:left="5" w:right="13"/>
              <w:jc w:val="center"/>
              <w:rPr>
                <w:rFonts w:ascii="Times New Roman"/>
                <w:sz w:val="20"/>
              </w:rPr>
            </w:pPr>
            <w:r>
              <w:rPr>
                <w:rFonts w:ascii="Times New Roman"/>
                <w:spacing w:val="-2"/>
                <w:sz w:val="20"/>
              </w:rPr>
              <w:t>-0.0568*</w:t>
            </w:r>
          </w:p>
        </w:tc>
      </w:tr>
      <w:tr>
        <w:trPr>
          <w:trHeight w:val="5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39"/>
              <w:ind w:left="431"/>
              <w:rPr>
                <w:rFonts w:ascii="Times New Roman"/>
                <w:sz w:val="19"/>
              </w:rPr>
            </w:pPr>
            <w:r>
              <w:rPr>
                <w:rFonts w:ascii="Times New Roman"/>
                <w:spacing w:val="-10"/>
                <w:sz w:val="19"/>
              </w:rPr>
              <w:t>+</w:t>
            </w: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tcBorders>
              <w:top w:val="nil"/>
              <w:left w:val="single" w:sz="4" w:space="0" w:color="000000"/>
              <w:bottom w:val="nil"/>
              <w:right w:val="nil"/>
            </w:tcBorders>
          </w:tcPr>
          <w:p>
            <w:pPr>
              <w:pStyle w:val="TableParagraph"/>
              <w:spacing w:before="176"/>
              <w:ind w:left="5" w:right="13"/>
              <w:jc w:val="center"/>
              <w:rPr>
                <w:rFonts w:ascii="Times New Roman"/>
                <w:sz w:val="20"/>
              </w:rPr>
            </w:pPr>
            <w:r>
              <w:rPr>
                <w:rFonts w:ascii="Times New Roman"/>
                <w:spacing w:val="-2"/>
                <w:sz w:val="20"/>
              </w:rPr>
              <w:t>(0.0333)</w:t>
            </w:r>
          </w:p>
        </w:tc>
      </w:tr>
      <w:tr>
        <w:trPr>
          <w:trHeight w:val="453"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tcBorders>
              <w:top w:val="nil"/>
              <w:left w:val="single" w:sz="4" w:space="0" w:color="000000"/>
              <w:right w:val="nil"/>
            </w:tcBorders>
          </w:tcPr>
          <w:p>
            <w:pPr>
              <w:pStyle w:val="TableParagraph"/>
              <w:spacing w:before="108"/>
              <w:ind w:left="13" w:right="13"/>
              <w:jc w:val="center"/>
              <w:rPr>
                <w:rFonts w:ascii="Times New Roman"/>
                <w:sz w:val="20"/>
              </w:rPr>
            </w:pPr>
            <w:r>
              <w:rPr>
                <w:rFonts w:ascii="Times New Roman"/>
                <w:spacing w:val="-2"/>
                <w:sz w:val="20"/>
              </w:rPr>
              <w:t>{0.0895}</w:t>
            </w:r>
          </w:p>
        </w:tc>
      </w:tr>
      <w:tr>
        <w:trPr>
          <w:trHeight w:val="282" w:hRule="atLeast"/>
        </w:trPr>
        <w:tc>
          <w:tcPr>
            <w:tcW w:w="1906" w:type="dxa"/>
            <w:tcBorders>
              <w:top w:val="single" w:sz="4" w:space="0" w:color="000000"/>
              <w:left w:val="nil"/>
              <w:bottom w:val="nil"/>
            </w:tcBorders>
          </w:tcPr>
          <w:p>
            <w:pPr>
              <w:pStyle w:val="TableParagraph"/>
              <w:ind w:left="159" w:right="146"/>
              <w:jc w:val="center"/>
              <w:rPr>
                <w:rFonts w:ascii="Times New Roman"/>
                <w:sz w:val="19"/>
              </w:rPr>
            </w:pPr>
            <w:r>
              <w:rPr>
                <w:rFonts w:ascii="Times New Roman"/>
                <w:spacing w:val="-2"/>
                <w:sz w:val="19"/>
              </w:rPr>
              <w:t>INSTOWN</w:t>
            </w:r>
          </w:p>
        </w:tc>
        <w:tc>
          <w:tcPr>
            <w:tcW w:w="986" w:type="dxa"/>
            <w:tcBorders>
              <w:top w:val="single" w:sz="4" w:space="0" w:color="000000"/>
              <w:bottom w:val="nil"/>
            </w:tcBorders>
          </w:tcPr>
          <w:p>
            <w:pPr>
              <w:pStyle w:val="TableParagraph"/>
              <w:rPr>
                <w:rFonts w:ascii="Times New Roman"/>
                <w:sz w:val="20"/>
              </w:rPr>
            </w:pPr>
          </w:p>
        </w:tc>
        <w:tc>
          <w:tcPr>
            <w:tcW w:w="1620" w:type="dxa"/>
            <w:tcBorders>
              <w:top w:val="single" w:sz="4" w:space="0" w:color="000000"/>
              <w:bottom w:val="nil"/>
            </w:tcBorders>
          </w:tcPr>
          <w:p>
            <w:pPr>
              <w:pStyle w:val="TableParagraph"/>
              <w:ind w:left="143" w:right="146"/>
              <w:jc w:val="center"/>
              <w:rPr>
                <w:rFonts w:ascii="Times New Roman"/>
                <w:sz w:val="19"/>
              </w:rPr>
            </w:pPr>
            <w:r>
              <w:rPr>
                <w:rFonts w:ascii="Times New Roman"/>
                <w:spacing w:val="-2"/>
                <w:sz w:val="19"/>
              </w:rPr>
              <w:t>-0.0009</w:t>
            </w:r>
          </w:p>
        </w:tc>
        <w:tc>
          <w:tcPr>
            <w:tcW w:w="1622" w:type="dxa"/>
            <w:tcBorders>
              <w:top w:val="single" w:sz="4" w:space="0" w:color="000000"/>
              <w:bottom w:val="nil"/>
              <w:right w:val="single" w:sz="4" w:space="0" w:color="000000"/>
            </w:tcBorders>
          </w:tcPr>
          <w:p>
            <w:pPr>
              <w:pStyle w:val="TableParagraph"/>
              <w:ind w:left="47" w:right="47"/>
              <w:jc w:val="center"/>
              <w:rPr>
                <w:rFonts w:ascii="Times New Roman"/>
                <w:sz w:val="19"/>
              </w:rPr>
            </w:pPr>
            <w:r>
              <w:rPr>
                <w:rFonts w:ascii="Times New Roman"/>
                <w:spacing w:val="-2"/>
                <w:sz w:val="19"/>
              </w:rPr>
              <w:t>-0.00062</w:t>
            </w:r>
          </w:p>
        </w:tc>
        <w:tc>
          <w:tcPr>
            <w:tcW w:w="2340" w:type="dxa"/>
            <w:tcBorders>
              <w:left w:val="single" w:sz="4" w:space="0" w:color="000000"/>
              <w:bottom w:val="nil"/>
              <w:right w:val="nil"/>
            </w:tcBorders>
          </w:tcPr>
          <w:p>
            <w:pPr>
              <w:pStyle w:val="TableParagraph"/>
              <w:ind w:right="13"/>
              <w:jc w:val="center"/>
              <w:rPr>
                <w:rFonts w:ascii="Times New Roman"/>
                <w:sz w:val="20"/>
              </w:rPr>
            </w:pPr>
            <w:r>
              <w:rPr>
                <w:rFonts w:ascii="Times New Roman"/>
                <w:spacing w:val="-2"/>
                <w:sz w:val="20"/>
              </w:rPr>
              <w:t>-0.0011***</w:t>
            </w:r>
          </w:p>
        </w:tc>
      </w:tr>
      <w:tr>
        <w:trPr>
          <w:trHeight w:val="6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bottom w:val="nil"/>
            </w:tcBorders>
          </w:tcPr>
          <w:p>
            <w:pPr>
              <w:pStyle w:val="TableParagraph"/>
              <w:spacing w:before="44"/>
              <w:ind w:left="477"/>
              <w:rPr>
                <w:rFonts w:ascii="Times New Roman"/>
                <w:sz w:val="19"/>
              </w:rPr>
            </w:pPr>
            <w:r>
              <w:rPr>
                <w:rFonts w:ascii="Times New Roman"/>
                <w:spacing w:val="-2"/>
                <w:sz w:val="19"/>
              </w:rPr>
              <w:t>(0.0002)</w:t>
            </w:r>
          </w:p>
          <w:p>
            <w:pPr>
              <w:pStyle w:val="TableParagraph"/>
              <w:spacing w:before="110"/>
              <w:ind w:left="449"/>
              <w:rPr>
                <w:rFonts w:ascii="Times New Roman"/>
                <w:sz w:val="19"/>
              </w:rPr>
            </w:pPr>
            <w:r>
              <w:rPr>
                <w:rFonts w:ascii="Times New Roman"/>
                <w:spacing w:val="-2"/>
                <w:sz w:val="19"/>
              </w:rPr>
              <w:t>{0.3397}</w:t>
            </w:r>
          </w:p>
        </w:tc>
        <w:tc>
          <w:tcPr>
            <w:tcW w:w="1622" w:type="dxa"/>
            <w:tcBorders>
              <w:top w:val="nil"/>
              <w:bottom w:val="nil"/>
              <w:right w:val="single" w:sz="4" w:space="0" w:color="000000"/>
            </w:tcBorders>
          </w:tcPr>
          <w:p>
            <w:pPr>
              <w:pStyle w:val="TableParagraph"/>
              <w:spacing w:before="44"/>
              <w:ind w:left="480"/>
              <w:rPr>
                <w:rFonts w:ascii="Times New Roman"/>
                <w:sz w:val="19"/>
              </w:rPr>
            </w:pPr>
            <w:r>
              <w:rPr>
                <w:rFonts w:ascii="Times New Roman"/>
                <w:spacing w:val="-2"/>
                <w:sz w:val="19"/>
              </w:rPr>
              <w:t>(0.0004)</w:t>
            </w:r>
          </w:p>
          <w:p>
            <w:pPr>
              <w:pStyle w:val="TableParagraph"/>
              <w:spacing w:before="110"/>
              <w:ind w:left="451"/>
              <w:rPr>
                <w:rFonts w:ascii="Times New Roman"/>
                <w:sz w:val="19"/>
              </w:rPr>
            </w:pPr>
            <w:r>
              <w:rPr>
                <w:rFonts w:ascii="Times New Roman"/>
                <w:spacing w:val="-2"/>
                <w:sz w:val="19"/>
              </w:rPr>
              <w:t>{0.1590}</w:t>
            </w:r>
          </w:p>
        </w:tc>
        <w:tc>
          <w:tcPr>
            <w:tcW w:w="2340" w:type="dxa"/>
            <w:tcBorders>
              <w:top w:val="nil"/>
              <w:left w:val="single" w:sz="4" w:space="0" w:color="000000"/>
              <w:bottom w:val="nil"/>
              <w:right w:val="nil"/>
            </w:tcBorders>
          </w:tcPr>
          <w:p>
            <w:pPr>
              <w:pStyle w:val="TableParagraph"/>
              <w:spacing w:before="181"/>
              <w:ind w:left="5" w:right="13"/>
              <w:jc w:val="center"/>
              <w:rPr>
                <w:rFonts w:ascii="Times New Roman"/>
                <w:sz w:val="20"/>
              </w:rPr>
            </w:pPr>
            <w:r>
              <w:rPr>
                <w:rFonts w:ascii="Times New Roman"/>
                <w:spacing w:val="-2"/>
                <w:sz w:val="20"/>
              </w:rPr>
              <w:t>(0.0003)</w:t>
            </w:r>
          </w:p>
        </w:tc>
      </w:tr>
      <w:tr>
        <w:trPr>
          <w:trHeight w:val="368" w:hRule="atLeast"/>
        </w:trPr>
        <w:tc>
          <w:tcPr>
            <w:tcW w:w="1906" w:type="dxa"/>
            <w:tcBorders>
              <w:top w:val="nil"/>
              <w:left w:val="nil"/>
            </w:tcBorders>
          </w:tcPr>
          <w:p>
            <w:pPr>
              <w:pStyle w:val="TableParagraph"/>
              <w:rPr>
                <w:rFonts w:ascii="Times New Roman"/>
                <w:sz w:val="20"/>
              </w:rPr>
            </w:pPr>
          </w:p>
        </w:tc>
        <w:tc>
          <w:tcPr>
            <w:tcW w:w="986" w:type="dxa"/>
            <w:tcBorders>
              <w:top w:val="nil"/>
            </w:tcBorders>
          </w:tcPr>
          <w:p>
            <w:pPr>
              <w:pStyle w:val="TableParagraph"/>
              <w:rPr>
                <w:rFonts w:ascii="Times New Roman"/>
                <w:sz w:val="20"/>
              </w:rPr>
            </w:pPr>
          </w:p>
        </w:tc>
        <w:tc>
          <w:tcPr>
            <w:tcW w:w="1620" w:type="dxa"/>
            <w:tcBorders>
              <w:top w:val="nil"/>
            </w:tcBorders>
          </w:tcPr>
          <w:p>
            <w:pPr>
              <w:pStyle w:val="TableParagraph"/>
              <w:rPr>
                <w:rFonts w:ascii="Times New Roman"/>
                <w:sz w:val="20"/>
              </w:rPr>
            </w:pPr>
          </w:p>
        </w:tc>
        <w:tc>
          <w:tcPr>
            <w:tcW w:w="1622" w:type="dxa"/>
            <w:tcBorders>
              <w:top w:val="nil"/>
              <w:right w:val="single" w:sz="4" w:space="0" w:color="000000"/>
            </w:tcBorders>
          </w:tcPr>
          <w:p>
            <w:pPr>
              <w:pStyle w:val="TableParagraph"/>
              <w:rPr>
                <w:rFonts w:ascii="Times New Roman"/>
                <w:sz w:val="20"/>
              </w:rPr>
            </w:pPr>
          </w:p>
        </w:tc>
        <w:tc>
          <w:tcPr>
            <w:tcW w:w="2340" w:type="dxa"/>
            <w:tcBorders>
              <w:top w:val="nil"/>
              <w:left w:val="single" w:sz="4" w:space="0" w:color="000000"/>
              <w:right w:val="nil"/>
            </w:tcBorders>
          </w:tcPr>
          <w:p>
            <w:pPr>
              <w:pStyle w:val="TableParagraph"/>
              <w:spacing w:before="23"/>
              <w:ind w:left="13" w:right="13"/>
              <w:jc w:val="center"/>
              <w:rPr>
                <w:rFonts w:ascii="Times New Roman"/>
                <w:sz w:val="20"/>
              </w:rPr>
            </w:pPr>
            <w:r>
              <w:rPr>
                <w:rFonts w:ascii="Times New Roman"/>
                <w:spacing w:val="-2"/>
                <w:sz w:val="20"/>
              </w:rPr>
              <w:t>{0.000}</w:t>
            </w:r>
          </w:p>
        </w:tc>
      </w:tr>
      <w:tr>
        <w:trPr>
          <w:trHeight w:val="282"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MOWN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0.0005</w:t>
            </w:r>
          </w:p>
        </w:tc>
        <w:tc>
          <w:tcPr>
            <w:tcW w:w="1622" w:type="dxa"/>
            <w:tcBorders>
              <w:left w:val="single" w:sz="4" w:space="0" w:color="000000"/>
              <w:bottom w:val="nil"/>
            </w:tcBorders>
          </w:tcPr>
          <w:p>
            <w:pPr>
              <w:pStyle w:val="TableParagraph"/>
              <w:ind w:left="47" w:right="47"/>
              <w:jc w:val="center"/>
              <w:rPr>
                <w:rFonts w:ascii="Times New Roman"/>
                <w:sz w:val="19"/>
              </w:rPr>
            </w:pPr>
            <w:r>
              <w:rPr>
                <w:rFonts w:ascii="Times New Roman"/>
                <w:spacing w:val="-2"/>
                <w:sz w:val="19"/>
              </w:rPr>
              <w:t>-0.0002</w:t>
            </w:r>
          </w:p>
        </w:tc>
        <w:tc>
          <w:tcPr>
            <w:tcW w:w="2340" w:type="dxa"/>
            <w:tcBorders>
              <w:bottom w:val="nil"/>
              <w:right w:val="nil"/>
            </w:tcBorders>
          </w:tcPr>
          <w:p>
            <w:pPr>
              <w:pStyle w:val="TableParagraph"/>
              <w:ind w:left="5" w:right="13"/>
              <w:jc w:val="center"/>
              <w:rPr>
                <w:rFonts w:ascii="Times New Roman"/>
                <w:sz w:val="20"/>
              </w:rPr>
            </w:pPr>
            <w:r>
              <w:rPr>
                <w:rFonts w:ascii="Times New Roman"/>
                <w:spacing w:val="-2"/>
                <w:sz w:val="20"/>
              </w:rPr>
              <w:t>-0.00011</w:t>
            </w:r>
          </w:p>
        </w:tc>
      </w:tr>
      <w:tr>
        <w:trPr>
          <w:trHeight w:val="6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4"/>
              <w:ind w:left="477"/>
              <w:rPr>
                <w:rFonts w:ascii="Times New Roman"/>
                <w:sz w:val="19"/>
              </w:rPr>
            </w:pPr>
            <w:r>
              <w:rPr>
                <w:rFonts w:ascii="Times New Roman"/>
                <w:spacing w:val="-2"/>
                <w:sz w:val="19"/>
              </w:rPr>
              <w:t>(0.0004)</w:t>
            </w:r>
          </w:p>
          <w:p>
            <w:pPr>
              <w:pStyle w:val="TableParagraph"/>
              <w:spacing w:before="110"/>
              <w:ind w:left="449"/>
              <w:rPr>
                <w:rFonts w:ascii="Times New Roman"/>
                <w:sz w:val="19"/>
              </w:rPr>
            </w:pPr>
            <w:r>
              <w:rPr>
                <w:rFonts w:ascii="Times New Roman"/>
                <w:spacing w:val="-2"/>
                <w:sz w:val="19"/>
              </w:rPr>
              <w:t>{0.2319}</w:t>
            </w:r>
          </w:p>
        </w:tc>
        <w:tc>
          <w:tcPr>
            <w:tcW w:w="1622" w:type="dxa"/>
            <w:tcBorders>
              <w:top w:val="nil"/>
              <w:left w:val="single" w:sz="4" w:space="0" w:color="000000"/>
              <w:bottom w:val="nil"/>
            </w:tcBorders>
          </w:tcPr>
          <w:p>
            <w:pPr>
              <w:pStyle w:val="TableParagraph"/>
              <w:spacing w:before="44"/>
              <w:ind w:left="480"/>
              <w:rPr>
                <w:rFonts w:ascii="Times New Roman"/>
                <w:sz w:val="19"/>
              </w:rPr>
            </w:pPr>
            <w:r>
              <w:rPr>
                <w:rFonts w:ascii="Times New Roman"/>
                <w:spacing w:val="-2"/>
                <w:sz w:val="19"/>
              </w:rPr>
              <w:t>(0.0003)</w:t>
            </w:r>
          </w:p>
          <w:p>
            <w:pPr>
              <w:pStyle w:val="TableParagraph"/>
              <w:spacing w:before="110"/>
              <w:ind w:left="451"/>
              <w:rPr>
                <w:rFonts w:ascii="Times New Roman"/>
                <w:sz w:val="19"/>
              </w:rPr>
            </w:pPr>
            <w:r>
              <w:rPr>
                <w:rFonts w:ascii="Times New Roman"/>
                <w:spacing w:val="-2"/>
                <w:sz w:val="19"/>
              </w:rPr>
              <w:t>{0.6459}</w:t>
            </w:r>
          </w:p>
        </w:tc>
        <w:tc>
          <w:tcPr>
            <w:tcW w:w="2340" w:type="dxa"/>
            <w:tcBorders>
              <w:top w:val="nil"/>
              <w:bottom w:val="nil"/>
              <w:right w:val="nil"/>
            </w:tcBorders>
          </w:tcPr>
          <w:p>
            <w:pPr>
              <w:pStyle w:val="TableParagraph"/>
              <w:spacing w:before="181"/>
              <w:ind w:left="5" w:right="13"/>
              <w:jc w:val="center"/>
              <w:rPr>
                <w:rFonts w:ascii="Times New Roman"/>
                <w:sz w:val="20"/>
              </w:rPr>
            </w:pPr>
            <w:r>
              <w:rPr>
                <w:rFonts w:ascii="Times New Roman"/>
                <w:spacing w:val="-2"/>
                <w:sz w:val="20"/>
              </w:rPr>
              <w:t>(0.0003)</w:t>
            </w:r>
          </w:p>
        </w:tc>
      </w:tr>
      <w:tr>
        <w:trPr>
          <w:trHeight w:val="368"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tcBorders>
          </w:tcPr>
          <w:p>
            <w:pPr>
              <w:pStyle w:val="TableParagraph"/>
              <w:rPr>
                <w:rFonts w:ascii="Times New Roman"/>
                <w:sz w:val="20"/>
              </w:rPr>
            </w:pPr>
          </w:p>
        </w:tc>
        <w:tc>
          <w:tcPr>
            <w:tcW w:w="2340" w:type="dxa"/>
            <w:tcBorders>
              <w:top w:val="nil"/>
              <w:right w:val="nil"/>
            </w:tcBorders>
          </w:tcPr>
          <w:p>
            <w:pPr>
              <w:pStyle w:val="TableParagraph"/>
              <w:spacing w:before="23"/>
              <w:ind w:left="13" w:right="13"/>
              <w:jc w:val="center"/>
              <w:rPr>
                <w:rFonts w:ascii="Times New Roman"/>
                <w:sz w:val="20"/>
              </w:rPr>
            </w:pPr>
            <w:r>
              <w:rPr>
                <w:rFonts w:ascii="Times New Roman"/>
                <w:spacing w:val="-2"/>
                <w:sz w:val="20"/>
              </w:rPr>
              <w:t>{0.6570}</w:t>
            </w:r>
          </w:p>
        </w:tc>
      </w:tr>
      <w:tr>
        <w:trPr>
          <w:trHeight w:val="282"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FOWN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0.0001</w:t>
            </w:r>
          </w:p>
        </w:tc>
        <w:tc>
          <w:tcPr>
            <w:tcW w:w="1622" w:type="dxa"/>
            <w:tcBorders>
              <w:left w:val="single" w:sz="4" w:space="0" w:color="000000"/>
              <w:bottom w:val="nil"/>
              <w:right w:val="single" w:sz="4" w:space="0" w:color="000000"/>
            </w:tcBorders>
          </w:tcPr>
          <w:p>
            <w:pPr>
              <w:pStyle w:val="TableParagraph"/>
              <w:ind w:left="47" w:right="49"/>
              <w:jc w:val="center"/>
              <w:rPr>
                <w:rFonts w:ascii="Times New Roman"/>
                <w:sz w:val="19"/>
              </w:rPr>
            </w:pPr>
            <w:r>
              <w:rPr>
                <w:rFonts w:ascii="Times New Roman"/>
                <w:spacing w:val="-2"/>
                <w:sz w:val="19"/>
              </w:rPr>
              <w:t>-0.0008**</w:t>
            </w:r>
          </w:p>
        </w:tc>
        <w:tc>
          <w:tcPr>
            <w:tcW w:w="2340" w:type="dxa"/>
            <w:tcBorders>
              <w:left w:val="single" w:sz="4" w:space="0" w:color="000000"/>
              <w:bottom w:val="nil"/>
              <w:right w:val="nil"/>
            </w:tcBorders>
          </w:tcPr>
          <w:p>
            <w:pPr>
              <w:pStyle w:val="TableParagraph"/>
              <w:ind w:left="5" w:right="13"/>
              <w:jc w:val="center"/>
              <w:rPr>
                <w:rFonts w:ascii="Times New Roman"/>
                <w:sz w:val="20"/>
              </w:rPr>
            </w:pPr>
            <w:r>
              <w:rPr>
                <w:rFonts w:ascii="Times New Roman"/>
                <w:spacing w:val="-2"/>
                <w:sz w:val="20"/>
              </w:rPr>
              <w:t>-0.0003</w:t>
            </w:r>
          </w:p>
        </w:tc>
      </w:tr>
      <w:tr>
        <w:trPr>
          <w:trHeight w:val="6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4"/>
              <w:ind w:left="477"/>
              <w:rPr>
                <w:rFonts w:ascii="Times New Roman"/>
                <w:sz w:val="19"/>
              </w:rPr>
            </w:pPr>
            <w:r>
              <w:rPr>
                <w:rFonts w:ascii="Times New Roman"/>
                <w:spacing w:val="-2"/>
                <w:sz w:val="19"/>
              </w:rPr>
              <w:t>(0.0003)</w:t>
            </w:r>
          </w:p>
          <w:p>
            <w:pPr>
              <w:pStyle w:val="TableParagraph"/>
              <w:spacing w:before="110"/>
              <w:ind w:left="449"/>
              <w:rPr>
                <w:rFonts w:ascii="Times New Roman"/>
                <w:sz w:val="19"/>
              </w:rPr>
            </w:pPr>
            <w:r>
              <w:rPr>
                <w:rFonts w:ascii="Times New Roman"/>
                <w:spacing w:val="-2"/>
                <w:sz w:val="19"/>
              </w:rPr>
              <w:t>{0.7640}</w:t>
            </w:r>
          </w:p>
        </w:tc>
        <w:tc>
          <w:tcPr>
            <w:tcW w:w="1622" w:type="dxa"/>
            <w:tcBorders>
              <w:top w:val="nil"/>
              <w:left w:val="single" w:sz="4" w:space="0" w:color="000000"/>
              <w:bottom w:val="nil"/>
              <w:right w:val="single" w:sz="4" w:space="0" w:color="000000"/>
            </w:tcBorders>
          </w:tcPr>
          <w:p>
            <w:pPr>
              <w:pStyle w:val="TableParagraph"/>
              <w:spacing w:before="44"/>
              <w:ind w:left="480"/>
              <w:rPr>
                <w:rFonts w:ascii="Times New Roman"/>
                <w:sz w:val="19"/>
              </w:rPr>
            </w:pPr>
            <w:r>
              <w:rPr>
                <w:rFonts w:ascii="Times New Roman"/>
                <w:spacing w:val="-2"/>
                <w:sz w:val="19"/>
              </w:rPr>
              <w:t>(0.0003)</w:t>
            </w:r>
          </w:p>
          <w:p>
            <w:pPr>
              <w:pStyle w:val="TableParagraph"/>
              <w:spacing w:before="110"/>
              <w:ind w:left="451"/>
              <w:rPr>
                <w:rFonts w:ascii="Times New Roman"/>
                <w:sz w:val="19"/>
              </w:rPr>
            </w:pPr>
            <w:r>
              <w:rPr>
                <w:rFonts w:ascii="Times New Roman"/>
                <w:spacing w:val="-2"/>
                <w:sz w:val="19"/>
              </w:rPr>
              <w:t>{0.0244}</w:t>
            </w:r>
          </w:p>
        </w:tc>
        <w:tc>
          <w:tcPr>
            <w:tcW w:w="2340" w:type="dxa"/>
            <w:tcBorders>
              <w:top w:val="nil"/>
              <w:left w:val="single" w:sz="4" w:space="0" w:color="000000"/>
              <w:bottom w:val="nil"/>
              <w:right w:val="nil"/>
            </w:tcBorders>
          </w:tcPr>
          <w:p>
            <w:pPr>
              <w:pStyle w:val="TableParagraph"/>
              <w:spacing w:before="181"/>
              <w:ind w:left="3" w:right="13"/>
              <w:jc w:val="center"/>
              <w:rPr>
                <w:rFonts w:ascii="Times New Roman"/>
                <w:sz w:val="20"/>
              </w:rPr>
            </w:pPr>
            <w:r>
              <w:rPr>
                <w:rFonts w:ascii="Times New Roman"/>
                <w:spacing w:val="-2"/>
                <w:sz w:val="20"/>
              </w:rPr>
              <w:t>(0.00032)</w:t>
            </w:r>
          </w:p>
        </w:tc>
      </w:tr>
      <w:tr>
        <w:trPr>
          <w:trHeight w:val="368"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right w:val="single" w:sz="4" w:space="0" w:color="000000"/>
            </w:tcBorders>
          </w:tcPr>
          <w:p>
            <w:pPr>
              <w:pStyle w:val="TableParagraph"/>
              <w:rPr>
                <w:rFonts w:ascii="Times New Roman"/>
                <w:sz w:val="20"/>
              </w:rPr>
            </w:pPr>
          </w:p>
        </w:tc>
        <w:tc>
          <w:tcPr>
            <w:tcW w:w="2340" w:type="dxa"/>
            <w:tcBorders>
              <w:top w:val="nil"/>
              <w:left w:val="single" w:sz="4" w:space="0" w:color="000000"/>
              <w:right w:val="nil"/>
            </w:tcBorders>
          </w:tcPr>
          <w:p>
            <w:pPr>
              <w:pStyle w:val="TableParagraph"/>
              <w:spacing w:before="23"/>
              <w:ind w:left="13" w:right="13"/>
              <w:jc w:val="center"/>
              <w:rPr>
                <w:rFonts w:ascii="Times New Roman"/>
                <w:sz w:val="20"/>
              </w:rPr>
            </w:pPr>
            <w:r>
              <w:rPr>
                <w:rFonts w:ascii="Times New Roman"/>
                <w:spacing w:val="-2"/>
                <w:sz w:val="20"/>
              </w:rPr>
              <w:t>{0.3501}</w:t>
            </w:r>
          </w:p>
        </w:tc>
      </w:tr>
      <w:tr>
        <w:trPr>
          <w:trHeight w:val="282" w:hRule="atLeast"/>
        </w:trPr>
        <w:tc>
          <w:tcPr>
            <w:tcW w:w="1906" w:type="dxa"/>
            <w:tcBorders>
              <w:left w:val="nil"/>
              <w:bottom w:val="nil"/>
            </w:tcBorders>
          </w:tcPr>
          <w:p>
            <w:pPr>
              <w:pStyle w:val="TableParagraph"/>
              <w:ind w:left="159" w:right="146"/>
              <w:jc w:val="center"/>
              <w:rPr>
                <w:rFonts w:ascii="Times New Roman"/>
                <w:sz w:val="19"/>
              </w:rPr>
            </w:pPr>
            <w:r>
              <w:rPr>
                <w:rFonts w:ascii="Times New Roman"/>
                <w:spacing w:val="-2"/>
                <w:sz w:val="19"/>
              </w:rPr>
              <w:t>BLOWN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ind w:left="143" w:right="144"/>
              <w:jc w:val="center"/>
              <w:rPr>
                <w:rFonts w:ascii="Times New Roman"/>
                <w:sz w:val="19"/>
              </w:rPr>
            </w:pPr>
            <w:r>
              <w:rPr>
                <w:rFonts w:ascii="Times New Roman"/>
                <w:spacing w:val="-2"/>
                <w:sz w:val="19"/>
              </w:rPr>
              <w:t>-5.01e-</w:t>
            </w:r>
            <w:r>
              <w:rPr>
                <w:rFonts w:ascii="Times New Roman"/>
                <w:spacing w:val="-5"/>
                <w:sz w:val="19"/>
              </w:rPr>
              <w:t>05</w:t>
            </w:r>
          </w:p>
        </w:tc>
        <w:tc>
          <w:tcPr>
            <w:tcW w:w="1622" w:type="dxa"/>
            <w:tcBorders>
              <w:left w:val="single" w:sz="4" w:space="0" w:color="000000"/>
              <w:bottom w:val="nil"/>
              <w:right w:val="single" w:sz="4" w:space="0" w:color="000000"/>
            </w:tcBorders>
          </w:tcPr>
          <w:p>
            <w:pPr>
              <w:pStyle w:val="TableParagraph"/>
              <w:ind w:left="47" w:right="49"/>
              <w:jc w:val="center"/>
              <w:rPr>
                <w:rFonts w:ascii="Times New Roman"/>
                <w:sz w:val="19"/>
              </w:rPr>
            </w:pPr>
            <w:r>
              <w:rPr>
                <w:rFonts w:ascii="Times New Roman"/>
                <w:spacing w:val="-2"/>
                <w:sz w:val="19"/>
              </w:rPr>
              <w:t>0.0009**</w:t>
            </w:r>
          </w:p>
        </w:tc>
        <w:tc>
          <w:tcPr>
            <w:tcW w:w="2340" w:type="dxa"/>
            <w:tcBorders>
              <w:left w:val="single" w:sz="4" w:space="0" w:color="000000"/>
              <w:bottom w:val="nil"/>
              <w:right w:val="nil"/>
            </w:tcBorders>
          </w:tcPr>
          <w:p>
            <w:pPr>
              <w:pStyle w:val="TableParagraph"/>
              <w:ind w:right="13"/>
              <w:jc w:val="center"/>
              <w:rPr>
                <w:rFonts w:ascii="Times New Roman"/>
                <w:sz w:val="20"/>
              </w:rPr>
            </w:pPr>
            <w:r>
              <w:rPr>
                <w:rFonts w:ascii="Times New Roman"/>
                <w:spacing w:val="-2"/>
                <w:sz w:val="20"/>
              </w:rPr>
              <w:t>0.0009***</w:t>
            </w:r>
          </w:p>
        </w:tc>
      </w:tr>
      <w:tr>
        <w:trPr>
          <w:trHeight w:val="6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4"/>
              <w:ind w:left="477"/>
              <w:rPr>
                <w:rFonts w:ascii="Times New Roman"/>
                <w:sz w:val="19"/>
              </w:rPr>
            </w:pPr>
            <w:r>
              <w:rPr>
                <w:rFonts w:ascii="Times New Roman"/>
                <w:spacing w:val="-2"/>
                <w:sz w:val="19"/>
              </w:rPr>
              <w:t>(0.0004)</w:t>
            </w:r>
          </w:p>
          <w:p>
            <w:pPr>
              <w:pStyle w:val="TableParagraph"/>
              <w:spacing w:before="110"/>
              <w:ind w:left="449"/>
              <w:rPr>
                <w:rFonts w:ascii="Times New Roman"/>
                <w:sz w:val="19"/>
              </w:rPr>
            </w:pPr>
            <w:r>
              <w:rPr>
                <w:rFonts w:ascii="Times New Roman"/>
                <w:spacing w:val="-2"/>
                <w:sz w:val="19"/>
              </w:rPr>
              <w:t>{0.8254}</w:t>
            </w:r>
          </w:p>
        </w:tc>
        <w:tc>
          <w:tcPr>
            <w:tcW w:w="1622" w:type="dxa"/>
            <w:tcBorders>
              <w:top w:val="nil"/>
              <w:left w:val="single" w:sz="4" w:space="0" w:color="000000"/>
              <w:bottom w:val="nil"/>
              <w:right w:val="single" w:sz="4" w:space="0" w:color="000000"/>
            </w:tcBorders>
          </w:tcPr>
          <w:p>
            <w:pPr>
              <w:pStyle w:val="TableParagraph"/>
              <w:spacing w:before="44"/>
              <w:ind w:left="480"/>
              <w:rPr>
                <w:rFonts w:ascii="Times New Roman"/>
                <w:sz w:val="19"/>
              </w:rPr>
            </w:pPr>
            <w:r>
              <w:rPr>
                <w:rFonts w:ascii="Times New Roman"/>
                <w:spacing w:val="-2"/>
                <w:sz w:val="19"/>
              </w:rPr>
              <w:t>(0.0004)</w:t>
            </w:r>
          </w:p>
          <w:p>
            <w:pPr>
              <w:pStyle w:val="TableParagraph"/>
              <w:spacing w:before="110"/>
              <w:ind w:left="451"/>
              <w:rPr>
                <w:rFonts w:ascii="Times New Roman"/>
                <w:sz w:val="19"/>
              </w:rPr>
            </w:pPr>
            <w:r>
              <w:rPr>
                <w:rFonts w:ascii="Times New Roman"/>
                <w:spacing w:val="-2"/>
                <w:sz w:val="19"/>
              </w:rPr>
              <w:t>{0.0303}</w:t>
            </w:r>
          </w:p>
        </w:tc>
        <w:tc>
          <w:tcPr>
            <w:tcW w:w="2340" w:type="dxa"/>
            <w:tcBorders>
              <w:top w:val="nil"/>
              <w:left w:val="single" w:sz="4" w:space="0" w:color="000000"/>
              <w:bottom w:val="nil"/>
              <w:right w:val="nil"/>
            </w:tcBorders>
          </w:tcPr>
          <w:p>
            <w:pPr>
              <w:pStyle w:val="TableParagraph"/>
              <w:spacing w:before="181"/>
              <w:ind w:left="5" w:right="13"/>
              <w:jc w:val="center"/>
              <w:rPr>
                <w:rFonts w:ascii="Times New Roman"/>
                <w:sz w:val="20"/>
              </w:rPr>
            </w:pPr>
            <w:r>
              <w:rPr>
                <w:rFonts w:ascii="Times New Roman"/>
                <w:spacing w:val="-2"/>
                <w:sz w:val="20"/>
              </w:rPr>
              <w:t>(0.0003)</w:t>
            </w:r>
          </w:p>
        </w:tc>
      </w:tr>
      <w:tr>
        <w:trPr>
          <w:trHeight w:val="368"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2340" w:type="dxa"/>
            <w:tcBorders>
              <w:top w:val="nil"/>
              <w:left w:val="single" w:sz="4" w:space="0" w:color="000000"/>
              <w:bottom w:val="single" w:sz="4" w:space="0" w:color="000000"/>
              <w:right w:val="nil"/>
            </w:tcBorders>
          </w:tcPr>
          <w:p>
            <w:pPr>
              <w:pStyle w:val="TableParagraph"/>
              <w:spacing w:before="23"/>
              <w:ind w:left="13" w:right="13"/>
              <w:jc w:val="center"/>
              <w:rPr>
                <w:rFonts w:ascii="Times New Roman"/>
                <w:sz w:val="20"/>
              </w:rPr>
            </w:pPr>
            <w:r>
              <w:rPr>
                <w:rFonts w:ascii="Times New Roman"/>
                <w:spacing w:val="-2"/>
                <w:sz w:val="20"/>
              </w:rPr>
              <w:t>{0.0007}</w:t>
            </w:r>
          </w:p>
        </w:tc>
      </w:tr>
    </w:tbl>
    <w:p>
      <w:pPr>
        <w:spacing w:after="0"/>
        <w:jc w:val="center"/>
        <w:rPr>
          <w:rFonts w:ascii="Times New Roman"/>
          <w:sz w:val="20"/>
        </w:rPr>
        <w:sectPr>
          <w:pgSz w:w="11910" w:h="16840"/>
          <w:pgMar w:header="0" w:footer="971" w:top="1360" w:bottom="1456"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622"/>
        <w:gridCol w:w="2340"/>
      </w:tblGrid>
      <w:tr>
        <w:trPr>
          <w:trHeight w:val="284" w:hRule="atLeast"/>
        </w:trPr>
        <w:tc>
          <w:tcPr>
            <w:tcW w:w="1906" w:type="dxa"/>
            <w:tcBorders>
              <w:left w:val="nil"/>
              <w:bottom w:val="nil"/>
            </w:tcBorders>
          </w:tcPr>
          <w:p>
            <w:pPr>
              <w:pStyle w:val="TableParagraph"/>
              <w:ind w:left="159" w:right="145"/>
              <w:jc w:val="center"/>
              <w:rPr>
                <w:rFonts w:ascii="Times New Roman"/>
                <w:sz w:val="19"/>
              </w:rPr>
            </w:pPr>
            <w:r>
              <w:rPr>
                <w:rFonts w:ascii="Times New Roman"/>
                <w:spacing w:val="-4"/>
                <w:sz w:val="19"/>
              </w:rPr>
              <w:t>FAGE</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ind w:left="143" w:right="147"/>
              <w:jc w:val="center"/>
              <w:rPr>
                <w:rFonts w:ascii="Times New Roman"/>
                <w:sz w:val="19"/>
              </w:rPr>
            </w:pPr>
            <w:r>
              <w:rPr>
                <w:rFonts w:ascii="Times New Roman"/>
                <w:spacing w:val="-2"/>
                <w:sz w:val="19"/>
              </w:rPr>
              <w:t>0.0108***</w:t>
            </w:r>
          </w:p>
        </w:tc>
        <w:tc>
          <w:tcPr>
            <w:tcW w:w="1622" w:type="dxa"/>
            <w:tcBorders>
              <w:left w:val="single" w:sz="4" w:space="0" w:color="000000"/>
              <w:bottom w:val="nil"/>
            </w:tcBorders>
          </w:tcPr>
          <w:p>
            <w:pPr>
              <w:pStyle w:val="TableParagraph"/>
              <w:ind w:left="47" w:right="47"/>
              <w:jc w:val="center"/>
              <w:rPr>
                <w:rFonts w:ascii="Times New Roman"/>
                <w:sz w:val="19"/>
              </w:rPr>
            </w:pPr>
            <w:r>
              <w:rPr>
                <w:rFonts w:ascii="Times New Roman"/>
                <w:spacing w:val="-2"/>
                <w:sz w:val="19"/>
              </w:rPr>
              <w:t>-0.0003</w:t>
            </w:r>
          </w:p>
        </w:tc>
        <w:tc>
          <w:tcPr>
            <w:tcW w:w="2340" w:type="dxa"/>
            <w:tcBorders>
              <w:bottom w:val="nil"/>
              <w:right w:val="nil"/>
            </w:tcBorders>
          </w:tcPr>
          <w:p>
            <w:pPr>
              <w:pStyle w:val="TableParagraph"/>
              <w:ind w:left="5" w:right="13"/>
              <w:jc w:val="center"/>
              <w:rPr>
                <w:rFonts w:ascii="Times New Roman"/>
                <w:sz w:val="20"/>
              </w:rPr>
            </w:pPr>
            <w:r>
              <w:rPr>
                <w:rFonts w:ascii="Times New Roman"/>
                <w:spacing w:val="-2"/>
                <w:sz w:val="20"/>
              </w:rPr>
              <w:t>-4.33E-</w:t>
            </w:r>
            <w:r>
              <w:rPr>
                <w:rFonts w:ascii="Times New Roman"/>
                <w:spacing w:val="-5"/>
                <w:sz w:val="20"/>
              </w:rPr>
              <w:t>05</w:t>
            </w:r>
          </w:p>
        </w:tc>
      </w:tr>
      <w:tr>
        <w:trPr>
          <w:trHeight w:val="622"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5"/>
              <w:ind w:left="477"/>
              <w:rPr>
                <w:rFonts w:ascii="Times New Roman"/>
                <w:sz w:val="19"/>
              </w:rPr>
            </w:pPr>
            <w:r>
              <w:rPr>
                <w:rFonts w:ascii="Times New Roman"/>
                <w:spacing w:val="-2"/>
                <w:sz w:val="19"/>
              </w:rPr>
              <w:t>(0.0014)</w:t>
            </w:r>
          </w:p>
          <w:p>
            <w:pPr>
              <w:pStyle w:val="TableParagraph"/>
              <w:spacing w:before="108"/>
              <w:ind w:left="449"/>
              <w:rPr>
                <w:rFonts w:ascii="Times New Roman"/>
                <w:sz w:val="19"/>
              </w:rPr>
            </w:pPr>
            <w:r>
              <w:rPr>
                <w:rFonts w:ascii="Times New Roman"/>
                <w:spacing w:val="-2"/>
                <w:sz w:val="19"/>
              </w:rPr>
              <w:t>{0.0000}</w:t>
            </w:r>
          </w:p>
        </w:tc>
        <w:tc>
          <w:tcPr>
            <w:tcW w:w="1622" w:type="dxa"/>
            <w:tcBorders>
              <w:top w:val="nil"/>
              <w:left w:val="single" w:sz="4" w:space="0" w:color="000000"/>
              <w:bottom w:val="nil"/>
            </w:tcBorders>
          </w:tcPr>
          <w:p>
            <w:pPr>
              <w:pStyle w:val="TableParagraph"/>
              <w:spacing w:before="45"/>
              <w:ind w:left="480"/>
              <w:rPr>
                <w:rFonts w:ascii="Times New Roman"/>
                <w:sz w:val="19"/>
              </w:rPr>
            </w:pPr>
            <w:r>
              <w:rPr>
                <w:rFonts w:ascii="Times New Roman"/>
                <w:spacing w:val="-2"/>
                <w:sz w:val="19"/>
              </w:rPr>
              <w:t>(0.0003)</w:t>
            </w:r>
          </w:p>
          <w:p>
            <w:pPr>
              <w:pStyle w:val="TableParagraph"/>
              <w:spacing w:before="108"/>
              <w:ind w:left="451"/>
              <w:rPr>
                <w:rFonts w:ascii="Times New Roman"/>
                <w:sz w:val="19"/>
              </w:rPr>
            </w:pPr>
            <w:r>
              <w:rPr>
                <w:rFonts w:ascii="Times New Roman"/>
                <w:spacing w:val="-2"/>
                <w:sz w:val="19"/>
              </w:rPr>
              <w:t>{0.2938}</w:t>
            </w:r>
          </w:p>
        </w:tc>
        <w:tc>
          <w:tcPr>
            <w:tcW w:w="2340" w:type="dxa"/>
            <w:tcBorders>
              <w:top w:val="nil"/>
              <w:bottom w:val="nil"/>
              <w:right w:val="nil"/>
            </w:tcBorders>
          </w:tcPr>
          <w:p>
            <w:pPr>
              <w:pStyle w:val="TableParagraph"/>
              <w:spacing w:before="182"/>
              <w:ind w:left="5" w:right="13"/>
              <w:jc w:val="center"/>
              <w:rPr>
                <w:rFonts w:ascii="Times New Roman"/>
                <w:sz w:val="20"/>
              </w:rPr>
            </w:pPr>
            <w:r>
              <w:rPr>
                <w:rFonts w:ascii="Times New Roman"/>
                <w:spacing w:val="-2"/>
                <w:sz w:val="20"/>
              </w:rPr>
              <w:t>(0.0004)</w:t>
            </w:r>
          </w:p>
        </w:tc>
      </w:tr>
      <w:tr>
        <w:trPr>
          <w:trHeight w:val="368"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bottom w:val="single" w:sz="4" w:space="0" w:color="000000"/>
            </w:tcBorders>
          </w:tcPr>
          <w:p>
            <w:pPr>
              <w:pStyle w:val="TableParagraph"/>
              <w:rPr>
                <w:rFonts w:ascii="Times New Roman"/>
                <w:sz w:val="20"/>
              </w:rPr>
            </w:pPr>
          </w:p>
        </w:tc>
        <w:tc>
          <w:tcPr>
            <w:tcW w:w="2340" w:type="dxa"/>
            <w:tcBorders>
              <w:top w:val="nil"/>
              <w:right w:val="nil"/>
            </w:tcBorders>
          </w:tcPr>
          <w:p>
            <w:pPr>
              <w:pStyle w:val="TableParagraph"/>
              <w:spacing w:before="23"/>
              <w:ind w:left="13" w:right="13"/>
              <w:jc w:val="center"/>
              <w:rPr>
                <w:rFonts w:ascii="Times New Roman"/>
                <w:sz w:val="20"/>
              </w:rPr>
            </w:pPr>
            <w:r>
              <w:rPr>
                <w:rFonts w:ascii="Times New Roman"/>
                <w:spacing w:val="-2"/>
                <w:sz w:val="20"/>
              </w:rPr>
              <w:t>{0.9144}</w:t>
            </w:r>
          </w:p>
        </w:tc>
      </w:tr>
      <w:tr>
        <w:trPr>
          <w:trHeight w:val="283" w:hRule="atLeast"/>
        </w:trPr>
        <w:tc>
          <w:tcPr>
            <w:tcW w:w="1906" w:type="dxa"/>
            <w:tcBorders>
              <w:top w:val="single" w:sz="4" w:space="0" w:color="000000"/>
              <w:left w:val="nil"/>
              <w:bottom w:val="nil"/>
            </w:tcBorders>
          </w:tcPr>
          <w:p>
            <w:pPr>
              <w:pStyle w:val="TableParagraph"/>
              <w:ind w:left="159" w:right="148"/>
              <w:jc w:val="center"/>
              <w:rPr>
                <w:rFonts w:ascii="Times New Roman"/>
                <w:sz w:val="19"/>
              </w:rPr>
            </w:pPr>
            <w:r>
              <w:rPr>
                <w:rFonts w:ascii="Times New Roman"/>
                <w:spacing w:val="-5"/>
                <w:sz w:val="19"/>
              </w:rPr>
              <w:t>LEV</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-0.0009</w:t>
            </w:r>
          </w:p>
        </w:tc>
        <w:tc>
          <w:tcPr>
            <w:tcW w:w="1622" w:type="dxa"/>
            <w:tcBorders>
              <w:top w:val="single" w:sz="4" w:space="0" w:color="000000"/>
              <w:left w:val="single" w:sz="4" w:space="0" w:color="000000"/>
              <w:bottom w:val="nil"/>
            </w:tcBorders>
          </w:tcPr>
          <w:p>
            <w:pPr>
              <w:pStyle w:val="TableParagraph"/>
              <w:ind w:left="47" w:right="47"/>
              <w:jc w:val="center"/>
              <w:rPr>
                <w:rFonts w:ascii="Times New Roman"/>
                <w:sz w:val="19"/>
              </w:rPr>
            </w:pPr>
            <w:r>
              <w:rPr>
                <w:rFonts w:ascii="Times New Roman"/>
                <w:spacing w:val="-2"/>
                <w:sz w:val="19"/>
              </w:rPr>
              <w:t>-0.0013</w:t>
            </w:r>
          </w:p>
        </w:tc>
        <w:tc>
          <w:tcPr>
            <w:tcW w:w="2340" w:type="dxa"/>
            <w:tcBorders>
              <w:bottom w:val="nil"/>
              <w:right w:val="nil"/>
            </w:tcBorders>
          </w:tcPr>
          <w:p>
            <w:pPr>
              <w:pStyle w:val="TableParagraph"/>
              <w:ind w:right="13"/>
              <w:jc w:val="center"/>
              <w:rPr>
                <w:rFonts w:ascii="Times New Roman"/>
                <w:sz w:val="20"/>
              </w:rPr>
            </w:pPr>
            <w:r>
              <w:rPr>
                <w:rFonts w:ascii="Times New Roman"/>
                <w:spacing w:val="-2"/>
                <w:sz w:val="20"/>
              </w:rPr>
              <w:t>0.03686***</w:t>
            </w:r>
          </w:p>
        </w:tc>
      </w:tr>
      <w:tr>
        <w:trPr>
          <w:trHeight w:val="622"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31"/>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5"/>
              <w:ind w:left="477"/>
              <w:rPr>
                <w:rFonts w:ascii="Times New Roman"/>
                <w:sz w:val="19"/>
              </w:rPr>
            </w:pPr>
            <w:r>
              <w:rPr>
                <w:rFonts w:ascii="Times New Roman"/>
                <w:spacing w:val="-2"/>
                <w:sz w:val="19"/>
              </w:rPr>
              <w:t>(0.0020)</w:t>
            </w:r>
          </w:p>
          <w:p>
            <w:pPr>
              <w:pStyle w:val="TableParagraph"/>
              <w:spacing w:before="108"/>
              <w:ind w:left="449"/>
              <w:rPr>
                <w:rFonts w:ascii="Times New Roman"/>
                <w:sz w:val="19"/>
              </w:rPr>
            </w:pPr>
            <w:r>
              <w:rPr>
                <w:rFonts w:ascii="Times New Roman"/>
                <w:spacing w:val="-2"/>
                <w:sz w:val="19"/>
              </w:rPr>
              <w:t>{0.6580}</w:t>
            </w:r>
          </w:p>
        </w:tc>
        <w:tc>
          <w:tcPr>
            <w:tcW w:w="1622" w:type="dxa"/>
            <w:tcBorders>
              <w:top w:val="nil"/>
              <w:left w:val="single" w:sz="4" w:space="0" w:color="000000"/>
              <w:bottom w:val="nil"/>
            </w:tcBorders>
          </w:tcPr>
          <w:p>
            <w:pPr>
              <w:pStyle w:val="TableParagraph"/>
              <w:spacing w:before="45"/>
              <w:ind w:left="480"/>
              <w:rPr>
                <w:rFonts w:ascii="Times New Roman"/>
                <w:sz w:val="19"/>
              </w:rPr>
            </w:pPr>
            <w:r>
              <w:rPr>
                <w:rFonts w:ascii="Times New Roman"/>
                <w:spacing w:val="-2"/>
                <w:sz w:val="19"/>
              </w:rPr>
              <w:t>(0.0042)</w:t>
            </w:r>
          </w:p>
          <w:p>
            <w:pPr>
              <w:pStyle w:val="TableParagraph"/>
              <w:spacing w:before="108"/>
              <w:ind w:left="451"/>
              <w:rPr>
                <w:rFonts w:ascii="Times New Roman"/>
                <w:sz w:val="19"/>
              </w:rPr>
            </w:pPr>
            <w:r>
              <w:rPr>
                <w:rFonts w:ascii="Times New Roman"/>
                <w:spacing w:val="-2"/>
                <w:sz w:val="19"/>
              </w:rPr>
              <w:t>{0.7503}</w:t>
            </w:r>
          </w:p>
        </w:tc>
        <w:tc>
          <w:tcPr>
            <w:tcW w:w="2340" w:type="dxa"/>
            <w:tcBorders>
              <w:top w:val="nil"/>
              <w:bottom w:val="nil"/>
              <w:right w:val="nil"/>
            </w:tcBorders>
          </w:tcPr>
          <w:p>
            <w:pPr>
              <w:pStyle w:val="TableParagraph"/>
              <w:spacing w:before="182"/>
              <w:ind w:left="5" w:right="13"/>
              <w:jc w:val="center"/>
              <w:rPr>
                <w:rFonts w:ascii="Times New Roman"/>
                <w:sz w:val="20"/>
              </w:rPr>
            </w:pPr>
            <w:r>
              <w:rPr>
                <w:rFonts w:ascii="Times New Roman"/>
                <w:spacing w:val="-2"/>
                <w:sz w:val="20"/>
              </w:rPr>
              <w:t>(0.0089)</w:t>
            </w:r>
          </w:p>
        </w:tc>
      </w:tr>
      <w:tr>
        <w:trPr>
          <w:trHeight w:val="368"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000000"/>
            </w:tcBorders>
          </w:tcPr>
          <w:p>
            <w:pPr>
              <w:pStyle w:val="TableParagraph"/>
              <w:rPr>
                <w:rFonts w:ascii="Times New Roman"/>
                <w:sz w:val="20"/>
              </w:rPr>
            </w:pPr>
          </w:p>
        </w:tc>
        <w:tc>
          <w:tcPr>
            <w:tcW w:w="1622" w:type="dxa"/>
            <w:tcBorders>
              <w:top w:val="nil"/>
              <w:left w:val="single" w:sz="4" w:space="0" w:color="000000"/>
            </w:tcBorders>
          </w:tcPr>
          <w:p>
            <w:pPr>
              <w:pStyle w:val="TableParagraph"/>
              <w:rPr>
                <w:rFonts w:ascii="Times New Roman"/>
                <w:sz w:val="20"/>
              </w:rPr>
            </w:pPr>
          </w:p>
        </w:tc>
        <w:tc>
          <w:tcPr>
            <w:tcW w:w="2340" w:type="dxa"/>
            <w:tcBorders>
              <w:top w:val="nil"/>
              <w:right w:val="nil"/>
            </w:tcBorders>
          </w:tcPr>
          <w:p>
            <w:pPr>
              <w:pStyle w:val="TableParagraph"/>
              <w:spacing w:before="23"/>
              <w:ind w:left="13" w:right="13"/>
              <w:jc w:val="center"/>
              <w:rPr>
                <w:rFonts w:ascii="Times New Roman"/>
                <w:sz w:val="20"/>
              </w:rPr>
            </w:pPr>
            <w:r>
              <w:rPr>
                <w:rFonts w:ascii="Times New Roman"/>
                <w:spacing w:val="-2"/>
                <w:sz w:val="20"/>
              </w:rPr>
              <w:t>{0.000}</w:t>
            </w:r>
          </w:p>
        </w:tc>
      </w:tr>
      <w:tr>
        <w:trPr>
          <w:trHeight w:val="272" w:hRule="atLeast"/>
        </w:trPr>
        <w:tc>
          <w:tcPr>
            <w:tcW w:w="1906" w:type="dxa"/>
            <w:tcBorders>
              <w:top w:val="single" w:sz="4" w:space="0" w:color="000000"/>
              <w:left w:val="nil"/>
              <w:bottom w:val="nil"/>
            </w:tcBorders>
          </w:tcPr>
          <w:p>
            <w:pPr>
              <w:pStyle w:val="TableParagraph"/>
              <w:ind w:left="159" w:right="148"/>
              <w:jc w:val="center"/>
              <w:rPr>
                <w:rFonts w:ascii="Times New Roman"/>
                <w:sz w:val="19"/>
              </w:rPr>
            </w:pPr>
            <w:r>
              <w:rPr>
                <w:rFonts w:ascii="Times New Roman"/>
                <w:spacing w:val="-2"/>
                <w:sz w:val="19"/>
              </w:rPr>
              <w:t>INSTOWN*IFRS</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-0.0004</w:t>
            </w:r>
          </w:p>
        </w:tc>
        <w:tc>
          <w:tcPr>
            <w:tcW w:w="1622" w:type="dxa"/>
            <w:tcBorders>
              <w:left w:val="single" w:sz="4" w:space="0" w:color="000000"/>
              <w:bottom w:val="nil"/>
              <w:right w:val="single" w:sz="4" w:space="0" w:color="000000"/>
            </w:tcBorders>
          </w:tcPr>
          <w:p>
            <w:pPr>
              <w:pStyle w:val="TableParagraph"/>
              <w:ind w:left="47" w:right="49"/>
              <w:jc w:val="center"/>
              <w:rPr>
                <w:rFonts w:ascii="Times New Roman"/>
                <w:sz w:val="19"/>
              </w:rPr>
            </w:pPr>
            <w:r>
              <w:rPr>
                <w:rFonts w:ascii="Times New Roman"/>
                <w:sz w:val="19"/>
              </w:rPr>
              <w:t>-0.0009</w:t>
            </w:r>
            <w:r>
              <w:rPr>
                <w:rFonts w:ascii="Times New Roman"/>
                <w:spacing w:val="-10"/>
                <w:sz w:val="19"/>
              </w:rPr>
              <w:t> *</w:t>
            </w:r>
          </w:p>
        </w:tc>
        <w:tc>
          <w:tcPr>
            <w:tcW w:w="2340" w:type="dxa"/>
            <w:vMerge w:val="restart"/>
            <w:tcBorders>
              <w:left w:val="single" w:sz="4" w:space="0" w:color="000000"/>
              <w:bottom w:val="single" w:sz="4" w:space="0" w:color="000000"/>
              <w:right w:val="nil"/>
            </w:tcBorders>
          </w:tcPr>
          <w:p>
            <w:pPr>
              <w:pStyle w:val="TableParagraph"/>
              <w:rPr>
                <w:rFonts w:ascii="Times New Roman"/>
                <w:sz w:val="20"/>
              </w:rPr>
            </w:pPr>
          </w:p>
        </w:tc>
      </w:tr>
      <w:tr>
        <w:trPr>
          <w:trHeight w:val="317"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6"/>
              <w:ind w:left="453"/>
              <w:rPr>
                <w:rFonts w:ascii="Times New Roman"/>
                <w:sz w:val="19"/>
              </w:rPr>
            </w:pPr>
            <w:r>
              <w:rPr/>
              <mc:AlternateContent>
                <mc:Choice Requires="wps">
                  <w:drawing>
                    <wp:anchor distT="0" distB="0" distL="0" distR="0" allowOverlap="1" layoutInCell="1" locked="0" behindDoc="1" simplePos="0" relativeHeight="477742080">
                      <wp:simplePos x="0" y="0"/>
                      <wp:positionH relativeFrom="column">
                        <wp:posOffset>95631</wp:posOffset>
                      </wp:positionH>
                      <wp:positionV relativeFrom="paragraph">
                        <wp:posOffset>-5090</wp:posOffset>
                      </wp:positionV>
                      <wp:extent cx="3815715" cy="396494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3815715" cy="3964940"/>
                                <a:chExt cx="3815715" cy="3964940"/>
                              </a:xfrm>
                            </wpg:grpSpPr>
                            <pic:pic>
                              <pic:nvPicPr>
                                <pic:cNvPr id="179" name="Image 179"/>
                                <pic:cNvPicPr/>
                              </pic:nvPicPr>
                              <pic:blipFill>
                                <a:blip r:embed="rId9" cstate="print"/>
                                <a:stretch>
                                  <a:fillRect/>
                                </a:stretch>
                              </pic:blipFill>
                              <pic:spPr>
                                <a:xfrm>
                                  <a:off x="130555" y="3743197"/>
                                  <a:ext cx="221995" cy="221614"/>
                                </a:xfrm>
                                <a:prstGeom prst="rect">
                                  <a:avLst/>
                                </a:prstGeom>
                              </pic:spPr>
                            </pic:pic>
                            <wps:wsp>
                              <wps:cNvPr id="180" name="Graphic 180"/>
                              <wps:cNvSpPr/>
                              <wps:spPr>
                                <a:xfrm>
                                  <a:off x="0"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7.53pt;margin-top:-.400847pt;width:300.45pt;height:312.2pt;mso-position-horizontal-relative:column;mso-position-vertical-relative:paragraph;z-index:-25574400" id="docshapegroup43" coordorigin="151,-8" coordsize="6009,6244">
                      <v:shape style="position:absolute;left:356;top:5886;width:350;height:349" type="#_x0000_t75" id="docshape44" stroked="false">
                        <v:imagedata r:id="rId9" o:title=""/>
                      </v:shape>
                      <v:shape style="position:absolute;left:150;top:-9;width:6009;height:6216" id="docshape45" coordorigin="151,-8" coordsize="6009,6216" path="m1287,6127l1287,6123,1283,6113,1280,6108,1276,6104,249,5078,244,5074,234,5070,230,5070,224,5071,218,5073,212,5076,205,5080,198,5085,190,5092,173,5109,162,5124,154,5137,152,5143,151,5149,151,5154,154,5164,157,5169,1188,6200,1193,6204,1202,6207,1207,6207,1212,6205,1219,6204,1225,6201,1233,6197,1239,6192,1248,6185,1265,6168,1272,6159,1277,6153,1281,6145,1284,6139,1285,6133,1287,6127xm1562,5848l1560,5843,1559,5838,1555,5833,1551,5829,1167,5445,1246,5367,1275,5335,1279,5329,1299,5301,1318,5267,1331,5232,1340,5196,1344,5161,1344,5122,1339,5084,1330,5045,1317,5006,1300,4966,1278,4926,1252,4886,1223,4845,1192,4808,1192,5116,1191,5139,1187,5161,1179,5183,1168,5204,1153,5226,1134,5247,1051,5329,624,4902,709,4817,721,4806,734,4795,748,4784,763,4774,779,4766,797,4760,817,4756,838,4754,861,4755,886,4759,913,4768,942,4780,972,4796,1002,4817,1034,4842,1066,4873,1089,4897,1110,4921,1128,4946,1145,4971,1159,4996,1171,5021,1180,5045,1186,5069,1191,5093,1192,5116,1192,4808,1189,4805,1151,4765,1140,4754,1121,4736,1091,4710,1060,4686,1030,4665,1000,4647,970,4632,941,4620,911,4609,882,4601,854,4596,826,4594,798,4594,772,4597,747,4601,725,4608,705,4616,688,4625,672,4635,658,4644,645,4652,633,4661,622,4671,610,4682,599,4693,451,4841,445,4848,442,4857,440,4868,440,4879,443,4892,450,4906,461,4921,476,4938,1459,5921,1463,5925,1468,5929,1473,5930,1478,5932,1482,5932,1488,5930,1494,5929,1500,5926,1508,5922,1515,5917,1522,5910,1541,5892,1547,5884,1552,5877,1556,5870,1559,5864,1560,5858,1562,5853,1562,5848xm2255,5159l2255,5155,2251,5145,2248,5140,1320,4212,1517,4016,1518,4012,1519,4007,1518,4002,1517,3997,1514,3990,1511,3985,1506,3977,1484,3952,1473,3941,1462,3930,1453,3922,1436,3907,1428,3901,1415,3895,1410,3894,1400,3894,1396,3895,911,4381,909,4384,910,4389,909,4394,911,4399,918,4412,923,4420,930,4427,937,4437,946,4446,967,4468,977,4476,985,4483,993,4490,1001,4495,1013,4501,1018,4503,1023,4502,1028,4503,1031,4501,1228,4304,2156,5232,2161,5236,2171,5239,2175,5239,2181,5237,2187,5236,2201,5229,2216,5217,2233,5199,2240,5191,2245,5184,2249,5177,2252,5171,2253,5165,2255,5159xm2787,4627l2787,4622,2784,4613,2780,4608,1852,3680,2049,3483,2051,3480,2051,3475,2049,3465,2044,3452,2038,3445,2031,3437,2016,3419,2005,3409,1994,3398,1968,3375,1960,3369,1947,3362,1942,3361,1937,3361,1932,3361,1929,3363,1443,3848,1441,3852,1442,3857,1442,3862,1443,3867,1450,3880,1455,3887,1462,3895,1470,3905,1478,3914,1499,3936,1509,3944,1518,3950,1525,3957,1533,3963,1545,3969,1550,3970,1555,3970,1560,3971,1563,3969,1760,3772,2688,4700,2693,4703,2703,4707,2707,4707,2713,4705,2719,4704,2733,4696,2740,4692,2748,4685,2766,4667,2777,4652,2784,4639,2785,4633,2787,4627xm3494,3787l3487,3733,3473,3678,3453,3621,3427,3563,3394,3504,3356,3443,3337,3417,3337,3765,3336,3803,3330,3840,3317,3875,3296,3908,3270,3939,3238,3966,3206,3987,3172,4001,3137,4008,3100,4010,3062,4007,3023,3998,2983,3983,2942,3965,2900,3941,2857,3914,2814,3881,2769,3845,2723,3806,2677,3764,2631,3718,2589,3676,2550,3633,2514,3589,2479,3546,2448,3502,2422,3459,2399,3417,2381,3375,2367,3334,2358,3294,2354,3255,2355,3217,2361,3180,2374,3146,2394,3113,2420,3082,2451,3055,2483,3035,2517,3021,2553,3014,2590,3013,2628,3016,2667,3024,2707,3038,2748,3057,2790,3080,2833,3107,2876,3138,2921,3174,2965,3212,3010,3253,3055,3297,3097,3341,3137,3384,3174,3428,3208,3472,3240,3515,3267,3559,3290,3601,3309,3643,3323,3685,3333,3725,3337,3765,3337,3417,3311,3381,3260,3318,3204,3255,3142,3190,3078,3128,3016,3072,2954,3023,2941,3013,2895,2979,2836,2941,2779,2910,2724,2885,2671,2867,2619,2855,2569,2849,2520,2851,2473,2858,2428,2872,2385,2893,2344,2921,2305,2955,2269,2996,2241,3039,2219,3085,2206,3132,2199,3182,2199,3234,2205,3287,2218,3342,2238,3399,2264,3457,2296,3516,2334,3577,2378,3638,2428,3700,2483,3763,2544,3825,2609,3888,2672,3945,2734,3996,2795,4040,2854,4079,2911,4110,2966,4136,3020,4154,3071,4167,3122,4172,3170,4171,3217,4164,3263,4151,3307,4130,3348,4102,3388,4066,3424,4025,3434,4010,3452,3982,3473,3937,3487,3888,3493,3838,3494,3787xm4446,2860l4446,2831,4445,2821,4444,2813,4442,2803,4440,2797,4435,2785,4432,2780,4428,2774,4406,2748,4390,2732,4372,2715,4349,2694,4335,2684,4330,2681,4325,2680,4318,2680,4315,2681,4307,2689,4305,2701,4307,2721,4307,2737,4308,2753,4307,2772,4306,2791,4304,2812,4300,2834,4295,2856,4288,2879,4279,2902,4267,2925,4251,2946,4232,2967,4207,2989,4179,3006,4149,3019,4117,3027,4084,3031,4049,3030,4012,3024,3973,3013,3933,2998,3891,2978,3848,2953,3803,2923,3756,2889,3709,2851,3660,2807,3610,2759,3561,2709,3517,2659,3477,2610,3443,2562,3413,2516,3387,2472,3366,2429,3349,2387,3337,2347,3330,2309,3328,2273,3330,2238,3337,2207,3349,2177,3365,2151,3386,2126,3408,2107,3429,2091,3452,2078,3474,2069,3497,2063,3520,2058,3541,2055,3562,2053,3581,2053,3616,2053,3631,2054,3651,2056,3664,2055,3671,2047,3672,2043,3672,2038,3671,2034,3669,2029,3662,2015,3650,1999,3633,1981,3605,1952,3589,1938,3582,1934,3576,1928,3565,1922,3553,1916,3545,1914,3532,1911,3522,1909,3510,1909,3478,1909,3460,1910,3442,1913,3424,1916,3405,1921,3386,1927,3368,1934,3349,1942,3331,1951,3313,1962,3296,1973,3279,1987,3264,2001,3233,2037,3209,2075,3190,2117,3179,2162,3173,2210,3173,2261,3180,2313,3193,2368,3212,2425,3238,2484,3269,2544,3307,2606,3351,2669,3401,2734,3458,2799,3521,2864,3585,2926,3648,2981,3709,3029,3770,3072,3829,3109,3886,3139,3942,3162,3996,3180,4047,3192,4097,3198,4144,3197,4190,3190,4233,3178,4273,3159,4311,3134,4346,3104,4364,3084,4381,3064,4395,3043,4407,3021,4416,2999,4425,2977,4432,2956,4437,2935,4441,2915,4444,2896,4446,2877,4446,2860xm5046,2234l5040,2180,5026,2125,5006,2069,4980,2011,4947,1951,4908,1890,4889,1864,4889,2212,4889,2251,4883,2288,4869,2323,4849,2356,4822,2387,4791,2414,4759,2434,4725,2448,4689,2455,4653,2457,4615,2454,4576,2445,4536,2431,4495,2412,4453,2389,4410,2361,4366,2329,4321,2293,4276,2254,4230,2211,4183,2166,4142,2123,4103,2080,4066,2037,4032,1993,4001,1950,3974,1907,3952,1864,3934,1822,3920,1782,3911,1742,3907,1703,3907,1665,3913,1628,3926,1593,3946,1561,3973,1530,4004,1503,4036,1483,4070,1469,4105,1462,4142,1460,4180,1463,4219,1472,4259,1485,4300,1505,4343,1527,4385,1554,4429,1586,4473,1621,4518,1660,4563,1701,4608,1745,4650,1788,4689,1831,4726,1875,4761,1919,4793,1963,4820,2006,4842,2049,4861,2091,4876,2132,4885,2173,4889,2212,4889,1864,4863,1828,4813,1765,4757,1702,4695,1638,4631,1576,4568,1520,4507,1470,4494,1460,4447,1426,4389,1388,4332,1357,4277,1333,4223,1314,4171,1302,4121,1297,4073,1298,4026,1306,3981,1319,3937,1340,3897,1368,3858,1403,3822,1444,3793,1487,3772,1532,3758,1580,3752,1630,3751,1682,3758,1735,3771,1790,3791,1846,3817,1904,3849,1963,3887,2024,3931,2085,3981,2147,4036,2210,4096,2273,4161,2336,4225,2392,4287,2443,4347,2488,4406,2526,4463,2558,4519,2583,4572,2602,4624,2614,4674,2620,4723,2619,4770,2612,4816,2598,4859,2577,4901,2549,4941,2514,4977,2473,4987,2457,5005,2430,5026,2384,5039,2336,5046,2286,5046,2234xm5467,1943l5465,1938,5463,1933,5460,1929,5072,1541,5150,1462,5180,1430,5183,1425,5204,1397,5223,1362,5236,1327,5244,1292,5248,1256,5249,1218,5244,1179,5234,1141,5221,1101,5204,1062,5183,1021,5157,981,5127,941,5097,904,5097,1211,5095,1234,5091,1256,5084,1278,5072,1300,5057,1321,5038,1342,4956,1425,4528,997,4613,912,4625,901,4638,890,4652,879,4668,870,4684,861,4702,855,4721,851,4743,849,4766,850,4791,855,4818,863,4847,875,4876,891,4907,912,4938,938,4971,968,4994,992,5014,1017,5033,1041,5049,1066,5064,1091,5075,1116,5084,1140,5091,1164,5095,1188,5097,1211,5097,904,5094,900,5056,860,5044,849,5025,831,4995,805,4965,782,4935,760,4905,743,4875,728,4845,715,4816,705,4787,697,4759,692,4730,689,4703,689,4676,692,4652,697,4630,703,4610,711,4593,721,4577,730,4562,739,4549,747,4538,757,4526,767,4515,777,4504,788,4356,936,4350,943,4346,952,4345,963,4345,975,4348,988,4355,1002,4366,1017,4381,1033,5364,2016,5368,2020,5373,2024,5382,2027,5387,2028,5392,2026,5399,2024,5413,2017,5419,2012,5427,2006,5445,1988,5452,1979,5457,1973,5461,1965,5464,1959,5465,1953,5466,1948,5467,1943xm6159,1255l6159,1251,6156,1241,6152,1236,5755,839,5681,695,5460,260,5349,43,5333,14,5328,7,5321,-1,5315,-5,5301,-8,5293,-5,5285,0,5278,6,5262,20,5244,38,5237,47,5227,60,5223,67,5222,72,5221,78,5220,83,5223,89,5225,95,5227,101,5232,107,5268,175,5373,377,5444,511,5543,689,5578,748,5577,749,5336,615,5269,580,4934,404,4926,400,4920,398,4914,396,4909,394,4897,396,4892,398,4885,402,4860,421,4838,444,4830,454,4818,469,4815,477,4818,490,4822,496,4837,508,4846,513,4867,525,5012,599,5446,820,5663,931,6060,1328,6065,1332,6070,1333,6074,1336,6079,1335,6085,1333,6091,1332,6105,1325,6112,1320,6119,1314,6137,1296,6144,1288,6149,1281,6153,1273,6156,1267,6157,1261,6159,1255xe" filled="true" fillcolor="#c0c0c0" stroked="false">
                        <v:path arrowok="t"/>
                        <v:fill opacity="32896f" type="solid"/>
                      </v:shape>
                      <w10:wrap type="none"/>
                    </v:group>
                  </w:pict>
                </mc:Fallback>
              </mc:AlternateContent>
            </w: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6"/>
              <w:ind w:left="143" w:right="100"/>
              <w:jc w:val="center"/>
              <w:rPr>
                <w:rFonts w:ascii="Times New Roman"/>
                <w:sz w:val="19"/>
              </w:rPr>
            </w:pPr>
            <w:r>
              <w:rPr>
                <w:rFonts w:ascii="Times New Roman"/>
                <w:spacing w:val="-2"/>
                <w:sz w:val="19"/>
              </w:rPr>
              <w:t>(0.0003)</w:t>
            </w:r>
          </w:p>
        </w:tc>
        <w:tc>
          <w:tcPr>
            <w:tcW w:w="1622" w:type="dxa"/>
            <w:tcBorders>
              <w:top w:val="nil"/>
              <w:left w:val="single" w:sz="4" w:space="0" w:color="000000"/>
              <w:bottom w:val="nil"/>
              <w:right w:val="single" w:sz="4" w:space="0" w:color="000000"/>
            </w:tcBorders>
          </w:tcPr>
          <w:p>
            <w:pPr>
              <w:pStyle w:val="TableParagraph"/>
              <w:spacing w:before="46"/>
              <w:ind w:left="49" w:right="2"/>
              <w:jc w:val="center"/>
              <w:rPr>
                <w:rFonts w:ascii="Times New Roman"/>
                <w:sz w:val="19"/>
              </w:rPr>
            </w:pPr>
            <w:r>
              <w:rPr>
                <w:rFonts w:ascii="Times New Roman"/>
                <w:spacing w:val="-2"/>
                <w:sz w:val="19"/>
              </w:rPr>
              <w:t>(0.0005)</w:t>
            </w:r>
          </w:p>
        </w:tc>
        <w:tc>
          <w:tcPr>
            <w:tcW w:w="2340" w:type="dxa"/>
            <w:vMerge/>
            <w:tcBorders>
              <w:top w:val="nil"/>
              <w:left w:val="single" w:sz="4" w:space="0" w:color="000000"/>
              <w:bottom w:val="single" w:sz="4" w:space="0" w:color="000000"/>
              <w:right w:val="nil"/>
            </w:tcBorders>
          </w:tcPr>
          <w:p>
            <w:pPr>
              <w:rPr>
                <w:sz w:val="2"/>
                <w:szCs w:val="2"/>
              </w:rPr>
            </w:pPr>
          </w:p>
        </w:tc>
      </w:tr>
      <w:tr>
        <w:trPr>
          <w:trHeight w:val="373"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right w:val="single" w:sz="4" w:space="0" w:color="000000"/>
            </w:tcBorders>
          </w:tcPr>
          <w:p>
            <w:pPr>
              <w:pStyle w:val="TableParagraph"/>
              <w:spacing w:before="44"/>
              <w:ind w:left="143" w:right="146"/>
              <w:jc w:val="center"/>
              <w:rPr>
                <w:rFonts w:ascii="Times New Roman"/>
                <w:sz w:val="19"/>
              </w:rPr>
            </w:pPr>
            <w:r>
              <w:rPr>
                <w:rFonts w:ascii="Times New Roman"/>
                <w:spacing w:val="-2"/>
                <w:sz w:val="19"/>
              </w:rPr>
              <w:t>{0.1828}</w:t>
            </w:r>
          </w:p>
        </w:tc>
        <w:tc>
          <w:tcPr>
            <w:tcW w:w="1622" w:type="dxa"/>
            <w:tcBorders>
              <w:top w:val="nil"/>
              <w:left w:val="single" w:sz="4" w:space="0" w:color="000000"/>
              <w:bottom w:val="single" w:sz="4" w:space="0" w:color="000000"/>
              <w:right w:val="single" w:sz="4" w:space="0" w:color="000000"/>
            </w:tcBorders>
          </w:tcPr>
          <w:p>
            <w:pPr>
              <w:pStyle w:val="TableParagraph"/>
              <w:spacing w:before="44"/>
              <w:ind w:left="47" w:right="48"/>
              <w:jc w:val="center"/>
              <w:rPr>
                <w:rFonts w:ascii="Times New Roman"/>
                <w:sz w:val="19"/>
              </w:rPr>
            </w:pPr>
            <w:r>
              <w:rPr>
                <w:rFonts w:ascii="Times New Roman"/>
                <w:spacing w:val="-2"/>
                <w:sz w:val="19"/>
              </w:rPr>
              <w:t>{0.0802}</w:t>
            </w:r>
          </w:p>
        </w:tc>
        <w:tc>
          <w:tcPr>
            <w:tcW w:w="2340" w:type="dxa"/>
            <w:vMerge/>
            <w:tcBorders>
              <w:top w:val="nil"/>
              <w:left w:val="single" w:sz="4" w:space="0" w:color="000000"/>
              <w:bottom w:val="single" w:sz="4" w:space="0" w:color="000000"/>
              <w:right w:val="nil"/>
            </w:tcBorders>
          </w:tcPr>
          <w:p>
            <w:pPr>
              <w:rPr>
                <w:sz w:val="2"/>
                <w:szCs w:val="2"/>
              </w:rPr>
            </w:pPr>
          </w:p>
        </w:tc>
      </w:tr>
      <w:tr>
        <w:trPr>
          <w:trHeight w:val="271" w:hRule="atLeast"/>
        </w:trPr>
        <w:tc>
          <w:tcPr>
            <w:tcW w:w="1906" w:type="dxa"/>
            <w:tcBorders>
              <w:top w:val="single" w:sz="4" w:space="0" w:color="000000"/>
              <w:left w:val="nil"/>
              <w:bottom w:val="nil"/>
            </w:tcBorders>
          </w:tcPr>
          <w:p>
            <w:pPr>
              <w:pStyle w:val="TableParagraph"/>
              <w:ind w:left="159" w:right="146"/>
              <w:jc w:val="center"/>
              <w:rPr>
                <w:rFonts w:ascii="Times New Roman"/>
                <w:sz w:val="19"/>
              </w:rPr>
            </w:pPr>
            <w:r>
              <w:rPr>
                <w:rFonts w:ascii="Times New Roman"/>
                <w:spacing w:val="-2"/>
                <w:sz w:val="19"/>
              </w:rPr>
              <w:t>MOWN*IFRS</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0.0005</w:t>
            </w:r>
          </w:p>
        </w:tc>
        <w:tc>
          <w:tcPr>
            <w:tcW w:w="1622" w:type="dxa"/>
            <w:tcBorders>
              <w:top w:val="single" w:sz="4" w:space="0" w:color="000000"/>
              <w:left w:val="single" w:sz="4" w:space="0" w:color="000000"/>
              <w:bottom w:val="nil"/>
              <w:right w:val="single" w:sz="4" w:space="0" w:color="000000"/>
            </w:tcBorders>
          </w:tcPr>
          <w:p>
            <w:pPr>
              <w:pStyle w:val="TableParagraph"/>
              <w:ind w:left="47" w:right="47"/>
              <w:jc w:val="center"/>
              <w:rPr>
                <w:rFonts w:ascii="Times New Roman"/>
                <w:sz w:val="19"/>
              </w:rPr>
            </w:pPr>
            <w:r>
              <w:rPr>
                <w:rFonts w:ascii="Times New Roman"/>
                <w:spacing w:val="-2"/>
                <w:sz w:val="19"/>
              </w:rPr>
              <w:t>0.0002</w:t>
            </w:r>
          </w:p>
        </w:tc>
        <w:tc>
          <w:tcPr>
            <w:tcW w:w="2340" w:type="dxa"/>
            <w:vMerge w:val="restart"/>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317"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53"/>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4"/>
              <w:ind w:left="143" w:right="100"/>
              <w:jc w:val="center"/>
              <w:rPr>
                <w:rFonts w:ascii="Times New Roman"/>
                <w:sz w:val="19"/>
              </w:rPr>
            </w:pPr>
            <w:r>
              <w:rPr>
                <w:rFonts w:ascii="Times New Roman"/>
                <w:spacing w:val="-2"/>
                <w:sz w:val="19"/>
              </w:rPr>
              <w:t>(0.0005)</w:t>
            </w:r>
          </w:p>
        </w:tc>
        <w:tc>
          <w:tcPr>
            <w:tcW w:w="1622" w:type="dxa"/>
            <w:tcBorders>
              <w:top w:val="nil"/>
              <w:left w:val="single" w:sz="4" w:space="0" w:color="000000"/>
              <w:bottom w:val="nil"/>
              <w:right w:val="single" w:sz="4" w:space="0" w:color="000000"/>
            </w:tcBorders>
          </w:tcPr>
          <w:p>
            <w:pPr>
              <w:pStyle w:val="TableParagraph"/>
              <w:spacing w:before="44"/>
              <w:ind w:left="49" w:right="2"/>
              <w:jc w:val="center"/>
              <w:rPr>
                <w:rFonts w:ascii="Times New Roman"/>
                <w:sz w:val="19"/>
              </w:rPr>
            </w:pPr>
            <w:r>
              <w:rPr>
                <w:rFonts w:ascii="Times New Roman"/>
                <w:spacing w:val="-2"/>
                <w:sz w:val="19"/>
              </w:rPr>
              <w:t>(0.0005)</w:t>
            </w:r>
          </w:p>
        </w:tc>
        <w:tc>
          <w:tcPr>
            <w:tcW w:w="2340" w:type="dxa"/>
            <w:vMerge/>
            <w:tcBorders>
              <w:top w:val="nil"/>
              <w:left w:val="single" w:sz="4" w:space="0" w:color="000000"/>
              <w:bottom w:val="single" w:sz="4" w:space="0" w:color="000000"/>
              <w:right w:val="nil"/>
            </w:tcBorders>
          </w:tcPr>
          <w:p>
            <w:pPr>
              <w:rPr>
                <w:sz w:val="2"/>
                <w:szCs w:val="2"/>
              </w:rPr>
            </w:pPr>
          </w:p>
        </w:tc>
      </w:tr>
      <w:tr>
        <w:trPr>
          <w:trHeight w:val="374"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right w:val="single" w:sz="4" w:space="0" w:color="000000"/>
            </w:tcBorders>
          </w:tcPr>
          <w:p>
            <w:pPr>
              <w:pStyle w:val="TableParagraph"/>
              <w:spacing w:before="46"/>
              <w:ind w:left="143" w:right="146"/>
              <w:jc w:val="center"/>
              <w:rPr>
                <w:rFonts w:ascii="Times New Roman"/>
                <w:sz w:val="19"/>
              </w:rPr>
            </w:pPr>
            <w:r>
              <w:rPr>
                <w:rFonts w:ascii="Times New Roman"/>
                <w:spacing w:val="-2"/>
                <w:sz w:val="19"/>
              </w:rPr>
              <w:t>{0.2696}</w:t>
            </w:r>
          </w:p>
        </w:tc>
        <w:tc>
          <w:tcPr>
            <w:tcW w:w="1622" w:type="dxa"/>
            <w:tcBorders>
              <w:top w:val="nil"/>
              <w:left w:val="single" w:sz="4" w:space="0" w:color="000000"/>
              <w:bottom w:val="single" w:sz="4" w:space="0" w:color="000000"/>
              <w:right w:val="single" w:sz="4" w:space="0" w:color="000000"/>
            </w:tcBorders>
          </w:tcPr>
          <w:p>
            <w:pPr>
              <w:pStyle w:val="TableParagraph"/>
              <w:spacing w:before="46"/>
              <w:ind w:left="47" w:right="48"/>
              <w:jc w:val="center"/>
              <w:rPr>
                <w:rFonts w:ascii="Times New Roman"/>
                <w:sz w:val="19"/>
              </w:rPr>
            </w:pPr>
            <w:r>
              <w:rPr>
                <w:rFonts w:ascii="Times New Roman"/>
                <w:spacing w:val="-2"/>
                <w:sz w:val="19"/>
              </w:rPr>
              <w:t>{0.6926}</w:t>
            </w:r>
          </w:p>
        </w:tc>
        <w:tc>
          <w:tcPr>
            <w:tcW w:w="2340" w:type="dxa"/>
            <w:vMerge/>
            <w:tcBorders>
              <w:top w:val="nil"/>
              <w:left w:val="single" w:sz="4" w:space="0" w:color="000000"/>
              <w:bottom w:val="single" w:sz="4" w:space="0" w:color="000000"/>
              <w:right w:val="nil"/>
            </w:tcBorders>
          </w:tcPr>
          <w:p>
            <w:pPr>
              <w:rPr>
                <w:sz w:val="2"/>
                <w:szCs w:val="2"/>
              </w:rPr>
            </w:pPr>
          </w:p>
        </w:tc>
      </w:tr>
      <w:tr>
        <w:trPr>
          <w:trHeight w:val="981" w:hRule="atLeast"/>
        </w:trPr>
        <w:tc>
          <w:tcPr>
            <w:tcW w:w="1906" w:type="dxa"/>
            <w:tcBorders>
              <w:top w:val="single" w:sz="4" w:space="0" w:color="000000"/>
              <w:left w:val="nil"/>
              <w:bottom w:val="single" w:sz="4" w:space="0" w:color="000000"/>
            </w:tcBorders>
          </w:tcPr>
          <w:p>
            <w:pPr>
              <w:pStyle w:val="TableParagraph"/>
              <w:ind w:left="159" w:right="146"/>
              <w:jc w:val="center"/>
              <w:rPr>
                <w:rFonts w:ascii="Times New Roman"/>
                <w:sz w:val="19"/>
              </w:rPr>
            </w:pPr>
            <w:r>
              <w:rPr>
                <w:rFonts w:ascii="Times New Roman"/>
                <w:spacing w:val="-2"/>
                <w:sz w:val="19"/>
              </w:rPr>
              <w:t>FOWN*IFRS</w:t>
            </w:r>
          </w:p>
        </w:tc>
        <w:tc>
          <w:tcPr>
            <w:tcW w:w="986" w:type="dxa"/>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right w:val="single" w:sz="4" w:space="0" w:color="000000"/>
            </w:tcBorders>
          </w:tcPr>
          <w:p>
            <w:pPr>
              <w:pStyle w:val="TableParagraph"/>
              <w:spacing w:line="357" w:lineRule="auto"/>
              <w:ind w:left="477" w:right="282" w:hanging="32"/>
              <w:rPr>
                <w:rFonts w:ascii="Times New Roman"/>
                <w:sz w:val="19"/>
              </w:rPr>
            </w:pPr>
            <w:r>
              <w:rPr>
                <w:rFonts w:ascii="Times New Roman"/>
                <w:spacing w:val="-2"/>
                <w:sz w:val="19"/>
              </w:rPr>
              <w:t>0.0009** (0.0004)</w:t>
            </w:r>
          </w:p>
          <w:p>
            <w:pPr>
              <w:pStyle w:val="TableParagraph"/>
              <w:spacing w:before="4"/>
              <w:ind w:left="449"/>
              <w:rPr>
                <w:rFonts w:ascii="Times New Roman"/>
                <w:sz w:val="19"/>
              </w:rPr>
            </w:pPr>
            <w:r>
              <w:rPr>
                <w:rFonts w:ascii="Times New Roman"/>
                <w:spacing w:val="-2"/>
                <w:sz w:val="19"/>
              </w:rPr>
              <w:t>{0.0153}</w:t>
            </w:r>
          </w:p>
        </w:tc>
        <w:tc>
          <w:tcPr>
            <w:tcW w:w="1622" w:type="dxa"/>
            <w:tcBorders>
              <w:top w:val="single" w:sz="4" w:space="0" w:color="000000"/>
              <w:left w:val="single" w:sz="4" w:space="0" w:color="000000"/>
              <w:right w:val="single" w:sz="4" w:space="0" w:color="000000"/>
            </w:tcBorders>
          </w:tcPr>
          <w:p>
            <w:pPr>
              <w:pStyle w:val="TableParagraph"/>
              <w:spacing w:line="357" w:lineRule="auto"/>
              <w:ind w:left="480" w:right="172" w:hanging="34"/>
              <w:rPr>
                <w:rFonts w:ascii="Times New Roman"/>
                <w:sz w:val="19"/>
              </w:rPr>
            </w:pPr>
            <w:r>
              <w:rPr>
                <w:rFonts w:ascii="Times New Roman"/>
                <w:spacing w:val="-2"/>
                <w:sz w:val="19"/>
              </w:rPr>
              <w:t>0.0009** (0.0004)</w:t>
            </w:r>
          </w:p>
          <w:p>
            <w:pPr>
              <w:pStyle w:val="TableParagraph"/>
              <w:spacing w:before="4"/>
              <w:ind w:left="451"/>
              <w:rPr>
                <w:rFonts w:ascii="Times New Roman"/>
                <w:sz w:val="19"/>
              </w:rPr>
            </w:pPr>
            <w:r>
              <w:rPr>
                <w:rFonts w:ascii="Times New Roman"/>
                <w:spacing w:val="-2"/>
                <w:sz w:val="19"/>
              </w:rPr>
              <w:t>{0.0180}</w:t>
            </w:r>
          </w:p>
        </w:tc>
        <w:tc>
          <w:tcPr>
            <w:tcW w:w="2340" w:type="dxa"/>
            <w:tcBorders>
              <w:top w:val="single" w:sz="4" w:space="0" w:color="000000"/>
              <w:left w:val="single" w:sz="4" w:space="0" w:color="000000"/>
              <w:right w:val="nil"/>
            </w:tcBorders>
          </w:tcPr>
          <w:p>
            <w:pPr>
              <w:pStyle w:val="TableParagraph"/>
              <w:rPr>
                <w:rFonts w:ascii="Times New Roman"/>
                <w:sz w:val="20"/>
              </w:rPr>
            </w:pPr>
          </w:p>
        </w:tc>
      </w:tr>
      <w:tr>
        <w:trPr>
          <w:trHeight w:val="274" w:hRule="atLeast"/>
        </w:trPr>
        <w:tc>
          <w:tcPr>
            <w:tcW w:w="1906" w:type="dxa"/>
            <w:tcBorders>
              <w:top w:val="single" w:sz="4" w:space="0" w:color="000000"/>
              <w:left w:val="nil"/>
              <w:bottom w:val="nil"/>
            </w:tcBorders>
          </w:tcPr>
          <w:p>
            <w:pPr>
              <w:pStyle w:val="TableParagraph"/>
              <w:spacing w:before="2"/>
              <w:ind w:left="159" w:right="144"/>
              <w:jc w:val="center"/>
              <w:rPr>
                <w:rFonts w:ascii="Times New Roman"/>
                <w:sz w:val="19"/>
              </w:rPr>
            </w:pPr>
            <w:r>
              <w:rPr>
                <w:rFonts w:ascii="Times New Roman"/>
                <w:spacing w:val="-2"/>
                <w:sz w:val="19"/>
              </w:rPr>
              <w:t>BLOWN*IFRS</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spacing w:before="2"/>
              <w:ind w:left="143" w:right="144"/>
              <w:jc w:val="center"/>
              <w:rPr>
                <w:rFonts w:ascii="Times New Roman"/>
                <w:sz w:val="19"/>
              </w:rPr>
            </w:pPr>
            <w:r>
              <w:rPr>
                <w:rFonts w:ascii="Times New Roman"/>
                <w:spacing w:val="-2"/>
                <w:sz w:val="19"/>
              </w:rPr>
              <w:t>-0.0006**</w:t>
            </w:r>
          </w:p>
        </w:tc>
        <w:tc>
          <w:tcPr>
            <w:tcW w:w="1622" w:type="dxa"/>
            <w:tcBorders>
              <w:left w:val="single" w:sz="4" w:space="0" w:color="000000"/>
              <w:bottom w:val="nil"/>
              <w:right w:val="single" w:sz="4" w:space="0" w:color="000000"/>
            </w:tcBorders>
          </w:tcPr>
          <w:p>
            <w:pPr>
              <w:pStyle w:val="TableParagraph"/>
              <w:spacing w:before="2"/>
              <w:ind w:left="47" w:right="47"/>
              <w:jc w:val="center"/>
              <w:rPr>
                <w:rFonts w:ascii="Times New Roman"/>
                <w:sz w:val="19"/>
              </w:rPr>
            </w:pPr>
            <w:r>
              <w:rPr>
                <w:rFonts w:ascii="Times New Roman"/>
                <w:spacing w:val="-2"/>
                <w:sz w:val="19"/>
              </w:rPr>
              <w:t>-0.0006</w:t>
            </w:r>
          </w:p>
        </w:tc>
        <w:tc>
          <w:tcPr>
            <w:tcW w:w="2340" w:type="dxa"/>
            <w:vMerge w:val="restart"/>
            <w:tcBorders>
              <w:left w:val="single" w:sz="4" w:space="0" w:color="000000"/>
              <w:bottom w:val="single" w:sz="4" w:space="0" w:color="000000"/>
              <w:right w:val="nil"/>
            </w:tcBorders>
          </w:tcPr>
          <w:p>
            <w:pPr>
              <w:pStyle w:val="TableParagraph"/>
              <w:rPr>
                <w:rFonts w:ascii="Times New Roman"/>
                <w:sz w:val="20"/>
              </w:rPr>
            </w:pPr>
          </w:p>
        </w:tc>
      </w:tr>
      <w:tr>
        <w:trPr>
          <w:trHeight w:val="317"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000000"/>
            </w:tcBorders>
          </w:tcPr>
          <w:p>
            <w:pPr>
              <w:pStyle w:val="TableParagraph"/>
              <w:spacing w:before="44"/>
              <w:ind w:left="143" w:right="100"/>
              <w:jc w:val="center"/>
              <w:rPr>
                <w:rFonts w:ascii="Times New Roman"/>
                <w:sz w:val="19"/>
              </w:rPr>
            </w:pPr>
            <w:r>
              <w:rPr>
                <w:rFonts w:ascii="Times New Roman"/>
                <w:spacing w:val="-2"/>
                <w:sz w:val="19"/>
              </w:rPr>
              <w:t>(0.0003)</w:t>
            </w:r>
          </w:p>
        </w:tc>
        <w:tc>
          <w:tcPr>
            <w:tcW w:w="1622" w:type="dxa"/>
            <w:tcBorders>
              <w:top w:val="nil"/>
              <w:left w:val="single" w:sz="4" w:space="0" w:color="000000"/>
              <w:bottom w:val="nil"/>
              <w:right w:val="single" w:sz="4" w:space="0" w:color="000000"/>
            </w:tcBorders>
          </w:tcPr>
          <w:p>
            <w:pPr>
              <w:pStyle w:val="TableParagraph"/>
              <w:spacing w:before="44"/>
              <w:ind w:left="49" w:right="2"/>
              <w:jc w:val="center"/>
              <w:rPr>
                <w:rFonts w:ascii="Times New Roman"/>
                <w:sz w:val="19"/>
              </w:rPr>
            </w:pPr>
            <w:r>
              <w:rPr>
                <w:rFonts w:ascii="Times New Roman"/>
                <w:spacing w:val="-2"/>
                <w:sz w:val="19"/>
              </w:rPr>
              <w:t>(0.0005)</w:t>
            </w:r>
          </w:p>
        </w:tc>
        <w:tc>
          <w:tcPr>
            <w:tcW w:w="2340" w:type="dxa"/>
            <w:vMerge/>
            <w:tcBorders>
              <w:top w:val="nil"/>
              <w:left w:val="single" w:sz="4" w:space="0" w:color="000000"/>
              <w:bottom w:val="single" w:sz="4" w:space="0" w:color="000000"/>
              <w:right w:val="nil"/>
            </w:tcBorders>
          </w:tcPr>
          <w:p>
            <w:pPr>
              <w:rPr>
                <w:sz w:val="2"/>
                <w:szCs w:val="2"/>
              </w:rPr>
            </w:pPr>
          </w:p>
        </w:tc>
      </w:tr>
      <w:tr>
        <w:trPr>
          <w:trHeight w:val="371"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single" w:sz="4" w:space="0" w:color="000000"/>
              <w:right w:val="single" w:sz="4" w:space="0" w:color="000000"/>
            </w:tcBorders>
          </w:tcPr>
          <w:p>
            <w:pPr>
              <w:pStyle w:val="TableParagraph"/>
              <w:spacing w:before="46"/>
              <w:ind w:left="143" w:right="146"/>
              <w:jc w:val="center"/>
              <w:rPr>
                <w:rFonts w:ascii="Times New Roman"/>
                <w:sz w:val="19"/>
              </w:rPr>
            </w:pPr>
            <w:r>
              <w:rPr>
                <w:rFonts w:ascii="Times New Roman"/>
                <w:spacing w:val="-2"/>
                <w:sz w:val="19"/>
              </w:rPr>
              <w:t>{0.0233}</w:t>
            </w:r>
          </w:p>
        </w:tc>
        <w:tc>
          <w:tcPr>
            <w:tcW w:w="1622" w:type="dxa"/>
            <w:tcBorders>
              <w:top w:val="nil"/>
              <w:left w:val="single" w:sz="4" w:space="0" w:color="000000"/>
              <w:bottom w:val="single" w:sz="4" w:space="0" w:color="000000"/>
              <w:right w:val="single" w:sz="4" w:space="0" w:color="000000"/>
            </w:tcBorders>
          </w:tcPr>
          <w:p>
            <w:pPr>
              <w:pStyle w:val="TableParagraph"/>
              <w:spacing w:before="46"/>
              <w:ind w:left="47" w:right="48"/>
              <w:jc w:val="center"/>
              <w:rPr>
                <w:rFonts w:ascii="Times New Roman"/>
                <w:sz w:val="19"/>
              </w:rPr>
            </w:pPr>
            <w:r>
              <w:rPr>
                <w:rFonts w:ascii="Times New Roman"/>
                <w:spacing w:val="-2"/>
                <w:sz w:val="19"/>
              </w:rPr>
              <w:t>{0.7336}</w:t>
            </w:r>
          </w:p>
        </w:tc>
        <w:tc>
          <w:tcPr>
            <w:tcW w:w="2340" w:type="dxa"/>
            <w:vMerge/>
            <w:tcBorders>
              <w:top w:val="nil"/>
              <w:left w:val="single" w:sz="4" w:space="0" w:color="000000"/>
              <w:bottom w:val="single" w:sz="4" w:space="0" w:color="000000"/>
              <w:right w:val="nil"/>
            </w:tcBorders>
          </w:tcPr>
          <w:p>
            <w:pPr>
              <w:rPr>
                <w:sz w:val="2"/>
                <w:szCs w:val="2"/>
              </w:rPr>
            </w:pPr>
          </w:p>
        </w:tc>
      </w:tr>
      <w:tr>
        <w:trPr>
          <w:trHeight w:val="273" w:hRule="atLeast"/>
        </w:trPr>
        <w:tc>
          <w:tcPr>
            <w:tcW w:w="1906" w:type="dxa"/>
            <w:tcBorders>
              <w:top w:val="single" w:sz="4" w:space="0" w:color="000000"/>
              <w:left w:val="nil"/>
              <w:bottom w:val="nil"/>
            </w:tcBorders>
          </w:tcPr>
          <w:p>
            <w:pPr>
              <w:pStyle w:val="TableParagraph"/>
              <w:ind w:left="159" w:right="147"/>
              <w:jc w:val="center"/>
              <w:rPr>
                <w:rFonts w:ascii="Times New Roman"/>
                <w:sz w:val="19"/>
              </w:rPr>
            </w:pPr>
            <w:r>
              <w:rPr>
                <w:rFonts w:ascii="Times New Roman"/>
                <w:spacing w:val="-2"/>
                <w:sz w:val="19"/>
              </w:rPr>
              <w:t>Ar(1)</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0.5755</w:t>
            </w:r>
          </w:p>
        </w:tc>
        <w:tc>
          <w:tcPr>
            <w:tcW w:w="162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340" w:type="dxa"/>
            <w:vMerge w:val="restart"/>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317"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000000"/>
            </w:tcBorders>
          </w:tcPr>
          <w:p>
            <w:pPr>
              <w:pStyle w:val="TableParagraph"/>
              <w:spacing w:before="46"/>
              <w:ind w:left="143" w:right="100"/>
              <w:jc w:val="center"/>
              <w:rPr>
                <w:rFonts w:ascii="Times New Roman"/>
                <w:sz w:val="19"/>
              </w:rPr>
            </w:pPr>
            <w:r>
              <w:rPr>
                <w:rFonts w:ascii="Times New Roman"/>
                <w:spacing w:val="-2"/>
                <w:sz w:val="19"/>
              </w:rPr>
              <w:t>(0.0801)</w:t>
            </w: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vMerge/>
            <w:tcBorders>
              <w:top w:val="nil"/>
              <w:left w:val="single" w:sz="4" w:space="0" w:color="000000"/>
              <w:bottom w:val="single" w:sz="4" w:space="0" w:color="000000"/>
              <w:right w:val="nil"/>
            </w:tcBorders>
          </w:tcPr>
          <w:p>
            <w:pPr>
              <w:rPr>
                <w:sz w:val="2"/>
                <w:szCs w:val="2"/>
              </w:rPr>
            </w:pPr>
          </w:p>
        </w:tc>
      </w:tr>
      <w:tr>
        <w:trPr>
          <w:trHeight w:val="373"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single" w:sz="4" w:space="0" w:color="000000"/>
              <w:right w:val="single" w:sz="4" w:space="0" w:color="000000"/>
            </w:tcBorders>
          </w:tcPr>
          <w:p>
            <w:pPr>
              <w:pStyle w:val="TableParagraph"/>
              <w:spacing w:before="44"/>
              <w:ind w:left="143" w:right="145"/>
              <w:jc w:val="center"/>
              <w:rPr>
                <w:rFonts w:ascii="Times New Roman"/>
                <w:sz w:val="19"/>
              </w:rPr>
            </w:pPr>
            <w:r>
              <w:rPr>
                <w:rFonts w:ascii="Times New Roman"/>
                <w:spacing w:val="-2"/>
                <w:sz w:val="19"/>
              </w:rPr>
              <w:t>{0.000}</w:t>
            </w:r>
          </w:p>
        </w:tc>
        <w:tc>
          <w:tcPr>
            <w:tcW w:w="1622" w:type="dxa"/>
            <w:vMerge/>
            <w:tcBorders>
              <w:top w:val="nil"/>
              <w:left w:val="single" w:sz="4" w:space="0" w:color="000000"/>
              <w:bottom w:val="single" w:sz="4" w:space="0" w:color="000000"/>
              <w:right w:val="single" w:sz="4" w:space="0" w:color="000000"/>
            </w:tcBorders>
          </w:tcPr>
          <w:p>
            <w:pPr>
              <w:rPr>
                <w:sz w:val="2"/>
                <w:szCs w:val="2"/>
              </w:rPr>
            </w:pPr>
          </w:p>
        </w:tc>
        <w:tc>
          <w:tcPr>
            <w:tcW w:w="2340" w:type="dxa"/>
            <w:vMerge/>
            <w:tcBorders>
              <w:top w:val="nil"/>
              <w:left w:val="single" w:sz="4" w:space="0" w:color="000000"/>
              <w:bottom w:val="single" w:sz="4" w:space="0" w:color="000000"/>
              <w:right w:val="nil"/>
            </w:tcBorders>
          </w:tcPr>
          <w:p>
            <w:pPr>
              <w:rPr>
                <w:sz w:val="2"/>
                <w:szCs w:val="2"/>
              </w:rPr>
            </w:pPr>
          </w:p>
        </w:tc>
      </w:tr>
      <w:tr>
        <w:trPr>
          <w:trHeight w:val="328" w:hRule="atLeast"/>
        </w:trPr>
        <w:tc>
          <w:tcPr>
            <w:tcW w:w="6134" w:type="dxa"/>
            <w:gridSpan w:val="4"/>
            <w:tcBorders>
              <w:top w:val="single" w:sz="4" w:space="0" w:color="000000"/>
              <w:left w:val="nil"/>
              <w:bottom w:val="single" w:sz="4" w:space="0" w:color="000000"/>
              <w:right w:val="single" w:sz="4" w:space="0" w:color="000000"/>
            </w:tcBorders>
          </w:tcPr>
          <w:p>
            <w:pPr>
              <w:pStyle w:val="TableParagraph"/>
              <w:ind w:left="17"/>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2340"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326" w:hRule="atLeast"/>
        </w:trPr>
        <w:tc>
          <w:tcPr>
            <w:tcW w:w="1906" w:type="dxa"/>
            <w:tcBorders>
              <w:top w:val="single" w:sz="4" w:space="0" w:color="000000"/>
              <w:left w:val="nil"/>
              <w:bottom w:val="single" w:sz="4" w:space="0" w:color="000000"/>
              <w:right w:val="single" w:sz="4" w:space="0" w:color="000000"/>
            </w:tcBorders>
          </w:tcPr>
          <w:p>
            <w:pPr>
              <w:pStyle w:val="TableParagraph"/>
              <w:spacing w:line="144" w:lineRule="auto" w:before="37"/>
              <w:ind w:left="159" w:right="145"/>
              <w:jc w:val="center"/>
              <w:rPr>
                <w:rFonts w:ascii="Times New Roman"/>
                <w:sz w:val="12"/>
              </w:rPr>
            </w:pPr>
            <w:r>
              <w:rPr>
                <w:rFonts w:ascii="Times New Roman"/>
                <w:spacing w:val="-5"/>
                <w:position w:val="-6"/>
                <w:sz w:val="19"/>
              </w:rPr>
              <w:t>R</w:t>
            </w:r>
            <w:r>
              <w:rPr>
                <w:rFonts w:ascii="Times New Roman"/>
                <w:spacing w:val="-5"/>
                <w:sz w:val="12"/>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0.8683</w:t>
            </w:r>
          </w:p>
        </w:tc>
        <w:tc>
          <w:tcPr>
            <w:tcW w:w="1622" w:type="dxa"/>
            <w:tcBorders>
              <w:top w:val="single" w:sz="4" w:space="0" w:color="000000"/>
              <w:left w:val="single" w:sz="4" w:space="0" w:color="000000"/>
              <w:bottom w:val="single" w:sz="4" w:space="0" w:color="000000"/>
            </w:tcBorders>
          </w:tcPr>
          <w:p>
            <w:pPr>
              <w:pStyle w:val="TableParagraph"/>
              <w:ind w:left="47" w:right="47"/>
              <w:jc w:val="center"/>
              <w:rPr>
                <w:rFonts w:ascii="Times New Roman"/>
                <w:sz w:val="19"/>
              </w:rPr>
            </w:pPr>
            <w:r>
              <w:rPr>
                <w:rFonts w:ascii="Times New Roman"/>
                <w:spacing w:val="-2"/>
                <w:sz w:val="19"/>
              </w:rPr>
              <w:t>0.5217</w:t>
            </w:r>
          </w:p>
        </w:tc>
        <w:tc>
          <w:tcPr>
            <w:tcW w:w="2340" w:type="dxa"/>
            <w:tcBorders>
              <w:top w:val="single" w:sz="4" w:space="0" w:color="000000"/>
              <w:right w:val="nil"/>
            </w:tcBorders>
          </w:tcPr>
          <w:p>
            <w:pPr>
              <w:pStyle w:val="TableParagraph"/>
              <w:spacing w:line="206" w:lineRule="exact"/>
              <w:ind w:left="13" w:right="13"/>
              <w:jc w:val="center"/>
              <w:rPr>
                <w:sz w:val="18"/>
              </w:rPr>
            </w:pPr>
            <w:r>
              <w:rPr>
                <w:spacing w:val="-2"/>
                <w:sz w:val="18"/>
              </w:rPr>
              <w:t>0.454</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spacing w:before="2"/>
              <w:ind w:left="159" w:right="141"/>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2"/>
              <w:ind w:left="143" w:right="146"/>
              <w:jc w:val="center"/>
              <w:rPr>
                <w:rFonts w:ascii="Times New Roman"/>
                <w:sz w:val="19"/>
              </w:rPr>
            </w:pPr>
            <w:r>
              <w:rPr>
                <w:rFonts w:ascii="Times New Roman"/>
                <w:spacing w:val="-2"/>
                <w:sz w:val="19"/>
              </w:rPr>
              <w:t>0.847</w:t>
            </w:r>
          </w:p>
        </w:tc>
        <w:tc>
          <w:tcPr>
            <w:tcW w:w="1622" w:type="dxa"/>
            <w:tcBorders>
              <w:top w:val="single" w:sz="4" w:space="0" w:color="000000"/>
              <w:left w:val="single" w:sz="4" w:space="0" w:color="000000"/>
              <w:bottom w:val="single" w:sz="4" w:space="0" w:color="000000"/>
            </w:tcBorders>
          </w:tcPr>
          <w:p>
            <w:pPr>
              <w:pStyle w:val="TableParagraph"/>
              <w:spacing w:before="2"/>
              <w:ind w:left="47" w:right="47"/>
              <w:jc w:val="center"/>
              <w:rPr>
                <w:rFonts w:ascii="Times New Roman"/>
                <w:sz w:val="19"/>
              </w:rPr>
            </w:pPr>
            <w:r>
              <w:rPr>
                <w:rFonts w:ascii="Times New Roman"/>
                <w:spacing w:val="-2"/>
                <w:sz w:val="19"/>
              </w:rPr>
              <w:t>0.490</w:t>
            </w:r>
          </w:p>
        </w:tc>
        <w:tc>
          <w:tcPr>
            <w:tcW w:w="2340" w:type="dxa"/>
            <w:tcBorders>
              <w:right w:val="nil"/>
            </w:tcBorders>
          </w:tcPr>
          <w:p>
            <w:pPr>
              <w:pStyle w:val="TableParagraph"/>
              <w:spacing w:before="1"/>
              <w:ind w:left="13" w:right="13"/>
              <w:jc w:val="center"/>
              <w:rPr>
                <w:sz w:val="18"/>
              </w:rPr>
            </w:pPr>
            <w:r>
              <w:rPr>
                <w:spacing w:val="-2"/>
                <w:sz w:val="18"/>
              </w:rPr>
              <w:t>0.4248</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6"/>
              <w:jc w:val="center"/>
              <w:rPr>
                <w:rFonts w:ascii="Times New Roman"/>
                <w:sz w:val="19"/>
              </w:rPr>
            </w:pPr>
            <w:r>
              <w:rPr>
                <w:rFonts w:ascii="Times New Roman"/>
                <w:spacing w:val="-2"/>
                <w:sz w:val="19"/>
              </w:rPr>
              <w:t>F-statistic</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41.175</w:t>
            </w:r>
          </w:p>
        </w:tc>
        <w:tc>
          <w:tcPr>
            <w:tcW w:w="1622" w:type="dxa"/>
            <w:tcBorders>
              <w:top w:val="single" w:sz="4" w:space="0" w:color="000000"/>
              <w:left w:val="single" w:sz="4" w:space="0" w:color="000000"/>
              <w:bottom w:val="single" w:sz="4" w:space="0" w:color="000000"/>
            </w:tcBorders>
          </w:tcPr>
          <w:p>
            <w:pPr>
              <w:pStyle w:val="TableParagraph"/>
              <w:ind w:left="47" w:right="47"/>
              <w:jc w:val="center"/>
              <w:rPr>
                <w:rFonts w:ascii="Times New Roman"/>
                <w:sz w:val="19"/>
              </w:rPr>
            </w:pPr>
            <w:r>
              <w:rPr>
                <w:rFonts w:ascii="Times New Roman"/>
                <w:spacing w:val="-2"/>
                <w:sz w:val="19"/>
              </w:rPr>
              <w:t>16.544</w:t>
            </w:r>
          </w:p>
        </w:tc>
        <w:tc>
          <w:tcPr>
            <w:tcW w:w="2340" w:type="dxa"/>
            <w:tcBorders>
              <w:right w:val="nil"/>
            </w:tcBorders>
          </w:tcPr>
          <w:p>
            <w:pPr>
              <w:pStyle w:val="TableParagraph"/>
              <w:spacing w:line="206" w:lineRule="exact"/>
              <w:ind w:left="13" w:right="13"/>
              <w:jc w:val="center"/>
              <w:rPr>
                <w:sz w:val="18"/>
              </w:rPr>
            </w:pPr>
            <w:r>
              <w:rPr>
                <w:spacing w:val="-2"/>
                <w:sz w:val="18"/>
              </w:rPr>
              <w:t>15.327</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5"/>
              <w:jc w:val="center"/>
              <w:rPr>
                <w:rFonts w:ascii="Times New Roman"/>
                <w:sz w:val="19"/>
              </w:rPr>
            </w:pPr>
            <w:r>
              <w:rPr>
                <w:rFonts w:ascii="Times New Roman"/>
                <w:spacing w:val="-2"/>
                <w:sz w:val="19"/>
              </w:rPr>
              <w:t>Prob(F-stat)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0.000</w:t>
            </w:r>
          </w:p>
        </w:tc>
        <w:tc>
          <w:tcPr>
            <w:tcW w:w="1622" w:type="dxa"/>
            <w:tcBorders>
              <w:top w:val="single" w:sz="4" w:space="0" w:color="000000"/>
              <w:left w:val="single" w:sz="4" w:space="0" w:color="000000"/>
              <w:bottom w:val="single" w:sz="4" w:space="0" w:color="000000"/>
            </w:tcBorders>
          </w:tcPr>
          <w:p>
            <w:pPr>
              <w:pStyle w:val="TableParagraph"/>
              <w:ind w:left="47" w:right="47"/>
              <w:jc w:val="center"/>
              <w:rPr>
                <w:rFonts w:ascii="Times New Roman"/>
                <w:sz w:val="19"/>
              </w:rPr>
            </w:pPr>
            <w:r>
              <w:rPr>
                <w:rFonts w:ascii="Times New Roman"/>
                <w:spacing w:val="-2"/>
                <w:sz w:val="19"/>
              </w:rPr>
              <w:t>0.000</w:t>
            </w:r>
          </w:p>
        </w:tc>
        <w:tc>
          <w:tcPr>
            <w:tcW w:w="2340" w:type="dxa"/>
            <w:tcBorders>
              <w:bottom w:val="single" w:sz="4" w:space="0" w:color="000000"/>
              <w:right w:val="nil"/>
            </w:tcBorders>
          </w:tcPr>
          <w:p>
            <w:pPr>
              <w:pStyle w:val="TableParagraph"/>
              <w:spacing w:line="206" w:lineRule="exact"/>
              <w:ind w:left="13" w:right="13"/>
              <w:jc w:val="center"/>
              <w:rPr>
                <w:sz w:val="18"/>
              </w:rPr>
            </w:pPr>
            <w:r>
              <w:rPr>
                <w:spacing w:val="-2"/>
                <w:sz w:val="18"/>
              </w:rPr>
              <w:t>0.0000</w:t>
            </w:r>
          </w:p>
        </w:tc>
      </w:tr>
      <w:tr>
        <w:trPr>
          <w:trHeight w:val="325"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2"/>
              <w:jc w:val="center"/>
              <w:rPr>
                <w:rFonts w:ascii="Times New Roman"/>
                <w:sz w:val="19"/>
              </w:rPr>
            </w:pPr>
            <w:r>
              <w:rPr>
                <w:rFonts w:ascii="Times New Roman"/>
                <w:spacing w:val="-2"/>
                <w:sz w:val="19"/>
              </w:rPr>
              <w:t>Durbin-Watson</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4"/>
              <w:jc w:val="center"/>
              <w:rPr>
                <w:rFonts w:ascii="Times New Roman"/>
                <w:sz w:val="19"/>
              </w:rPr>
            </w:pPr>
            <w:r>
              <w:rPr>
                <w:rFonts w:ascii="Times New Roman"/>
                <w:spacing w:val="-4"/>
                <w:sz w:val="19"/>
              </w:rPr>
              <w:t>1.94</w:t>
            </w:r>
          </w:p>
        </w:tc>
        <w:tc>
          <w:tcPr>
            <w:tcW w:w="1622" w:type="dxa"/>
            <w:tcBorders>
              <w:top w:val="single" w:sz="4" w:space="0" w:color="000000"/>
              <w:left w:val="single" w:sz="4" w:space="0" w:color="000000"/>
              <w:bottom w:val="single" w:sz="4" w:space="0" w:color="000000"/>
              <w:right w:val="single" w:sz="4" w:space="0" w:color="000000"/>
            </w:tcBorders>
          </w:tcPr>
          <w:p>
            <w:pPr>
              <w:pStyle w:val="TableParagraph"/>
              <w:ind w:left="47" w:right="47"/>
              <w:jc w:val="center"/>
              <w:rPr>
                <w:rFonts w:ascii="Times New Roman"/>
                <w:sz w:val="19"/>
              </w:rPr>
            </w:pPr>
            <w:r>
              <w:rPr>
                <w:rFonts w:ascii="Times New Roman"/>
                <w:spacing w:val="-2"/>
                <w:sz w:val="19"/>
              </w:rPr>
              <w:t>0.6985</w:t>
            </w:r>
          </w:p>
        </w:tc>
        <w:tc>
          <w:tcPr>
            <w:tcW w:w="2340"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r>
    </w:tbl>
    <w:p>
      <w:pPr>
        <w:spacing w:before="34"/>
        <w:ind w:left="846" w:right="1358" w:firstLine="0"/>
        <w:jc w:val="center"/>
        <w:rPr>
          <w:sz w:val="19"/>
        </w:rPr>
      </w:pPr>
      <w:r>
        <w:rPr/>
        <mc:AlternateContent>
          <mc:Choice Requires="wps">
            <w:drawing>
              <wp:anchor distT="0" distB="0" distL="0" distR="0" allowOverlap="1" layoutInCell="1" locked="0" behindDoc="1" simplePos="0" relativeHeight="477741056">
                <wp:simplePos x="0" y="0"/>
                <wp:positionH relativeFrom="page">
                  <wp:posOffset>1095451</wp:posOffset>
                </wp:positionH>
                <wp:positionV relativeFrom="paragraph">
                  <wp:posOffset>270763</wp:posOffset>
                </wp:positionV>
                <wp:extent cx="721995" cy="72263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21.32pt;width:56.85pt;height:56.9pt;mso-position-horizontal-relative:page;mso-position-vertical-relative:paragraph;z-index:-25575424" id="docshape46" coordorigin="1725,426" coordsize="1137,1138" path="m1809,427l1747,465,1725,510,1729,520,2763,1556,2782,1564,2787,1562,2793,1561,2852,1509,2860,1489,2862,1484,1823,434,1819,430,1809,427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41568">
                <wp:simplePos x="0" y="0"/>
                <wp:positionH relativeFrom="page">
                  <wp:posOffset>1269060</wp:posOffset>
                </wp:positionH>
                <wp:positionV relativeFrom="paragraph">
                  <wp:posOffset>-550100</wp:posOffset>
                </wp:positionV>
                <wp:extent cx="1360170" cy="128143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43.315018pt;width:107.1pt;height:100.9pt;mso-position-horizontal-relative:page;mso-position-vertical-relative:paragraph;z-index:-25574912" id="docshape47" coordorigin="1999,-866" coordsize="2142,2018" path="m3420,843l3419,802,3412,759,3400,715,3383,670,3362,624,3335,577,3304,530,3268,482,3227,434,3181,386,2526,-269,2521,-272,2511,-276,2501,-275,2495,-273,2489,-270,2482,-266,2475,-261,2467,-254,2449,-237,2438,-222,2434,-215,2431,-208,2429,-203,2427,-197,2428,-192,2431,-182,2435,-177,3090,478,3124,513,3154,548,3181,582,3204,614,3223,646,3239,678,3252,708,3261,737,3266,765,3268,793,3267,819,3262,844,3254,869,3243,892,3227,913,3209,934,3189,952,3167,966,3144,977,3120,985,3095,989,3068,991,3040,989,3012,983,2982,974,2951,962,2919,946,2886,926,2852,902,2817,875,2782,843,2745,808,2097,160,2092,157,2083,153,2078,153,2072,154,2067,156,2060,159,2053,163,2038,175,2020,192,2014,200,2009,207,2002,221,2000,226,1999,232,1999,237,2002,247,2006,251,2671,917,2720,963,2768,1004,2815,1040,2862,1072,2908,1097,2953,1118,2996,1134,3038,1144,3080,1150,3119,1151,3157,1148,3195,1139,3230,1127,3263,1109,3295,1087,3324,1061,3353,1029,3377,995,3395,959,3408,922,3417,883,3420,843xm4140,71l4134,17,4120,-38,4100,-94,4073,-152,4041,-212,4002,-273,3983,-299,3983,49,3983,88,3977,124,3963,159,3943,192,3916,223,3885,251,3852,271,3819,285,3783,292,3747,294,3709,291,3670,282,3630,268,3589,249,3547,226,3504,198,3460,165,3415,129,3370,90,3324,48,3277,3,3236,-40,3197,-83,3160,-126,3126,-170,3095,-213,3068,-256,3046,-299,3028,-341,3013,-382,3004,-421,3000,-460,3001,-498,3007,-535,3020,-570,3040,-603,3067,-633,3097,-660,3130,-680,3163,-694,3199,-702,3236,-703,3274,-700,3313,-691,3353,-678,3394,-659,3436,-636,3479,-609,3523,-577,3567,-542,3612,-504,3657,-462,3702,-419,3744,-375,3783,-332,3820,-288,3855,-244,3887,-200,3914,-157,3936,-114,3955,-72,3970,-31,3979,10,3983,49,3983,-299,3957,-335,3907,-398,3851,-461,3789,-526,3725,-587,3662,-643,3601,-693,3588,-703,3541,-737,3483,-775,3426,-806,3371,-831,3317,-849,3265,-861,3215,-866,3167,-865,3120,-858,3075,-844,3032,-823,2991,-795,2952,-760,2916,-720,2887,-676,2866,-631,2852,-583,2846,-533,2845,-481,2852,-428,2865,-374,2885,-317,2911,-259,2943,-200,2981,-139,3025,-78,3075,-16,3130,47,3190,110,3255,173,3319,229,3381,280,3441,325,3500,363,3557,395,3613,420,3666,439,3718,451,3768,457,3817,456,3864,449,3910,435,3953,414,3995,386,4035,351,4071,310,4081,294,4099,267,4120,221,4133,173,4140,123,4140,71xe" filled="true" fillcolor="#c0c0c0" stroked="false">
                <v:path arrowok="t"/>
                <v:fill opacity="32896f" type="solid"/>
                <w10:wrap type="none"/>
              </v:shape>
            </w:pict>
          </mc:Fallback>
        </mc:AlternateContent>
      </w:r>
      <w:r>
        <w:rPr>
          <w:sz w:val="19"/>
        </w:rPr>
        <w:t>Model</w:t>
      </w:r>
      <w:r>
        <w:rPr>
          <w:spacing w:val="-6"/>
          <w:sz w:val="19"/>
        </w:rPr>
        <w:t> </w:t>
      </w:r>
      <w:r>
        <w:rPr>
          <w:spacing w:val="-2"/>
          <w:sz w:val="19"/>
        </w:rPr>
        <w:t>Diagnostics</w:t>
      </w:r>
    </w:p>
    <w:p>
      <w:pPr>
        <w:pStyle w:val="BodyText"/>
        <w:spacing w:before="4"/>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986"/>
        <w:gridCol w:w="1620"/>
        <w:gridCol w:w="3962"/>
      </w:tblGrid>
      <w:tr>
        <w:trPr>
          <w:trHeight w:val="657" w:hRule="atLeast"/>
        </w:trPr>
        <w:tc>
          <w:tcPr>
            <w:tcW w:w="1906" w:type="dxa"/>
            <w:tcBorders>
              <w:left w:val="nil"/>
            </w:tcBorders>
          </w:tcPr>
          <w:p>
            <w:pPr>
              <w:pStyle w:val="TableParagraph"/>
              <w:spacing w:line="152" w:lineRule="exact"/>
              <w:ind w:left="722"/>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right="2"/>
              <w:jc w:val="center"/>
              <w:rPr>
                <w:rFonts w:ascii="Times New Roman"/>
                <w:sz w:val="12"/>
              </w:rPr>
            </w:pPr>
            <w:r>
              <w:rPr>
                <w:rFonts w:ascii="Times New Roman"/>
                <w:spacing w:val="-2"/>
                <w:sz w:val="12"/>
              </w:rPr>
              <w:t>Hetero</w:t>
            </w:r>
          </w:p>
          <w:p>
            <w:pPr>
              <w:pStyle w:val="TableParagraph"/>
              <w:spacing w:line="156" w:lineRule="exact" w:before="102"/>
              <w:ind w:left="619"/>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jc w:val="center"/>
              <w:rPr>
                <w:rFonts w:ascii="Times New Roman"/>
                <w:sz w:val="12"/>
              </w:rPr>
            </w:pPr>
            <w:r>
              <w:rPr>
                <w:rFonts w:ascii="Times New Roman"/>
                <w:spacing w:val="-2"/>
                <w:sz w:val="12"/>
              </w:rPr>
              <w:t>Serial/Corr</w:t>
            </w:r>
          </w:p>
        </w:tc>
        <w:tc>
          <w:tcPr>
            <w:tcW w:w="986" w:type="dxa"/>
          </w:tcPr>
          <w:p>
            <w:pPr>
              <w:pStyle w:val="TableParagraph"/>
              <w:ind w:left="271"/>
              <w:rPr>
                <w:rFonts w:ascii="Times New Roman"/>
                <w:sz w:val="19"/>
              </w:rPr>
            </w:pPr>
            <w:r>
              <w:rPr>
                <w:rFonts w:ascii="Times New Roman"/>
                <w:spacing w:val="-2"/>
                <w:sz w:val="19"/>
              </w:rPr>
              <w:t>0.195</w:t>
            </w:r>
          </w:p>
          <w:p>
            <w:pPr>
              <w:pStyle w:val="TableParagraph"/>
              <w:spacing w:before="111"/>
              <w:ind w:left="319"/>
              <w:rPr>
                <w:rFonts w:ascii="Times New Roman"/>
                <w:sz w:val="19"/>
              </w:rPr>
            </w:pPr>
            <w:r>
              <w:rPr>
                <w:rFonts w:ascii="Times New Roman"/>
                <w:spacing w:val="-4"/>
                <w:sz w:val="19"/>
              </w:rPr>
              <w:t>0.16</w:t>
            </w:r>
          </w:p>
        </w:tc>
        <w:tc>
          <w:tcPr>
            <w:tcW w:w="1620" w:type="dxa"/>
          </w:tcPr>
          <w:p>
            <w:pPr>
              <w:pStyle w:val="TableParagraph"/>
              <w:spacing w:line="152" w:lineRule="exact"/>
              <w:ind w:left="38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0" w:right="13"/>
              <w:jc w:val="center"/>
              <w:rPr>
                <w:rFonts w:ascii="Times New Roman"/>
                <w:sz w:val="12"/>
              </w:rPr>
            </w:pPr>
            <w:r>
              <w:rPr>
                <w:rFonts w:ascii="Times New Roman"/>
                <w:spacing w:val="-2"/>
                <w:sz w:val="12"/>
              </w:rPr>
              <w:t>Ramsey-Reset</w:t>
            </w:r>
          </w:p>
          <w:p>
            <w:pPr>
              <w:pStyle w:val="TableParagraph"/>
              <w:spacing w:line="156" w:lineRule="exact" w:before="102"/>
              <w:ind w:left="50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1" w:right="13"/>
              <w:jc w:val="center"/>
              <w:rPr>
                <w:rFonts w:ascii="Times New Roman"/>
                <w:sz w:val="12"/>
              </w:rPr>
            </w:pPr>
            <w:r>
              <w:rPr>
                <w:rFonts w:ascii="Times New Roman"/>
                <w:spacing w:val="-2"/>
                <w:sz w:val="12"/>
              </w:rPr>
              <w:t>Hausman</w:t>
            </w:r>
          </w:p>
        </w:tc>
        <w:tc>
          <w:tcPr>
            <w:tcW w:w="3962" w:type="dxa"/>
            <w:tcBorders>
              <w:right w:val="nil"/>
            </w:tcBorders>
          </w:tcPr>
          <w:p>
            <w:pPr>
              <w:pStyle w:val="TableParagraph"/>
              <w:ind w:left="2" w:right="4"/>
              <w:jc w:val="center"/>
              <w:rPr>
                <w:rFonts w:ascii="Times New Roman"/>
                <w:sz w:val="19"/>
              </w:rPr>
            </w:pPr>
            <w:r>
              <w:rPr>
                <w:rFonts w:ascii="Times New Roman"/>
                <w:spacing w:val="-2"/>
                <w:sz w:val="19"/>
              </w:rPr>
              <w:t>0.433</w:t>
            </w:r>
          </w:p>
          <w:p>
            <w:pPr>
              <w:pStyle w:val="TableParagraph"/>
              <w:spacing w:before="111"/>
              <w:ind w:right="4"/>
              <w:jc w:val="center"/>
              <w:rPr>
                <w:rFonts w:ascii="Times New Roman"/>
                <w:sz w:val="19"/>
              </w:rPr>
            </w:pPr>
            <w:r>
              <w:rPr>
                <w:rFonts w:ascii="Times New Roman"/>
                <w:spacing w:val="-2"/>
                <w:sz w:val="19"/>
              </w:rPr>
              <w:t>17.65(0.00)</w:t>
            </w:r>
          </w:p>
        </w:tc>
      </w:tr>
    </w:tbl>
    <w:p>
      <w:pPr>
        <w:spacing w:before="0"/>
        <w:ind w:left="940" w:right="0" w:firstLine="0"/>
        <w:jc w:val="both"/>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spacing w:line="475" w:lineRule="auto" w:before="198"/>
        <w:ind w:left="940" w:right="1435"/>
        <w:jc w:val="both"/>
      </w:pPr>
      <w:r>
        <w:rPr/>
        <w:t>Table</w:t>
      </w:r>
      <w:r>
        <w:rPr>
          <w:spacing w:val="-10"/>
        </w:rPr>
        <w:t> </w:t>
      </w:r>
      <w:r>
        <w:rPr/>
        <w:t>4.7</w:t>
      </w:r>
      <w:r>
        <w:rPr>
          <w:spacing w:val="-8"/>
        </w:rPr>
        <w:t> </w:t>
      </w:r>
      <w:r>
        <w:rPr/>
        <w:t>showed</w:t>
      </w:r>
      <w:r>
        <w:rPr>
          <w:spacing w:val="-8"/>
        </w:rPr>
        <w:t> </w:t>
      </w:r>
      <w:r>
        <w:rPr/>
        <w:t>the</w:t>
      </w:r>
      <w:r>
        <w:rPr>
          <w:spacing w:val="-8"/>
        </w:rPr>
        <w:t> </w:t>
      </w:r>
      <w:r>
        <w:rPr/>
        <w:t>regression</w:t>
      </w:r>
      <w:r>
        <w:rPr>
          <w:spacing w:val="-10"/>
        </w:rPr>
        <w:t> </w:t>
      </w:r>
      <w:r>
        <w:rPr/>
        <w:t>results</w:t>
      </w:r>
      <w:r>
        <w:rPr>
          <w:spacing w:val="-9"/>
        </w:rPr>
        <w:t> </w:t>
      </w:r>
      <w:r>
        <w:rPr/>
        <w:t>examining</w:t>
      </w:r>
      <w:r>
        <w:rPr>
          <w:spacing w:val="-8"/>
        </w:rPr>
        <w:t> </w:t>
      </w:r>
      <w:r>
        <w:rPr/>
        <w:t>the</w:t>
      </w:r>
      <w:r>
        <w:rPr>
          <w:spacing w:val="-10"/>
        </w:rPr>
        <w:t> </w:t>
      </w:r>
      <w:r>
        <w:rPr/>
        <w:t>impact</w:t>
      </w:r>
      <w:r>
        <w:rPr>
          <w:spacing w:val="-9"/>
        </w:rPr>
        <w:t> </w:t>
      </w:r>
      <w:r>
        <w:rPr/>
        <w:t>of</w:t>
      </w:r>
      <w:r>
        <w:rPr>
          <w:spacing w:val="-8"/>
        </w:rPr>
        <w:t> </w:t>
      </w:r>
      <w:r>
        <w:rPr/>
        <w:t>ownership</w:t>
      </w:r>
      <w:r>
        <w:rPr>
          <w:spacing w:val="-6"/>
        </w:rPr>
        <w:t> </w:t>
      </w:r>
      <w:r>
        <w:rPr/>
        <w:t>structure</w:t>
      </w:r>
      <w:r>
        <w:rPr>
          <w:spacing w:val="-11"/>
        </w:rPr>
        <w:t> </w:t>
      </w:r>
      <w:r>
        <w:rPr/>
        <w:t>on</w:t>
      </w:r>
      <w:r>
        <w:rPr>
          <w:spacing w:val="-8"/>
        </w:rPr>
        <w:t> </w:t>
      </w:r>
      <w:r>
        <w:rPr/>
        <w:t>QUA- FRQ</w:t>
      </w:r>
      <w:r>
        <w:rPr>
          <w:spacing w:val="-10"/>
        </w:rPr>
        <w:t> </w:t>
      </w:r>
      <w:r>
        <w:rPr/>
        <w:t>for</w:t>
      </w:r>
      <w:r>
        <w:rPr>
          <w:spacing w:val="-9"/>
        </w:rPr>
        <w:t> </w:t>
      </w:r>
      <w:r>
        <w:rPr/>
        <w:t>financial</w:t>
      </w:r>
      <w:r>
        <w:rPr>
          <w:spacing w:val="-10"/>
        </w:rPr>
        <w:t> </w:t>
      </w:r>
      <w:r>
        <w:rPr/>
        <w:t>reporting</w:t>
      </w:r>
      <w:r>
        <w:rPr>
          <w:spacing w:val="-9"/>
        </w:rPr>
        <w:t> </w:t>
      </w:r>
      <w:r>
        <w:rPr/>
        <w:t>quality</w:t>
      </w:r>
      <w:r>
        <w:rPr>
          <w:spacing w:val="-10"/>
        </w:rPr>
        <w:t> </w:t>
      </w:r>
      <w:r>
        <w:rPr/>
        <w:t>(Appendices</w:t>
      </w:r>
      <w:r>
        <w:rPr>
          <w:spacing w:val="-9"/>
        </w:rPr>
        <w:t> </w:t>
      </w:r>
      <w:r>
        <w:rPr/>
        <w:t>11</w:t>
      </w:r>
      <w:r>
        <w:rPr>
          <w:spacing w:val="-10"/>
        </w:rPr>
        <w:t> </w:t>
      </w:r>
      <w:r>
        <w:rPr/>
        <w:t>to</w:t>
      </w:r>
      <w:r>
        <w:rPr>
          <w:spacing w:val="-9"/>
        </w:rPr>
        <w:t> </w:t>
      </w:r>
      <w:r>
        <w:rPr/>
        <w:t>13).</w:t>
      </w:r>
      <w:r>
        <w:rPr>
          <w:spacing w:val="-10"/>
        </w:rPr>
        <w:t> </w:t>
      </w:r>
      <w:r>
        <w:rPr/>
        <w:t>Again,</w:t>
      </w:r>
      <w:r>
        <w:rPr>
          <w:spacing w:val="-9"/>
        </w:rPr>
        <w:t> </w:t>
      </w:r>
      <w:r>
        <w:rPr/>
        <w:t>the</w:t>
      </w:r>
      <w:r>
        <w:rPr>
          <w:spacing w:val="-10"/>
        </w:rPr>
        <w:t> </w:t>
      </w:r>
      <w:r>
        <w:rPr/>
        <w:t>fixed</w:t>
      </w:r>
      <w:r>
        <w:rPr>
          <w:spacing w:val="-8"/>
        </w:rPr>
        <w:t> </w:t>
      </w:r>
      <w:r>
        <w:rPr/>
        <w:t>effect</w:t>
      </w:r>
      <w:r>
        <w:rPr>
          <w:spacing w:val="-5"/>
        </w:rPr>
        <w:t> </w:t>
      </w:r>
      <w:r>
        <w:rPr/>
        <w:t>was</w:t>
      </w:r>
      <w:r>
        <w:rPr>
          <w:spacing w:val="-8"/>
        </w:rPr>
        <w:t> </w:t>
      </w:r>
      <w:r>
        <w:rPr/>
        <w:t>selected </w:t>
      </w:r>
      <w:r>
        <w:rPr>
          <w:position w:val="2"/>
        </w:rPr>
        <w:t>for the inferences based on the χ</w:t>
      </w:r>
      <w:r>
        <w:rPr>
          <w:position w:val="2"/>
          <w:vertAlign w:val="superscript"/>
        </w:rPr>
        <w:t>2</w:t>
      </w:r>
      <w:r>
        <w:rPr>
          <w:sz w:val="16"/>
          <w:vertAlign w:val="baseline"/>
        </w:rPr>
        <w:t>Hausman</w:t>
      </w:r>
      <w:r>
        <w:rPr>
          <w:spacing w:val="26"/>
          <w:sz w:val="16"/>
          <w:vertAlign w:val="baseline"/>
        </w:rPr>
        <w:t> </w:t>
      </w:r>
      <w:r>
        <w:rPr>
          <w:position w:val="2"/>
          <w:vertAlign w:val="baseline"/>
        </w:rPr>
        <w:t>statistic (17.65) and p-value (0.000). The R</w:t>
      </w:r>
      <w:r>
        <w:rPr>
          <w:position w:val="2"/>
          <w:vertAlign w:val="superscript"/>
        </w:rPr>
        <w:t>2</w:t>
      </w:r>
      <w:r>
        <w:rPr>
          <w:position w:val="2"/>
          <w:vertAlign w:val="baseline"/>
        </w:rPr>
        <w:t> and Adj </w:t>
      </w:r>
      <w:r>
        <w:rPr>
          <w:vertAlign w:val="baseline"/>
        </w:rPr>
        <w:t>R</w:t>
      </w:r>
      <w:r>
        <w:rPr>
          <w:vertAlign w:val="superscript"/>
        </w:rPr>
        <w:t>2</w:t>
      </w:r>
      <w:r>
        <w:rPr>
          <w:spacing w:val="-13"/>
          <w:vertAlign w:val="baseline"/>
        </w:rPr>
        <w:t> </w:t>
      </w:r>
      <w:r>
        <w:rPr>
          <w:vertAlign w:val="baseline"/>
        </w:rPr>
        <w:t>stood at 86.83% and 84.7% respectively. The F-stat of 41.175(p-value = 0.00) which was significant</w:t>
      </w:r>
      <w:r>
        <w:rPr>
          <w:spacing w:val="-5"/>
          <w:vertAlign w:val="baseline"/>
        </w:rPr>
        <w:t> </w:t>
      </w:r>
      <w:r>
        <w:rPr>
          <w:vertAlign w:val="baseline"/>
        </w:rPr>
        <w:t>at</w:t>
      </w:r>
      <w:r>
        <w:rPr>
          <w:spacing w:val="-3"/>
          <w:vertAlign w:val="baseline"/>
        </w:rPr>
        <w:t> </w:t>
      </w:r>
      <w:r>
        <w:rPr>
          <w:vertAlign w:val="baseline"/>
        </w:rPr>
        <w:t>5%</w:t>
      </w:r>
      <w:r>
        <w:rPr>
          <w:spacing w:val="-4"/>
          <w:vertAlign w:val="baseline"/>
        </w:rPr>
        <w:t> </w:t>
      </w:r>
      <w:r>
        <w:rPr>
          <w:vertAlign w:val="baseline"/>
        </w:rPr>
        <w:t>and</w:t>
      </w:r>
      <w:r>
        <w:rPr>
          <w:spacing w:val="-4"/>
          <w:vertAlign w:val="baseline"/>
        </w:rPr>
        <w:t> </w:t>
      </w:r>
      <w:r>
        <w:rPr>
          <w:vertAlign w:val="baseline"/>
        </w:rPr>
        <w:t>suggested</w:t>
      </w:r>
      <w:r>
        <w:rPr>
          <w:spacing w:val="-3"/>
          <w:vertAlign w:val="baseline"/>
        </w:rPr>
        <w:t> </w:t>
      </w:r>
      <w:r>
        <w:rPr>
          <w:vertAlign w:val="baseline"/>
        </w:rPr>
        <w:t>that</w:t>
      </w:r>
      <w:r>
        <w:rPr>
          <w:spacing w:val="-4"/>
          <w:vertAlign w:val="baseline"/>
        </w:rPr>
        <w:t> </w:t>
      </w:r>
      <w:r>
        <w:rPr>
          <w:vertAlign w:val="baseline"/>
        </w:rPr>
        <w:t>the</w:t>
      </w:r>
      <w:r>
        <w:rPr>
          <w:spacing w:val="-3"/>
          <w:vertAlign w:val="baseline"/>
        </w:rPr>
        <w:t> </w:t>
      </w:r>
      <w:r>
        <w:rPr>
          <w:vertAlign w:val="baseline"/>
        </w:rPr>
        <w:t>hypothesis</w:t>
      </w:r>
      <w:r>
        <w:rPr>
          <w:spacing w:val="-4"/>
          <w:vertAlign w:val="baseline"/>
        </w:rPr>
        <w:t> </w:t>
      </w:r>
      <w:r>
        <w:rPr>
          <w:vertAlign w:val="baseline"/>
        </w:rPr>
        <w:t>of</w:t>
      </w:r>
      <w:r>
        <w:rPr>
          <w:spacing w:val="-4"/>
          <w:vertAlign w:val="baseline"/>
        </w:rPr>
        <w:t> </w:t>
      </w:r>
      <w:r>
        <w:rPr>
          <w:vertAlign w:val="baseline"/>
        </w:rPr>
        <w:t>a</w:t>
      </w:r>
      <w:r>
        <w:rPr>
          <w:spacing w:val="-5"/>
          <w:vertAlign w:val="baseline"/>
        </w:rPr>
        <w:t> </w:t>
      </w:r>
      <w:r>
        <w:rPr>
          <w:vertAlign w:val="baseline"/>
        </w:rPr>
        <w:t>significant</w:t>
      </w:r>
      <w:r>
        <w:rPr>
          <w:spacing w:val="-2"/>
          <w:vertAlign w:val="baseline"/>
        </w:rPr>
        <w:t> </w:t>
      </w:r>
      <w:r>
        <w:rPr>
          <w:vertAlign w:val="baseline"/>
        </w:rPr>
        <w:t>linear</w:t>
      </w:r>
      <w:r>
        <w:rPr>
          <w:spacing w:val="-1"/>
          <w:vertAlign w:val="baseline"/>
        </w:rPr>
        <w:t> </w:t>
      </w:r>
      <w:r>
        <w:rPr>
          <w:vertAlign w:val="baseline"/>
        </w:rPr>
        <w:t>relationship</w:t>
      </w:r>
      <w:r>
        <w:rPr>
          <w:spacing w:val="-2"/>
          <w:vertAlign w:val="baseline"/>
        </w:rPr>
        <w:t> between</w:t>
      </w:r>
    </w:p>
    <w:p>
      <w:pPr>
        <w:spacing w:after="0" w:line="475" w:lineRule="auto"/>
        <w:jc w:val="both"/>
        <w:sectPr>
          <w:type w:val="continuous"/>
          <w:pgSz w:w="11910" w:h="16840"/>
          <w:pgMar w:header="0" w:footer="971" w:top="140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42592">
            <wp:simplePos x="0" y="0"/>
            <wp:positionH relativeFrom="page">
              <wp:posOffset>1095451</wp:posOffset>
            </wp:positionH>
            <wp:positionV relativeFrom="paragraph">
              <wp:posOffset>1850770</wp:posOffset>
            </wp:positionV>
            <wp:extent cx="5106847" cy="5238115"/>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5" cstate="print"/>
                    <a:stretch>
                      <a:fillRect/>
                    </a:stretch>
                  </pic:blipFill>
                  <pic:spPr>
                    <a:xfrm>
                      <a:off x="0" y="0"/>
                      <a:ext cx="5106847" cy="5238115"/>
                    </a:xfrm>
                    <a:prstGeom prst="rect">
                      <a:avLst/>
                    </a:prstGeom>
                  </pic:spPr>
                </pic:pic>
              </a:graphicData>
            </a:graphic>
          </wp:anchor>
        </w:drawing>
      </w:r>
      <w:r>
        <w:rPr/>
        <w:t>the dependent and independent variables could not be rejected. It was also indicative of the joint statistical significance of the model. The estimations revealed that INSTOWN had a negative effect on QUA-FRQ although not significant at 5% (-0.009, p=0.3397) and the interaction Post-IFRS*INSTOWN testing the presence of incremental IFRS adoption effect also</w:t>
      </w:r>
      <w:r>
        <w:rPr>
          <w:spacing w:val="-5"/>
        </w:rPr>
        <w:t> </w:t>
      </w:r>
      <w:r>
        <w:rPr/>
        <w:t>did</w:t>
      </w:r>
      <w:r>
        <w:rPr>
          <w:spacing w:val="-5"/>
        </w:rPr>
        <w:t> </w:t>
      </w:r>
      <w:r>
        <w:rPr/>
        <w:t>not</w:t>
      </w:r>
      <w:r>
        <w:rPr>
          <w:spacing w:val="-5"/>
        </w:rPr>
        <w:t> </w:t>
      </w:r>
      <w:r>
        <w:rPr/>
        <w:t>show</w:t>
      </w:r>
      <w:r>
        <w:rPr>
          <w:spacing w:val="-6"/>
        </w:rPr>
        <w:t> </w:t>
      </w:r>
      <w:r>
        <w:rPr/>
        <w:t>that</w:t>
      </w:r>
      <w:r>
        <w:rPr>
          <w:spacing w:val="-3"/>
        </w:rPr>
        <w:t> </w:t>
      </w:r>
      <w:r>
        <w:rPr/>
        <w:t>INSTOWN</w:t>
      </w:r>
      <w:r>
        <w:rPr>
          <w:spacing w:val="-6"/>
        </w:rPr>
        <w:t> </w:t>
      </w:r>
      <w:r>
        <w:rPr/>
        <w:t>had</w:t>
      </w:r>
      <w:r>
        <w:rPr>
          <w:spacing w:val="-2"/>
        </w:rPr>
        <w:t> </w:t>
      </w:r>
      <w:r>
        <w:rPr/>
        <w:t>a</w:t>
      </w:r>
      <w:r>
        <w:rPr>
          <w:spacing w:val="-5"/>
        </w:rPr>
        <w:t> </w:t>
      </w:r>
      <w:r>
        <w:rPr/>
        <w:t>significant</w:t>
      </w:r>
      <w:r>
        <w:rPr>
          <w:spacing w:val="-5"/>
        </w:rPr>
        <w:t> </w:t>
      </w:r>
      <w:r>
        <w:rPr/>
        <w:t>incremental</w:t>
      </w:r>
      <w:r>
        <w:rPr>
          <w:spacing w:val="-3"/>
        </w:rPr>
        <w:t> </w:t>
      </w:r>
      <w:r>
        <w:rPr/>
        <w:t>effect</w:t>
      </w:r>
      <w:r>
        <w:rPr>
          <w:spacing w:val="-3"/>
        </w:rPr>
        <w:t> </w:t>
      </w:r>
      <w:r>
        <w:rPr/>
        <w:t>on</w:t>
      </w:r>
      <w:r>
        <w:rPr>
          <w:spacing w:val="-6"/>
        </w:rPr>
        <w:t> </w:t>
      </w:r>
      <w:r>
        <w:rPr/>
        <w:t>QUA-FRQ</w:t>
      </w:r>
      <w:r>
        <w:rPr>
          <w:spacing w:val="-4"/>
        </w:rPr>
        <w:t> </w:t>
      </w:r>
      <w:r>
        <w:rPr/>
        <w:t>resulting from</w:t>
      </w:r>
      <w:r>
        <w:rPr>
          <w:spacing w:val="-8"/>
        </w:rPr>
        <w:t> </w:t>
      </w:r>
      <w:r>
        <w:rPr/>
        <w:t>IFRS</w:t>
      </w:r>
      <w:r>
        <w:rPr>
          <w:spacing w:val="-9"/>
        </w:rPr>
        <w:t> </w:t>
      </w:r>
      <w:r>
        <w:rPr/>
        <w:t>adoption</w:t>
      </w:r>
      <w:r>
        <w:rPr>
          <w:spacing w:val="-10"/>
        </w:rPr>
        <w:t> </w:t>
      </w:r>
      <w:r>
        <w:rPr/>
        <w:t>(-0.0004,</w:t>
      </w:r>
      <w:r>
        <w:rPr>
          <w:spacing w:val="-10"/>
        </w:rPr>
        <w:t> </w:t>
      </w:r>
      <w:r>
        <w:rPr/>
        <w:t>p=0.1828).</w:t>
      </w:r>
      <w:r>
        <w:rPr>
          <w:spacing w:val="-10"/>
        </w:rPr>
        <w:t> </w:t>
      </w:r>
      <w:r>
        <w:rPr/>
        <w:t>The</w:t>
      </w:r>
      <w:r>
        <w:rPr>
          <w:spacing w:val="-11"/>
        </w:rPr>
        <w:t> </w:t>
      </w:r>
      <w:r>
        <w:rPr/>
        <w:t>estimations</w:t>
      </w:r>
      <w:r>
        <w:rPr>
          <w:spacing w:val="-9"/>
        </w:rPr>
        <w:t> </w:t>
      </w:r>
      <w:r>
        <w:rPr/>
        <w:t>revealed</w:t>
      </w:r>
      <w:r>
        <w:rPr>
          <w:spacing w:val="-10"/>
        </w:rPr>
        <w:t> </w:t>
      </w:r>
      <w:r>
        <w:rPr/>
        <w:t>that</w:t>
      </w:r>
      <w:r>
        <w:rPr>
          <w:spacing w:val="-10"/>
        </w:rPr>
        <w:t> </w:t>
      </w:r>
      <w:r>
        <w:rPr/>
        <w:t>MOWN</w:t>
      </w:r>
      <w:r>
        <w:rPr>
          <w:spacing w:val="-10"/>
        </w:rPr>
        <w:t> </w:t>
      </w:r>
      <w:r>
        <w:rPr/>
        <w:t>had</w:t>
      </w:r>
      <w:r>
        <w:rPr>
          <w:spacing w:val="-7"/>
        </w:rPr>
        <w:t> </w:t>
      </w:r>
      <w:r>
        <w:rPr/>
        <w:t>a</w:t>
      </w:r>
      <w:r>
        <w:rPr>
          <w:spacing w:val="-11"/>
        </w:rPr>
        <w:t> </w:t>
      </w:r>
      <w:r>
        <w:rPr/>
        <w:t>positive effect on QUA-FRQ and was significant at 5% (0.005, p=0.2319). However, the interaction Post-IFRS*MOWN</w:t>
      </w:r>
      <w:r>
        <w:rPr>
          <w:spacing w:val="-13"/>
        </w:rPr>
        <w:t> </w:t>
      </w:r>
      <w:r>
        <w:rPr/>
        <w:t>testing</w:t>
      </w:r>
      <w:r>
        <w:rPr>
          <w:spacing w:val="-12"/>
        </w:rPr>
        <w:t> </w:t>
      </w:r>
      <w:r>
        <w:rPr/>
        <w:t>the</w:t>
      </w:r>
      <w:r>
        <w:rPr>
          <w:spacing w:val="-13"/>
        </w:rPr>
        <w:t> </w:t>
      </w:r>
      <w:r>
        <w:rPr/>
        <w:t>presence</w:t>
      </w:r>
      <w:r>
        <w:rPr>
          <w:spacing w:val="-13"/>
        </w:rPr>
        <w:t> </w:t>
      </w:r>
      <w:r>
        <w:rPr/>
        <w:t>of</w:t>
      </w:r>
      <w:r>
        <w:rPr>
          <w:spacing w:val="-11"/>
        </w:rPr>
        <w:t> </w:t>
      </w:r>
      <w:r>
        <w:rPr/>
        <w:t>incremental</w:t>
      </w:r>
      <w:r>
        <w:rPr>
          <w:spacing w:val="-10"/>
        </w:rPr>
        <w:t> </w:t>
      </w:r>
      <w:r>
        <w:rPr/>
        <w:t>IFRS</w:t>
      </w:r>
      <w:r>
        <w:rPr>
          <w:spacing w:val="-11"/>
        </w:rPr>
        <w:t> </w:t>
      </w:r>
      <w:r>
        <w:rPr/>
        <w:t>adoption</w:t>
      </w:r>
      <w:r>
        <w:rPr>
          <w:spacing w:val="-12"/>
        </w:rPr>
        <w:t> </w:t>
      </w:r>
      <w:r>
        <w:rPr/>
        <w:t>effect</w:t>
      </w:r>
      <w:r>
        <w:rPr>
          <w:spacing w:val="-12"/>
        </w:rPr>
        <w:t> </w:t>
      </w:r>
      <w:r>
        <w:rPr/>
        <w:t>also</w:t>
      </w:r>
      <w:r>
        <w:rPr>
          <w:spacing w:val="-11"/>
        </w:rPr>
        <w:t> </w:t>
      </w:r>
      <w:r>
        <w:rPr/>
        <w:t>did</w:t>
      </w:r>
      <w:r>
        <w:rPr>
          <w:spacing w:val="-12"/>
        </w:rPr>
        <w:t> </w:t>
      </w:r>
      <w:r>
        <w:rPr/>
        <w:t>not</w:t>
      </w:r>
      <w:r>
        <w:rPr>
          <w:spacing w:val="-12"/>
        </w:rPr>
        <w:t> </w:t>
      </w:r>
      <w:r>
        <w:rPr/>
        <w:t>show that MOWN had any significant incremental effect on QUA-FRQ resulting from IFRS adoption (0.0005, p=0.2696).</w:t>
      </w:r>
    </w:p>
    <w:p>
      <w:pPr>
        <w:pStyle w:val="BodyText"/>
        <w:spacing w:line="475" w:lineRule="auto" w:before="1"/>
        <w:ind w:left="940" w:right="1432"/>
        <w:jc w:val="both"/>
      </w:pPr>
      <w:r>
        <w:rPr/>
        <w:t>Furthermore,</w:t>
      </w:r>
      <w:r>
        <w:rPr>
          <w:spacing w:val="-13"/>
        </w:rPr>
        <w:t> </w:t>
      </w:r>
      <w:r>
        <w:rPr/>
        <w:t>the</w:t>
      </w:r>
      <w:r>
        <w:rPr>
          <w:spacing w:val="-13"/>
        </w:rPr>
        <w:t> </w:t>
      </w:r>
      <w:r>
        <w:rPr/>
        <w:t>estimations</w:t>
      </w:r>
      <w:r>
        <w:rPr>
          <w:spacing w:val="-12"/>
        </w:rPr>
        <w:t> </w:t>
      </w:r>
      <w:r>
        <w:rPr/>
        <w:t>revealed</w:t>
      </w:r>
      <w:r>
        <w:rPr>
          <w:spacing w:val="-14"/>
        </w:rPr>
        <w:t> </w:t>
      </w:r>
      <w:r>
        <w:rPr/>
        <w:t>that</w:t>
      </w:r>
      <w:r>
        <w:rPr>
          <w:spacing w:val="-13"/>
        </w:rPr>
        <w:t> </w:t>
      </w:r>
      <w:r>
        <w:rPr/>
        <w:t>FOWN</w:t>
      </w:r>
      <w:r>
        <w:rPr>
          <w:spacing w:val="-12"/>
        </w:rPr>
        <w:t> </w:t>
      </w:r>
      <w:r>
        <w:rPr/>
        <w:t>had</w:t>
      </w:r>
      <w:r>
        <w:rPr>
          <w:spacing w:val="-12"/>
        </w:rPr>
        <w:t> </w:t>
      </w:r>
      <w:r>
        <w:rPr/>
        <w:t>a</w:t>
      </w:r>
      <w:r>
        <w:rPr>
          <w:spacing w:val="-14"/>
        </w:rPr>
        <w:t> </w:t>
      </w:r>
      <w:r>
        <w:rPr/>
        <w:t>positive</w:t>
      </w:r>
      <w:r>
        <w:rPr>
          <w:spacing w:val="-14"/>
        </w:rPr>
        <w:t> </w:t>
      </w:r>
      <w:r>
        <w:rPr/>
        <w:t>effect</w:t>
      </w:r>
      <w:r>
        <w:rPr>
          <w:spacing w:val="-13"/>
        </w:rPr>
        <w:t> </w:t>
      </w:r>
      <w:r>
        <w:rPr/>
        <w:t>on</w:t>
      </w:r>
      <w:r>
        <w:rPr>
          <w:spacing w:val="-13"/>
        </w:rPr>
        <w:t> </w:t>
      </w:r>
      <w:r>
        <w:rPr/>
        <w:t>QUA-FRQ</w:t>
      </w:r>
      <w:r>
        <w:rPr>
          <w:spacing w:val="-13"/>
        </w:rPr>
        <w:t> </w:t>
      </w:r>
      <w:r>
        <w:rPr/>
        <w:t>although not significant at 5% (0.0001, p=0.7640) and the interaction Post-IFRS*FOWN testing the presence of incremental IFRS adoption effect also did show that FOWN had significant incremental</w:t>
      </w:r>
      <w:r>
        <w:rPr>
          <w:spacing w:val="-4"/>
        </w:rPr>
        <w:t> </w:t>
      </w:r>
      <w:r>
        <w:rPr/>
        <w:t>effect</w:t>
      </w:r>
      <w:r>
        <w:rPr>
          <w:spacing w:val="-6"/>
        </w:rPr>
        <w:t> </w:t>
      </w:r>
      <w:r>
        <w:rPr/>
        <w:t>on</w:t>
      </w:r>
      <w:r>
        <w:rPr>
          <w:spacing w:val="-7"/>
        </w:rPr>
        <w:t> </w:t>
      </w:r>
      <w:r>
        <w:rPr/>
        <w:t>QUA-FRQ</w:t>
      </w:r>
      <w:r>
        <w:rPr>
          <w:spacing w:val="-7"/>
        </w:rPr>
        <w:t> </w:t>
      </w:r>
      <w:r>
        <w:rPr/>
        <w:t>resulting</w:t>
      </w:r>
      <w:r>
        <w:rPr>
          <w:spacing w:val="-6"/>
        </w:rPr>
        <w:t> </w:t>
      </w:r>
      <w:r>
        <w:rPr/>
        <w:t>from</w:t>
      </w:r>
      <w:r>
        <w:rPr>
          <w:spacing w:val="-4"/>
        </w:rPr>
        <w:t> </w:t>
      </w:r>
      <w:r>
        <w:rPr/>
        <w:t>IFRS</w:t>
      </w:r>
      <w:r>
        <w:rPr>
          <w:spacing w:val="-6"/>
        </w:rPr>
        <w:t> </w:t>
      </w:r>
      <w:r>
        <w:rPr/>
        <w:t>adoption</w:t>
      </w:r>
      <w:r>
        <w:rPr>
          <w:spacing w:val="-7"/>
        </w:rPr>
        <w:t> </w:t>
      </w:r>
      <w:r>
        <w:rPr/>
        <w:t>(0.0009,</w:t>
      </w:r>
      <w:r>
        <w:rPr>
          <w:spacing w:val="-4"/>
        </w:rPr>
        <w:t> </w:t>
      </w:r>
      <w:r>
        <w:rPr/>
        <w:t>p=0.0153).</w:t>
      </w:r>
      <w:r>
        <w:rPr>
          <w:spacing w:val="-7"/>
        </w:rPr>
        <w:t> </w:t>
      </w:r>
      <w:r>
        <w:rPr/>
        <w:t>Similarly, BLOWN had a positive effect on QUA-FRQ although not significant at 5% (-5.01e-05, p=0.8254) and the interaction Post-IFRS*BLOWN was negative and significant at 5% (- 0.0006, p=0.0233).</w:t>
      </w:r>
      <w:r>
        <w:rPr>
          <w:spacing w:val="40"/>
        </w:rPr>
        <w:t> </w:t>
      </w:r>
      <w:r>
        <w:rPr/>
        <w:t>Hence, in testing the presence of incremental IFRS adoption effect, BLOWN showed evidence of a significant decremental effect on QUA-FRQ resulting from IFRS adoption (-0.0006, p=0.0233) indicating that the increase in block ownership significantly declined qualitative</w:t>
      </w:r>
      <w:r>
        <w:rPr>
          <w:spacing w:val="-1"/>
        </w:rPr>
        <w:t> </w:t>
      </w:r>
      <w:r>
        <w:rPr/>
        <w:t>attributes of FRQ</w:t>
      </w:r>
      <w:r>
        <w:rPr>
          <w:spacing w:val="-1"/>
        </w:rPr>
        <w:t> </w:t>
      </w:r>
      <w:r>
        <w:rPr/>
        <w:t>after</w:t>
      </w:r>
      <w:r>
        <w:rPr>
          <w:spacing w:val="-1"/>
        </w:rPr>
        <w:t> </w:t>
      </w:r>
      <w:r>
        <w:rPr/>
        <w:t>the adoption of IFRS. Looking at the </w:t>
      </w:r>
      <w:r>
        <w:rPr>
          <w:position w:val="2"/>
        </w:rPr>
        <w:t>control variables, Fage showed evidence of significant effects on QUA-FRQ. The χ</w:t>
      </w:r>
      <w:r>
        <w:rPr>
          <w:position w:val="2"/>
          <w:vertAlign w:val="superscript"/>
        </w:rPr>
        <w:t>2</w:t>
      </w:r>
      <w:r>
        <w:rPr>
          <w:sz w:val="16"/>
          <w:vertAlign w:val="baseline"/>
        </w:rPr>
        <w:t>Hetero</w:t>
      </w:r>
      <w:r>
        <w:rPr>
          <w:spacing w:val="38"/>
          <w:sz w:val="16"/>
          <w:vertAlign w:val="baseline"/>
        </w:rPr>
        <w:t> </w:t>
      </w:r>
      <w:r>
        <w:rPr>
          <w:position w:val="2"/>
          <w:vertAlign w:val="baseline"/>
        </w:rPr>
        <w:t>p- value (0.195) implied the homoscedastic behaviour of the errors and the χ</w:t>
      </w:r>
      <w:r>
        <w:rPr>
          <w:position w:val="2"/>
          <w:vertAlign w:val="superscript"/>
        </w:rPr>
        <w:t>2</w:t>
      </w:r>
      <w:r>
        <w:rPr>
          <w:sz w:val="16"/>
          <w:vertAlign w:val="baseline"/>
        </w:rPr>
        <w:t>Serial/Corr </w:t>
      </w:r>
      <w:r>
        <w:rPr>
          <w:position w:val="2"/>
          <w:vertAlign w:val="baseline"/>
        </w:rPr>
        <w:t>p-value (0.16)</w:t>
      </w:r>
      <w:r>
        <w:rPr>
          <w:spacing w:val="-9"/>
          <w:position w:val="2"/>
          <w:vertAlign w:val="baseline"/>
        </w:rPr>
        <w:t> </w:t>
      </w:r>
      <w:r>
        <w:rPr>
          <w:position w:val="2"/>
          <w:vertAlign w:val="baseline"/>
        </w:rPr>
        <w:t>also</w:t>
      </w:r>
      <w:r>
        <w:rPr>
          <w:spacing w:val="-8"/>
          <w:position w:val="2"/>
          <w:vertAlign w:val="baseline"/>
        </w:rPr>
        <w:t> </w:t>
      </w:r>
      <w:r>
        <w:rPr>
          <w:position w:val="2"/>
          <w:vertAlign w:val="baseline"/>
        </w:rPr>
        <w:t>revealed</w:t>
      </w:r>
      <w:r>
        <w:rPr>
          <w:spacing w:val="-8"/>
          <w:position w:val="2"/>
          <w:vertAlign w:val="baseline"/>
        </w:rPr>
        <w:t> </w:t>
      </w:r>
      <w:r>
        <w:rPr>
          <w:position w:val="2"/>
          <w:vertAlign w:val="baseline"/>
        </w:rPr>
        <w:t>the</w:t>
      </w:r>
      <w:r>
        <w:rPr>
          <w:spacing w:val="-9"/>
          <w:position w:val="2"/>
          <w:vertAlign w:val="baseline"/>
        </w:rPr>
        <w:t> </w:t>
      </w:r>
      <w:r>
        <w:rPr>
          <w:position w:val="2"/>
          <w:vertAlign w:val="baseline"/>
        </w:rPr>
        <w:t>absence</w:t>
      </w:r>
      <w:r>
        <w:rPr>
          <w:spacing w:val="-9"/>
          <w:position w:val="2"/>
          <w:vertAlign w:val="baseline"/>
        </w:rPr>
        <w:t> </w:t>
      </w:r>
      <w:r>
        <w:rPr>
          <w:position w:val="2"/>
          <w:vertAlign w:val="baseline"/>
        </w:rPr>
        <w:t>of</w:t>
      </w:r>
      <w:r>
        <w:rPr>
          <w:spacing w:val="-8"/>
          <w:position w:val="2"/>
          <w:vertAlign w:val="baseline"/>
        </w:rPr>
        <w:t> </w:t>
      </w:r>
      <w:r>
        <w:rPr>
          <w:position w:val="2"/>
          <w:vertAlign w:val="baseline"/>
        </w:rPr>
        <w:t>a</w:t>
      </w:r>
      <w:r>
        <w:rPr>
          <w:spacing w:val="-9"/>
          <w:position w:val="2"/>
          <w:vertAlign w:val="baseline"/>
        </w:rPr>
        <w:t> </w:t>
      </w:r>
      <w:r>
        <w:rPr>
          <w:position w:val="2"/>
          <w:vertAlign w:val="baseline"/>
        </w:rPr>
        <w:t>serial</w:t>
      </w:r>
      <w:r>
        <w:rPr>
          <w:spacing w:val="-8"/>
          <w:position w:val="2"/>
          <w:vertAlign w:val="baseline"/>
        </w:rPr>
        <w:t> </w:t>
      </w:r>
      <w:r>
        <w:rPr>
          <w:position w:val="2"/>
          <w:vertAlign w:val="baseline"/>
        </w:rPr>
        <w:t>correlation.</w:t>
      </w:r>
      <w:r>
        <w:rPr>
          <w:spacing w:val="-8"/>
          <w:position w:val="2"/>
          <w:vertAlign w:val="baseline"/>
        </w:rPr>
        <w:t> </w:t>
      </w:r>
      <w:r>
        <w:rPr>
          <w:position w:val="2"/>
          <w:vertAlign w:val="baseline"/>
        </w:rPr>
        <w:t>In</w:t>
      </w:r>
      <w:r>
        <w:rPr>
          <w:spacing w:val="-8"/>
          <w:position w:val="2"/>
          <w:vertAlign w:val="baseline"/>
        </w:rPr>
        <w:t> </w:t>
      </w:r>
      <w:r>
        <w:rPr>
          <w:position w:val="2"/>
          <w:vertAlign w:val="baseline"/>
        </w:rPr>
        <w:t>addition,</w:t>
      </w:r>
      <w:r>
        <w:rPr>
          <w:spacing w:val="-8"/>
          <w:position w:val="2"/>
          <w:vertAlign w:val="baseline"/>
        </w:rPr>
        <w:t> </w:t>
      </w:r>
      <w:r>
        <w:rPr>
          <w:position w:val="2"/>
          <w:vertAlign w:val="baseline"/>
        </w:rPr>
        <w:t>χ</w:t>
      </w:r>
      <w:r>
        <w:rPr>
          <w:position w:val="2"/>
          <w:vertAlign w:val="superscript"/>
        </w:rPr>
        <w:t>2</w:t>
      </w:r>
      <w:r>
        <w:rPr>
          <w:sz w:val="16"/>
          <w:vertAlign w:val="baseline"/>
        </w:rPr>
        <w:t>ramsey-reset</w:t>
      </w:r>
      <w:r>
        <w:rPr>
          <w:spacing w:val="13"/>
          <w:sz w:val="16"/>
          <w:vertAlign w:val="baseline"/>
        </w:rPr>
        <w:t> </w:t>
      </w:r>
      <w:r>
        <w:rPr>
          <w:position w:val="2"/>
          <w:vertAlign w:val="baseline"/>
        </w:rPr>
        <w:t>(0.433)</w:t>
      </w:r>
      <w:r>
        <w:rPr>
          <w:spacing w:val="-9"/>
          <w:position w:val="2"/>
          <w:vertAlign w:val="baseline"/>
        </w:rPr>
        <w:t> </w:t>
      </w:r>
      <w:r>
        <w:rPr>
          <w:position w:val="2"/>
          <w:vertAlign w:val="baseline"/>
        </w:rPr>
        <w:t>revealed </w:t>
      </w:r>
      <w:r>
        <w:rPr>
          <w:vertAlign w:val="baseline"/>
        </w:rPr>
        <w:t>that the series followed a normal distribution. Moving to the difference in difference estimations,</w:t>
      </w:r>
      <w:r>
        <w:rPr>
          <w:spacing w:val="13"/>
          <w:vertAlign w:val="baseline"/>
        </w:rPr>
        <w:t> </w:t>
      </w:r>
      <w:r>
        <w:rPr>
          <w:vertAlign w:val="baseline"/>
        </w:rPr>
        <w:t>the</w:t>
      </w:r>
      <w:r>
        <w:rPr>
          <w:spacing w:val="12"/>
          <w:vertAlign w:val="baseline"/>
        </w:rPr>
        <w:t> </w:t>
      </w:r>
      <w:r>
        <w:rPr>
          <w:vertAlign w:val="baseline"/>
        </w:rPr>
        <w:t>D-I-D</w:t>
      </w:r>
      <w:r>
        <w:rPr>
          <w:spacing w:val="15"/>
          <w:vertAlign w:val="baseline"/>
        </w:rPr>
        <w:t> </w:t>
      </w:r>
      <w:r>
        <w:rPr>
          <w:vertAlign w:val="baseline"/>
        </w:rPr>
        <w:t>coefficient</w:t>
      </w:r>
      <w:r>
        <w:rPr>
          <w:spacing w:val="14"/>
          <w:vertAlign w:val="baseline"/>
        </w:rPr>
        <w:t> </w:t>
      </w:r>
      <w:r>
        <w:rPr>
          <w:vertAlign w:val="baseline"/>
        </w:rPr>
        <w:t>was</w:t>
      </w:r>
      <w:r>
        <w:rPr>
          <w:spacing w:val="13"/>
          <w:vertAlign w:val="baseline"/>
        </w:rPr>
        <w:t> </w:t>
      </w:r>
      <w:r>
        <w:rPr>
          <w:vertAlign w:val="baseline"/>
        </w:rPr>
        <w:t>negative</w:t>
      </w:r>
      <w:r>
        <w:rPr>
          <w:spacing w:val="13"/>
          <w:vertAlign w:val="baseline"/>
        </w:rPr>
        <w:t> </w:t>
      </w:r>
      <w:r>
        <w:rPr>
          <w:vertAlign w:val="baseline"/>
        </w:rPr>
        <w:t>although</w:t>
      </w:r>
      <w:r>
        <w:rPr>
          <w:spacing w:val="13"/>
          <w:vertAlign w:val="baseline"/>
        </w:rPr>
        <w:t> </w:t>
      </w:r>
      <w:r>
        <w:rPr>
          <w:vertAlign w:val="baseline"/>
        </w:rPr>
        <w:t>not</w:t>
      </w:r>
      <w:r>
        <w:rPr>
          <w:spacing w:val="14"/>
          <w:vertAlign w:val="baseline"/>
        </w:rPr>
        <w:t> </w:t>
      </w:r>
      <w:r>
        <w:rPr>
          <w:vertAlign w:val="baseline"/>
        </w:rPr>
        <w:t>significant</w:t>
      </w:r>
      <w:r>
        <w:rPr>
          <w:spacing w:val="13"/>
          <w:vertAlign w:val="baseline"/>
        </w:rPr>
        <w:t> </w:t>
      </w:r>
      <w:r>
        <w:rPr>
          <w:vertAlign w:val="baseline"/>
        </w:rPr>
        <w:t>(-0.0568,</w:t>
      </w:r>
      <w:r>
        <w:rPr>
          <w:spacing w:val="13"/>
          <w:vertAlign w:val="baseline"/>
        </w:rPr>
        <w:t> </w:t>
      </w:r>
      <w:r>
        <w:rPr>
          <w:spacing w:val="-2"/>
          <w:vertAlign w:val="baseline"/>
        </w:rPr>
        <w:t>p=0.0895)</w:t>
      </w:r>
    </w:p>
    <w:p>
      <w:pPr>
        <w:spacing w:after="0" w:line="475" w:lineRule="auto"/>
        <w:jc w:val="both"/>
        <w:sectPr>
          <w:pgSz w:w="11910" w:h="16840"/>
          <w:pgMar w:header="0" w:footer="971" w:top="1360" w:bottom="1160" w:left="500" w:right="0"/>
        </w:sectPr>
      </w:pPr>
    </w:p>
    <w:p>
      <w:pPr>
        <w:pStyle w:val="BodyText"/>
        <w:spacing w:line="480" w:lineRule="auto" w:before="61"/>
        <w:ind w:left="940" w:right="1436"/>
      </w:pPr>
      <w:r>
        <w:rPr/>
        <w:t>at</w:t>
      </w:r>
      <w:r>
        <w:rPr>
          <w:spacing w:val="40"/>
        </w:rPr>
        <w:t> </w:t>
      </w:r>
      <w:r>
        <w:rPr/>
        <w:t>5%</w:t>
      </w:r>
      <w:r>
        <w:rPr>
          <w:spacing w:val="40"/>
        </w:rPr>
        <w:t> </w:t>
      </w:r>
      <w:r>
        <w:rPr/>
        <w:t>and</w:t>
      </w:r>
      <w:r>
        <w:rPr>
          <w:spacing w:val="40"/>
        </w:rPr>
        <w:t> </w:t>
      </w:r>
      <w:r>
        <w:rPr/>
        <w:t>hence,</w:t>
      </w:r>
      <w:r>
        <w:rPr>
          <w:spacing w:val="40"/>
        </w:rPr>
        <w:t> </w:t>
      </w:r>
      <w:r>
        <w:rPr/>
        <w:t>it</w:t>
      </w:r>
      <w:r>
        <w:rPr>
          <w:spacing w:val="40"/>
        </w:rPr>
        <w:t> </w:t>
      </w:r>
      <w:r>
        <w:rPr/>
        <w:t>suggested</w:t>
      </w:r>
      <w:r>
        <w:rPr>
          <w:spacing w:val="40"/>
        </w:rPr>
        <w:t> </w:t>
      </w:r>
      <w:r>
        <w:rPr/>
        <w:t>that</w:t>
      </w:r>
      <w:r>
        <w:rPr>
          <w:spacing w:val="40"/>
        </w:rPr>
        <w:t> </w:t>
      </w:r>
      <w:r>
        <w:rPr/>
        <w:t>the</w:t>
      </w:r>
      <w:r>
        <w:rPr>
          <w:spacing w:val="40"/>
        </w:rPr>
        <w:t> </w:t>
      </w:r>
      <w:r>
        <w:rPr/>
        <w:t>there</w:t>
      </w:r>
      <w:r>
        <w:rPr>
          <w:spacing w:val="40"/>
        </w:rPr>
        <w:t> </w:t>
      </w:r>
      <w:r>
        <w:rPr/>
        <w:t>was</w:t>
      </w:r>
      <w:r>
        <w:rPr>
          <w:spacing w:val="40"/>
        </w:rPr>
        <w:t> </w:t>
      </w:r>
      <w:r>
        <w:rPr/>
        <w:t>no</w:t>
      </w:r>
      <w:r>
        <w:rPr>
          <w:spacing w:val="40"/>
        </w:rPr>
        <w:t> </w:t>
      </w:r>
      <w:r>
        <w:rPr/>
        <w:t>strong</w:t>
      </w:r>
      <w:r>
        <w:rPr>
          <w:spacing w:val="40"/>
        </w:rPr>
        <w:t> </w:t>
      </w:r>
      <w:r>
        <w:rPr/>
        <w:t>evidence</w:t>
      </w:r>
      <w:r>
        <w:rPr>
          <w:spacing w:val="40"/>
        </w:rPr>
        <w:t> </w:t>
      </w:r>
      <w:r>
        <w:rPr/>
        <w:t>of</w:t>
      </w:r>
      <w:r>
        <w:rPr>
          <w:spacing w:val="40"/>
        </w:rPr>
        <w:t> </w:t>
      </w:r>
      <w:r>
        <w:rPr/>
        <w:t>an</w:t>
      </w:r>
      <w:r>
        <w:rPr>
          <w:spacing w:val="40"/>
        </w:rPr>
        <w:t> </w:t>
      </w:r>
      <w:r>
        <w:rPr/>
        <w:t>IFRS</w:t>
      </w:r>
      <w:r>
        <w:rPr>
          <w:spacing w:val="40"/>
        </w:rPr>
        <w:t> </w:t>
      </w:r>
      <w:r>
        <w:rPr/>
        <w:t>effect responsible for changes in firms’ FRQ in the pre and post IFRS periods.</w:t>
      </w:r>
    </w:p>
    <w:p>
      <w:pPr>
        <w:pStyle w:val="BodyText"/>
      </w:pPr>
    </w:p>
    <w:p>
      <w:pPr>
        <w:pStyle w:val="BodyText"/>
      </w:pPr>
    </w:p>
    <w:p>
      <w:pPr>
        <w:pStyle w:val="BodyText"/>
        <w:ind w:left="2073"/>
      </w:pPr>
      <w:r>
        <w:rPr/>
        <w:t>Table</w:t>
      </w:r>
      <w:r>
        <w:rPr>
          <w:spacing w:val="-2"/>
        </w:rPr>
        <w:t> </w:t>
      </w:r>
      <w:r>
        <w:rPr/>
        <w:t>4.8.</w:t>
      </w:r>
      <w:r>
        <w:rPr>
          <w:spacing w:val="-1"/>
        </w:rPr>
        <w:t> </w:t>
      </w:r>
      <w:r>
        <w:rPr/>
        <w:t>DISACC</w:t>
      </w:r>
      <w:r>
        <w:rPr>
          <w:spacing w:val="-2"/>
        </w:rPr>
        <w:t> </w:t>
      </w:r>
      <w:r>
        <w:rPr/>
        <w:t>and</w:t>
      </w:r>
      <w:r>
        <w:rPr>
          <w:spacing w:val="1"/>
        </w:rPr>
        <w:t> </w:t>
      </w:r>
      <w:r>
        <w:rPr/>
        <w:t>Board</w:t>
      </w:r>
      <w:r>
        <w:rPr>
          <w:spacing w:val="-2"/>
        </w:rPr>
        <w:t> </w:t>
      </w:r>
      <w:r>
        <w:rPr/>
        <w:t>Structure</w:t>
      </w:r>
      <w:r>
        <w:rPr>
          <w:spacing w:val="-3"/>
        </w:rPr>
        <w:t> </w:t>
      </w:r>
      <w:r>
        <w:rPr/>
        <w:t>Regression</w:t>
      </w:r>
      <w:r>
        <w:rPr>
          <w:spacing w:val="-1"/>
        </w:rPr>
        <w:t> </w:t>
      </w:r>
      <w:r>
        <w:rPr>
          <w:spacing w:val="-2"/>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9"/>
        <w:gridCol w:w="1892"/>
        <w:gridCol w:w="1801"/>
        <w:gridCol w:w="1889"/>
      </w:tblGrid>
      <w:tr>
        <w:trPr>
          <w:trHeight w:val="460" w:hRule="atLeast"/>
        </w:trPr>
        <w:tc>
          <w:tcPr>
            <w:tcW w:w="1906" w:type="dxa"/>
            <w:tcBorders>
              <w:left w:val="nil"/>
              <w:bottom w:val="single" w:sz="4" w:space="0" w:color="000000"/>
            </w:tcBorders>
          </w:tcPr>
          <w:p>
            <w:pPr>
              <w:pStyle w:val="TableParagraph"/>
              <w:rPr>
                <w:rFonts w:ascii="Times New Roman"/>
                <w:sz w:val="20"/>
              </w:rPr>
            </w:pPr>
          </w:p>
        </w:tc>
        <w:tc>
          <w:tcPr>
            <w:tcW w:w="989" w:type="dxa"/>
            <w:tcBorders>
              <w:bottom w:val="single" w:sz="4" w:space="0" w:color="000000"/>
            </w:tcBorders>
          </w:tcPr>
          <w:p>
            <w:pPr>
              <w:pStyle w:val="TableParagraph"/>
              <w:spacing w:line="230" w:lineRule="atLeast"/>
              <w:ind w:left="100" w:right="337"/>
              <w:rPr>
                <w:rFonts w:ascii="Times New Roman"/>
                <w:sz w:val="20"/>
              </w:rPr>
            </w:pPr>
            <w:r>
              <w:rPr>
                <w:rFonts w:ascii="Times New Roman"/>
                <w:spacing w:val="-2"/>
                <w:sz w:val="20"/>
              </w:rPr>
              <w:t>Aprori </w:t>
            </w:r>
            <w:r>
              <w:rPr>
                <w:rFonts w:ascii="Times New Roman"/>
                <w:spacing w:val="-4"/>
                <w:sz w:val="20"/>
              </w:rPr>
              <w:t>sign</w:t>
            </w:r>
          </w:p>
        </w:tc>
        <w:tc>
          <w:tcPr>
            <w:tcW w:w="5582" w:type="dxa"/>
            <w:gridSpan w:val="3"/>
            <w:tcBorders>
              <w:bottom w:val="single" w:sz="4" w:space="0" w:color="000000"/>
              <w:right w:val="nil"/>
            </w:tcBorders>
          </w:tcPr>
          <w:p>
            <w:pPr>
              <w:pStyle w:val="TableParagraph"/>
              <w:ind w:left="1591"/>
              <w:rPr>
                <w:rFonts w:ascii="Times New Roman"/>
                <w:sz w:val="20"/>
              </w:rPr>
            </w:pPr>
            <w:r>
              <w:rPr>
                <w:rFonts w:ascii="Times New Roman"/>
                <w:sz w:val="20"/>
              </w:rPr>
              <w:t>Dependent</w:t>
            </w:r>
            <w:r>
              <w:rPr>
                <w:rFonts w:ascii="Times New Roman"/>
                <w:spacing w:val="-6"/>
                <w:sz w:val="20"/>
              </w:rPr>
              <w:t> </w:t>
            </w:r>
            <w:r>
              <w:rPr>
                <w:rFonts w:ascii="Times New Roman"/>
                <w:sz w:val="20"/>
              </w:rPr>
              <w:t>Variable</w:t>
            </w:r>
            <w:r>
              <w:rPr>
                <w:rFonts w:ascii="Times New Roman"/>
                <w:spacing w:val="-5"/>
                <w:sz w:val="20"/>
              </w:rPr>
              <w:t> </w:t>
            </w:r>
            <w:r>
              <w:rPr>
                <w:rFonts w:ascii="Times New Roman"/>
                <w:spacing w:val="-2"/>
                <w:sz w:val="20"/>
              </w:rPr>
              <w:t>DISACC</w:t>
            </w:r>
          </w:p>
        </w:tc>
      </w:tr>
      <w:tr>
        <w:trPr>
          <w:trHeight w:val="460" w:hRule="atLeast"/>
        </w:trPr>
        <w:tc>
          <w:tcPr>
            <w:tcW w:w="1906" w:type="dxa"/>
            <w:tcBorders>
              <w:top w:val="single" w:sz="4" w:space="0" w:color="000000"/>
              <w:left w:val="nil"/>
            </w:tcBorders>
          </w:tcPr>
          <w:p>
            <w:pPr>
              <w:pStyle w:val="TableParagraph"/>
              <w:rPr>
                <w:rFonts w:ascii="Times New Roman"/>
                <w:sz w:val="20"/>
              </w:rPr>
            </w:pPr>
          </w:p>
        </w:tc>
        <w:tc>
          <w:tcPr>
            <w:tcW w:w="989" w:type="dxa"/>
            <w:tcBorders>
              <w:top w:val="single" w:sz="4" w:space="0" w:color="000000"/>
            </w:tcBorders>
          </w:tcPr>
          <w:p>
            <w:pPr>
              <w:pStyle w:val="TableParagraph"/>
              <w:rPr>
                <w:rFonts w:ascii="Times New Roman"/>
                <w:sz w:val="20"/>
              </w:rPr>
            </w:pPr>
          </w:p>
        </w:tc>
        <w:tc>
          <w:tcPr>
            <w:tcW w:w="1892" w:type="dxa"/>
            <w:tcBorders>
              <w:top w:val="single" w:sz="4" w:space="0" w:color="000000"/>
              <w:right w:val="single" w:sz="4" w:space="0" w:color="000000"/>
            </w:tcBorders>
          </w:tcPr>
          <w:p>
            <w:pPr>
              <w:pStyle w:val="TableParagraph"/>
              <w:spacing w:line="230" w:lineRule="atLeast"/>
              <w:ind w:left="566" w:right="417" w:hanging="147"/>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1801" w:type="dxa"/>
            <w:tcBorders>
              <w:top w:val="single" w:sz="4" w:space="0" w:color="000000"/>
              <w:left w:val="single" w:sz="4" w:space="0" w:color="000000"/>
              <w:right w:val="single" w:sz="4" w:space="0" w:color="000000"/>
            </w:tcBorders>
          </w:tcPr>
          <w:p>
            <w:pPr>
              <w:pStyle w:val="TableParagraph"/>
              <w:spacing w:line="230" w:lineRule="atLeast"/>
              <w:ind w:left="520" w:right="263" w:hanging="260"/>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1889" w:type="dxa"/>
            <w:tcBorders>
              <w:top w:val="single" w:sz="4" w:space="0" w:color="000000"/>
              <w:left w:val="single" w:sz="4" w:space="0" w:color="000000"/>
              <w:right w:val="nil"/>
            </w:tcBorders>
          </w:tcPr>
          <w:p>
            <w:pPr>
              <w:pStyle w:val="TableParagraph"/>
              <w:spacing w:line="230" w:lineRule="atLeast"/>
              <w:ind w:left="111" w:right="116" w:firstLine="252"/>
              <w:rPr>
                <w:rFonts w:ascii="Times New Roman"/>
                <w:sz w:val="20"/>
              </w:rPr>
            </w:pPr>
            <w:r>
              <w:rPr>
                <w:rFonts w:ascii="Times New Roman"/>
                <w:spacing w:val="-2"/>
                <w:sz w:val="20"/>
              </w:rPr>
              <w:t>Difference-in- </w:t>
            </w:r>
            <w:r>
              <w:rPr>
                <w:rFonts w:ascii="Times New Roman"/>
                <w:sz w:val="20"/>
              </w:rPr>
              <w:t>Difference</w:t>
            </w:r>
            <w:r>
              <w:rPr>
                <w:rFonts w:ascii="Times New Roman"/>
                <w:spacing w:val="-13"/>
                <w:sz w:val="20"/>
              </w:rPr>
              <w:t> </w:t>
            </w:r>
            <w:r>
              <w:rPr>
                <w:rFonts w:ascii="Times New Roman"/>
                <w:sz w:val="20"/>
              </w:rPr>
              <w:t>estimates</w:t>
            </w:r>
          </w:p>
        </w:tc>
      </w:tr>
      <w:tr>
        <w:trPr>
          <w:trHeight w:val="287" w:hRule="atLeast"/>
        </w:trPr>
        <w:tc>
          <w:tcPr>
            <w:tcW w:w="1906" w:type="dxa"/>
            <w:tcBorders>
              <w:left w:val="nil"/>
              <w:bottom w:val="nil"/>
            </w:tcBorders>
          </w:tcPr>
          <w:p>
            <w:pPr>
              <w:pStyle w:val="TableParagraph"/>
              <w:ind w:left="159" w:right="144"/>
              <w:jc w:val="center"/>
              <w:rPr>
                <w:rFonts w:ascii="Times New Roman"/>
                <w:sz w:val="19"/>
              </w:rPr>
            </w:pPr>
            <w:r>
              <w:rPr/>
              <mc:AlternateContent>
                <mc:Choice Requires="wps">
                  <w:drawing>
                    <wp:anchor distT="0" distB="0" distL="0" distR="0" allowOverlap="1" layoutInCell="1" locked="0" behindDoc="1" simplePos="0" relativeHeight="477743104">
                      <wp:simplePos x="0" y="0"/>
                      <wp:positionH relativeFrom="column">
                        <wp:posOffset>14630</wp:posOffset>
                      </wp:positionH>
                      <wp:positionV relativeFrom="paragraph">
                        <wp:posOffset>-19060</wp:posOffset>
                      </wp:positionV>
                      <wp:extent cx="5107305" cy="5238115"/>
                      <wp:effectExtent l="0" t="0" r="0" b="0"/>
                      <wp:wrapNone/>
                      <wp:docPr id="184" name="Group 184"/>
                      <wp:cNvGraphicFramePr>
                        <a:graphicFrameLocks/>
                      </wp:cNvGraphicFramePr>
                      <a:graphic>
                        <a:graphicData uri="http://schemas.microsoft.com/office/word/2010/wordprocessingGroup">
                          <wpg:wgp>
                            <wpg:cNvPr id="184" name="Group 184"/>
                            <wpg:cNvGrpSpPr/>
                            <wpg:grpSpPr>
                              <a:xfrm>
                                <a:off x="0" y="0"/>
                                <a:ext cx="5107305" cy="5238115"/>
                                <a:chExt cx="5107305" cy="5238115"/>
                              </a:xfrm>
                            </wpg:grpSpPr>
                            <pic:pic>
                              <pic:nvPicPr>
                                <pic:cNvPr id="185" name="Image 185"/>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1.152pt;margin-top:-1.500835pt;width:402.15pt;height:412.45pt;mso-position-horizontal-relative:column;mso-position-vertical-relative:paragraph;z-index:-25573376" id="docshapegroup48" coordorigin="23,-30" coordsize="8043,8249">
                      <v:shape style="position:absolute;left:23;top:-31;width:8043;height:8249" type="#_x0000_t75" id="docshape49" stroked="false">
                        <v:imagedata r:id="rId5" o:title=""/>
                      </v:shape>
                      <w10:wrap type="none"/>
                    </v:group>
                  </w:pict>
                </mc:Fallback>
              </mc:AlternateContent>
            </w:r>
            <w:r>
              <w:rPr>
                <w:rFonts w:ascii="Times New Roman"/>
                <w:spacing w:val="-10"/>
                <w:sz w:val="19"/>
              </w:rPr>
              <w:t>C</w:t>
            </w:r>
          </w:p>
        </w:tc>
        <w:tc>
          <w:tcPr>
            <w:tcW w:w="989" w:type="dxa"/>
            <w:vMerge w:val="restart"/>
            <w:tcBorders>
              <w:bottom w:val="single" w:sz="4" w:space="0" w:color="000000"/>
            </w:tcBorders>
          </w:tcPr>
          <w:p>
            <w:pPr>
              <w:pStyle w:val="TableParagraph"/>
              <w:rPr>
                <w:rFonts w:ascii="Times New Roman"/>
                <w:sz w:val="20"/>
              </w:rPr>
            </w:pPr>
          </w:p>
        </w:tc>
        <w:tc>
          <w:tcPr>
            <w:tcW w:w="1892" w:type="dxa"/>
            <w:tcBorders>
              <w:bottom w:val="nil"/>
              <w:right w:val="single" w:sz="4" w:space="0" w:color="000000"/>
            </w:tcBorders>
          </w:tcPr>
          <w:p>
            <w:pPr>
              <w:pStyle w:val="TableParagraph"/>
              <w:ind w:left="449" w:right="454"/>
              <w:jc w:val="center"/>
              <w:rPr>
                <w:rFonts w:ascii="Times New Roman"/>
                <w:sz w:val="20"/>
              </w:rPr>
            </w:pPr>
            <w:r>
              <w:rPr>
                <w:rFonts w:ascii="Times New Roman"/>
                <w:spacing w:val="-2"/>
                <w:sz w:val="20"/>
              </w:rPr>
              <w:t>0.3285***</w:t>
            </w:r>
          </w:p>
        </w:tc>
        <w:tc>
          <w:tcPr>
            <w:tcW w:w="1801" w:type="dxa"/>
            <w:tcBorders>
              <w:left w:val="single" w:sz="4" w:space="0" w:color="000000"/>
              <w:bottom w:val="nil"/>
              <w:right w:val="single" w:sz="4" w:space="0" w:color="000000"/>
            </w:tcBorders>
          </w:tcPr>
          <w:p>
            <w:pPr>
              <w:pStyle w:val="TableParagraph"/>
              <w:ind w:left="10" w:right="17"/>
              <w:jc w:val="center"/>
              <w:rPr>
                <w:rFonts w:ascii="Times New Roman"/>
                <w:sz w:val="20"/>
              </w:rPr>
            </w:pPr>
            <w:r>
              <w:rPr>
                <w:rFonts w:ascii="Times New Roman"/>
                <w:spacing w:val="-2"/>
                <w:sz w:val="20"/>
              </w:rPr>
              <w:t>1.313421</w:t>
            </w:r>
          </w:p>
        </w:tc>
        <w:tc>
          <w:tcPr>
            <w:tcW w:w="1889" w:type="dxa"/>
            <w:tcBorders>
              <w:left w:val="single" w:sz="4" w:space="0" w:color="000000"/>
              <w:bottom w:val="nil"/>
              <w:right w:val="nil"/>
            </w:tcBorders>
          </w:tcPr>
          <w:p>
            <w:pPr>
              <w:pStyle w:val="TableParagraph"/>
              <w:ind w:left="5" w:right="24"/>
              <w:jc w:val="center"/>
              <w:rPr>
                <w:rFonts w:ascii="Times New Roman"/>
                <w:sz w:val="20"/>
              </w:rPr>
            </w:pPr>
            <w:r>
              <w:rPr>
                <w:rFonts w:ascii="Times New Roman"/>
                <w:spacing w:val="-2"/>
                <w:sz w:val="20"/>
              </w:rPr>
              <w:t>1.70316</w:t>
            </w:r>
          </w:p>
        </w:tc>
      </w:tr>
      <w:tr>
        <w:trPr>
          <w:trHeight w:val="335" w:hRule="atLeast"/>
        </w:trPr>
        <w:tc>
          <w:tcPr>
            <w:tcW w:w="1906" w:type="dxa"/>
            <w:tcBorders>
              <w:top w:val="nil"/>
              <w:left w:val="nil"/>
              <w:bottom w:val="nil"/>
            </w:tcBorders>
          </w:tcPr>
          <w:p>
            <w:pPr>
              <w:pStyle w:val="TableParagraph"/>
              <w:rPr>
                <w:rFonts w:ascii="Times New Roman"/>
                <w:sz w:val="20"/>
              </w:rPr>
            </w:pPr>
          </w:p>
        </w:tc>
        <w:tc>
          <w:tcPr>
            <w:tcW w:w="989" w:type="dxa"/>
            <w:vMerge/>
            <w:tcBorders>
              <w:top w:val="nil"/>
              <w:bottom w:val="single" w:sz="4" w:space="0" w:color="000000"/>
            </w:tcBorders>
          </w:tcPr>
          <w:p>
            <w:pPr>
              <w:rPr>
                <w:sz w:val="2"/>
                <w:szCs w:val="2"/>
              </w:rPr>
            </w:pPr>
          </w:p>
        </w:tc>
        <w:tc>
          <w:tcPr>
            <w:tcW w:w="1892" w:type="dxa"/>
            <w:tcBorders>
              <w:top w:val="nil"/>
              <w:bottom w:val="nil"/>
              <w:right w:val="single" w:sz="4" w:space="0" w:color="000000"/>
            </w:tcBorders>
          </w:tcPr>
          <w:p>
            <w:pPr>
              <w:pStyle w:val="TableParagraph"/>
              <w:spacing w:before="48"/>
              <w:ind w:left="453" w:right="454"/>
              <w:jc w:val="center"/>
              <w:rPr>
                <w:rFonts w:ascii="Times New Roman"/>
                <w:sz w:val="20"/>
              </w:rPr>
            </w:pPr>
            <w:r>
              <w:rPr>
                <w:rFonts w:ascii="Times New Roman"/>
                <w:spacing w:val="-2"/>
                <w:sz w:val="20"/>
              </w:rPr>
              <w:t>(0.0882)</w:t>
            </w:r>
          </w:p>
        </w:tc>
        <w:tc>
          <w:tcPr>
            <w:tcW w:w="1801" w:type="dxa"/>
            <w:tcBorders>
              <w:top w:val="nil"/>
              <w:left w:val="single" w:sz="4" w:space="0" w:color="000000"/>
              <w:bottom w:val="nil"/>
              <w:right w:val="single" w:sz="4" w:space="0" w:color="000000"/>
            </w:tcBorders>
          </w:tcPr>
          <w:p>
            <w:pPr>
              <w:pStyle w:val="TableParagraph"/>
              <w:spacing w:before="48"/>
              <w:ind w:left="13" w:right="17"/>
              <w:jc w:val="center"/>
              <w:rPr>
                <w:rFonts w:ascii="Times New Roman"/>
                <w:sz w:val="20"/>
              </w:rPr>
            </w:pPr>
            <w:r>
              <w:rPr>
                <w:rFonts w:ascii="Times New Roman"/>
                <w:spacing w:val="-2"/>
                <w:sz w:val="20"/>
              </w:rPr>
              <w:t>(1.02339)</w:t>
            </w:r>
          </w:p>
        </w:tc>
        <w:tc>
          <w:tcPr>
            <w:tcW w:w="1889" w:type="dxa"/>
            <w:tcBorders>
              <w:top w:val="nil"/>
              <w:left w:val="single" w:sz="4" w:space="0" w:color="000000"/>
              <w:bottom w:val="nil"/>
              <w:right w:val="nil"/>
            </w:tcBorders>
          </w:tcPr>
          <w:p>
            <w:pPr>
              <w:pStyle w:val="TableParagraph"/>
              <w:spacing w:before="48"/>
              <w:ind w:left="5" w:right="24"/>
              <w:jc w:val="center"/>
              <w:rPr>
                <w:rFonts w:ascii="Times New Roman"/>
                <w:sz w:val="20"/>
              </w:rPr>
            </w:pPr>
            <w:r>
              <w:rPr>
                <w:rFonts w:ascii="Times New Roman"/>
                <w:spacing w:val="-2"/>
                <w:sz w:val="20"/>
              </w:rPr>
              <w:t>(4.9474)</w:t>
            </w:r>
          </w:p>
        </w:tc>
      </w:tr>
      <w:tr>
        <w:trPr>
          <w:trHeight w:val="391" w:hRule="atLeast"/>
        </w:trPr>
        <w:tc>
          <w:tcPr>
            <w:tcW w:w="1906" w:type="dxa"/>
            <w:tcBorders>
              <w:top w:val="nil"/>
              <w:left w:val="nil"/>
              <w:bottom w:val="single" w:sz="4" w:space="0" w:color="000000"/>
            </w:tcBorders>
          </w:tcPr>
          <w:p>
            <w:pPr>
              <w:pStyle w:val="TableParagraph"/>
              <w:rPr>
                <w:rFonts w:ascii="Times New Roman"/>
                <w:sz w:val="20"/>
              </w:rPr>
            </w:pPr>
          </w:p>
        </w:tc>
        <w:tc>
          <w:tcPr>
            <w:tcW w:w="989" w:type="dxa"/>
            <w:vMerge/>
            <w:tcBorders>
              <w:top w:val="nil"/>
              <w:bottom w:val="single" w:sz="4" w:space="0" w:color="000000"/>
            </w:tcBorders>
          </w:tcPr>
          <w:p>
            <w:pPr>
              <w:rPr>
                <w:sz w:val="2"/>
                <w:szCs w:val="2"/>
              </w:rPr>
            </w:pPr>
          </w:p>
        </w:tc>
        <w:tc>
          <w:tcPr>
            <w:tcW w:w="1892" w:type="dxa"/>
            <w:tcBorders>
              <w:top w:val="nil"/>
              <w:bottom w:val="single" w:sz="4" w:space="0" w:color="000000"/>
              <w:right w:val="single" w:sz="4" w:space="0" w:color="000000"/>
            </w:tcBorders>
          </w:tcPr>
          <w:p>
            <w:pPr>
              <w:pStyle w:val="TableParagraph"/>
              <w:spacing w:before="48"/>
              <w:ind w:left="454" w:right="454"/>
              <w:jc w:val="center"/>
              <w:rPr>
                <w:rFonts w:ascii="Times New Roman"/>
                <w:sz w:val="20"/>
              </w:rPr>
            </w:pPr>
            <w:r>
              <w:rPr>
                <w:rFonts w:ascii="Times New Roman"/>
                <w:spacing w:val="-2"/>
                <w:sz w:val="20"/>
              </w:rPr>
              <w:t>{0.0003}</w:t>
            </w:r>
          </w:p>
        </w:tc>
        <w:tc>
          <w:tcPr>
            <w:tcW w:w="1801" w:type="dxa"/>
            <w:tcBorders>
              <w:top w:val="nil"/>
              <w:left w:val="single" w:sz="4" w:space="0" w:color="000000"/>
              <w:bottom w:val="single" w:sz="4" w:space="0" w:color="000000"/>
              <w:right w:val="single" w:sz="4" w:space="0" w:color="000000"/>
            </w:tcBorders>
          </w:tcPr>
          <w:p>
            <w:pPr>
              <w:pStyle w:val="TableParagraph"/>
              <w:spacing w:before="48"/>
              <w:ind w:left="11" w:right="17"/>
              <w:jc w:val="center"/>
              <w:rPr>
                <w:rFonts w:ascii="Times New Roman"/>
                <w:sz w:val="20"/>
              </w:rPr>
            </w:pPr>
            <w:r>
              <w:rPr>
                <w:rFonts w:ascii="Times New Roman"/>
                <w:spacing w:val="-2"/>
                <w:sz w:val="20"/>
              </w:rPr>
              <w:t>{0.2010}</w:t>
            </w:r>
          </w:p>
        </w:tc>
        <w:tc>
          <w:tcPr>
            <w:tcW w:w="1889" w:type="dxa"/>
            <w:tcBorders>
              <w:top w:val="nil"/>
              <w:left w:val="single" w:sz="4" w:space="0" w:color="000000"/>
              <w:bottom w:val="single" w:sz="4" w:space="0" w:color="000000"/>
              <w:right w:val="nil"/>
            </w:tcBorders>
          </w:tcPr>
          <w:p>
            <w:pPr>
              <w:pStyle w:val="TableParagraph"/>
              <w:spacing w:before="48"/>
              <w:ind w:left="16" w:right="24"/>
              <w:jc w:val="center"/>
              <w:rPr>
                <w:rFonts w:ascii="Times New Roman"/>
                <w:sz w:val="20"/>
              </w:rPr>
            </w:pPr>
            <w:r>
              <w:rPr>
                <w:rFonts w:ascii="Times New Roman"/>
                <w:spacing w:val="-2"/>
                <w:sz w:val="20"/>
              </w:rPr>
              <w:t>{0.7311}</w:t>
            </w:r>
          </w:p>
        </w:tc>
      </w:tr>
      <w:tr>
        <w:trPr>
          <w:trHeight w:val="284" w:hRule="atLeast"/>
        </w:trPr>
        <w:tc>
          <w:tcPr>
            <w:tcW w:w="1906" w:type="dxa"/>
            <w:tcBorders>
              <w:top w:val="single" w:sz="4" w:space="0" w:color="000000"/>
              <w:left w:val="nil"/>
              <w:bottom w:val="nil"/>
            </w:tcBorders>
          </w:tcPr>
          <w:p>
            <w:pPr>
              <w:pStyle w:val="TableParagraph"/>
              <w:spacing w:before="2"/>
              <w:ind w:left="159" w:right="146"/>
              <w:jc w:val="center"/>
              <w:rPr>
                <w:rFonts w:ascii="Times New Roman"/>
                <w:sz w:val="19"/>
              </w:rPr>
            </w:pPr>
            <w:r>
              <w:rPr>
                <w:rFonts w:ascii="Times New Roman"/>
                <w:spacing w:val="-2"/>
                <w:sz w:val="19"/>
              </w:rPr>
              <w:t>Post-</w:t>
            </w:r>
            <w:r>
              <w:rPr>
                <w:rFonts w:ascii="Times New Roman"/>
                <w:spacing w:val="-4"/>
                <w:sz w:val="19"/>
              </w:rPr>
              <w:t>IFRS</w:t>
            </w:r>
          </w:p>
        </w:tc>
        <w:tc>
          <w:tcPr>
            <w:tcW w:w="989" w:type="dxa"/>
            <w:tcBorders>
              <w:top w:val="single" w:sz="4" w:space="0" w:color="000000"/>
              <w:bottom w:val="nil"/>
            </w:tcBorders>
          </w:tcPr>
          <w:p>
            <w:pPr>
              <w:pStyle w:val="TableParagraph"/>
              <w:rPr>
                <w:rFonts w:ascii="Times New Roman"/>
                <w:sz w:val="20"/>
              </w:rPr>
            </w:pPr>
          </w:p>
        </w:tc>
        <w:tc>
          <w:tcPr>
            <w:tcW w:w="1892" w:type="dxa"/>
            <w:tcBorders>
              <w:top w:val="single" w:sz="4" w:space="0" w:color="000000"/>
              <w:bottom w:val="nil"/>
              <w:right w:val="single" w:sz="4" w:space="0" w:color="000000"/>
            </w:tcBorders>
          </w:tcPr>
          <w:p>
            <w:pPr>
              <w:pStyle w:val="TableParagraph"/>
              <w:spacing w:before="2"/>
              <w:ind w:left="444" w:right="454"/>
              <w:jc w:val="center"/>
              <w:rPr>
                <w:rFonts w:ascii="Times New Roman"/>
                <w:sz w:val="20"/>
              </w:rPr>
            </w:pPr>
            <w:r>
              <w:rPr>
                <w:rFonts w:ascii="Times New Roman"/>
                <w:spacing w:val="-2"/>
                <w:sz w:val="20"/>
              </w:rPr>
              <w:t>-0.5669</w:t>
            </w:r>
          </w:p>
        </w:tc>
        <w:tc>
          <w:tcPr>
            <w:tcW w:w="1801" w:type="dxa"/>
            <w:tcBorders>
              <w:top w:val="single" w:sz="4" w:space="0" w:color="000000"/>
              <w:left w:val="single" w:sz="4" w:space="0" w:color="000000"/>
              <w:bottom w:val="nil"/>
              <w:right w:val="single" w:sz="4" w:space="0" w:color="000000"/>
            </w:tcBorders>
          </w:tcPr>
          <w:p>
            <w:pPr>
              <w:pStyle w:val="TableParagraph"/>
              <w:spacing w:before="2"/>
              <w:ind w:left="11" w:right="17"/>
              <w:jc w:val="center"/>
              <w:rPr>
                <w:rFonts w:ascii="Times New Roman"/>
                <w:sz w:val="20"/>
              </w:rPr>
            </w:pPr>
            <w:r>
              <w:rPr>
                <w:rFonts w:ascii="Times New Roman"/>
                <w:spacing w:val="-2"/>
                <w:sz w:val="20"/>
              </w:rPr>
              <w:t>-0.6632</w:t>
            </w:r>
          </w:p>
        </w:tc>
        <w:tc>
          <w:tcPr>
            <w:tcW w:w="1889" w:type="dxa"/>
            <w:tcBorders>
              <w:top w:val="single" w:sz="4" w:space="0" w:color="000000"/>
              <w:left w:val="single" w:sz="4" w:space="0" w:color="000000"/>
              <w:bottom w:val="nil"/>
              <w:right w:val="nil"/>
            </w:tcBorders>
          </w:tcPr>
          <w:p>
            <w:pPr>
              <w:pStyle w:val="TableParagraph"/>
              <w:spacing w:before="2"/>
              <w:ind w:left="6" w:right="24"/>
              <w:jc w:val="center"/>
              <w:rPr>
                <w:rFonts w:ascii="Times New Roman"/>
                <w:sz w:val="20"/>
              </w:rPr>
            </w:pPr>
            <w:r>
              <w:rPr>
                <w:rFonts w:ascii="Times New Roman"/>
                <w:spacing w:val="-2"/>
                <w:sz w:val="20"/>
              </w:rPr>
              <w:t>0.0936</w:t>
            </w:r>
          </w:p>
        </w:tc>
      </w:tr>
      <w:tr>
        <w:trPr>
          <w:trHeight w:val="413" w:hRule="atLeast"/>
        </w:trPr>
        <w:tc>
          <w:tcPr>
            <w:tcW w:w="1906" w:type="dxa"/>
            <w:tcBorders>
              <w:top w:val="nil"/>
              <w:left w:val="nil"/>
              <w:bottom w:val="nil"/>
            </w:tcBorders>
          </w:tcPr>
          <w:p>
            <w:pPr>
              <w:pStyle w:val="TableParagraph"/>
              <w:rPr>
                <w:rFonts w:ascii="Times New Roman"/>
                <w:sz w:val="20"/>
              </w:rPr>
            </w:pPr>
          </w:p>
        </w:tc>
        <w:tc>
          <w:tcPr>
            <w:tcW w:w="989" w:type="dxa"/>
            <w:tcBorders>
              <w:top w:val="nil"/>
              <w:bottom w:val="nil"/>
            </w:tcBorders>
          </w:tcPr>
          <w:p>
            <w:pPr>
              <w:pStyle w:val="TableParagraph"/>
              <w:spacing w:before="44"/>
              <w:ind w:right="6"/>
              <w:jc w:val="center"/>
              <w:rPr>
                <w:rFonts w:ascii="Times New Roman"/>
                <w:sz w:val="19"/>
              </w:rPr>
            </w:pPr>
            <w:r>
              <w:rPr>
                <w:rFonts w:ascii="Times New Roman"/>
                <w:spacing w:val="-10"/>
                <w:sz w:val="19"/>
              </w:rPr>
              <w:t>+</w:t>
            </w:r>
          </w:p>
        </w:tc>
        <w:tc>
          <w:tcPr>
            <w:tcW w:w="1892" w:type="dxa"/>
            <w:tcBorders>
              <w:top w:val="nil"/>
              <w:bottom w:val="nil"/>
              <w:right w:val="single" w:sz="4" w:space="0" w:color="000000"/>
            </w:tcBorders>
          </w:tcPr>
          <w:p>
            <w:pPr>
              <w:pStyle w:val="TableParagraph"/>
              <w:spacing w:before="147"/>
              <w:ind w:left="441" w:right="454"/>
              <w:jc w:val="center"/>
              <w:rPr>
                <w:rFonts w:ascii="Times New Roman"/>
                <w:sz w:val="20"/>
              </w:rPr>
            </w:pPr>
            <w:r>
              <w:rPr>
                <w:rFonts w:ascii="Times New Roman"/>
                <w:spacing w:val="-2"/>
                <w:sz w:val="20"/>
              </w:rPr>
              <w:t>(0.62426)</w:t>
            </w:r>
          </w:p>
        </w:tc>
        <w:tc>
          <w:tcPr>
            <w:tcW w:w="1801" w:type="dxa"/>
            <w:tcBorders>
              <w:top w:val="nil"/>
              <w:left w:val="single" w:sz="4" w:space="0" w:color="000000"/>
              <w:bottom w:val="nil"/>
              <w:right w:val="single" w:sz="4" w:space="0" w:color="000000"/>
            </w:tcBorders>
          </w:tcPr>
          <w:p>
            <w:pPr>
              <w:pStyle w:val="TableParagraph"/>
              <w:spacing w:before="61"/>
              <w:ind w:left="11" w:right="17"/>
              <w:jc w:val="center"/>
              <w:rPr>
                <w:rFonts w:ascii="Times New Roman"/>
                <w:sz w:val="20"/>
              </w:rPr>
            </w:pPr>
            <w:r>
              <w:rPr>
                <w:rFonts w:ascii="Times New Roman"/>
                <w:spacing w:val="-2"/>
                <w:sz w:val="20"/>
              </w:rPr>
              <w:t>(0.9137)</w:t>
            </w:r>
          </w:p>
        </w:tc>
        <w:tc>
          <w:tcPr>
            <w:tcW w:w="1889" w:type="dxa"/>
            <w:tcBorders>
              <w:top w:val="nil"/>
              <w:left w:val="single" w:sz="4" w:space="0" w:color="000000"/>
              <w:bottom w:val="nil"/>
              <w:right w:val="nil"/>
            </w:tcBorders>
          </w:tcPr>
          <w:p>
            <w:pPr>
              <w:pStyle w:val="TableParagraph"/>
              <w:spacing w:line="212" w:lineRule="exact" w:before="181"/>
              <w:ind w:left="5" w:right="24"/>
              <w:jc w:val="center"/>
              <w:rPr>
                <w:rFonts w:ascii="Times New Roman"/>
                <w:sz w:val="20"/>
              </w:rPr>
            </w:pPr>
            <w:r>
              <w:rPr>
                <w:rFonts w:ascii="Times New Roman"/>
                <w:spacing w:val="-2"/>
                <w:sz w:val="20"/>
              </w:rPr>
              <w:t>(4.8396)</w:t>
            </w:r>
          </w:p>
        </w:tc>
      </w:tr>
      <w:tr>
        <w:trPr>
          <w:trHeight w:val="575" w:hRule="atLeast"/>
        </w:trPr>
        <w:tc>
          <w:tcPr>
            <w:tcW w:w="1906" w:type="dxa"/>
            <w:tcBorders>
              <w:top w:val="nil"/>
              <w:left w:val="nil"/>
              <w:bottom w:val="single" w:sz="4" w:space="0" w:color="000000"/>
            </w:tcBorders>
          </w:tcPr>
          <w:p>
            <w:pPr>
              <w:pStyle w:val="TableParagraph"/>
              <w:rPr>
                <w:rFonts w:ascii="Times New Roman"/>
                <w:sz w:val="20"/>
              </w:rPr>
            </w:pPr>
          </w:p>
        </w:tc>
        <w:tc>
          <w:tcPr>
            <w:tcW w:w="989" w:type="dxa"/>
            <w:tcBorders>
              <w:top w:val="nil"/>
            </w:tcBorders>
          </w:tcPr>
          <w:p>
            <w:pPr>
              <w:pStyle w:val="TableParagraph"/>
              <w:rPr>
                <w:rFonts w:ascii="Times New Roman"/>
                <w:sz w:val="20"/>
              </w:rPr>
            </w:pPr>
          </w:p>
        </w:tc>
        <w:tc>
          <w:tcPr>
            <w:tcW w:w="1892" w:type="dxa"/>
            <w:tcBorders>
              <w:top w:val="nil"/>
              <w:right w:val="single" w:sz="4" w:space="0" w:color="000000"/>
            </w:tcBorders>
          </w:tcPr>
          <w:p>
            <w:pPr>
              <w:pStyle w:val="TableParagraph"/>
              <w:spacing w:before="163"/>
              <w:ind w:left="454" w:right="454"/>
              <w:jc w:val="center"/>
              <w:rPr>
                <w:rFonts w:ascii="Times New Roman"/>
                <w:sz w:val="20"/>
              </w:rPr>
            </w:pPr>
            <w:r>
              <w:rPr>
                <w:rFonts w:ascii="Times New Roman"/>
                <w:spacing w:val="-2"/>
                <w:sz w:val="20"/>
              </w:rPr>
              <w:t>{0.3651}</w:t>
            </w:r>
          </w:p>
        </w:tc>
        <w:tc>
          <w:tcPr>
            <w:tcW w:w="1801" w:type="dxa"/>
            <w:tcBorders>
              <w:top w:val="nil"/>
              <w:left w:val="single" w:sz="4" w:space="0" w:color="000000"/>
              <w:right w:val="single" w:sz="4" w:space="0" w:color="000000"/>
            </w:tcBorders>
          </w:tcPr>
          <w:p>
            <w:pPr>
              <w:pStyle w:val="TableParagraph"/>
              <w:spacing w:line="223" w:lineRule="exact"/>
              <w:ind w:left="11" w:right="17"/>
              <w:jc w:val="center"/>
              <w:rPr>
                <w:rFonts w:ascii="Times New Roman"/>
                <w:sz w:val="20"/>
              </w:rPr>
            </w:pPr>
            <w:r>
              <w:rPr>
                <w:rFonts w:ascii="Times New Roman"/>
                <w:spacing w:val="-2"/>
                <w:sz w:val="20"/>
              </w:rPr>
              <w:t>{0.4689}</w:t>
            </w:r>
          </w:p>
        </w:tc>
        <w:tc>
          <w:tcPr>
            <w:tcW w:w="1889" w:type="dxa"/>
            <w:tcBorders>
              <w:top w:val="nil"/>
              <w:left w:val="single" w:sz="4" w:space="0" w:color="000000"/>
              <w:right w:val="nil"/>
            </w:tcBorders>
          </w:tcPr>
          <w:p>
            <w:pPr>
              <w:pStyle w:val="TableParagraph"/>
              <w:spacing w:before="3"/>
              <w:rPr>
                <w:rFonts w:ascii="Times New Roman"/>
                <w:sz w:val="20"/>
              </w:rPr>
            </w:pPr>
          </w:p>
          <w:p>
            <w:pPr>
              <w:pStyle w:val="TableParagraph"/>
              <w:ind w:left="16" w:right="24"/>
              <w:jc w:val="center"/>
              <w:rPr>
                <w:rFonts w:ascii="Times New Roman"/>
                <w:sz w:val="20"/>
              </w:rPr>
            </w:pPr>
            <w:r>
              <w:rPr>
                <w:rFonts w:ascii="Times New Roman"/>
                <w:spacing w:val="-2"/>
                <w:sz w:val="20"/>
              </w:rPr>
              <w:t>{0.9846}</w:t>
            </w:r>
          </w:p>
        </w:tc>
      </w:tr>
      <w:tr>
        <w:trPr>
          <w:trHeight w:val="283" w:hRule="atLeast"/>
        </w:trPr>
        <w:tc>
          <w:tcPr>
            <w:tcW w:w="1906" w:type="dxa"/>
            <w:tcBorders>
              <w:top w:val="single" w:sz="4" w:space="0" w:color="000000"/>
              <w:left w:val="nil"/>
              <w:bottom w:val="nil"/>
            </w:tcBorders>
          </w:tcPr>
          <w:p>
            <w:pPr>
              <w:pStyle w:val="TableParagraph"/>
              <w:ind w:left="159" w:right="144"/>
              <w:jc w:val="center"/>
              <w:rPr>
                <w:rFonts w:ascii="Times New Roman"/>
                <w:sz w:val="19"/>
              </w:rPr>
            </w:pPr>
            <w:r>
              <w:rPr>
                <w:rFonts w:ascii="Times New Roman"/>
                <w:spacing w:val="-5"/>
                <w:sz w:val="19"/>
              </w:rPr>
              <w:t>TG</w:t>
            </w:r>
          </w:p>
        </w:tc>
        <w:tc>
          <w:tcPr>
            <w:tcW w:w="989" w:type="dxa"/>
            <w:tcBorders>
              <w:bottom w:val="nil"/>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ind w:left="454" w:right="454"/>
              <w:jc w:val="center"/>
              <w:rPr>
                <w:rFonts w:ascii="Times New Roman"/>
                <w:sz w:val="20"/>
              </w:rPr>
            </w:pPr>
            <w:r>
              <w:rPr>
                <w:rFonts w:ascii="Times New Roman"/>
                <w:spacing w:val="-2"/>
                <w:sz w:val="20"/>
              </w:rPr>
              <w:t>-0.0672</w:t>
            </w:r>
          </w:p>
        </w:tc>
        <w:tc>
          <w:tcPr>
            <w:tcW w:w="1801" w:type="dxa"/>
            <w:tcBorders>
              <w:left w:val="single" w:sz="4" w:space="0" w:color="000000"/>
              <w:bottom w:val="nil"/>
            </w:tcBorders>
          </w:tcPr>
          <w:p>
            <w:pPr>
              <w:pStyle w:val="TableParagraph"/>
              <w:ind w:left="11" w:right="17"/>
              <w:jc w:val="center"/>
              <w:rPr>
                <w:rFonts w:ascii="Times New Roman"/>
                <w:sz w:val="20"/>
              </w:rPr>
            </w:pPr>
            <w:r>
              <w:rPr>
                <w:rFonts w:ascii="Times New Roman"/>
                <w:spacing w:val="-2"/>
                <w:sz w:val="20"/>
              </w:rPr>
              <w:t>0.0458</w:t>
            </w:r>
          </w:p>
        </w:tc>
        <w:tc>
          <w:tcPr>
            <w:tcW w:w="1889" w:type="dxa"/>
            <w:tcBorders>
              <w:bottom w:val="nil"/>
              <w:right w:val="nil"/>
            </w:tcBorders>
          </w:tcPr>
          <w:p>
            <w:pPr>
              <w:pStyle w:val="TableParagraph"/>
              <w:ind w:left="6" w:right="24"/>
              <w:jc w:val="center"/>
              <w:rPr>
                <w:rFonts w:ascii="Times New Roman"/>
                <w:sz w:val="20"/>
              </w:rPr>
            </w:pPr>
            <w:r>
              <w:rPr>
                <w:rFonts w:ascii="Times New Roman"/>
                <w:spacing w:val="-2"/>
                <w:sz w:val="20"/>
              </w:rPr>
              <w:t>-0.0482</w:t>
            </w:r>
          </w:p>
        </w:tc>
      </w:tr>
      <w:tr>
        <w:trPr>
          <w:trHeight w:val="414" w:hRule="atLeast"/>
        </w:trPr>
        <w:tc>
          <w:tcPr>
            <w:tcW w:w="1906" w:type="dxa"/>
            <w:tcBorders>
              <w:top w:val="nil"/>
              <w:left w:val="nil"/>
              <w:bottom w:val="nil"/>
            </w:tcBorders>
          </w:tcPr>
          <w:p>
            <w:pPr>
              <w:pStyle w:val="TableParagraph"/>
              <w:rPr>
                <w:rFonts w:ascii="Times New Roman"/>
                <w:sz w:val="20"/>
              </w:rPr>
            </w:pPr>
          </w:p>
        </w:tc>
        <w:tc>
          <w:tcPr>
            <w:tcW w:w="989" w:type="dxa"/>
            <w:tcBorders>
              <w:top w:val="nil"/>
              <w:bottom w:val="nil"/>
              <w:right w:val="single" w:sz="4" w:space="0" w:color="000000"/>
            </w:tcBorders>
          </w:tcPr>
          <w:p>
            <w:pPr>
              <w:pStyle w:val="TableParagraph"/>
              <w:spacing w:before="45"/>
              <w:ind w:right="6"/>
              <w:jc w:val="center"/>
              <w:rPr>
                <w:rFonts w:ascii="Times New Roman"/>
                <w:sz w:val="19"/>
              </w:rPr>
            </w:pPr>
            <w:r>
              <w:rPr>
                <w:rFonts w:ascii="Times New Roman"/>
                <w:spacing w:val="-10"/>
                <w:sz w:val="19"/>
              </w:rPr>
              <w:t>+</w:t>
            </w:r>
          </w:p>
        </w:tc>
        <w:tc>
          <w:tcPr>
            <w:tcW w:w="1892" w:type="dxa"/>
            <w:tcBorders>
              <w:top w:val="nil"/>
              <w:left w:val="single" w:sz="4" w:space="0" w:color="000000"/>
              <w:bottom w:val="nil"/>
              <w:right w:val="single" w:sz="4" w:space="0" w:color="000000"/>
            </w:tcBorders>
          </w:tcPr>
          <w:p>
            <w:pPr>
              <w:pStyle w:val="TableParagraph"/>
              <w:spacing w:before="62"/>
              <w:ind w:left="453" w:right="454"/>
              <w:jc w:val="center"/>
              <w:rPr>
                <w:rFonts w:ascii="Times New Roman"/>
                <w:sz w:val="20"/>
              </w:rPr>
            </w:pPr>
            <w:r>
              <w:rPr>
                <w:rFonts w:ascii="Times New Roman"/>
                <w:spacing w:val="-2"/>
                <w:sz w:val="20"/>
              </w:rPr>
              <w:t>(0.0561)</w:t>
            </w:r>
          </w:p>
        </w:tc>
        <w:tc>
          <w:tcPr>
            <w:tcW w:w="1801" w:type="dxa"/>
            <w:tcBorders>
              <w:top w:val="nil"/>
              <w:left w:val="single" w:sz="4" w:space="0" w:color="000000"/>
              <w:bottom w:val="nil"/>
            </w:tcBorders>
          </w:tcPr>
          <w:p>
            <w:pPr>
              <w:pStyle w:val="TableParagraph"/>
              <w:spacing w:before="62"/>
              <w:ind w:left="11" w:right="17"/>
              <w:jc w:val="center"/>
              <w:rPr>
                <w:rFonts w:ascii="Times New Roman"/>
                <w:sz w:val="20"/>
              </w:rPr>
            </w:pPr>
            <w:r>
              <w:rPr>
                <w:rFonts w:ascii="Times New Roman"/>
                <w:spacing w:val="-2"/>
                <w:sz w:val="20"/>
              </w:rPr>
              <w:t>(0.0599)</w:t>
            </w:r>
          </w:p>
        </w:tc>
        <w:tc>
          <w:tcPr>
            <w:tcW w:w="1889" w:type="dxa"/>
            <w:tcBorders>
              <w:top w:val="nil"/>
              <w:bottom w:val="nil"/>
              <w:right w:val="nil"/>
            </w:tcBorders>
          </w:tcPr>
          <w:p>
            <w:pPr>
              <w:pStyle w:val="TableParagraph"/>
              <w:spacing w:line="212" w:lineRule="exact" w:before="182"/>
              <w:ind w:left="5" w:right="24"/>
              <w:jc w:val="center"/>
              <w:rPr>
                <w:rFonts w:ascii="Times New Roman"/>
                <w:sz w:val="20"/>
              </w:rPr>
            </w:pPr>
            <w:r>
              <w:rPr>
                <w:rFonts w:ascii="Times New Roman"/>
                <w:spacing w:val="-2"/>
                <w:sz w:val="20"/>
              </w:rPr>
              <w:t>(4.8366)</w:t>
            </w:r>
          </w:p>
        </w:tc>
      </w:tr>
      <w:tr>
        <w:trPr>
          <w:trHeight w:val="232" w:hRule="atLeast"/>
        </w:trPr>
        <w:tc>
          <w:tcPr>
            <w:tcW w:w="1906" w:type="dxa"/>
            <w:tcBorders>
              <w:top w:val="nil"/>
              <w:left w:val="nil"/>
              <w:bottom w:val="nil"/>
            </w:tcBorders>
          </w:tcPr>
          <w:p>
            <w:pPr>
              <w:pStyle w:val="TableParagraph"/>
              <w:rPr>
                <w:rFonts w:ascii="Times New Roman"/>
                <w:sz w:val="16"/>
              </w:rPr>
            </w:pPr>
          </w:p>
        </w:tc>
        <w:tc>
          <w:tcPr>
            <w:tcW w:w="989" w:type="dxa"/>
            <w:tcBorders>
              <w:top w:val="nil"/>
              <w:bottom w:val="nil"/>
              <w:right w:val="single" w:sz="4" w:space="0" w:color="000000"/>
            </w:tcBorders>
          </w:tcPr>
          <w:p>
            <w:pPr>
              <w:pStyle w:val="TableParagraph"/>
              <w:rPr>
                <w:rFonts w:ascii="Times New Roman"/>
                <w:sz w:val="16"/>
              </w:rPr>
            </w:pPr>
          </w:p>
        </w:tc>
        <w:tc>
          <w:tcPr>
            <w:tcW w:w="1892" w:type="dxa"/>
            <w:tcBorders>
              <w:top w:val="nil"/>
              <w:left w:val="single" w:sz="4" w:space="0" w:color="000000"/>
              <w:bottom w:val="nil"/>
              <w:right w:val="single" w:sz="4" w:space="0" w:color="000000"/>
            </w:tcBorders>
          </w:tcPr>
          <w:p>
            <w:pPr>
              <w:pStyle w:val="TableParagraph"/>
              <w:spacing w:line="213" w:lineRule="exact"/>
              <w:ind w:left="454" w:right="454"/>
              <w:jc w:val="center"/>
              <w:rPr>
                <w:rFonts w:ascii="Times New Roman"/>
                <w:sz w:val="20"/>
              </w:rPr>
            </w:pPr>
            <w:r>
              <w:rPr>
                <w:rFonts w:ascii="Times New Roman"/>
                <w:spacing w:val="-2"/>
                <w:sz w:val="20"/>
              </w:rPr>
              <w:t>{0.2327}</w:t>
            </w:r>
          </w:p>
        </w:tc>
        <w:tc>
          <w:tcPr>
            <w:tcW w:w="1801" w:type="dxa"/>
            <w:tcBorders>
              <w:top w:val="nil"/>
              <w:left w:val="single" w:sz="4" w:space="0" w:color="000000"/>
              <w:bottom w:val="nil"/>
            </w:tcBorders>
          </w:tcPr>
          <w:p>
            <w:pPr>
              <w:pStyle w:val="TableParagraph"/>
              <w:spacing w:line="213" w:lineRule="exact"/>
              <w:ind w:left="11" w:right="17"/>
              <w:jc w:val="center"/>
              <w:rPr>
                <w:rFonts w:ascii="Times New Roman"/>
                <w:sz w:val="20"/>
              </w:rPr>
            </w:pPr>
            <w:r>
              <w:rPr>
                <w:rFonts w:ascii="Times New Roman"/>
                <w:spacing w:val="-2"/>
                <w:sz w:val="20"/>
              </w:rPr>
              <w:t>{0.4449}</w:t>
            </w:r>
          </w:p>
        </w:tc>
        <w:tc>
          <w:tcPr>
            <w:tcW w:w="1889" w:type="dxa"/>
            <w:tcBorders>
              <w:top w:val="nil"/>
              <w:bottom w:val="nil"/>
              <w:right w:val="nil"/>
            </w:tcBorders>
          </w:tcPr>
          <w:p>
            <w:pPr>
              <w:pStyle w:val="TableParagraph"/>
              <w:rPr>
                <w:rFonts w:ascii="Times New Roman"/>
                <w:sz w:val="16"/>
              </w:rPr>
            </w:pPr>
          </w:p>
        </w:tc>
      </w:tr>
      <w:tr>
        <w:trPr>
          <w:trHeight w:val="343" w:hRule="atLeast"/>
        </w:trPr>
        <w:tc>
          <w:tcPr>
            <w:tcW w:w="1906" w:type="dxa"/>
            <w:tcBorders>
              <w:top w:val="nil"/>
              <w:left w:val="nil"/>
              <w:bottom w:val="single" w:sz="4" w:space="0" w:color="000000"/>
            </w:tcBorders>
          </w:tcPr>
          <w:p>
            <w:pPr>
              <w:pStyle w:val="TableParagraph"/>
              <w:rPr>
                <w:rFonts w:ascii="Times New Roman"/>
                <w:sz w:val="20"/>
              </w:rPr>
            </w:pPr>
          </w:p>
        </w:tc>
        <w:tc>
          <w:tcPr>
            <w:tcW w:w="989" w:type="dxa"/>
            <w:tcBorders>
              <w:top w:val="nil"/>
              <w:right w:val="single" w:sz="4" w:space="0" w:color="000000"/>
            </w:tcBorders>
          </w:tcPr>
          <w:p>
            <w:pPr>
              <w:pStyle w:val="TableParagraph"/>
              <w:rPr>
                <w:rFonts w:ascii="Times New Roman"/>
                <w:sz w:val="20"/>
              </w:rPr>
            </w:pPr>
          </w:p>
        </w:tc>
        <w:tc>
          <w:tcPr>
            <w:tcW w:w="1892" w:type="dxa"/>
            <w:tcBorders>
              <w:top w:val="nil"/>
              <w:left w:val="single" w:sz="4" w:space="0" w:color="000000"/>
              <w:bottom w:val="single" w:sz="4" w:space="0" w:color="000000"/>
              <w:right w:val="single" w:sz="4" w:space="0" w:color="000000"/>
            </w:tcBorders>
          </w:tcPr>
          <w:p>
            <w:pPr>
              <w:pStyle w:val="TableParagraph"/>
              <w:rPr>
                <w:rFonts w:ascii="Times New Roman"/>
                <w:sz w:val="20"/>
              </w:rPr>
            </w:pPr>
          </w:p>
        </w:tc>
        <w:tc>
          <w:tcPr>
            <w:tcW w:w="1801" w:type="dxa"/>
            <w:tcBorders>
              <w:top w:val="nil"/>
              <w:left w:val="single" w:sz="4" w:space="0" w:color="000000"/>
              <w:bottom w:val="single" w:sz="4" w:space="0" w:color="000000"/>
            </w:tcBorders>
          </w:tcPr>
          <w:p>
            <w:pPr>
              <w:pStyle w:val="TableParagraph"/>
              <w:rPr>
                <w:rFonts w:ascii="Times New Roman"/>
                <w:sz w:val="20"/>
              </w:rPr>
            </w:pPr>
          </w:p>
        </w:tc>
        <w:tc>
          <w:tcPr>
            <w:tcW w:w="1889" w:type="dxa"/>
            <w:tcBorders>
              <w:top w:val="nil"/>
              <w:right w:val="nil"/>
            </w:tcBorders>
          </w:tcPr>
          <w:p>
            <w:pPr>
              <w:pStyle w:val="TableParagraph"/>
              <w:ind w:left="16" w:right="24"/>
              <w:jc w:val="center"/>
              <w:rPr>
                <w:rFonts w:ascii="Times New Roman"/>
                <w:sz w:val="20"/>
              </w:rPr>
            </w:pPr>
            <w:r>
              <w:rPr>
                <w:rFonts w:ascii="Times New Roman"/>
                <w:spacing w:val="-2"/>
                <w:sz w:val="20"/>
              </w:rPr>
              <w:t>{0.9921}</w:t>
            </w:r>
          </w:p>
        </w:tc>
      </w:tr>
      <w:tr>
        <w:trPr>
          <w:trHeight w:val="278" w:hRule="atLeast"/>
        </w:trPr>
        <w:tc>
          <w:tcPr>
            <w:tcW w:w="1906" w:type="dxa"/>
            <w:tcBorders>
              <w:top w:val="single" w:sz="4" w:space="0" w:color="000000"/>
              <w:left w:val="nil"/>
              <w:bottom w:val="nil"/>
            </w:tcBorders>
          </w:tcPr>
          <w:p>
            <w:pPr>
              <w:pStyle w:val="TableParagraph"/>
              <w:ind w:left="159" w:right="145"/>
              <w:jc w:val="center"/>
              <w:rPr>
                <w:rFonts w:ascii="Times New Roman"/>
                <w:sz w:val="19"/>
              </w:rPr>
            </w:pPr>
            <w:r>
              <w:rPr>
                <w:rFonts w:ascii="Times New Roman"/>
                <w:spacing w:val="-5"/>
                <w:sz w:val="19"/>
              </w:rPr>
              <w:t>DID</w:t>
            </w:r>
          </w:p>
        </w:tc>
        <w:tc>
          <w:tcPr>
            <w:tcW w:w="989" w:type="dxa"/>
            <w:tcBorders>
              <w:bottom w:val="nil"/>
              <w:right w:val="single" w:sz="4" w:space="0" w:color="000000"/>
            </w:tcBorders>
          </w:tcPr>
          <w:p>
            <w:pPr>
              <w:pStyle w:val="TableParagraph"/>
              <w:rPr>
                <w:rFonts w:ascii="Times New Roman"/>
                <w:sz w:val="20"/>
              </w:rPr>
            </w:pPr>
          </w:p>
        </w:tc>
        <w:tc>
          <w:tcPr>
            <w:tcW w:w="189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0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89" w:type="dxa"/>
            <w:tcBorders>
              <w:left w:val="single" w:sz="4" w:space="0" w:color="000000"/>
              <w:bottom w:val="nil"/>
              <w:right w:val="nil"/>
            </w:tcBorders>
          </w:tcPr>
          <w:p>
            <w:pPr>
              <w:pStyle w:val="TableParagraph"/>
              <w:ind w:left="6" w:right="24"/>
              <w:jc w:val="center"/>
              <w:rPr>
                <w:rFonts w:ascii="Times New Roman"/>
                <w:sz w:val="20"/>
              </w:rPr>
            </w:pPr>
            <w:r>
              <w:rPr>
                <w:rFonts w:ascii="Times New Roman"/>
                <w:spacing w:val="-2"/>
                <w:sz w:val="20"/>
              </w:rPr>
              <w:t>-0.2183</w:t>
            </w:r>
          </w:p>
        </w:tc>
      </w:tr>
      <w:tr>
        <w:trPr>
          <w:trHeight w:val="524" w:hRule="atLeast"/>
        </w:trPr>
        <w:tc>
          <w:tcPr>
            <w:tcW w:w="1906" w:type="dxa"/>
            <w:tcBorders>
              <w:top w:val="nil"/>
              <w:left w:val="nil"/>
              <w:bottom w:val="nil"/>
            </w:tcBorders>
          </w:tcPr>
          <w:p>
            <w:pPr>
              <w:pStyle w:val="TableParagraph"/>
              <w:rPr>
                <w:rFonts w:ascii="Times New Roman"/>
                <w:sz w:val="20"/>
              </w:rPr>
            </w:pPr>
          </w:p>
        </w:tc>
        <w:tc>
          <w:tcPr>
            <w:tcW w:w="989" w:type="dxa"/>
            <w:tcBorders>
              <w:top w:val="nil"/>
              <w:bottom w:val="nil"/>
              <w:right w:val="single" w:sz="4" w:space="0" w:color="000000"/>
            </w:tcBorders>
          </w:tcPr>
          <w:p>
            <w:pPr>
              <w:pStyle w:val="TableParagraph"/>
              <w:spacing w:before="40"/>
              <w:ind w:right="6"/>
              <w:jc w:val="center"/>
              <w:rPr>
                <w:rFonts w:ascii="Times New Roman"/>
                <w:sz w:val="19"/>
              </w:rPr>
            </w:pPr>
            <w:r>
              <w:rPr>
                <w:rFonts w:ascii="Times New Roman"/>
                <w:spacing w:val="-10"/>
                <w:sz w:val="19"/>
              </w:rPr>
              <w:t>+</w:t>
            </w:r>
          </w:p>
        </w:tc>
        <w:tc>
          <w:tcPr>
            <w:tcW w:w="1892" w:type="dxa"/>
            <w:vMerge/>
            <w:tcBorders>
              <w:top w:val="nil"/>
              <w:left w:val="single" w:sz="4" w:space="0" w:color="000000"/>
              <w:bottom w:val="single" w:sz="4" w:space="0" w:color="000000"/>
              <w:right w:val="single" w:sz="4" w:space="0" w:color="000000"/>
            </w:tcBorders>
          </w:tcPr>
          <w:p>
            <w:pPr>
              <w:rPr>
                <w:sz w:val="2"/>
                <w:szCs w:val="2"/>
              </w:rPr>
            </w:pPr>
          </w:p>
        </w:tc>
        <w:tc>
          <w:tcPr>
            <w:tcW w:w="1801" w:type="dxa"/>
            <w:vMerge/>
            <w:tcBorders>
              <w:top w:val="nil"/>
              <w:left w:val="single" w:sz="4" w:space="0" w:color="000000"/>
              <w:bottom w:val="single" w:sz="4" w:space="0" w:color="000000"/>
              <w:right w:val="single" w:sz="4" w:space="0" w:color="000000"/>
            </w:tcBorders>
          </w:tcPr>
          <w:p>
            <w:pPr>
              <w:rPr>
                <w:sz w:val="2"/>
                <w:szCs w:val="2"/>
              </w:rPr>
            </w:pPr>
          </w:p>
        </w:tc>
        <w:tc>
          <w:tcPr>
            <w:tcW w:w="1889" w:type="dxa"/>
            <w:tcBorders>
              <w:top w:val="nil"/>
              <w:left w:val="single" w:sz="4" w:space="0" w:color="000000"/>
              <w:bottom w:val="nil"/>
              <w:right w:val="nil"/>
            </w:tcBorders>
          </w:tcPr>
          <w:p>
            <w:pPr>
              <w:pStyle w:val="TableParagraph"/>
              <w:spacing w:before="177"/>
              <w:ind w:left="5" w:right="24"/>
              <w:jc w:val="center"/>
              <w:rPr>
                <w:rFonts w:ascii="Times New Roman"/>
                <w:sz w:val="20"/>
              </w:rPr>
            </w:pPr>
            <w:r>
              <w:rPr>
                <w:rFonts w:ascii="Times New Roman"/>
                <w:spacing w:val="-2"/>
                <w:sz w:val="20"/>
              </w:rPr>
              <w:t>(5.0615)</w:t>
            </w:r>
          </w:p>
        </w:tc>
      </w:tr>
      <w:tr>
        <w:trPr>
          <w:trHeight w:val="450" w:hRule="atLeast"/>
        </w:trPr>
        <w:tc>
          <w:tcPr>
            <w:tcW w:w="1906" w:type="dxa"/>
            <w:tcBorders>
              <w:top w:val="nil"/>
              <w:left w:val="nil"/>
              <w:bottom w:val="single" w:sz="4" w:space="0" w:color="000000"/>
            </w:tcBorders>
          </w:tcPr>
          <w:p>
            <w:pPr>
              <w:pStyle w:val="TableParagraph"/>
              <w:rPr>
                <w:rFonts w:ascii="Times New Roman"/>
                <w:sz w:val="20"/>
              </w:rPr>
            </w:pPr>
          </w:p>
        </w:tc>
        <w:tc>
          <w:tcPr>
            <w:tcW w:w="989" w:type="dxa"/>
            <w:tcBorders>
              <w:top w:val="nil"/>
              <w:right w:val="single" w:sz="4" w:space="0" w:color="000000"/>
            </w:tcBorders>
          </w:tcPr>
          <w:p>
            <w:pPr>
              <w:pStyle w:val="TableParagraph"/>
              <w:rPr>
                <w:rFonts w:ascii="Times New Roman"/>
                <w:sz w:val="20"/>
              </w:rPr>
            </w:pPr>
          </w:p>
        </w:tc>
        <w:tc>
          <w:tcPr>
            <w:tcW w:w="1892" w:type="dxa"/>
            <w:vMerge/>
            <w:tcBorders>
              <w:top w:val="nil"/>
              <w:left w:val="single" w:sz="4" w:space="0" w:color="000000"/>
              <w:bottom w:val="single" w:sz="4" w:space="0" w:color="000000"/>
              <w:right w:val="single" w:sz="4" w:space="0" w:color="000000"/>
            </w:tcBorders>
          </w:tcPr>
          <w:p>
            <w:pPr>
              <w:rPr>
                <w:sz w:val="2"/>
                <w:szCs w:val="2"/>
              </w:rPr>
            </w:pPr>
          </w:p>
        </w:tc>
        <w:tc>
          <w:tcPr>
            <w:tcW w:w="1801" w:type="dxa"/>
            <w:vMerge/>
            <w:tcBorders>
              <w:top w:val="nil"/>
              <w:left w:val="single" w:sz="4" w:space="0" w:color="000000"/>
              <w:bottom w:val="single" w:sz="4" w:space="0" w:color="000000"/>
              <w:right w:val="single" w:sz="4" w:space="0" w:color="000000"/>
            </w:tcBorders>
          </w:tcPr>
          <w:p>
            <w:pPr>
              <w:rPr>
                <w:sz w:val="2"/>
                <w:szCs w:val="2"/>
              </w:rPr>
            </w:pPr>
          </w:p>
        </w:tc>
        <w:tc>
          <w:tcPr>
            <w:tcW w:w="1889" w:type="dxa"/>
            <w:tcBorders>
              <w:top w:val="nil"/>
              <w:left w:val="single" w:sz="4" w:space="0" w:color="000000"/>
              <w:right w:val="nil"/>
            </w:tcBorders>
          </w:tcPr>
          <w:p>
            <w:pPr>
              <w:pStyle w:val="TableParagraph"/>
              <w:spacing w:before="108"/>
              <w:ind w:left="16" w:right="24"/>
              <w:jc w:val="center"/>
              <w:rPr>
                <w:rFonts w:ascii="Times New Roman"/>
                <w:sz w:val="20"/>
              </w:rPr>
            </w:pPr>
            <w:r>
              <w:rPr>
                <w:rFonts w:ascii="Times New Roman"/>
                <w:spacing w:val="-2"/>
                <w:sz w:val="20"/>
              </w:rPr>
              <w:t>{0.9656}</w:t>
            </w:r>
          </w:p>
        </w:tc>
      </w:tr>
      <w:tr>
        <w:trPr>
          <w:trHeight w:val="287" w:hRule="atLeast"/>
        </w:trPr>
        <w:tc>
          <w:tcPr>
            <w:tcW w:w="1906" w:type="dxa"/>
            <w:tcBorders>
              <w:top w:val="single" w:sz="4" w:space="0" w:color="000000"/>
              <w:left w:val="nil"/>
              <w:bottom w:val="nil"/>
              <w:right w:val="single" w:sz="4" w:space="0" w:color="000000"/>
            </w:tcBorders>
          </w:tcPr>
          <w:p>
            <w:pPr>
              <w:pStyle w:val="TableParagraph"/>
              <w:spacing w:line="206" w:lineRule="exact"/>
              <w:ind w:left="159" w:right="145"/>
              <w:jc w:val="center"/>
              <w:rPr>
                <w:sz w:val="18"/>
              </w:rPr>
            </w:pPr>
            <w:r>
              <w:rPr>
                <w:spacing w:val="-5"/>
                <w:sz w:val="18"/>
              </w:rPr>
              <w:t>BDS</w:t>
            </w:r>
          </w:p>
        </w:tc>
        <w:tc>
          <w:tcPr>
            <w:tcW w:w="989" w:type="dxa"/>
            <w:vMerge w:val="restart"/>
            <w:tcBorders>
              <w:left w:val="single" w:sz="4" w:space="0" w:color="000000"/>
            </w:tcBorders>
          </w:tcPr>
          <w:p>
            <w:pPr>
              <w:pStyle w:val="TableParagraph"/>
              <w:rPr>
                <w:rFonts w:ascii="Times New Roman"/>
                <w:sz w:val="20"/>
              </w:rPr>
            </w:pPr>
          </w:p>
        </w:tc>
        <w:tc>
          <w:tcPr>
            <w:tcW w:w="1892" w:type="dxa"/>
            <w:tcBorders>
              <w:top w:val="single" w:sz="4" w:space="0" w:color="000000"/>
              <w:bottom w:val="nil"/>
              <w:right w:val="single" w:sz="4" w:space="0" w:color="000000"/>
            </w:tcBorders>
          </w:tcPr>
          <w:p>
            <w:pPr>
              <w:pStyle w:val="TableParagraph"/>
              <w:ind w:left="444" w:right="454"/>
              <w:jc w:val="center"/>
              <w:rPr>
                <w:rFonts w:ascii="Times New Roman"/>
                <w:sz w:val="20"/>
              </w:rPr>
            </w:pPr>
            <w:r>
              <w:rPr>
                <w:rFonts w:ascii="Times New Roman"/>
                <w:spacing w:val="-2"/>
                <w:sz w:val="20"/>
              </w:rPr>
              <w:t>-0.0283</w:t>
            </w:r>
          </w:p>
        </w:tc>
        <w:tc>
          <w:tcPr>
            <w:tcW w:w="1801" w:type="dxa"/>
            <w:tcBorders>
              <w:top w:val="single" w:sz="4" w:space="0" w:color="000000"/>
              <w:left w:val="single" w:sz="4" w:space="0" w:color="000000"/>
              <w:bottom w:val="nil"/>
            </w:tcBorders>
          </w:tcPr>
          <w:p>
            <w:pPr>
              <w:pStyle w:val="TableParagraph"/>
              <w:ind w:left="11" w:right="17"/>
              <w:jc w:val="center"/>
              <w:rPr>
                <w:rFonts w:ascii="Times New Roman"/>
                <w:sz w:val="20"/>
              </w:rPr>
            </w:pPr>
            <w:r>
              <w:rPr>
                <w:rFonts w:ascii="Times New Roman"/>
                <w:spacing w:val="-2"/>
                <w:sz w:val="20"/>
              </w:rPr>
              <w:t>-0.0065</w:t>
            </w:r>
          </w:p>
        </w:tc>
        <w:tc>
          <w:tcPr>
            <w:tcW w:w="1889" w:type="dxa"/>
            <w:tcBorders>
              <w:bottom w:val="nil"/>
              <w:right w:val="nil"/>
            </w:tcBorders>
          </w:tcPr>
          <w:p>
            <w:pPr>
              <w:pStyle w:val="TableParagraph"/>
              <w:spacing w:before="2"/>
              <w:ind w:left="6" w:right="24"/>
              <w:jc w:val="center"/>
              <w:rPr>
                <w:rFonts w:ascii="Times New Roman"/>
                <w:sz w:val="18"/>
              </w:rPr>
            </w:pPr>
            <w:r>
              <w:rPr>
                <w:rFonts w:ascii="Times New Roman"/>
                <w:sz w:val="18"/>
              </w:rPr>
              <w:t>-</w:t>
            </w:r>
            <w:r>
              <w:rPr>
                <w:rFonts w:ascii="Times New Roman"/>
                <w:spacing w:val="-2"/>
                <w:sz w:val="18"/>
              </w:rPr>
              <w:t>0.0109</w:t>
            </w:r>
          </w:p>
        </w:tc>
      </w:tr>
      <w:tr>
        <w:trPr>
          <w:trHeight w:val="378"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tcBorders>
          </w:tcPr>
          <w:p>
            <w:pPr>
              <w:rPr>
                <w:sz w:val="2"/>
                <w:szCs w:val="2"/>
              </w:rPr>
            </w:pPr>
          </w:p>
        </w:tc>
        <w:tc>
          <w:tcPr>
            <w:tcW w:w="1892" w:type="dxa"/>
            <w:tcBorders>
              <w:top w:val="nil"/>
              <w:bottom w:val="nil"/>
              <w:right w:val="single" w:sz="4" w:space="0" w:color="000000"/>
            </w:tcBorders>
          </w:tcPr>
          <w:p>
            <w:pPr>
              <w:pStyle w:val="TableParagraph"/>
              <w:spacing w:line="224" w:lineRule="exact" w:before="134"/>
              <w:ind w:left="444" w:right="454"/>
              <w:jc w:val="center"/>
              <w:rPr>
                <w:rFonts w:ascii="Times New Roman"/>
                <w:sz w:val="20"/>
              </w:rPr>
            </w:pPr>
            <w:r>
              <w:rPr>
                <w:rFonts w:ascii="Times New Roman"/>
                <w:spacing w:val="-2"/>
                <w:sz w:val="20"/>
              </w:rPr>
              <w:t>(0.0178)</w:t>
            </w:r>
          </w:p>
        </w:tc>
        <w:tc>
          <w:tcPr>
            <w:tcW w:w="1801" w:type="dxa"/>
            <w:tcBorders>
              <w:top w:val="nil"/>
              <w:left w:val="single" w:sz="4" w:space="0" w:color="000000"/>
              <w:bottom w:val="nil"/>
            </w:tcBorders>
          </w:tcPr>
          <w:p>
            <w:pPr>
              <w:pStyle w:val="TableParagraph"/>
              <w:spacing w:before="48"/>
              <w:ind w:left="11" w:right="17"/>
              <w:jc w:val="center"/>
              <w:rPr>
                <w:rFonts w:ascii="Times New Roman"/>
                <w:sz w:val="20"/>
              </w:rPr>
            </w:pPr>
            <w:r>
              <w:rPr>
                <w:rFonts w:ascii="Times New Roman"/>
                <w:spacing w:val="-2"/>
                <w:sz w:val="20"/>
              </w:rPr>
              <w:t>(0.0186)</w:t>
            </w:r>
          </w:p>
        </w:tc>
        <w:tc>
          <w:tcPr>
            <w:tcW w:w="1889" w:type="dxa"/>
            <w:tcBorders>
              <w:top w:val="nil"/>
              <w:bottom w:val="nil"/>
              <w:right w:val="nil"/>
            </w:tcBorders>
          </w:tcPr>
          <w:p>
            <w:pPr>
              <w:pStyle w:val="TableParagraph"/>
              <w:spacing w:before="143"/>
              <w:ind w:left="4" w:right="24"/>
              <w:jc w:val="center"/>
              <w:rPr>
                <w:rFonts w:ascii="Times New Roman"/>
                <w:sz w:val="18"/>
              </w:rPr>
            </w:pPr>
            <w:r>
              <w:rPr>
                <w:rFonts w:ascii="Times New Roman"/>
                <w:spacing w:val="-2"/>
                <w:sz w:val="18"/>
              </w:rPr>
              <w:t>(0.0183)</w:t>
            </w:r>
          </w:p>
        </w:tc>
      </w:tr>
      <w:tr>
        <w:trPr>
          <w:trHeight w:val="501"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tcBorders>
          </w:tcPr>
          <w:p>
            <w:pPr>
              <w:rPr>
                <w:sz w:val="2"/>
                <w:szCs w:val="2"/>
              </w:rPr>
            </w:pPr>
          </w:p>
        </w:tc>
        <w:tc>
          <w:tcPr>
            <w:tcW w:w="1892" w:type="dxa"/>
            <w:tcBorders>
              <w:top w:val="nil"/>
              <w:right w:val="single" w:sz="4" w:space="0" w:color="000000"/>
            </w:tcBorders>
          </w:tcPr>
          <w:p>
            <w:pPr>
              <w:pStyle w:val="TableParagraph"/>
              <w:spacing w:before="175"/>
              <w:ind w:left="454" w:right="454"/>
              <w:jc w:val="center"/>
              <w:rPr>
                <w:rFonts w:ascii="Times New Roman"/>
                <w:sz w:val="20"/>
              </w:rPr>
            </w:pPr>
            <w:r>
              <w:rPr>
                <w:rFonts w:ascii="Times New Roman"/>
                <w:spacing w:val="-2"/>
                <w:sz w:val="20"/>
              </w:rPr>
              <w:t>{0.1130}</w:t>
            </w:r>
          </w:p>
        </w:tc>
        <w:tc>
          <w:tcPr>
            <w:tcW w:w="1801" w:type="dxa"/>
            <w:tcBorders>
              <w:top w:val="nil"/>
              <w:left w:val="single" w:sz="4" w:space="0" w:color="000000"/>
            </w:tcBorders>
          </w:tcPr>
          <w:p>
            <w:pPr>
              <w:pStyle w:val="TableParagraph"/>
              <w:spacing w:before="5"/>
              <w:ind w:left="11" w:right="17"/>
              <w:jc w:val="center"/>
              <w:rPr>
                <w:rFonts w:ascii="Times New Roman"/>
                <w:sz w:val="20"/>
              </w:rPr>
            </w:pPr>
            <w:r>
              <w:rPr>
                <w:rFonts w:ascii="Times New Roman"/>
                <w:spacing w:val="-2"/>
                <w:sz w:val="20"/>
              </w:rPr>
              <w:t>{0.7243}</w:t>
            </w:r>
          </w:p>
        </w:tc>
        <w:tc>
          <w:tcPr>
            <w:tcW w:w="1889" w:type="dxa"/>
            <w:tcBorders>
              <w:top w:val="nil"/>
              <w:right w:val="nil"/>
            </w:tcBorders>
          </w:tcPr>
          <w:p>
            <w:pPr>
              <w:pStyle w:val="TableParagraph"/>
              <w:spacing w:before="189"/>
              <w:ind w:left="14" w:right="24"/>
              <w:jc w:val="center"/>
              <w:rPr>
                <w:rFonts w:ascii="Times New Roman"/>
                <w:sz w:val="18"/>
              </w:rPr>
            </w:pPr>
            <w:r>
              <w:rPr>
                <w:rFonts w:ascii="Times New Roman"/>
                <w:spacing w:val="-2"/>
                <w:sz w:val="18"/>
              </w:rPr>
              <w:t>{0.5503}</w:t>
            </w:r>
          </w:p>
        </w:tc>
      </w:tr>
      <w:tr>
        <w:trPr>
          <w:trHeight w:val="287" w:hRule="atLeast"/>
        </w:trPr>
        <w:tc>
          <w:tcPr>
            <w:tcW w:w="1906" w:type="dxa"/>
            <w:tcBorders>
              <w:left w:val="nil"/>
              <w:bottom w:val="nil"/>
              <w:right w:val="single" w:sz="4" w:space="0" w:color="000000"/>
            </w:tcBorders>
          </w:tcPr>
          <w:p>
            <w:pPr>
              <w:pStyle w:val="TableParagraph"/>
              <w:ind w:left="159" w:right="148"/>
              <w:jc w:val="center"/>
              <w:rPr>
                <w:rFonts w:ascii="Times New Roman"/>
                <w:sz w:val="20"/>
              </w:rPr>
            </w:pPr>
            <w:r>
              <w:rPr>
                <w:rFonts w:ascii="Times New Roman"/>
                <w:spacing w:val="-2"/>
                <w:sz w:val="20"/>
              </w:rPr>
              <w:t>BDIND</w:t>
            </w:r>
          </w:p>
        </w:tc>
        <w:tc>
          <w:tcPr>
            <w:tcW w:w="989" w:type="dxa"/>
            <w:vMerge w:val="restart"/>
            <w:tcBorders>
              <w:left w:val="single" w:sz="4" w:space="0" w:color="000000"/>
            </w:tcBorders>
          </w:tcPr>
          <w:p>
            <w:pPr>
              <w:pStyle w:val="TableParagraph"/>
              <w:rPr>
                <w:rFonts w:ascii="Times New Roman"/>
                <w:sz w:val="20"/>
              </w:rPr>
            </w:pPr>
          </w:p>
        </w:tc>
        <w:tc>
          <w:tcPr>
            <w:tcW w:w="1892" w:type="dxa"/>
            <w:tcBorders>
              <w:bottom w:val="nil"/>
              <w:right w:val="single" w:sz="4" w:space="0" w:color="000000"/>
            </w:tcBorders>
          </w:tcPr>
          <w:p>
            <w:pPr>
              <w:pStyle w:val="TableParagraph"/>
              <w:ind w:left="441" w:right="454"/>
              <w:jc w:val="center"/>
              <w:rPr>
                <w:rFonts w:ascii="Times New Roman"/>
                <w:sz w:val="20"/>
              </w:rPr>
            </w:pPr>
            <w:r>
              <w:rPr>
                <w:rFonts w:ascii="Times New Roman"/>
                <w:spacing w:val="-2"/>
                <w:sz w:val="20"/>
              </w:rPr>
              <w:t>-1.23075**</w:t>
            </w:r>
          </w:p>
        </w:tc>
        <w:tc>
          <w:tcPr>
            <w:tcW w:w="1801" w:type="dxa"/>
            <w:tcBorders>
              <w:left w:val="single" w:sz="4" w:space="0" w:color="000000"/>
              <w:bottom w:val="nil"/>
            </w:tcBorders>
          </w:tcPr>
          <w:p>
            <w:pPr>
              <w:pStyle w:val="TableParagraph"/>
              <w:ind w:left="8" w:right="17"/>
              <w:jc w:val="center"/>
              <w:rPr>
                <w:rFonts w:ascii="Times New Roman"/>
                <w:sz w:val="20"/>
              </w:rPr>
            </w:pPr>
            <w:r>
              <w:rPr>
                <w:rFonts w:ascii="Times New Roman"/>
                <w:spacing w:val="-2"/>
                <w:sz w:val="20"/>
              </w:rPr>
              <w:t>-1.254**</w:t>
            </w:r>
          </w:p>
        </w:tc>
        <w:tc>
          <w:tcPr>
            <w:tcW w:w="1889" w:type="dxa"/>
            <w:tcBorders>
              <w:bottom w:val="nil"/>
              <w:right w:val="nil"/>
            </w:tcBorders>
          </w:tcPr>
          <w:p>
            <w:pPr>
              <w:pStyle w:val="TableParagraph"/>
              <w:spacing w:before="2"/>
              <w:ind w:left="6" w:right="24"/>
              <w:jc w:val="center"/>
              <w:rPr>
                <w:rFonts w:ascii="Times New Roman"/>
                <w:sz w:val="18"/>
              </w:rPr>
            </w:pPr>
            <w:r>
              <w:rPr>
                <w:rFonts w:ascii="Times New Roman"/>
                <w:sz w:val="18"/>
              </w:rPr>
              <w:t>-</w:t>
            </w:r>
            <w:r>
              <w:rPr>
                <w:rFonts w:ascii="Times New Roman"/>
                <w:spacing w:val="-2"/>
                <w:sz w:val="18"/>
              </w:rPr>
              <w:t>0.2633</w:t>
            </w:r>
          </w:p>
        </w:tc>
      </w:tr>
      <w:tr>
        <w:trPr>
          <w:trHeight w:val="376"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tcBorders>
          </w:tcPr>
          <w:p>
            <w:pPr>
              <w:rPr>
                <w:sz w:val="2"/>
                <w:szCs w:val="2"/>
              </w:rPr>
            </w:pPr>
          </w:p>
        </w:tc>
        <w:tc>
          <w:tcPr>
            <w:tcW w:w="1892" w:type="dxa"/>
            <w:tcBorders>
              <w:top w:val="nil"/>
              <w:bottom w:val="nil"/>
              <w:right w:val="single" w:sz="4" w:space="0" w:color="000000"/>
            </w:tcBorders>
          </w:tcPr>
          <w:p>
            <w:pPr>
              <w:pStyle w:val="TableParagraph"/>
              <w:spacing w:line="224" w:lineRule="exact" w:before="132"/>
              <w:ind w:left="444" w:right="454"/>
              <w:jc w:val="center"/>
              <w:rPr>
                <w:rFonts w:ascii="Times New Roman"/>
                <w:sz w:val="20"/>
              </w:rPr>
            </w:pPr>
            <w:r>
              <w:rPr>
                <w:rFonts w:ascii="Times New Roman"/>
                <w:spacing w:val="-2"/>
                <w:sz w:val="20"/>
              </w:rPr>
              <w:t>(0.5067)</w:t>
            </w:r>
          </w:p>
        </w:tc>
        <w:tc>
          <w:tcPr>
            <w:tcW w:w="1801" w:type="dxa"/>
            <w:tcBorders>
              <w:top w:val="nil"/>
              <w:left w:val="single" w:sz="4" w:space="0" w:color="000000"/>
              <w:bottom w:val="nil"/>
            </w:tcBorders>
          </w:tcPr>
          <w:p>
            <w:pPr>
              <w:pStyle w:val="TableParagraph"/>
              <w:spacing w:before="48"/>
              <w:ind w:left="11" w:right="17"/>
              <w:jc w:val="center"/>
              <w:rPr>
                <w:rFonts w:ascii="Times New Roman"/>
                <w:sz w:val="20"/>
              </w:rPr>
            </w:pPr>
            <w:r>
              <w:rPr>
                <w:rFonts w:ascii="Times New Roman"/>
                <w:spacing w:val="-2"/>
                <w:sz w:val="20"/>
              </w:rPr>
              <w:t>(0.4737)</w:t>
            </w:r>
          </w:p>
        </w:tc>
        <w:tc>
          <w:tcPr>
            <w:tcW w:w="1889" w:type="dxa"/>
            <w:tcBorders>
              <w:top w:val="nil"/>
              <w:bottom w:val="nil"/>
              <w:right w:val="nil"/>
            </w:tcBorders>
          </w:tcPr>
          <w:p>
            <w:pPr>
              <w:pStyle w:val="TableParagraph"/>
              <w:spacing w:before="143"/>
              <w:ind w:left="4" w:right="24"/>
              <w:jc w:val="center"/>
              <w:rPr>
                <w:rFonts w:ascii="Times New Roman"/>
                <w:sz w:val="18"/>
              </w:rPr>
            </w:pPr>
            <w:r>
              <w:rPr>
                <w:rFonts w:ascii="Times New Roman"/>
                <w:spacing w:val="-2"/>
                <w:sz w:val="18"/>
              </w:rPr>
              <w:t>(0.49076)</w:t>
            </w:r>
          </w:p>
        </w:tc>
      </w:tr>
      <w:tr>
        <w:trPr>
          <w:trHeight w:val="501"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tcBorders>
          </w:tcPr>
          <w:p>
            <w:pPr>
              <w:rPr>
                <w:sz w:val="2"/>
                <w:szCs w:val="2"/>
              </w:rPr>
            </w:pPr>
          </w:p>
        </w:tc>
        <w:tc>
          <w:tcPr>
            <w:tcW w:w="1892" w:type="dxa"/>
            <w:tcBorders>
              <w:top w:val="nil"/>
              <w:right w:val="single" w:sz="4" w:space="0" w:color="000000"/>
            </w:tcBorders>
          </w:tcPr>
          <w:p>
            <w:pPr>
              <w:pStyle w:val="TableParagraph"/>
              <w:spacing w:before="175"/>
              <w:ind w:left="454" w:right="454"/>
              <w:jc w:val="center"/>
              <w:rPr>
                <w:rFonts w:ascii="Times New Roman"/>
                <w:sz w:val="20"/>
              </w:rPr>
            </w:pPr>
            <w:r>
              <w:rPr>
                <w:rFonts w:ascii="Times New Roman"/>
                <w:spacing w:val="-2"/>
                <w:sz w:val="20"/>
              </w:rPr>
              <w:t>{0.0162}</w:t>
            </w:r>
          </w:p>
        </w:tc>
        <w:tc>
          <w:tcPr>
            <w:tcW w:w="1801" w:type="dxa"/>
            <w:tcBorders>
              <w:top w:val="nil"/>
              <w:left w:val="single" w:sz="4" w:space="0" w:color="000000"/>
            </w:tcBorders>
          </w:tcPr>
          <w:p>
            <w:pPr>
              <w:pStyle w:val="TableParagraph"/>
              <w:spacing w:before="5"/>
              <w:ind w:left="14" w:right="17"/>
              <w:jc w:val="center"/>
              <w:rPr>
                <w:rFonts w:ascii="Times New Roman"/>
                <w:sz w:val="20"/>
              </w:rPr>
            </w:pPr>
            <w:r>
              <w:rPr>
                <w:rFonts w:ascii="Times New Roman"/>
                <w:spacing w:val="-2"/>
                <w:sz w:val="20"/>
              </w:rPr>
              <w:t>{0.009}</w:t>
            </w:r>
          </w:p>
        </w:tc>
        <w:tc>
          <w:tcPr>
            <w:tcW w:w="1889" w:type="dxa"/>
            <w:tcBorders>
              <w:top w:val="nil"/>
              <w:right w:val="nil"/>
            </w:tcBorders>
          </w:tcPr>
          <w:p>
            <w:pPr>
              <w:pStyle w:val="TableParagraph"/>
              <w:spacing w:before="191"/>
              <w:ind w:left="14" w:right="24"/>
              <w:jc w:val="center"/>
              <w:rPr>
                <w:rFonts w:ascii="Times New Roman"/>
                <w:sz w:val="18"/>
              </w:rPr>
            </w:pPr>
            <w:r>
              <w:rPr>
                <w:rFonts w:ascii="Times New Roman"/>
                <w:spacing w:val="-2"/>
                <w:sz w:val="18"/>
              </w:rPr>
              <w:t>{0.5923}</w:t>
            </w:r>
          </w:p>
        </w:tc>
      </w:tr>
      <w:tr>
        <w:trPr>
          <w:trHeight w:val="289" w:hRule="atLeast"/>
        </w:trPr>
        <w:tc>
          <w:tcPr>
            <w:tcW w:w="1906" w:type="dxa"/>
            <w:tcBorders>
              <w:left w:val="nil"/>
              <w:bottom w:val="nil"/>
              <w:right w:val="single" w:sz="4" w:space="0" w:color="000000"/>
            </w:tcBorders>
          </w:tcPr>
          <w:p>
            <w:pPr>
              <w:pStyle w:val="TableParagraph"/>
              <w:spacing w:before="3"/>
              <w:ind w:left="159" w:right="145"/>
              <w:jc w:val="center"/>
              <w:rPr>
                <w:rFonts w:ascii="Times New Roman"/>
                <w:sz w:val="20"/>
              </w:rPr>
            </w:pPr>
            <w:r>
              <w:rPr>
                <w:rFonts w:ascii="Times New Roman"/>
                <w:spacing w:val="-2"/>
                <w:sz w:val="20"/>
              </w:rPr>
              <w:t>BFEXP</w:t>
            </w:r>
          </w:p>
        </w:tc>
        <w:tc>
          <w:tcPr>
            <w:tcW w:w="989" w:type="dxa"/>
            <w:vMerge w:val="restart"/>
            <w:tcBorders>
              <w:left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spacing w:before="3"/>
              <w:ind w:left="444" w:right="454"/>
              <w:jc w:val="center"/>
              <w:rPr>
                <w:rFonts w:ascii="Times New Roman"/>
                <w:sz w:val="20"/>
              </w:rPr>
            </w:pPr>
            <w:r>
              <w:rPr>
                <w:rFonts w:ascii="Times New Roman"/>
                <w:spacing w:val="-2"/>
                <w:sz w:val="20"/>
              </w:rPr>
              <w:t>0.6411</w:t>
            </w:r>
          </w:p>
        </w:tc>
        <w:tc>
          <w:tcPr>
            <w:tcW w:w="1801" w:type="dxa"/>
            <w:tcBorders>
              <w:left w:val="single" w:sz="4" w:space="0" w:color="000000"/>
              <w:bottom w:val="nil"/>
              <w:right w:val="single" w:sz="4" w:space="0" w:color="000000"/>
            </w:tcBorders>
          </w:tcPr>
          <w:p>
            <w:pPr>
              <w:pStyle w:val="TableParagraph"/>
              <w:spacing w:before="3"/>
              <w:ind w:left="11" w:right="17"/>
              <w:jc w:val="center"/>
              <w:rPr>
                <w:rFonts w:ascii="Times New Roman"/>
                <w:sz w:val="20"/>
              </w:rPr>
            </w:pPr>
            <w:r>
              <w:rPr>
                <w:rFonts w:ascii="Times New Roman"/>
                <w:spacing w:val="-2"/>
                <w:sz w:val="20"/>
              </w:rPr>
              <w:t>0.3049</w:t>
            </w:r>
          </w:p>
        </w:tc>
        <w:tc>
          <w:tcPr>
            <w:tcW w:w="1889" w:type="dxa"/>
            <w:tcBorders>
              <w:left w:val="single" w:sz="4" w:space="0" w:color="000000"/>
              <w:bottom w:val="nil"/>
              <w:right w:val="nil"/>
            </w:tcBorders>
          </w:tcPr>
          <w:p>
            <w:pPr>
              <w:pStyle w:val="TableParagraph"/>
              <w:spacing w:before="5"/>
              <w:ind w:left="3" w:right="24"/>
              <w:jc w:val="center"/>
              <w:rPr>
                <w:rFonts w:ascii="Times New Roman"/>
                <w:sz w:val="18"/>
              </w:rPr>
            </w:pPr>
            <w:r>
              <w:rPr>
                <w:rFonts w:ascii="Times New Roman"/>
                <w:spacing w:val="-2"/>
                <w:sz w:val="18"/>
              </w:rPr>
              <w:t>0.13953</w:t>
            </w:r>
          </w:p>
        </w:tc>
      </w:tr>
      <w:tr>
        <w:trPr>
          <w:trHeight w:val="377"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line="224" w:lineRule="exact" w:before="133"/>
              <w:ind w:left="444" w:right="454"/>
              <w:jc w:val="center"/>
              <w:rPr>
                <w:rFonts w:ascii="Times New Roman"/>
                <w:sz w:val="20"/>
              </w:rPr>
            </w:pPr>
            <w:r>
              <w:rPr>
                <w:rFonts w:ascii="Times New Roman"/>
                <w:spacing w:val="-2"/>
                <w:sz w:val="20"/>
              </w:rPr>
              <w:t>(0.6795)</w:t>
            </w:r>
          </w:p>
        </w:tc>
        <w:tc>
          <w:tcPr>
            <w:tcW w:w="1801" w:type="dxa"/>
            <w:tcBorders>
              <w:top w:val="nil"/>
              <w:left w:val="single" w:sz="4" w:space="0" w:color="000000"/>
              <w:bottom w:val="nil"/>
              <w:right w:val="single" w:sz="4" w:space="0" w:color="000000"/>
            </w:tcBorders>
          </w:tcPr>
          <w:p>
            <w:pPr>
              <w:pStyle w:val="TableParagraph"/>
              <w:spacing w:before="47"/>
              <w:ind w:left="11" w:right="17"/>
              <w:jc w:val="center"/>
              <w:rPr>
                <w:rFonts w:ascii="Times New Roman"/>
                <w:sz w:val="20"/>
              </w:rPr>
            </w:pPr>
            <w:r>
              <w:rPr>
                <w:rFonts w:ascii="Times New Roman"/>
                <w:spacing w:val="-2"/>
                <w:sz w:val="20"/>
              </w:rPr>
              <w:t>(0.9506)</w:t>
            </w:r>
          </w:p>
        </w:tc>
        <w:tc>
          <w:tcPr>
            <w:tcW w:w="1889" w:type="dxa"/>
            <w:tcBorders>
              <w:top w:val="nil"/>
              <w:left w:val="single" w:sz="4" w:space="0" w:color="000000"/>
              <w:bottom w:val="nil"/>
              <w:right w:val="nil"/>
            </w:tcBorders>
          </w:tcPr>
          <w:p>
            <w:pPr>
              <w:pStyle w:val="TableParagraph"/>
              <w:spacing w:before="142"/>
              <w:ind w:left="4" w:right="24"/>
              <w:jc w:val="center"/>
              <w:rPr>
                <w:rFonts w:ascii="Times New Roman"/>
                <w:sz w:val="18"/>
              </w:rPr>
            </w:pPr>
            <w:r>
              <w:rPr>
                <w:rFonts w:ascii="Times New Roman"/>
                <w:spacing w:val="-2"/>
                <w:sz w:val="18"/>
              </w:rPr>
              <w:t>(0.45612)</w:t>
            </w:r>
          </w:p>
        </w:tc>
      </w:tr>
      <w:tr>
        <w:trPr>
          <w:trHeight w:val="501"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right w:val="single" w:sz="4" w:space="0" w:color="000000"/>
            </w:tcBorders>
          </w:tcPr>
          <w:p>
            <w:pPr>
              <w:pStyle w:val="TableParagraph"/>
              <w:spacing w:before="175"/>
              <w:ind w:left="454" w:right="454"/>
              <w:jc w:val="center"/>
              <w:rPr>
                <w:rFonts w:ascii="Times New Roman"/>
                <w:sz w:val="20"/>
              </w:rPr>
            </w:pPr>
            <w:r>
              <w:rPr>
                <w:rFonts w:ascii="Times New Roman"/>
                <w:spacing w:val="-2"/>
                <w:sz w:val="20"/>
              </w:rPr>
              <w:t>{0.3468}</w:t>
            </w:r>
          </w:p>
        </w:tc>
        <w:tc>
          <w:tcPr>
            <w:tcW w:w="1801" w:type="dxa"/>
            <w:tcBorders>
              <w:top w:val="nil"/>
              <w:left w:val="single" w:sz="4" w:space="0" w:color="000000"/>
              <w:right w:val="single" w:sz="4" w:space="0" w:color="000000"/>
            </w:tcBorders>
          </w:tcPr>
          <w:p>
            <w:pPr>
              <w:pStyle w:val="TableParagraph"/>
              <w:spacing w:before="5"/>
              <w:ind w:left="11" w:right="17"/>
              <w:jc w:val="center"/>
              <w:rPr>
                <w:rFonts w:ascii="Times New Roman"/>
                <w:sz w:val="20"/>
              </w:rPr>
            </w:pPr>
            <w:r>
              <w:rPr>
                <w:rFonts w:ascii="Times New Roman"/>
                <w:spacing w:val="-2"/>
                <w:sz w:val="20"/>
              </w:rPr>
              <w:t>{0.7488}</w:t>
            </w:r>
          </w:p>
        </w:tc>
        <w:tc>
          <w:tcPr>
            <w:tcW w:w="1889" w:type="dxa"/>
            <w:tcBorders>
              <w:top w:val="nil"/>
              <w:left w:val="single" w:sz="4" w:space="0" w:color="000000"/>
              <w:right w:val="nil"/>
            </w:tcBorders>
          </w:tcPr>
          <w:p>
            <w:pPr>
              <w:pStyle w:val="TableParagraph"/>
              <w:spacing w:before="191"/>
              <w:ind w:left="14" w:right="24"/>
              <w:jc w:val="center"/>
              <w:rPr>
                <w:rFonts w:ascii="Times New Roman"/>
                <w:sz w:val="18"/>
              </w:rPr>
            </w:pPr>
            <w:r>
              <w:rPr>
                <w:rFonts w:ascii="Times New Roman"/>
                <w:spacing w:val="-2"/>
                <w:sz w:val="18"/>
              </w:rPr>
              <w:t>{0.7600}</w:t>
            </w:r>
          </w:p>
        </w:tc>
      </w:tr>
      <w:tr>
        <w:trPr>
          <w:trHeight w:val="287" w:hRule="atLeast"/>
        </w:trPr>
        <w:tc>
          <w:tcPr>
            <w:tcW w:w="1906" w:type="dxa"/>
            <w:tcBorders>
              <w:left w:val="nil"/>
              <w:bottom w:val="nil"/>
              <w:right w:val="single" w:sz="4" w:space="0" w:color="000000"/>
            </w:tcBorders>
          </w:tcPr>
          <w:p>
            <w:pPr>
              <w:pStyle w:val="TableParagraph"/>
              <w:ind w:left="159" w:right="148"/>
              <w:jc w:val="center"/>
              <w:rPr>
                <w:rFonts w:ascii="Times New Roman"/>
                <w:sz w:val="20"/>
              </w:rPr>
            </w:pPr>
            <w:r>
              <w:rPr>
                <w:rFonts w:ascii="Times New Roman"/>
                <w:spacing w:val="-4"/>
                <w:sz w:val="20"/>
              </w:rPr>
              <w:t>FAGE</w:t>
            </w:r>
          </w:p>
        </w:tc>
        <w:tc>
          <w:tcPr>
            <w:tcW w:w="989" w:type="dxa"/>
            <w:vMerge w:val="restart"/>
            <w:tcBorders>
              <w:left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ind w:left="444" w:right="454"/>
              <w:jc w:val="center"/>
              <w:rPr>
                <w:rFonts w:ascii="Times New Roman"/>
                <w:sz w:val="20"/>
              </w:rPr>
            </w:pPr>
            <w:r>
              <w:rPr>
                <w:rFonts w:ascii="Times New Roman"/>
                <w:spacing w:val="-2"/>
                <w:sz w:val="20"/>
              </w:rPr>
              <w:t>0.037**</w:t>
            </w:r>
          </w:p>
        </w:tc>
        <w:tc>
          <w:tcPr>
            <w:tcW w:w="1801" w:type="dxa"/>
            <w:tcBorders>
              <w:left w:val="single" w:sz="4" w:space="0" w:color="000000"/>
              <w:bottom w:val="nil"/>
              <w:right w:val="single" w:sz="4" w:space="0" w:color="000000"/>
            </w:tcBorders>
          </w:tcPr>
          <w:p>
            <w:pPr>
              <w:pStyle w:val="TableParagraph"/>
              <w:ind w:left="11" w:right="17"/>
              <w:jc w:val="center"/>
              <w:rPr>
                <w:rFonts w:ascii="Times New Roman"/>
                <w:sz w:val="20"/>
              </w:rPr>
            </w:pPr>
            <w:r>
              <w:rPr>
                <w:rFonts w:ascii="Times New Roman"/>
                <w:spacing w:val="-2"/>
                <w:sz w:val="20"/>
              </w:rPr>
              <w:t>-0.0023</w:t>
            </w:r>
          </w:p>
        </w:tc>
        <w:tc>
          <w:tcPr>
            <w:tcW w:w="1889" w:type="dxa"/>
            <w:tcBorders>
              <w:left w:val="single" w:sz="4" w:space="0" w:color="000000"/>
              <w:bottom w:val="nil"/>
              <w:right w:val="nil"/>
            </w:tcBorders>
          </w:tcPr>
          <w:p>
            <w:pPr>
              <w:pStyle w:val="TableParagraph"/>
              <w:spacing w:before="2"/>
              <w:ind w:left="6" w:right="24"/>
              <w:jc w:val="center"/>
              <w:rPr>
                <w:rFonts w:ascii="Times New Roman"/>
                <w:sz w:val="18"/>
              </w:rPr>
            </w:pPr>
            <w:r>
              <w:rPr>
                <w:rFonts w:ascii="Times New Roman"/>
                <w:sz w:val="18"/>
              </w:rPr>
              <w:t>-</w:t>
            </w:r>
            <w:r>
              <w:rPr>
                <w:rFonts w:ascii="Times New Roman"/>
                <w:spacing w:val="-2"/>
                <w:sz w:val="18"/>
              </w:rPr>
              <w:t>0.0050</w:t>
            </w:r>
          </w:p>
        </w:tc>
      </w:tr>
      <w:tr>
        <w:trPr>
          <w:trHeight w:val="377"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line="225" w:lineRule="exact" w:before="132"/>
              <w:ind w:left="444" w:right="454"/>
              <w:jc w:val="center"/>
              <w:rPr>
                <w:rFonts w:ascii="Times New Roman"/>
                <w:sz w:val="20"/>
              </w:rPr>
            </w:pPr>
            <w:r>
              <w:rPr>
                <w:rFonts w:ascii="Times New Roman"/>
                <w:spacing w:val="-2"/>
                <w:sz w:val="20"/>
              </w:rPr>
              <w:t>(0.0125)</w:t>
            </w:r>
          </w:p>
        </w:tc>
        <w:tc>
          <w:tcPr>
            <w:tcW w:w="1801" w:type="dxa"/>
            <w:tcBorders>
              <w:top w:val="nil"/>
              <w:left w:val="single" w:sz="4" w:space="0" w:color="000000"/>
              <w:bottom w:val="nil"/>
              <w:right w:val="single" w:sz="4" w:space="0" w:color="000000"/>
            </w:tcBorders>
          </w:tcPr>
          <w:p>
            <w:pPr>
              <w:pStyle w:val="TableParagraph"/>
              <w:spacing w:before="48"/>
              <w:ind w:left="11" w:right="17"/>
              <w:jc w:val="center"/>
              <w:rPr>
                <w:rFonts w:ascii="Times New Roman"/>
                <w:sz w:val="20"/>
              </w:rPr>
            </w:pPr>
            <w:r>
              <w:rPr>
                <w:rFonts w:ascii="Times New Roman"/>
                <w:spacing w:val="-2"/>
                <w:sz w:val="20"/>
              </w:rPr>
              <w:t>(0.0083)</w:t>
            </w:r>
          </w:p>
        </w:tc>
        <w:tc>
          <w:tcPr>
            <w:tcW w:w="1889" w:type="dxa"/>
            <w:tcBorders>
              <w:top w:val="nil"/>
              <w:left w:val="single" w:sz="4" w:space="0" w:color="000000"/>
              <w:bottom w:val="nil"/>
              <w:right w:val="nil"/>
            </w:tcBorders>
          </w:tcPr>
          <w:p>
            <w:pPr>
              <w:pStyle w:val="TableParagraph"/>
              <w:spacing w:before="143"/>
              <w:ind w:left="4" w:right="24"/>
              <w:jc w:val="center"/>
              <w:rPr>
                <w:rFonts w:ascii="Times New Roman"/>
                <w:sz w:val="18"/>
              </w:rPr>
            </w:pPr>
            <w:r>
              <w:rPr>
                <w:rFonts w:ascii="Times New Roman"/>
                <w:spacing w:val="-2"/>
                <w:sz w:val="18"/>
              </w:rPr>
              <w:t>(0.0063)</w:t>
            </w:r>
          </w:p>
        </w:tc>
      </w:tr>
      <w:tr>
        <w:trPr>
          <w:trHeight w:val="502"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right w:val="single" w:sz="4" w:space="0" w:color="000000"/>
            </w:tcBorders>
          </w:tcPr>
          <w:p>
            <w:pPr>
              <w:pStyle w:val="TableParagraph"/>
              <w:spacing w:before="174"/>
              <w:ind w:left="454" w:right="454"/>
              <w:jc w:val="center"/>
              <w:rPr>
                <w:rFonts w:ascii="Times New Roman"/>
                <w:sz w:val="20"/>
              </w:rPr>
            </w:pPr>
            <w:r>
              <w:rPr>
                <w:rFonts w:ascii="Times New Roman"/>
                <w:spacing w:val="-2"/>
                <w:sz w:val="20"/>
              </w:rPr>
              <w:t>{0.0034}</w:t>
            </w:r>
          </w:p>
        </w:tc>
        <w:tc>
          <w:tcPr>
            <w:tcW w:w="1801" w:type="dxa"/>
            <w:tcBorders>
              <w:top w:val="nil"/>
              <w:left w:val="single" w:sz="4" w:space="0" w:color="000000"/>
              <w:right w:val="single" w:sz="4" w:space="0" w:color="000000"/>
            </w:tcBorders>
          </w:tcPr>
          <w:p>
            <w:pPr>
              <w:pStyle w:val="TableParagraph"/>
              <w:spacing w:before="6"/>
              <w:ind w:left="11" w:right="17"/>
              <w:jc w:val="center"/>
              <w:rPr>
                <w:rFonts w:ascii="Times New Roman"/>
                <w:sz w:val="20"/>
              </w:rPr>
            </w:pPr>
            <w:r>
              <w:rPr>
                <w:rFonts w:ascii="Times New Roman"/>
                <w:spacing w:val="-2"/>
                <w:sz w:val="20"/>
              </w:rPr>
              <w:t>{0.7776}</w:t>
            </w:r>
          </w:p>
        </w:tc>
        <w:tc>
          <w:tcPr>
            <w:tcW w:w="1889" w:type="dxa"/>
            <w:tcBorders>
              <w:top w:val="nil"/>
              <w:left w:val="single" w:sz="4" w:space="0" w:color="000000"/>
              <w:right w:val="nil"/>
            </w:tcBorders>
          </w:tcPr>
          <w:p>
            <w:pPr>
              <w:pStyle w:val="TableParagraph"/>
              <w:spacing w:before="190"/>
              <w:ind w:left="14" w:right="24"/>
              <w:jc w:val="center"/>
              <w:rPr>
                <w:rFonts w:ascii="Times New Roman"/>
                <w:sz w:val="18"/>
              </w:rPr>
            </w:pPr>
            <w:r>
              <w:rPr>
                <w:rFonts w:ascii="Times New Roman"/>
                <w:spacing w:val="-2"/>
                <w:sz w:val="18"/>
              </w:rPr>
              <w:t>{0.4270}</w:t>
            </w:r>
          </w:p>
        </w:tc>
      </w:tr>
      <w:tr>
        <w:trPr>
          <w:trHeight w:val="286" w:hRule="atLeast"/>
        </w:trPr>
        <w:tc>
          <w:tcPr>
            <w:tcW w:w="1906" w:type="dxa"/>
            <w:tcBorders>
              <w:left w:val="nil"/>
              <w:bottom w:val="nil"/>
              <w:right w:val="single" w:sz="4" w:space="0" w:color="000000"/>
            </w:tcBorders>
          </w:tcPr>
          <w:p>
            <w:pPr>
              <w:pStyle w:val="TableParagraph"/>
              <w:ind w:left="159" w:right="147"/>
              <w:jc w:val="center"/>
              <w:rPr>
                <w:rFonts w:ascii="Times New Roman"/>
                <w:sz w:val="20"/>
              </w:rPr>
            </w:pPr>
            <w:r>
              <w:rPr>
                <w:rFonts w:ascii="Times New Roman"/>
                <w:spacing w:val="-2"/>
                <w:sz w:val="20"/>
              </w:rPr>
              <w:t>FSIZE</w:t>
            </w:r>
          </w:p>
        </w:tc>
        <w:tc>
          <w:tcPr>
            <w:tcW w:w="989" w:type="dxa"/>
            <w:vMerge w:val="restart"/>
            <w:tcBorders>
              <w:left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ind w:left="441" w:right="454"/>
              <w:jc w:val="center"/>
              <w:rPr>
                <w:rFonts w:ascii="Times New Roman"/>
                <w:sz w:val="20"/>
              </w:rPr>
            </w:pPr>
            <w:r>
              <w:rPr>
                <w:rFonts w:ascii="Times New Roman"/>
                <w:spacing w:val="-2"/>
                <w:sz w:val="20"/>
              </w:rPr>
              <w:t>-0.2879**</w:t>
            </w:r>
          </w:p>
        </w:tc>
        <w:tc>
          <w:tcPr>
            <w:tcW w:w="1801" w:type="dxa"/>
            <w:tcBorders>
              <w:left w:val="single" w:sz="4" w:space="0" w:color="000000"/>
              <w:bottom w:val="nil"/>
              <w:right w:val="single" w:sz="4" w:space="0" w:color="000000"/>
            </w:tcBorders>
          </w:tcPr>
          <w:p>
            <w:pPr>
              <w:pStyle w:val="TableParagraph"/>
              <w:ind w:left="11" w:right="17"/>
              <w:jc w:val="center"/>
              <w:rPr>
                <w:rFonts w:ascii="Times New Roman"/>
                <w:sz w:val="20"/>
              </w:rPr>
            </w:pPr>
            <w:r>
              <w:rPr>
                <w:rFonts w:ascii="Times New Roman"/>
                <w:spacing w:val="-2"/>
                <w:sz w:val="20"/>
              </w:rPr>
              <w:t>-0.0835</w:t>
            </w:r>
          </w:p>
        </w:tc>
        <w:tc>
          <w:tcPr>
            <w:tcW w:w="1889" w:type="dxa"/>
            <w:tcBorders>
              <w:left w:val="single" w:sz="4" w:space="0" w:color="000000"/>
              <w:bottom w:val="nil"/>
              <w:right w:val="nil"/>
            </w:tcBorders>
          </w:tcPr>
          <w:p>
            <w:pPr>
              <w:pStyle w:val="TableParagraph"/>
              <w:spacing w:before="2"/>
              <w:ind w:left="6" w:right="24"/>
              <w:jc w:val="center"/>
              <w:rPr>
                <w:rFonts w:ascii="Times New Roman"/>
                <w:sz w:val="18"/>
              </w:rPr>
            </w:pPr>
            <w:r>
              <w:rPr>
                <w:rFonts w:ascii="Times New Roman"/>
                <w:sz w:val="18"/>
              </w:rPr>
              <w:t>-</w:t>
            </w:r>
            <w:r>
              <w:rPr>
                <w:rFonts w:ascii="Times New Roman"/>
                <w:spacing w:val="-2"/>
                <w:sz w:val="18"/>
              </w:rPr>
              <w:t>0.1633</w:t>
            </w:r>
          </w:p>
        </w:tc>
      </w:tr>
      <w:tr>
        <w:trPr>
          <w:trHeight w:val="377"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line="224" w:lineRule="exact" w:before="133"/>
              <w:ind w:left="444" w:right="454"/>
              <w:jc w:val="center"/>
              <w:rPr>
                <w:rFonts w:ascii="Times New Roman"/>
                <w:sz w:val="20"/>
              </w:rPr>
            </w:pPr>
            <w:r>
              <w:rPr>
                <w:rFonts w:ascii="Times New Roman"/>
                <w:spacing w:val="-2"/>
                <w:sz w:val="20"/>
              </w:rPr>
              <w:t>(0.0893)</w:t>
            </w:r>
          </w:p>
        </w:tc>
        <w:tc>
          <w:tcPr>
            <w:tcW w:w="1801" w:type="dxa"/>
            <w:tcBorders>
              <w:top w:val="nil"/>
              <w:left w:val="single" w:sz="4" w:space="0" w:color="000000"/>
              <w:bottom w:val="nil"/>
              <w:right w:val="single" w:sz="4" w:space="0" w:color="000000"/>
            </w:tcBorders>
          </w:tcPr>
          <w:p>
            <w:pPr>
              <w:pStyle w:val="TableParagraph"/>
              <w:spacing w:before="47"/>
              <w:ind w:left="11" w:right="17"/>
              <w:jc w:val="center"/>
              <w:rPr>
                <w:rFonts w:ascii="Times New Roman"/>
                <w:sz w:val="20"/>
              </w:rPr>
            </w:pPr>
            <w:r>
              <w:rPr>
                <w:rFonts w:ascii="Times New Roman"/>
                <w:spacing w:val="-2"/>
                <w:sz w:val="20"/>
              </w:rPr>
              <w:t>(0.1397)</w:t>
            </w:r>
          </w:p>
        </w:tc>
        <w:tc>
          <w:tcPr>
            <w:tcW w:w="1889" w:type="dxa"/>
            <w:tcBorders>
              <w:top w:val="nil"/>
              <w:left w:val="single" w:sz="4" w:space="0" w:color="000000"/>
              <w:bottom w:val="nil"/>
              <w:right w:val="nil"/>
            </w:tcBorders>
          </w:tcPr>
          <w:p>
            <w:pPr>
              <w:pStyle w:val="TableParagraph"/>
              <w:spacing w:before="142"/>
              <w:ind w:left="4" w:right="24"/>
              <w:jc w:val="center"/>
              <w:rPr>
                <w:rFonts w:ascii="Times New Roman"/>
                <w:sz w:val="18"/>
              </w:rPr>
            </w:pPr>
            <w:r>
              <w:rPr>
                <w:rFonts w:ascii="Times New Roman"/>
                <w:spacing w:val="-2"/>
                <w:sz w:val="18"/>
              </w:rPr>
              <w:t>(0.12009)</w:t>
            </w:r>
          </w:p>
        </w:tc>
      </w:tr>
      <w:tr>
        <w:trPr>
          <w:trHeight w:val="501"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right w:val="single" w:sz="4" w:space="0" w:color="000000"/>
            </w:tcBorders>
          </w:tcPr>
          <w:p>
            <w:pPr>
              <w:pStyle w:val="TableParagraph"/>
              <w:spacing w:before="176"/>
              <w:ind w:left="454" w:right="454"/>
              <w:jc w:val="center"/>
              <w:rPr>
                <w:rFonts w:ascii="Times New Roman"/>
                <w:sz w:val="20"/>
              </w:rPr>
            </w:pPr>
            <w:r>
              <w:rPr>
                <w:rFonts w:ascii="Times New Roman"/>
                <w:spacing w:val="-2"/>
                <w:sz w:val="20"/>
              </w:rPr>
              <w:t>{0.0015}</w:t>
            </w:r>
          </w:p>
        </w:tc>
        <w:tc>
          <w:tcPr>
            <w:tcW w:w="1801" w:type="dxa"/>
            <w:tcBorders>
              <w:top w:val="nil"/>
              <w:left w:val="single" w:sz="4" w:space="0" w:color="000000"/>
              <w:right w:val="single" w:sz="4" w:space="0" w:color="000000"/>
            </w:tcBorders>
          </w:tcPr>
          <w:p>
            <w:pPr>
              <w:pStyle w:val="TableParagraph"/>
              <w:spacing w:before="5"/>
              <w:ind w:left="11" w:right="17"/>
              <w:jc w:val="center"/>
              <w:rPr>
                <w:rFonts w:ascii="Times New Roman"/>
                <w:sz w:val="20"/>
              </w:rPr>
            </w:pPr>
            <w:r>
              <w:rPr>
                <w:rFonts w:ascii="Times New Roman"/>
                <w:spacing w:val="-2"/>
                <w:sz w:val="20"/>
              </w:rPr>
              <w:t>{0.5506}</w:t>
            </w:r>
          </w:p>
        </w:tc>
        <w:tc>
          <w:tcPr>
            <w:tcW w:w="1889" w:type="dxa"/>
            <w:tcBorders>
              <w:top w:val="nil"/>
              <w:left w:val="single" w:sz="4" w:space="0" w:color="000000"/>
              <w:right w:val="nil"/>
            </w:tcBorders>
          </w:tcPr>
          <w:p>
            <w:pPr>
              <w:pStyle w:val="TableParagraph"/>
              <w:spacing w:before="192"/>
              <w:ind w:left="14" w:right="24"/>
              <w:jc w:val="center"/>
              <w:rPr>
                <w:rFonts w:ascii="Times New Roman"/>
                <w:sz w:val="18"/>
              </w:rPr>
            </w:pPr>
            <w:r>
              <w:rPr>
                <w:rFonts w:ascii="Times New Roman"/>
                <w:spacing w:val="-2"/>
                <w:sz w:val="18"/>
              </w:rPr>
              <w:t>{0.1755}</w:t>
            </w:r>
          </w:p>
        </w:tc>
      </w:tr>
    </w:tbl>
    <w:p>
      <w:pPr>
        <w:spacing w:after="0"/>
        <w:jc w:val="center"/>
        <w:rPr>
          <w:rFonts w:ascii="Times New Roman"/>
          <w:sz w:val="18"/>
        </w:rPr>
        <w:sectPr>
          <w:pgSz w:w="11910" w:h="16840"/>
          <w:pgMar w:header="0" w:footer="971" w:top="1360" w:bottom="1526"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9"/>
        <w:gridCol w:w="1892"/>
        <w:gridCol w:w="1805"/>
        <w:gridCol w:w="1885"/>
      </w:tblGrid>
      <w:tr>
        <w:trPr>
          <w:trHeight w:val="287" w:hRule="atLeast"/>
        </w:trPr>
        <w:tc>
          <w:tcPr>
            <w:tcW w:w="1906" w:type="dxa"/>
            <w:tcBorders>
              <w:left w:val="nil"/>
              <w:bottom w:val="nil"/>
              <w:right w:val="single" w:sz="4" w:space="0" w:color="000000"/>
            </w:tcBorders>
          </w:tcPr>
          <w:p>
            <w:pPr>
              <w:pStyle w:val="TableParagraph"/>
              <w:ind w:left="159" w:right="150"/>
              <w:jc w:val="center"/>
              <w:rPr>
                <w:rFonts w:ascii="Times New Roman"/>
                <w:sz w:val="20"/>
              </w:rPr>
            </w:pPr>
            <w:r>
              <w:rPr>
                <w:rFonts w:ascii="Times New Roman"/>
                <w:spacing w:val="-2"/>
                <w:sz w:val="20"/>
              </w:rPr>
              <w:t>LEVERAGE</w:t>
            </w:r>
          </w:p>
        </w:tc>
        <w:tc>
          <w:tcPr>
            <w:tcW w:w="989" w:type="dxa"/>
            <w:vMerge w:val="restart"/>
            <w:tcBorders>
              <w:left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ind w:left="444" w:right="454"/>
              <w:jc w:val="center"/>
              <w:rPr>
                <w:rFonts w:ascii="Times New Roman"/>
                <w:sz w:val="20"/>
              </w:rPr>
            </w:pPr>
            <w:r>
              <w:rPr>
                <w:rFonts w:ascii="Times New Roman"/>
                <w:spacing w:val="-2"/>
                <w:sz w:val="20"/>
              </w:rPr>
              <w:t>-0.03616</w:t>
            </w:r>
          </w:p>
        </w:tc>
        <w:tc>
          <w:tcPr>
            <w:tcW w:w="1805" w:type="dxa"/>
            <w:tcBorders>
              <w:left w:val="single" w:sz="4" w:space="0" w:color="000000"/>
              <w:bottom w:val="nil"/>
              <w:right w:val="single" w:sz="4" w:space="0" w:color="000000"/>
            </w:tcBorders>
          </w:tcPr>
          <w:p>
            <w:pPr>
              <w:pStyle w:val="TableParagraph"/>
              <w:ind w:left="10" w:right="20"/>
              <w:jc w:val="center"/>
              <w:rPr>
                <w:rFonts w:ascii="Times New Roman"/>
                <w:sz w:val="20"/>
              </w:rPr>
            </w:pPr>
            <w:r>
              <w:rPr>
                <w:rFonts w:ascii="Times New Roman"/>
                <w:spacing w:val="-2"/>
                <w:sz w:val="20"/>
              </w:rPr>
              <w:t>-0.02207</w:t>
            </w:r>
          </w:p>
        </w:tc>
        <w:tc>
          <w:tcPr>
            <w:tcW w:w="1885" w:type="dxa"/>
            <w:tcBorders>
              <w:left w:val="single" w:sz="4" w:space="0" w:color="000000"/>
              <w:bottom w:val="nil"/>
              <w:right w:val="nil"/>
            </w:tcBorders>
          </w:tcPr>
          <w:p>
            <w:pPr>
              <w:pStyle w:val="TableParagraph"/>
              <w:spacing w:before="2"/>
              <w:ind w:left="2" w:right="24"/>
              <w:jc w:val="center"/>
              <w:rPr>
                <w:rFonts w:ascii="Times New Roman"/>
                <w:sz w:val="18"/>
              </w:rPr>
            </w:pPr>
            <w:r>
              <w:rPr>
                <w:rFonts w:ascii="Times New Roman"/>
                <w:sz w:val="18"/>
              </w:rPr>
              <w:t>-</w:t>
            </w:r>
            <w:r>
              <w:rPr>
                <w:rFonts w:ascii="Times New Roman"/>
                <w:spacing w:val="-2"/>
                <w:sz w:val="18"/>
              </w:rPr>
              <w:t>0.0011</w:t>
            </w:r>
          </w:p>
        </w:tc>
      </w:tr>
      <w:tr>
        <w:trPr>
          <w:trHeight w:val="377"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line="225" w:lineRule="exact" w:before="132"/>
              <w:ind w:left="444" w:right="454"/>
              <w:jc w:val="center"/>
              <w:rPr>
                <w:rFonts w:ascii="Times New Roman"/>
                <w:sz w:val="20"/>
              </w:rPr>
            </w:pPr>
            <w:r>
              <w:rPr>
                <w:rFonts w:ascii="Times New Roman"/>
                <w:spacing w:val="-2"/>
                <w:sz w:val="20"/>
              </w:rPr>
              <w:t>(0.0259)</w:t>
            </w:r>
          </w:p>
        </w:tc>
        <w:tc>
          <w:tcPr>
            <w:tcW w:w="1805" w:type="dxa"/>
            <w:tcBorders>
              <w:top w:val="nil"/>
              <w:left w:val="single" w:sz="4" w:space="0" w:color="000000"/>
              <w:bottom w:val="nil"/>
              <w:right w:val="single" w:sz="4" w:space="0" w:color="000000"/>
            </w:tcBorders>
          </w:tcPr>
          <w:p>
            <w:pPr>
              <w:pStyle w:val="TableParagraph"/>
              <w:spacing w:before="48"/>
              <w:ind w:left="10" w:right="20"/>
              <w:jc w:val="center"/>
              <w:rPr>
                <w:rFonts w:ascii="Times New Roman"/>
                <w:sz w:val="20"/>
              </w:rPr>
            </w:pPr>
            <w:r>
              <w:rPr>
                <w:rFonts w:ascii="Times New Roman"/>
                <w:spacing w:val="-2"/>
                <w:sz w:val="20"/>
              </w:rPr>
              <w:t>(0.0329)</w:t>
            </w:r>
          </w:p>
        </w:tc>
        <w:tc>
          <w:tcPr>
            <w:tcW w:w="1885" w:type="dxa"/>
            <w:tcBorders>
              <w:top w:val="nil"/>
              <w:left w:val="single" w:sz="4" w:space="0" w:color="000000"/>
              <w:bottom w:val="nil"/>
              <w:right w:val="nil"/>
            </w:tcBorders>
          </w:tcPr>
          <w:p>
            <w:pPr>
              <w:pStyle w:val="TableParagraph"/>
              <w:spacing w:before="143"/>
              <w:ind w:right="24"/>
              <w:jc w:val="center"/>
              <w:rPr>
                <w:rFonts w:ascii="Times New Roman"/>
                <w:sz w:val="18"/>
              </w:rPr>
            </w:pPr>
            <w:r>
              <w:rPr>
                <w:rFonts w:ascii="Times New Roman"/>
                <w:spacing w:val="-2"/>
                <w:sz w:val="18"/>
              </w:rPr>
              <w:t>(0.0989)</w:t>
            </w:r>
          </w:p>
        </w:tc>
      </w:tr>
      <w:tr>
        <w:trPr>
          <w:trHeight w:val="502"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right w:val="single" w:sz="4" w:space="0" w:color="000000"/>
            </w:tcBorders>
          </w:tcPr>
          <w:p>
            <w:pPr>
              <w:pStyle w:val="TableParagraph"/>
              <w:spacing w:before="174"/>
              <w:ind w:left="454" w:right="454"/>
              <w:jc w:val="center"/>
              <w:rPr>
                <w:rFonts w:ascii="Times New Roman"/>
                <w:sz w:val="20"/>
              </w:rPr>
            </w:pPr>
            <w:r>
              <w:rPr>
                <w:rFonts w:ascii="Times New Roman"/>
                <w:spacing w:val="-2"/>
                <w:sz w:val="20"/>
              </w:rPr>
              <w:t>{0.1650}</w:t>
            </w:r>
          </w:p>
        </w:tc>
        <w:tc>
          <w:tcPr>
            <w:tcW w:w="1805" w:type="dxa"/>
            <w:tcBorders>
              <w:top w:val="nil"/>
              <w:left w:val="single" w:sz="4" w:space="0" w:color="000000"/>
              <w:right w:val="single" w:sz="4" w:space="0" w:color="000000"/>
            </w:tcBorders>
          </w:tcPr>
          <w:p>
            <w:pPr>
              <w:pStyle w:val="TableParagraph"/>
              <w:spacing w:before="6"/>
              <w:ind w:left="10" w:right="20"/>
              <w:jc w:val="center"/>
              <w:rPr>
                <w:rFonts w:ascii="Times New Roman"/>
                <w:sz w:val="20"/>
              </w:rPr>
            </w:pPr>
            <w:r>
              <w:rPr>
                <w:rFonts w:ascii="Times New Roman"/>
                <w:spacing w:val="-2"/>
                <w:sz w:val="20"/>
              </w:rPr>
              <w:t>{0.5034}</w:t>
            </w:r>
          </w:p>
        </w:tc>
        <w:tc>
          <w:tcPr>
            <w:tcW w:w="1885" w:type="dxa"/>
            <w:tcBorders>
              <w:top w:val="nil"/>
              <w:left w:val="single" w:sz="4" w:space="0" w:color="000000"/>
              <w:right w:val="nil"/>
            </w:tcBorders>
          </w:tcPr>
          <w:p>
            <w:pPr>
              <w:pStyle w:val="TableParagraph"/>
              <w:spacing w:before="190"/>
              <w:ind w:left="10" w:right="24"/>
              <w:jc w:val="center"/>
              <w:rPr>
                <w:rFonts w:ascii="Times New Roman"/>
                <w:sz w:val="18"/>
              </w:rPr>
            </w:pPr>
            <w:r>
              <w:rPr>
                <w:rFonts w:ascii="Times New Roman"/>
                <w:spacing w:val="-2"/>
                <w:sz w:val="18"/>
              </w:rPr>
              <w:t>{0.9910}</w:t>
            </w:r>
          </w:p>
        </w:tc>
      </w:tr>
      <w:tr>
        <w:trPr>
          <w:trHeight w:val="286" w:hRule="atLeast"/>
        </w:trPr>
        <w:tc>
          <w:tcPr>
            <w:tcW w:w="1906" w:type="dxa"/>
            <w:tcBorders>
              <w:left w:val="nil"/>
              <w:bottom w:val="nil"/>
              <w:right w:val="single" w:sz="4" w:space="0" w:color="000000"/>
            </w:tcBorders>
          </w:tcPr>
          <w:p>
            <w:pPr>
              <w:pStyle w:val="TableParagraph"/>
              <w:ind w:left="159" w:right="148"/>
              <w:jc w:val="center"/>
              <w:rPr>
                <w:rFonts w:ascii="Times New Roman"/>
                <w:sz w:val="20"/>
              </w:rPr>
            </w:pPr>
            <w:r>
              <w:rPr>
                <w:rFonts w:ascii="Times New Roman"/>
                <w:sz w:val="20"/>
              </w:rPr>
              <w:t>BDS*Post</w:t>
            </w:r>
            <w:r>
              <w:rPr>
                <w:rFonts w:ascii="Times New Roman"/>
                <w:spacing w:val="-12"/>
                <w:sz w:val="20"/>
              </w:rPr>
              <w:t> </w:t>
            </w:r>
            <w:r>
              <w:rPr>
                <w:rFonts w:ascii="Times New Roman"/>
                <w:spacing w:val="-4"/>
                <w:sz w:val="20"/>
              </w:rPr>
              <w:t>IFRS</w:t>
            </w:r>
          </w:p>
        </w:tc>
        <w:tc>
          <w:tcPr>
            <w:tcW w:w="989" w:type="dxa"/>
            <w:vMerge w:val="restart"/>
            <w:tcBorders>
              <w:left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ind w:left="444" w:right="454"/>
              <w:jc w:val="center"/>
              <w:rPr>
                <w:rFonts w:ascii="Times New Roman"/>
                <w:sz w:val="20"/>
              </w:rPr>
            </w:pPr>
            <w:r>
              <w:rPr>
                <w:rFonts w:ascii="Times New Roman"/>
                <w:spacing w:val="-2"/>
                <w:sz w:val="20"/>
              </w:rPr>
              <w:t>-0.0060</w:t>
            </w:r>
          </w:p>
        </w:tc>
        <w:tc>
          <w:tcPr>
            <w:tcW w:w="1805" w:type="dxa"/>
            <w:tcBorders>
              <w:left w:val="single" w:sz="4" w:space="0" w:color="000000"/>
              <w:bottom w:val="nil"/>
              <w:right w:val="single" w:sz="4" w:space="0" w:color="000000"/>
            </w:tcBorders>
          </w:tcPr>
          <w:p>
            <w:pPr>
              <w:pStyle w:val="TableParagraph"/>
              <w:ind w:left="10" w:right="20"/>
              <w:jc w:val="center"/>
              <w:rPr>
                <w:rFonts w:ascii="Times New Roman"/>
                <w:sz w:val="20"/>
              </w:rPr>
            </w:pPr>
            <w:r>
              <w:rPr>
                <w:rFonts w:ascii="Times New Roman"/>
                <w:spacing w:val="-2"/>
                <w:sz w:val="20"/>
              </w:rPr>
              <w:t>-0.0094</w:t>
            </w:r>
          </w:p>
        </w:tc>
        <w:tc>
          <w:tcPr>
            <w:tcW w:w="1885" w:type="dxa"/>
            <w:vMerge w:val="restart"/>
            <w:tcBorders>
              <w:left w:val="single" w:sz="4" w:space="0" w:color="000000"/>
              <w:right w:val="nil"/>
            </w:tcBorders>
          </w:tcPr>
          <w:p>
            <w:pPr>
              <w:pStyle w:val="TableParagraph"/>
              <w:rPr>
                <w:rFonts w:ascii="Times New Roman"/>
                <w:sz w:val="20"/>
              </w:rPr>
            </w:pPr>
          </w:p>
        </w:tc>
      </w:tr>
      <w:tr>
        <w:trPr>
          <w:trHeight w:val="377"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line="224" w:lineRule="exact" w:before="133"/>
              <w:ind w:left="441" w:right="454"/>
              <w:jc w:val="center"/>
              <w:rPr>
                <w:rFonts w:ascii="Times New Roman"/>
                <w:sz w:val="20"/>
              </w:rPr>
            </w:pPr>
            <w:r>
              <w:rPr>
                <w:rFonts w:ascii="Times New Roman"/>
                <w:spacing w:val="-2"/>
                <w:sz w:val="20"/>
              </w:rPr>
              <w:t>(0.01712)</w:t>
            </w:r>
          </w:p>
        </w:tc>
        <w:tc>
          <w:tcPr>
            <w:tcW w:w="1805" w:type="dxa"/>
            <w:tcBorders>
              <w:top w:val="nil"/>
              <w:left w:val="single" w:sz="4" w:space="0" w:color="000000"/>
              <w:bottom w:val="nil"/>
              <w:right w:val="single" w:sz="4" w:space="0" w:color="000000"/>
            </w:tcBorders>
          </w:tcPr>
          <w:p>
            <w:pPr>
              <w:pStyle w:val="TableParagraph"/>
              <w:spacing w:before="47"/>
              <w:ind w:left="10" w:right="20"/>
              <w:jc w:val="center"/>
              <w:rPr>
                <w:rFonts w:ascii="Times New Roman"/>
                <w:sz w:val="20"/>
              </w:rPr>
            </w:pPr>
            <w:r>
              <w:rPr>
                <w:rFonts w:ascii="Times New Roman"/>
                <w:spacing w:val="-2"/>
                <w:sz w:val="20"/>
              </w:rPr>
              <w:t>(0.0174)</w:t>
            </w:r>
          </w:p>
        </w:tc>
        <w:tc>
          <w:tcPr>
            <w:tcW w:w="1885" w:type="dxa"/>
            <w:vMerge/>
            <w:tcBorders>
              <w:top w:val="nil"/>
              <w:left w:val="single" w:sz="4" w:space="0" w:color="000000"/>
              <w:right w:val="nil"/>
            </w:tcBorders>
          </w:tcPr>
          <w:p>
            <w:pPr>
              <w:rPr>
                <w:sz w:val="2"/>
                <w:szCs w:val="2"/>
              </w:rPr>
            </w:pPr>
          </w:p>
        </w:tc>
      </w:tr>
      <w:tr>
        <w:trPr>
          <w:trHeight w:val="405" w:hRule="atLeast"/>
        </w:trPr>
        <w:tc>
          <w:tcPr>
            <w:tcW w:w="1906" w:type="dxa"/>
            <w:tcBorders>
              <w:top w:val="nil"/>
              <w:left w:val="nil"/>
              <w:right w:val="single" w:sz="4" w:space="0" w:color="000000"/>
            </w:tcBorders>
          </w:tcPr>
          <w:p>
            <w:pPr>
              <w:pStyle w:val="TableParagraph"/>
              <w:rPr>
                <w:rFonts w:ascii="Times New Roman"/>
                <w:sz w:val="20"/>
              </w:rPr>
            </w:pPr>
          </w:p>
        </w:tc>
        <w:tc>
          <w:tcPr>
            <w:tcW w:w="989" w:type="dxa"/>
            <w:vMerge/>
            <w:tcBorders>
              <w:top w:val="nil"/>
              <w:left w:val="single" w:sz="4" w:space="0" w:color="000000"/>
              <w:right w:val="single" w:sz="4" w:space="0" w:color="000000"/>
            </w:tcBorders>
          </w:tcPr>
          <w:p>
            <w:pPr>
              <w:rPr>
                <w:sz w:val="2"/>
                <w:szCs w:val="2"/>
              </w:rPr>
            </w:pPr>
          </w:p>
        </w:tc>
        <w:tc>
          <w:tcPr>
            <w:tcW w:w="1892" w:type="dxa"/>
            <w:tcBorders>
              <w:top w:val="nil"/>
              <w:left w:val="single" w:sz="4" w:space="0" w:color="000000"/>
              <w:right w:val="single" w:sz="4" w:space="0" w:color="000000"/>
            </w:tcBorders>
          </w:tcPr>
          <w:p>
            <w:pPr>
              <w:pStyle w:val="TableParagraph"/>
              <w:spacing w:line="210" w:lineRule="exact" w:before="175"/>
              <w:ind w:left="454" w:right="454"/>
              <w:jc w:val="center"/>
              <w:rPr>
                <w:rFonts w:ascii="Times New Roman"/>
                <w:sz w:val="20"/>
              </w:rPr>
            </w:pPr>
            <w:r>
              <w:rPr>
                <w:rFonts w:ascii="Times New Roman"/>
                <w:spacing w:val="-2"/>
                <w:sz w:val="20"/>
              </w:rPr>
              <w:t>{0.7260}</w:t>
            </w:r>
          </w:p>
        </w:tc>
        <w:tc>
          <w:tcPr>
            <w:tcW w:w="1805" w:type="dxa"/>
            <w:tcBorders>
              <w:top w:val="nil"/>
              <w:left w:val="single" w:sz="4" w:space="0" w:color="000000"/>
              <w:right w:val="single" w:sz="4" w:space="0" w:color="000000"/>
            </w:tcBorders>
          </w:tcPr>
          <w:p>
            <w:pPr>
              <w:pStyle w:val="TableParagraph"/>
              <w:spacing w:before="5"/>
              <w:ind w:left="10" w:right="20"/>
              <w:jc w:val="center"/>
              <w:rPr>
                <w:rFonts w:ascii="Times New Roman"/>
                <w:sz w:val="20"/>
              </w:rPr>
            </w:pPr>
            <w:r>
              <w:rPr>
                <w:rFonts w:ascii="Times New Roman"/>
                <w:spacing w:val="-2"/>
                <w:sz w:val="20"/>
              </w:rPr>
              <w:t>{0.5880}</w:t>
            </w:r>
          </w:p>
        </w:tc>
        <w:tc>
          <w:tcPr>
            <w:tcW w:w="1885" w:type="dxa"/>
            <w:vMerge/>
            <w:tcBorders>
              <w:top w:val="nil"/>
              <w:left w:val="single" w:sz="4" w:space="0" w:color="000000"/>
              <w:right w:val="nil"/>
            </w:tcBorders>
          </w:tcPr>
          <w:p>
            <w:pPr>
              <w:rPr>
                <w:sz w:val="2"/>
                <w:szCs w:val="2"/>
              </w:rPr>
            </w:pPr>
          </w:p>
        </w:tc>
      </w:tr>
      <w:tr>
        <w:trPr>
          <w:trHeight w:val="1089" w:hRule="atLeast"/>
        </w:trPr>
        <w:tc>
          <w:tcPr>
            <w:tcW w:w="1906" w:type="dxa"/>
            <w:tcBorders>
              <w:left w:val="nil"/>
              <w:bottom w:val="single" w:sz="4" w:space="0" w:color="000000"/>
              <w:right w:val="single" w:sz="4" w:space="0" w:color="000000"/>
            </w:tcBorders>
          </w:tcPr>
          <w:p>
            <w:pPr>
              <w:pStyle w:val="TableParagraph"/>
              <w:ind w:left="159" w:right="148"/>
              <w:jc w:val="center"/>
              <w:rPr>
                <w:rFonts w:ascii="Times New Roman"/>
                <w:sz w:val="20"/>
              </w:rPr>
            </w:pPr>
            <w:r>
              <w:rPr>
                <w:rFonts w:ascii="Times New Roman"/>
                <w:spacing w:val="-2"/>
                <w:sz w:val="20"/>
              </w:rPr>
              <w:t>BDIND*Post</w:t>
            </w:r>
            <w:r>
              <w:rPr>
                <w:rFonts w:ascii="Times New Roman"/>
                <w:spacing w:val="6"/>
                <w:sz w:val="20"/>
              </w:rPr>
              <w:t> </w:t>
            </w:r>
            <w:r>
              <w:rPr>
                <w:rFonts w:ascii="Times New Roman"/>
                <w:spacing w:val="-4"/>
                <w:sz w:val="20"/>
              </w:rPr>
              <w:t>IFRS</w:t>
            </w:r>
          </w:p>
        </w:tc>
        <w:tc>
          <w:tcPr>
            <w:tcW w:w="989" w:type="dxa"/>
            <w:tcBorders>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right w:val="single" w:sz="4" w:space="0" w:color="000000"/>
            </w:tcBorders>
          </w:tcPr>
          <w:p>
            <w:pPr>
              <w:pStyle w:val="TableParagraph"/>
              <w:spacing w:line="448" w:lineRule="auto"/>
              <w:ind w:left="542" w:right="417" w:hanging="34"/>
              <w:rPr>
                <w:rFonts w:ascii="Times New Roman"/>
                <w:sz w:val="20"/>
              </w:rPr>
            </w:pPr>
            <w:r>
              <w:rPr>
                <w:rFonts w:ascii="Times New Roman"/>
                <w:spacing w:val="-2"/>
                <w:sz w:val="20"/>
              </w:rPr>
              <w:t>1.41730** (0.51334)</w:t>
            </w:r>
          </w:p>
          <w:p>
            <w:pPr>
              <w:pStyle w:val="TableParagraph"/>
              <w:spacing w:line="209" w:lineRule="exact"/>
              <w:ind w:left="568"/>
              <w:rPr>
                <w:rFonts w:ascii="Times New Roman"/>
                <w:sz w:val="20"/>
              </w:rPr>
            </w:pPr>
            <w:r>
              <w:rPr>
                <w:rFonts w:ascii="Times New Roman"/>
                <w:spacing w:val="-2"/>
                <w:sz w:val="20"/>
              </w:rPr>
              <w:t>{0.0064}</w:t>
            </w:r>
          </w:p>
        </w:tc>
        <w:tc>
          <w:tcPr>
            <w:tcW w:w="1805" w:type="dxa"/>
            <w:tcBorders>
              <w:left w:val="single" w:sz="4" w:space="0" w:color="000000"/>
              <w:bottom w:val="single" w:sz="4" w:space="0" w:color="000000"/>
              <w:right w:val="single" w:sz="4" w:space="0" w:color="000000"/>
            </w:tcBorders>
          </w:tcPr>
          <w:p>
            <w:pPr>
              <w:pStyle w:val="TableParagraph"/>
              <w:spacing w:line="360" w:lineRule="auto"/>
              <w:ind w:left="548" w:right="527" w:hanging="34"/>
              <w:rPr>
                <w:rFonts w:ascii="Times New Roman"/>
                <w:sz w:val="20"/>
              </w:rPr>
            </w:pPr>
            <w:r>
              <w:rPr>
                <w:rFonts w:ascii="Times New Roman"/>
                <w:spacing w:val="-2"/>
                <w:sz w:val="20"/>
              </w:rPr>
              <w:t>1.5115** (0.5639)</w:t>
            </w:r>
          </w:p>
          <w:p>
            <w:pPr>
              <w:pStyle w:val="TableParagraph"/>
              <w:spacing w:before="1"/>
              <w:ind w:left="520"/>
              <w:rPr>
                <w:rFonts w:ascii="Times New Roman"/>
                <w:sz w:val="20"/>
              </w:rPr>
            </w:pPr>
            <w:r>
              <w:rPr/>
              <mc:AlternateContent>
                <mc:Choice Requires="wps">
                  <w:drawing>
                    <wp:anchor distT="0" distB="0" distL="0" distR="0" allowOverlap="1" layoutInCell="1" locked="0" behindDoc="1" simplePos="0" relativeHeight="477744640">
                      <wp:simplePos x="0" y="0"/>
                      <wp:positionH relativeFrom="column">
                        <wp:posOffset>186013</wp:posOffset>
                      </wp:positionH>
                      <wp:positionV relativeFrom="paragraph">
                        <wp:posOffset>-91745</wp:posOffset>
                      </wp:positionV>
                      <wp:extent cx="1896110" cy="203581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1896110" cy="2035810"/>
                                <a:chExt cx="1896110" cy="2035810"/>
                              </a:xfrm>
                            </wpg:grpSpPr>
                            <wps:wsp>
                              <wps:cNvPr id="187" name="Graphic 187"/>
                              <wps:cNvSpPr/>
                              <wps:spPr>
                                <a:xfrm>
                                  <a:off x="-8" y="0"/>
                                  <a:ext cx="1896110" cy="2035810"/>
                                </a:xfrm>
                                <a:custGeom>
                                  <a:avLst/>
                                  <a:gdLst/>
                                  <a:ahLst/>
                                  <a:cxnLst/>
                                  <a:rect l="l" t="t" r="r" b="b"/>
                                  <a:pathLst>
                                    <a:path w="1896110" h="2035810">
                                      <a:moveTo>
                                        <a:pt x="808278" y="1820926"/>
                                      </a:moveTo>
                                      <a:lnTo>
                                        <a:pt x="804214" y="1781048"/>
                                      </a:lnTo>
                                      <a:lnTo>
                                        <a:pt x="772337" y="1739773"/>
                                      </a:lnTo>
                                      <a:lnTo>
                                        <a:pt x="737666" y="1709674"/>
                                      </a:lnTo>
                                      <a:lnTo>
                                        <a:pt x="731189" y="1706626"/>
                                      </a:lnTo>
                                      <a:lnTo>
                                        <a:pt x="727125" y="1706626"/>
                                      </a:lnTo>
                                      <a:lnTo>
                                        <a:pt x="725220" y="1707388"/>
                                      </a:lnTo>
                                      <a:lnTo>
                                        <a:pt x="720140" y="1712468"/>
                                      </a:lnTo>
                                      <a:lnTo>
                                        <a:pt x="718362" y="1720469"/>
                                      </a:lnTo>
                                      <a:lnTo>
                                        <a:pt x="719632" y="1733042"/>
                                      </a:lnTo>
                                      <a:lnTo>
                                        <a:pt x="720191" y="1742833"/>
                                      </a:lnTo>
                                      <a:lnTo>
                                        <a:pt x="718019" y="1790687"/>
                                      </a:lnTo>
                                      <a:lnTo>
                                        <a:pt x="708075" y="1833245"/>
                                      </a:lnTo>
                                      <a:lnTo>
                                        <a:pt x="684263" y="1875840"/>
                                      </a:lnTo>
                                      <a:lnTo>
                                        <a:pt x="656120" y="1903031"/>
                                      </a:lnTo>
                                      <a:lnTo>
                                        <a:pt x="619696" y="1922272"/>
                                      </a:lnTo>
                                      <a:lnTo>
                                        <a:pt x="578281" y="1929790"/>
                                      </a:lnTo>
                                      <a:lnTo>
                                        <a:pt x="556006" y="1929218"/>
                                      </a:lnTo>
                                      <a:lnTo>
                                        <a:pt x="508050" y="1918335"/>
                                      </a:lnTo>
                                      <a:lnTo>
                                        <a:pt x="455980" y="1896033"/>
                                      </a:lnTo>
                                      <a:lnTo>
                                        <a:pt x="399719" y="1861439"/>
                                      </a:lnTo>
                                      <a:lnTo>
                                        <a:pt x="339852" y="1815312"/>
                                      </a:lnTo>
                                      <a:lnTo>
                                        <a:pt x="308825" y="1787791"/>
                                      </a:lnTo>
                                      <a:lnTo>
                                        <a:pt x="277037" y="1757172"/>
                                      </a:lnTo>
                                      <a:lnTo>
                                        <a:pt x="246037" y="1724990"/>
                                      </a:lnTo>
                                      <a:lnTo>
                                        <a:pt x="218109" y="1693494"/>
                                      </a:lnTo>
                                      <a:lnTo>
                                        <a:pt x="193128" y="1662557"/>
                                      </a:lnTo>
                                      <a:lnTo>
                                        <a:pt x="151879" y="1602892"/>
                                      </a:lnTo>
                                      <a:lnTo>
                                        <a:pt x="122478" y="1547228"/>
                                      </a:lnTo>
                                      <a:lnTo>
                                        <a:pt x="104076" y="1495412"/>
                                      </a:lnTo>
                                      <a:lnTo>
                                        <a:pt x="98145" y="1448181"/>
                                      </a:lnTo>
                                      <a:lnTo>
                                        <a:pt x="99491" y="1426464"/>
                                      </a:lnTo>
                                      <a:lnTo>
                                        <a:pt x="111340" y="1387754"/>
                                      </a:lnTo>
                                      <a:lnTo>
                                        <a:pt x="135305" y="1355229"/>
                                      </a:lnTo>
                                      <a:lnTo>
                                        <a:pt x="176657" y="1324686"/>
                                      </a:lnTo>
                                      <a:lnTo>
                                        <a:pt x="219913" y="1312062"/>
                                      </a:lnTo>
                                      <a:lnTo>
                                        <a:pt x="258927" y="1308544"/>
                                      </a:lnTo>
                                      <a:lnTo>
                                        <a:pt x="280949" y="1308862"/>
                                      </a:lnTo>
                                      <a:lnTo>
                                        <a:pt x="290753" y="1309509"/>
                                      </a:lnTo>
                                      <a:lnTo>
                                        <a:pt x="303326" y="1310640"/>
                                      </a:lnTo>
                                      <a:lnTo>
                                        <a:pt x="311327" y="1309878"/>
                                      </a:lnTo>
                                      <a:lnTo>
                                        <a:pt x="316026" y="1305052"/>
                                      </a:lnTo>
                                      <a:lnTo>
                                        <a:pt x="316661" y="1302385"/>
                                      </a:lnTo>
                                      <a:lnTo>
                                        <a:pt x="316534" y="1299464"/>
                                      </a:lnTo>
                                      <a:lnTo>
                                        <a:pt x="292150" y="1263015"/>
                                      </a:lnTo>
                                      <a:lnTo>
                                        <a:pt x="263829" y="1235964"/>
                                      </a:lnTo>
                                      <a:lnTo>
                                        <a:pt x="259511" y="1233043"/>
                                      </a:lnTo>
                                      <a:lnTo>
                                        <a:pt x="255574" y="1229614"/>
                                      </a:lnTo>
                                      <a:lnTo>
                                        <a:pt x="213626" y="1217066"/>
                                      </a:lnTo>
                                      <a:lnTo>
                                        <a:pt x="193725" y="1217295"/>
                                      </a:lnTo>
                                      <a:lnTo>
                                        <a:pt x="147243" y="1225042"/>
                                      </a:lnTo>
                                      <a:lnTo>
                                        <a:pt x="99872" y="1244092"/>
                                      </a:lnTo>
                                      <a:lnTo>
                                        <a:pt x="67411" y="1266621"/>
                                      </a:lnTo>
                                      <a:lnTo>
                                        <a:pt x="38036" y="1298308"/>
                                      </a:lnTo>
                                      <a:lnTo>
                                        <a:pt x="10845" y="1349425"/>
                                      </a:lnTo>
                                      <a:lnTo>
                                        <a:pt x="0" y="1408658"/>
                                      </a:lnTo>
                                      <a:lnTo>
                                        <a:pt x="63" y="1440586"/>
                                      </a:lnTo>
                                      <a:lnTo>
                                        <a:pt x="12242" y="1508506"/>
                                      </a:lnTo>
                                      <a:lnTo>
                                        <a:pt x="24663" y="1544840"/>
                                      </a:lnTo>
                                      <a:lnTo>
                                        <a:pt x="40754" y="1582191"/>
                                      </a:lnTo>
                                      <a:lnTo>
                                        <a:pt x="60744" y="1620507"/>
                                      </a:lnTo>
                                      <a:lnTo>
                                        <a:pt x="84886" y="1659763"/>
                                      </a:lnTo>
                                      <a:lnTo>
                                        <a:pt x="112814" y="1700022"/>
                                      </a:lnTo>
                                      <a:lnTo>
                                        <a:pt x="144767" y="1740877"/>
                                      </a:lnTo>
                                      <a:lnTo>
                                        <a:pt x="180708" y="1782229"/>
                                      </a:lnTo>
                                      <a:lnTo>
                                        <a:pt x="220649" y="1823974"/>
                                      </a:lnTo>
                                      <a:lnTo>
                                        <a:pt x="261391" y="1863077"/>
                                      </a:lnTo>
                                      <a:lnTo>
                                        <a:pt x="301320" y="1897976"/>
                                      </a:lnTo>
                                      <a:lnTo>
                                        <a:pt x="340448" y="1928799"/>
                                      </a:lnTo>
                                      <a:lnTo>
                                        <a:pt x="378764" y="1955673"/>
                                      </a:lnTo>
                                      <a:lnTo>
                                        <a:pt x="416217" y="1978990"/>
                                      </a:lnTo>
                                      <a:lnTo>
                                        <a:pt x="452589" y="1998052"/>
                                      </a:lnTo>
                                      <a:lnTo>
                                        <a:pt x="487895" y="2013127"/>
                                      </a:lnTo>
                                      <a:lnTo>
                                        <a:pt x="554926" y="2032203"/>
                                      </a:lnTo>
                                      <a:lnTo>
                                        <a:pt x="586422" y="2035619"/>
                                      </a:lnTo>
                                      <a:lnTo>
                                        <a:pt x="616597" y="2035048"/>
                                      </a:lnTo>
                                      <a:lnTo>
                                        <a:pt x="672719" y="2022957"/>
                                      </a:lnTo>
                                      <a:lnTo>
                                        <a:pt x="722198" y="1995424"/>
                                      </a:lnTo>
                                      <a:lnTo>
                                        <a:pt x="756221" y="1963369"/>
                                      </a:lnTo>
                                      <a:lnTo>
                                        <a:pt x="783386" y="1923415"/>
                                      </a:lnTo>
                                      <a:lnTo>
                                        <a:pt x="799020" y="1881987"/>
                                      </a:lnTo>
                                      <a:lnTo>
                                        <a:pt x="806831" y="1843811"/>
                                      </a:lnTo>
                                      <a:lnTo>
                                        <a:pt x="808024" y="1832127"/>
                                      </a:lnTo>
                                      <a:lnTo>
                                        <a:pt x="808278" y="1820926"/>
                                      </a:lnTo>
                                      <a:close/>
                                    </a:path>
                                    <a:path w="1896110" h="2035810">
                                      <a:moveTo>
                                        <a:pt x="1189304" y="1423746"/>
                                      </a:moveTo>
                                      <a:lnTo>
                                        <a:pt x="1176451" y="1354582"/>
                                      </a:lnTo>
                                      <a:lnTo>
                                        <a:pt x="1163561" y="1318704"/>
                                      </a:lnTo>
                                      <a:lnTo>
                                        <a:pt x="1146924" y="1281874"/>
                                      </a:lnTo>
                                      <a:lnTo>
                                        <a:pt x="1126363" y="1244104"/>
                                      </a:lnTo>
                                      <a:lnTo>
                                        <a:pt x="1101775" y="1205357"/>
                                      </a:lnTo>
                                      <a:lnTo>
                                        <a:pt x="1089748" y="1188770"/>
                                      </a:lnTo>
                                      <a:lnTo>
                                        <a:pt x="1089748" y="1409928"/>
                                      </a:lnTo>
                                      <a:lnTo>
                                        <a:pt x="1089456" y="1434338"/>
                                      </a:lnTo>
                                      <a:lnTo>
                                        <a:pt x="1076909" y="1479892"/>
                                      </a:lnTo>
                                      <a:lnTo>
                                        <a:pt x="1047038" y="1520571"/>
                                      </a:lnTo>
                                      <a:lnTo>
                                        <a:pt x="1006614" y="1550949"/>
                                      </a:lnTo>
                                      <a:lnTo>
                                        <a:pt x="962583" y="1564259"/>
                                      </a:lnTo>
                                      <a:lnTo>
                                        <a:pt x="939431" y="1565490"/>
                                      </a:lnTo>
                                      <a:lnTo>
                                        <a:pt x="915492" y="1563357"/>
                                      </a:lnTo>
                                      <a:lnTo>
                                        <a:pt x="865174" y="1548638"/>
                                      </a:lnTo>
                                      <a:lnTo>
                                        <a:pt x="812660" y="1521955"/>
                                      </a:lnTo>
                                      <a:lnTo>
                                        <a:pt x="757478" y="1483741"/>
                                      </a:lnTo>
                                      <a:lnTo>
                                        <a:pt x="700138" y="1436065"/>
                                      </a:lnTo>
                                      <a:lnTo>
                                        <a:pt x="670890" y="1409204"/>
                                      </a:lnTo>
                                      <a:lnTo>
                                        <a:pt x="641273" y="1380363"/>
                                      </a:lnTo>
                                      <a:lnTo>
                                        <a:pt x="590384" y="1325930"/>
                                      </a:lnTo>
                                      <a:lnTo>
                                        <a:pt x="545134" y="1270635"/>
                                      </a:lnTo>
                                      <a:lnTo>
                                        <a:pt x="508660" y="1215898"/>
                                      </a:lnTo>
                                      <a:lnTo>
                                        <a:pt x="482777" y="1162304"/>
                                      </a:lnTo>
                                      <a:lnTo>
                                        <a:pt x="468198" y="1111059"/>
                                      </a:lnTo>
                                      <a:lnTo>
                                        <a:pt x="465658" y="1086294"/>
                                      </a:lnTo>
                                      <a:lnTo>
                                        <a:pt x="466013" y="1062101"/>
                                      </a:lnTo>
                                      <a:lnTo>
                                        <a:pt x="478116" y="1016787"/>
                                      </a:lnTo>
                                      <a:lnTo>
                                        <a:pt x="507669" y="976503"/>
                                      </a:lnTo>
                                      <a:lnTo>
                                        <a:pt x="547611" y="946569"/>
                                      </a:lnTo>
                                      <a:lnTo>
                                        <a:pt x="591743" y="933196"/>
                                      </a:lnTo>
                                      <a:lnTo>
                                        <a:pt x="615200" y="932218"/>
                                      </a:lnTo>
                                      <a:lnTo>
                                        <a:pt x="639305" y="934326"/>
                                      </a:lnTo>
                                      <a:lnTo>
                                        <a:pt x="689533" y="948309"/>
                                      </a:lnTo>
                                      <a:lnTo>
                                        <a:pt x="742429" y="975004"/>
                                      </a:lnTo>
                                      <a:lnTo>
                                        <a:pt x="797229" y="1012063"/>
                                      </a:lnTo>
                                      <a:lnTo>
                                        <a:pt x="853770" y="1058913"/>
                                      </a:lnTo>
                                      <a:lnTo>
                                        <a:pt x="882307" y="1085062"/>
                                      </a:lnTo>
                                      <a:lnTo>
                                        <a:pt x="910894" y="1112901"/>
                                      </a:lnTo>
                                      <a:lnTo>
                                        <a:pt x="937552" y="1140409"/>
                                      </a:lnTo>
                                      <a:lnTo>
                                        <a:pt x="986078" y="1195793"/>
                                      </a:lnTo>
                                      <a:lnTo>
                                        <a:pt x="1028204" y="1251458"/>
                                      </a:lnTo>
                                      <a:lnTo>
                                        <a:pt x="1059840" y="1306093"/>
                                      </a:lnTo>
                                      <a:lnTo>
                                        <a:pt x="1081151" y="1358963"/>
                                      </a:lnTo>
                                      <a:lnTo>
                                        <a:pt x="1089748" y="1409928"/>
                                      </a:lnTo>
                                      <a:lnTo>
                                        <a:pt x="1089748" y="1188770"/>
                                      </a:lnTo>
                                      <a:lnTo>
                                        <a:pt x="1041209" y="1126159"/>
                                      </a:lnTo>
                                      <a:lnTo>
                                        <a:pt x="1005560" y="1085824"/>
                                      </a:lnTo>
                                      <a:lnTo>
                                        <a:pt x="966266" y="1044956"/>
                                      </a:lnTo>
                                      <a:lnTo>
                                        <a:pt x="925563" y="1005700"/>
                                      </a:lnTo>
                                      <a:lnTo>
                                        <a:pt x="885774" y="970203"/>
                                      </a:lnTo>
                                      <a:lnTo>
                                        <a:pt x="846886" y="938504"/>
                                      </a:lnTo>
                                      <a:lnTo>
                                        <a:pt x="808913" y="910590"/>
                                      </a:lnTo>
                                      <a:lnTo>
                                        <a:pt x="771817" y="886663"/>
                                      </a:lnTo>
                                      <a:lnTo>
                                        <a:pt x="735698" y="866940"/>
                                      </a:lnTo>
                                      <a:lnTo>
                                        <a:pt x="700608" y="851268"/>
                                      </a:lnTo>
                                      <a:lnTo>
                                        <a:pt x="633793" y="831850"/>
                                      </a:lnTo>
                                      <a:lnTo>
                                        <a:pt x="601992" y="828611"/>
                                      </a:lnTo>
                                      <a:lnTo>
                                        <a:pt x="571195" y="829475"/>
                                      </a:lnTo>
                                      <a:lnTo>
                                        <a:pt x="512597" y="842860"/>
                                      </a:lnTo>
                                      <a:lnTo>
                                        <a:pt x="459232" y="873861"/>
                                      </a:lnTo>
                                      <a:lnTo>
                                        <a:pt x="411683" y="921740"/>
                                      </a:lnTo>
                                      <a:lnTo>
                                        <a:pt x="380022" y="977887"/>
                                      </a:lnTo>
                                      <a:lnTo>
                                        <a:pt x="367258" y="1040053"/>
                                      </a:lnTo>
                                      <a:lnTo>
                                        <a:pt x="367068" y="1072946"/>
                                      </a:lnTo>
                                      <a:lnTo>
                                        <a:pt x="370979" y="1106766"/>
                                      </a:lnTo>
                                      <a:lnTo>
                                        <a:pt x="392010" y="1177404"/>
                                      </a:lnTo>
                                      <a:lnTo>
                                        <a:pt x="408444" y="1214234"/>
                                      </a:lnTo>
                                      <a:lnTo>
                                        <a:pt x="428739" y="1251902"/>
                                      </a:lnTo>
                                      <a:lnTo>
                                        <a:pt x="453059" y="1290320"/>
                                      </a:lnTo>
                                      <a:lnTo>
                                        <a:pt x="481152" y="1329372"/>
                                      </a:lnTo>
                                      <a:lnTo>
                                        <a:pt x="512660" y="1368742"/>
                                      </a:lnTo>
                                      <a:lnTo>
                                        <a:pt x="547585" y="1408417"/>
                                      </a:lnTo>
                                      <a:lnTo>
                                        <a:pt x="585901" y="1448308"/>
                                      </a:lnTo>
                                      <a:lnTo>
                                        <a:pt x="627354" y="1488313"/>
                                      </a:lnTo>
                                      <a:lnTo>
                                        <a:pt x="667702" y="1524317"/>
                                      </a:lnTo>
                                      <a:lnTo>
                                        <a:pt x="707034" y="1556435"/>
                                      </a:lnTo>
                                      <a:lnTo>
                                        <a:pt x="745413" y="1584706"/>
                                      </a:lnTo>
                                      <a:lnTo>
                                        <a:pt x="782866" y="1609077"/>
                                      </a:lnTo>
                                      <a:lnTo>
                                        <a:pt x="819200" y="1629257"/>
                                      </a:lnTo>
                                      <a:lnTo>
                                        <a:pt x="854379" y="1645297"/>
                                      </a:lnTo>
                                      <a:lnTo>
                                        <a:pt x="921143" y="1665147"/>
                                      </a:lnTo>
                                      <a:lnTo>
                                        <a:pt x="953008" y="1668691"/>
                                      </a:lnTo>
                                      <a:lnTo>
                                        <a:pt x="983945" y="1668081"/>
                                      </a:lnTo>
                                      <a:lnTo>
                                        <a:pt x="1042974" y="1655089"/>
                                      </a:lnTo>
                                      <a:lnTo>
                                        <a:pt x="1097051" y="1623720"/>
                                      </a:lnTo>
                                      <a:lnTo>
                                        <a:pt x="1145019" y="1575333"/>
                                      </a:lnTo>
                                      <a:lnTo>
                                        <a:pt x="1176388" y="1518932"/>
                                      </a:lnTo>
                                      <a:lnTo>
                                        <a:pt x="1189164" y="1456677"/>
                                      </a:lnTo>
                                      <a:lnTo>
                                        <a:pt x="1189304" y="1423746"/>
                                      </a:lnTo>
                                      <a:close/>
                                    </a:path>
                                    <a:path w="1896110" h="2035810">
                                      <a:moveTo>
                                        <a:pt x="1456232" y="1238885"/>
                                      </a:moveTo>
                                      <a:lnTo>
                                        <a:pt x="1455216" y="1235837"/>
                                      </a:lnTo>
                                      <a:lnTo>
                                        <a:pt x="1454073" y="1232789"/>
                                      </a:lnTo>
                                      <a:lnTo>
                                        <a:pt x="1451787" y="1229741"/>
                                      </a:lnTo>
                                      <a:lnTo>
                                        <a:pt x="1205534" y="983488"/>
                                      </a:lnTo>
                                      <a:lnTo>
                                        <a:pt x="1255318" y="933704"/>
                                      </a:lnTo>
                                      <a:lnTo>
                                        <a:pt x="1273975" y="913079"/>
                                      </a:lnTo>
                                      <a:lnTo>
                                        <a:pt x="1276413" y="909701"/>
                                      </a:lnTo>
                                      <a:lnTo>
                                        <a:pt x="1289316" y="891921"/>
                                      </a:lnTo>
                                      <a:lnTo>
                                        <a:pt x="1309801" y="847852"/>
                                      </a:lnTo>
                                      <a:lnTo>
                                        <a:pt x="1317663" y="802767"/>
                                      </a:lnTo>
                                      <a:lnTo>
                                        <a:pt x="1317739" y="778319"/>
                                      </a:lnTo>
                                      <a:lnTo>
                                        <a:pt x="1314754" y="753999"/>
                                      </a:lnTo>
                                      <a:lnTo>
                                        <a:pt x="1300568" y="704456"/>
                                      </a:lnTo>
                                      <a:lnTo>
                                        <a:pt x="1276019" y="653669"/>
                                      </a:lnTo>
                                      <a:lnTo>
                                        <a:pt x="1240815" y="602348"/>
                                      </a:lnTo>
                                      <a:lnTo>
                                        <a:pt x="1221359" y="579158"/>
                                      </a:lnTo>
                                      <a:lnTo>
                                        <a:pt x="1221359" y="774280"/>
                                      </a:lnTo>
                                      <a:lnTo>
                                        <a:pt x="1220457" y="788733"/>
                                      </a:lnTo>
                                      <a:lnTo>
                                        <a:pt x="1205852" y="830376"/>
                                      </a:lnTo>
                                      <a:lnTo>
                                        <a:pt x="1131747" y="909701"/>
                                      </a:lnTo>
                                      <a:lnTo>
                                        <a:pt x="860348" y="638429"/>
                                      </a:lnTo>
                                      <a:lnTo>
                                        <a:pt x="914336" y="584441"/>
                                      </a:lnTo>
                                      <a:lnTo>
                                        <a:pt x="948867" y="557403"/>
                                      </a:lnTo>
                                      <a:lnTo>
                                        <a:pt x="996492" y="544068"/>
                                      </a:lnTo>
                                      <a:lnTo>
                                        <a:pt x="1011212" y="544715"/>
                                      </a:lnTo>
                                      <a:lnTo>
                                        <a:pt x="1062532" y="560705"/>
                                      </a:lnTo>
                                      <a:lnTo>
                                        <a:pt x="1100836" y="584454"/>
                                      </a:lnTo>
                                      <a:lnTo>
                                        <a:pt x="1141399" y="619887"/>
                                      </a:lnTo>
                                      <a:lnTo>
                                        <a:pt x="1169022" y="650608"/>
                                      </a:lnTo>
                                      <a:lnTo>
                                        <a:pt x="1191310" y="681990"/>
                                      </a:lnTo>
                                      <a:lnTo>
                                        <a:pt x="1213573" y="729234"/>
                                      </a:lnTo>
                                      <a:lnTo>
                                        <a:pt x="1221359" y="774280"/>
                                      </a:lnTo>
                                      <a:lnTo>
                                        <a:pt x="1221359" y="579158"/>
                                      </a:lnTo>
                                      <a:lnTo>
                                        <a:pt x="1219377" y="576795"/>
                                      </a:lnTo>
                                      <a:lnTo>
                                        <a:pt x="1195247" y="551307"/>
                                      </a:lnTo>
                                      <a:lnTo>
                                        <a:pt x="1187678" y="544068"/>
                                      </a:lnTo>
                                      <a:lnTo>
                                        <a:pt x="1176108" y="532993"/>
                                      </a:lnTo>
                                      <a:lnTo>
                                        <a:pt x="1137805" y="501472"/>
                                      </a:lnTo>
                                      <a:lnTo>
                                        <a:pt x="1099388" y="476669"/>
                                      </a:lnTo>
                                      <a:lnTo>
                                        <a:pt x="1061669" y="459130"/>
                                      </a:lnTo>
                                      <a:lnTo>
                                        <a:pt x="1024724" y="447548"/>
                                      </a:lnTo>
                                      <a:lnTo>
                                        <a:pt x="971219" y="442849"/>
                                      </a:lnTo>
                                      <a:lnTo>
                                        <a:pt x="954328" y="444538"/>
                                      </a:lnTo>
                                      <a:lnTo>
                                        <a:pt x="912418" y="456692"/>
                                      </a:lnTo>
                                      <a:lnTo>
                                        <a:pt x="873810" y="479679"/>
                                      </a:lnTo>
                                      <a:lnTo>
                                        <a:pt x="844854" y="505460"/>
                                      </a:lnTo>
                                      <a:lnTo>
                                        <a:pt x="751001" y="599313"/>
                                      </a:lnTo>
                                      <a:lnTo>
                                        <a:pt x="743762" y="616623"/>
                                      </a:lnTo>
                                      <a:lnTo>
                                        <a:pt x="743889" y="624205"/>
                                      </a:lnTo>
                                      <a:lnTo>
                                        <a:pt x="766622" y="661035"/>
                                      </a:lnTo>
                                      <a:lnTo>
                                        <a:pt x="1390954" y="1285367"/>
                                      </a:lnTo>
                                      <a:lnTo>
                                        <a:pt x="1393494" y="1288034"/>
                                      </a:lnTo>
                                      <a:lnTo>
                                        <a:pt x="1396542" y="1290193"/>
                                      </a:lnTo>
                                      <a:lnTo>
                                        <a:pt x="1402638" y="1292479"/>
                                      </a:lnTo>
                                      <a:lnTo>
                                        <a:pt x="1405686" y="1292606"/>
                                      </a:lnTo>
                                      <a:lnTo>
                                        <a:pt x="1409115" y="1291336"/>
                                      </a:lnTo>
                                      <a:lnTo>
                                        <a:pt x="1413052" y="1290574"/>
                                      </a:lnTo>
                                      <a:lnTo>
                                        <a:pt x="1446834" y="1261999"/>
                                      </a:lnTo>
                                      <a:lnTo>
                                        <a:pt x="1455089" y="1245235"/>
                                      </a:lnTo>
                                      <a:lnTo>
                                        <a:pt x="1456105" y="1242187"/>
                                      </a:lnTo>
                                      <a:lnTo>
                                        <a:pt x="1456232" y="1238885"/>
                                      </a:lnTo>
                                      <a:close/>
                                    </a:path>
                                    <a:path w="1896110" h="2035810">
                                      <a:moveTo>
                                        <a:pt x="1896033" y="802259"/>
                                      </a:moveTo>
                                      <a:lnTo>
                                        <a:pt x="1895906" y="799211"/>
                                      </a:lnTo>
                                      <a:lnTo>
                                        <a:pt x="1893747" y="793115"/>
                                      </a:lnTo>
                                      <a:lnTo>
                                        <a:pt x="1891461" y="790067"/>
                                      </a:lnTo>
                                      <a:lnTo>
                                        <a:pt x="1639366" y="538099"/>
                                      </a:lnTo>
                                      <a:lnTo>
                                        <a:pt x="1592237" y="446278"/>
                                      </a:lnTo>
                                      <a:lnTo>
                                        <a:pt x="1452219" y="170192"/>
                                      </a:lnTo>
                                      <a:lnTo>
                                        <a:pt x="1381683" y="32385"/>
                                      </a:lnTo>
                                      <a:lnTo>
                                        <a:pt x="1351330" y="0"/>
                                      </a:lnTo>
                                      <a:lnTo>
                                        <a:pt x="1346250" y="1905"/>
                                      </a:lnTo>
                                      <a:lnTo>
                                        <a:pt x="1314754" y="29210"/>
                                      </a:lnTo>
                                      <a:lnTo>
                                        <a:pt x="1299895" y="57658"/>
                                      </a:lnTo>
                                      <a:lnTo>
                                        <a:pt x="1301419" y="61341"/>
                                      </a:lnTo>
                                      <a:lnTo>
                                        <a:pt x="1302689" y="65278"/>
                                      </a:lnTo>
                                      <a:lnTo>
                                        <a:pt x="1304340" y="68961"/>
                                      </a:lnTo>
                                      <a:lnTo>
                                        <a:pt x="1307388" y="73279"/>
                                      </a:lnTo>
                                      <a:lnTo>
                                        <a:pt x="1329944" y="116001"/>
                                      </a:lnTo>
                                      <a:lnTo>
                                        <a:pt x="1396936" y="244411"/>
                                      </a:lnTo>
                                      <a:lnTo>
                                        <a:pt x="1441881" y="329819"/>
                                      </a:lnTo>
                                      <a:lnTo>
                                        <a:pt x="1504823" y="442645"/>
                                      </a:lnTo>
                                      <a:lnTo>
                                        <a:pt x="1526717" y="480314"/>
                                      </a:lnTo>
                                      <a:lnTo>
                                        <a:pt x="1526082" y="480949"/>
                                      </a:lnTo>
                                      <a:lnTo>
                                        <a:pt x="1373047" y="395605"/>
                                      </a:lnTo>
                                      <a:lnTo>
                                        <a:pt x="1330566" y="373176"/>
                                      </a:lnTo>
                                      <a:lnTo>
                                        <a:pt x="1117777" y="261747"/>
                                      </a:lnTo>
                                      <a:lnTo>
                                        <a:pt x="1113078" y="259080"/>
                                      </a:lnTo>
                                      <a:lnTo>
                                        <a:pt x="1109141" y="257937"/>
                                      </a:lnTo>
                                      <a:lnTo>
                                        <a:pt x="1105585" y="256286"/>
                                      </a:lnTo>
                                      <a:lnTo>
                                        <a:pt x="1102029" y="255524"/>
                                      </a:lnTo>
                                      <a:lnTo>
                                        <a:pt x="1057071" y="286893"/>
                                      </a:lnTo>
                                      <a:lnTo>
                                        <a:pt x="1042466" y="307721"/>
                                      </a:lnTo>
                                      <a:lnTo>
                                        <a:pt x="1044498" y="316357"/>
                                      </a:lnTo>
                                      <a:lnTo>
                                        <a:pt x="1075486" y="338582"/>
                                      </a:lnTo>
                                      <a:lnTo>
                                        <a:pt x="1167257" y="385762"/>
                                      </a:lnTo>
                                      <a:lnTo>
                                        <a:pt x="1443367" y="525754"/>
                                      </a:lnTo>
                                      <a:lnTo>
                                        <a:pt x="1581200" y="596265"/>
                                      </a:lnTo>
                                      <a:lnTo>
                                        <a:pt x="1833168" y="848360"/>
                                      </a:lnTo>
                                      <a:lnTo>
                                        <a:pt x="1836216" y="850646"/>
                                      </a:lnTo>
                                      <a:lnTo>
                                        <a:pt x="1839264" y="851789"/>
                                      </a:lnTo>
                                      <a:lnTo>
                                        <a:pt x="1841931" y="853186"/>
                                      </a:lnTo>
                                      <a:lnTo>
                                        <a:pt x="1845233" y="853059"/>
                                      </a:lnTo>
                                      <a:lnTo>
                                        <a:pt x="1848662" y="851662"/>
                                      </a:lnTo>
                                      <a:lnTo>
                                        <a:pt x="1852726" y="850900"/>
                                      </a:lnTo>
                                      <a:lnTo>
                                        <a:pt x="1886127" y="822706"/>
                                      </a:lnTo>
                                      <a:lnTo>
                                        <a:pt x="1894763" y="805561"/>
                                      </a:lnTo>
                                      <a:lnTo>
                                        <a:pt x="1896033"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646729pt;margin-top:-7.224089pt;width:149.3pt;height:160.3pt;mso-position-horizontal-relative:column;mso-position-vertical-relative:paragraph;z-index:-25571840" id="docshapegroup50" coordorigin="293,-144" coordsize="2986,3206">
                      <v:shape style="position:absolute;left:292;top:-145;width:2986;height:3206" id="docshape51" coordorigin="293,-144" coordsize="2986,3206" path="m1566,2723l1566,2695,1565,2684,1564,2676,1561,2667,1559,2660,1554,2649,1552,2644,1548,2638,1526,2612,1509,2595,1492,2578,1468,2557,1455,2548,1449,2545,1444,2543,1438,2543,1435,2544,1427,2552,1424,2565,1426,2585,1427,2600,1427,2617,1427,2635,1425,2655,1424,2675,1420,2697,1415,2719,1408,2743,1399,2766,1386,2788,1371,2810,1352,2830,1326,2852,1299,2870,1269,2883,1237,2891,1204,2895,1169,2894,1132,2888,1093,2877,1053,2861,1011,2841,967,2817,922,2787,876,2753,828,2714,779,2671,729,2623,680,2572,636,2522,597,2474,562,2426,532,2380,507,2335,486,2292,469,2251,457,2210,450,2172,447,2136,450,2102,456,2070,468,2041,485,2014,506,1990,527,1970,549,1954,571,1942,594,1933,617,1927,639,1922,661,1918,681,1916,701,1916,735,1917,751,1918,771,1920,783,1918,791,1911,792,1907,791,1902,790,1898,789,1893,781,1879,769,1863,753,1845,724,1816,708,1802,702,1797,695,1792,684,1785,673,1780,664,1777,652,1774,642,1773,629,1772,598,1773,580,1774,562,1776,543,1780,525,1785,506,1790,487,1797,469,1806,450,1815,432,1825,415,1837,399,1850,384,1865,353,1900,328,1939,310,1981,299,2026,293,2074,293,2124,299,2177,312,2231,332,2288,357,2347,389,2407,427,2469,471,2533,521,2597,578,2662,640,2728,705,2789,767,2844,829,2893,889,2935,948,2972,1006,3002,1061,3026,1115,3044,1167,3056,1216,3061,1264,3060,1309,3054,1352,3041,1393,3023,1430,2998,1465,2967,1484,2947,1500,2927,1515,2906,1527,2885,1536,2862,1544,2841,1551,2819,1557,2798,1560,2778,1564,2759,1565,2741,1566,2723xm2166,2098l2159,2044,2146,1989,2125,1932,2099,1874,2067,1815,2028,1754,2009,1728,2009,2076,2009,2114,2002,2151,1989,2186,1969,2219,1942,2250,1911,2277,1878,2298,1844,2312,1809,2319,1772,2321,1735,2317,1696,2309,1655,2294,1615,2276,1573,2252,1530,2225,1486,2192,1441,2156,1396,2117,1349,2075,1303,2029,1262,1987,1223,1944,1186,1900,1151,1857,1120,1813,1094,1770,1072,1728,1053,1686,1039,1645,1030,1605,1026,1566,1027,1528,1033,1491,1046,1457,1066,1424,1092,1393,1123,1366,1155,1346,1189,1332,1225,1325,1262,1324,1300,1327,1339,1335,1379,1349,1420,1368,1462,1391,1505,1418,1548,1449,1593,1485,1637,1523,1682,1564,1727,1608,1769,1651,1809,1695,1846,1739,1881,1783,1912,1826,1939,1870,1962,1912,1981,1954,1996,1996,2005,2036,2009,2076,2009,1728,1983,1692,1933,1629,1876,1565,1815,1501,1751,1439,1688,1383,1627,1333,1613,1324,1567,1290,1508,1252,1452,1221,1396,1196,1343,1178,1291,1166,1241,1160,1192,1162,1145,1169,1100,1183,1057,1204,1016,1232,977,1266,941,1307,913,1350,891,1395,878,1443,871,1493,871,1545,877,1598,890,1653,910,1710,936,1768,968,1827,1006,1888,1051,1949,1100,2011,1155,2073,1216,2136,1281,2199,1344,2256,1406,2307,1467,2351,1526,2389,1583,2421,1638,2447,1692,2465,1744,2478,1794,2483,1842,2482,1890,2475,1935,2462,1979,2441,2021,2413,2060,2377,2096,2336,2106,2321,2125,2293,2146,2248,2159,2199,2166,2149,2166,2098xm2586,1807l2585,1802,2583,1797,2579,1792,2191,1404,2270,1326,2299,1293,2303,1288,2323,1260,2342,1226,2356,1191,2364,1155,2368,1120,2368,1081,2363,1043,2354,1004,2341,965,2324,925,2302,885,2277,844,2247,804,2216,768,2216,1075,2215,1098,2211,1120,2203,1142,2192,1163,2177,1184,2158,1205,2075,1288,1648,861,1733,776,1745,764,1758,753,1772,743,1787,733,1803,725,1821,719,1841,714,1862,712,1885,713,1911,718,1937,726,1966,739,1996,755,2027,776,2058,801,2090,832,2113,856,2134,880,2152,905,2169,930,2183,955,2195,979,2204,1004,2211,1028,2215,1052,2216,1075,2216,768,2213,764,2175,724,2163,712,2145,695,2115,669,2085,645,2054,624,2024,606,1994,591,1965,579,1936,568,1907,560,1878,555,1850,553,1822,553,1796,556,1772,560,1750,567,1730,575,1712,584,1696,594,1682,603,1669,611,1657,620,1646,630,1635,641,1623,652,1476,799,1470,807,1466,816,1464,827,1464,839,1468,851,1475,865,1485,880,1500,897,2483,1880,2487,1884,2492,1887,2502,1891,2507,1891,2512,1889,2518,1888,2532,1881,2539,1876,2547,1869,2565,1851,2571,1843,2576,1836,2581,1829,2583,1823,2584,1817,2586,1812,2586,1807xm3279,1119l3279,1114,3275,1105,3272,1100,2875,703,2800,558,2580,124,2469,-93,2452,-123,2447,-130,2441,-138,2434,-141,2421,-144,2413,-141,2404,-136,2398,-131,2382,-117,2363,-98,2356,-90,2346,-76,2343,-70,2341,-65,2340,-59,2340,-54,2342,-48,2344,-42,2347,-36,2352,-29,2387,38,2493,240,2564,375,2663,553,2697,612,2696,613,2455,479,2388,443,2053,268,2046,264,2040,262,2034,259,2028,258,2017,260,2011,262,2004,266,1980,285,1958,307,1949,317,1937,333,1935,340,1938,354,1942,360,1957,371,1965,377,1987,389,2131,463,2566,683,2783,795,3180,1192,3185,1195,3189,1197,3194,1199,3199,1199,3204,1197,3211,1196,3224,1188,3231,1183,3239,1177,3256,1160,3263,1151,3268,1144,3272,1137,3276,1131,3277,1124,3279,1119xe" filled="true" fillcolor="#c0c0c0" stroked="false">
                        <v:path arrowok="t"/>
                        <v:fill opacity="32896f" type="solid"/>
                      </v:shape>
                      <w10:wrap type="none"/>
                    </v:group>
                  </w:pict>
                </mc:Fallback>
              </mc:AlternateContent>
            </w:r>
            <w:r>
              <w:rPr>
                <w:rFonts w:ascii="Times New Roman"/>
                <w:spacing w:val="-2"/>
                <w:sz w:val="20"/>
              </w:rPr>
              <w:t>{0.0080}</w:t>
            </w:r>
          </w:p>
        </w:tc>
        <w:tc>
          <w:tcPr>
            <w:tcW w:w="1885" w:type="dxa"/>
            <w:tcBorders>
              <w:left w:val="single" w:sz="4" w:space="0" w:color="000000"/>
              <w:bottom w:val="single" w:sz="4" w:space="0" w:color="000000"/>
              <w:right w:val="nil"/>
            </w:tcBorders>
          </w:tcPr>
          <w:p>
            <w:pPr>
              <w:pStyle w:val="TableParagraph"/>
              <w:rPr>
                <w:rFonts w:ascii="Times New Roman"/>
                <w:sz w:val="20"/>
              </w:rPr>
            </w:pPr>
          </w:p>
        </w:tc>
      </w:tr>
      <w:tr>
        <w:trPr>
          <w:trHeight w:val="331" w:hRule="atLeast"/>
        </w:trPr>
        <w:tc>
          <w:tcPr>
            <w:tcW w:w="1906" w:type="dxa"/>
            <w:tcBorders>
              <w:top w:val="single" w:sz="4" w:space="0" w:color="000000"/>
              <w:left w:val="nil"/>
              <w:bottom w:val="nil"/>
              <w:right w:val="single" w:sz="4" w:space="0" w:color="000000"/>
            </w:tcBorders>
          </w:tcPr>
          <w:p>
            <w:pPr>
              <w:pStyle w:val="TableParagraph"/>
              <w:spacing w:before="1"/>
              <w:ind w:left="159" w:right="148"/>
              <w:jc w:val="center"/>
              <w:rPr>
                <w:rFonts w:ascii="Times New Roman"/>
                <w:sz w:val="20"/>
              </w:rPr>
            </w:pPr>
            <w:r>
              <w:rPr>
                <w:rFonts w:ascii="Times New Roman"/>
                <w:sz w:val="20"/>
              </w:rPr>
              <w:t>BFEXP*Post</w:t>
            </w:r>
            <w:r>
              <w:rPr>
                <w:rFonts w:ascii="Times New Roman"/>
                <w:spacing w:val="-12"/>
                <w:sz w:val="20"/>
              </w:rPr>
              <w:t> </w:t>
            </w:r>
            <w:r>
              <w:rPr>
                <w:rFonts w:ascii="Times New Roman"/>
                <w:spacing w:val="-4"/>
                <w:sz w:val="20"/>
              </w:rPr>
              <w:t>IFRS</w:t>
            </w:r>
          </w:p>
        </w:tc>
        <w:tc>
          <w:tcPr>
            <w:tcW w:w="989"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left w:val="single" w:sz="4" w:space="0" w:color="000000"/>
              <w:bottom w:val="nil"/>
              <w:right w:val="single" w:sz="4" w:space="0" w:color="000000"/>
            </w:tcBorders>
          </w:tcPr>
          <w:p>
            <w:pPr>
              <w:pStyle w:val="TableParagraph"/>
              <w:spacing w:before="1"/>
              <w:ind w:left="444" w:right="454"/>
              <w:jc w:val="center"/>
              <w:rPr>
                <w:rFonts w:ascii="Times New Roman"/>
                <w:sz w:val="20"/>
              </w:rPr>
            </w:pPr>
            <w:r>
              <w:rPr>
                <w:rFonts w:ascii="Times New Roman"/>
                <w:spacing w:val="-2"/>
                <w:sz w:val="20"/>
              </w:rPr>
              <w:t>-0.3774</w:t>
            </w:r>
          </w:p>
        </w:tc>
        <w:tc>
          <w:tcPr>
            <w:tcW w:w="1805" w:type="dxa"/>
            <w:tcBorders>
              <w:top w:val="single" w:sz="4" w:space="0" w:color="000000"/>
              <w:left w:val="single" w:sz="4" w:space="0" w:color="000000"/>
              <w:bottom w:val="nil"/>
              <w:right w:val="single" w:sz="4" w:space="0" w:color="000000"/>
            </w:tcBorders>
          </w:tcPr>
          <w:p>
            <w:pPr>
              <w:pStyle w:val="TableParagraph"/>
              <w:spacing w:before="1"/>
              <w:ind w:right="20"/>
              <w:jc w:val="center"/>
              <w:rPr>
                <w:rFonts w:ascii="Times New Roman"/>
                <w:sz w:val="20"/>
              </w:rPr>
            </w:pPr>
            <w:r>
              <w:rPr>
                <w:rFonts w:ascii="Times New Roman"/>
                <w:spacing w:val="-2"/>
                <w:sz w:val="20"/>
              </w:rPr>
              <w:t>0.0429</w:t>
            </w:r>
          </w:p>
        </w:tc>
        <w:tc>
          <w:tcPr>
            <w:tcW w:w="1885" w:type="dxa"/>
            <w:vMerge w:val="restart"/>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419" w:hRule="atLeast"/>
        </w:trPr>
        <w:tc>
          <w:tcPr>
            <w:tcW w:w="1906" w:type="dxa"/>
            <w:tcBorders>
              <w:top w:val="nil"/>
              <w:left w:val="nil"/>
              <w:bottom w:val="nil"/>
              <w:right w:val="single" w:sz="4" w:space="0" w:color="000000"/>
            </w:tcBorders>
          </w:tcPr>
          <w:p>
            <w:pPr>
              <w:pStyle w:val="TableParagraph"/>
              <w:rPr>
                <w:rFonts w:ascii="Times New Roman"/>
                <w:sz w:val="20"/>
              </w:rPr>
            </w:pPr>
          </w:p>
        </w:tc>
        <w:tc>
          <w:tcPr>
            <w:tcW w:w="989" w:type="dxa"/>
            <w:vMerge/>
            <w:tcBorders>
              <w:top w:val="nil"/>
              <w:left w:val="single" w:sz="4" w:space="0" w:color="000000"/>
              <w:bottom w:val="single" w:sz="4" w:space="0" w:color="000000"/>
              <w:right w:val="single" w:sz="4" w:space="0" w:color="000000"/>
            </w:tcBorders>
          </w:tcPr>
          <w:p>
            <w:pPr>
              <w:rPr>
                <w:sz w:val="2"/>
                <w:szCs w:val="2"/>
              </w:rPr>
            </w:pPr>
          </w:p>
        </w:tc>
        <w:tc>
          <w:tcPr>
            <w:tcW w:w="1892" w:type="dxa"/>
            <w:tcBorders>
              <w:top w:val="nil"/>
              <w:left w:val="single" w:sz="4" w:space="0" w:color="000000"/>
              <w:bottom w:val="nil"/>
              <w:right w:val="single" w:sz="4" w:space="0" w:color="000000"/>
            </w:tcBorders>
          </w:tcPr>
          <w:p>
            <w:pPr>
              <w:pStyle w:val="TableParagraph"/>
              <w:spacing w:before="91"/>
              <w:ind w:left="441" w:right="454"/>
              <w:jc w:val="center"/>
              <w:rPr>
                <w:rFonts w:ascii="Times New Roman"/>
                <w:sz w:val="20"/>
              </w:rPr>
            </w:pPr>
            <w:r>
              <w:rPr>
                <w:rFonts w:ascii="Times New Roman"/>
                <w:spacing w:val="-2"/>
                <w:sz w:val="20"/>
              </w:rPr>
              <w:t>(0.75157)</w:t>
            </w:r>
          </w:p>
        </w:tc>
        <w:tc>
          <w:tcPr>
            <w:tcW w:w="1805" w:type="dxa"/>
            <w:tcBorders>
              <w:top w:val="nil"/>
              <w:left w:val="single" w:sz="4" w:space="0" w:color="000000"/>
              <w:bottom w:val="nil"/>
              <w:right w:val="single" w:sz="4" w:space="0" w:color="000000"/>
            </w:tcBorders>
          </w:tcPr>
          <w:p>
            <w:pPr>
              <w:pStyle w:val="TableParagraph"/>
              <w:spacing w:before="91"/>
              <w:ind w:right="20"/>
              <w:jc w:val="center"/>
              <w:rPr>
                <w:rFonts w:ascii="Times New Roman"/>
                <w:sz w:val="20"/>
              </w:rPr>
            </w:pPr>
            <w:r>
              <w:rPr>
                <w:rFonts w:ascii="Times New Roman"/>
                <w:spacing w:val="-2"/>
                <w:sz w:val="20"/>
              </w:rPr>
              <w:t>(0.0362)</w:t>
            </w:r>
          </w:p>
        </w:tc>
        <w:tc>
          <w:tcPr>
            <w:tcW w:w="1885" w:type="dxa"/>
            <w:vMerge/>
            <w:tcBorders>
              <w:top w:val="nil"/>
              <w:left w:val="single" w:sz="4" w:space="0" w:color="000000"/>
              <w:bottom w:val="single" w:sz="4" w:space="0" w:color="000000"/>
              <w:right w:val="nil"/>
            </w:tcBorders>
          </w:tcPr>
          <w:p>
            <w:pPr>
              <w:rPr>
                <w:sz w:val="2"/>
                <w:szCs w:val="2"/>
              </w:rPr>
            </w:pPr>
          </w:p>
        </w:tc>
      </w:tr>
      <w:tr>
        <w:trPr>
          <w:trHeight w:val="434" w:hRule="atLeast"/>
        </w:trPr>
        <w:tc>
          <w:tcPr>
            <w:tcW w:w="1906" w:type="dxa"/>
            <w:tcBorders>
              <w:top w:val="nil"/>
              <w:left w:val="nil"/>
              <w:bottom w:val="single" w:sz="4" w:space="0" w:color="000000"/>
              <w:right w:val="single" w:sz="4" w:space="0" w:color="000000"/>
            </w:tcBorders>
          </w:tcPr>
          <w:p>
            <w:pPr>
              <w:pStyle w:val="TableParagraph"/>
              <w:rPr>
                <w:rFonts w:ascii="Times New Roman"/>
                <w:sz w:val="20"/>
              </w:rPr>
            </w:pPr>
          </w:p>
        </w:tc>
        <w:tc>
          <w:tcPr>
            <w:tcW w:w="989" w:type="dxa"/>
            <w:vMerge/>
            <w:tcBorders>
              <w:top w:val="nil"/>
              <w:left w:val="single" w:sz="4" w:space="0" w:color="000000"/>
              <w:bottom w:val="single" w:sz="4" w:space="0" w:color="000000"/>
              <w:right w:val="single" w:sz="4" w:space="0" w:color="000000"/>
            </w:tcBorders>
          </w:tcPr>
          <w:p>
            <w:pPr>
              <w:rPr>
                <w:sz w:val="2"/>
                <w:szCs w:val="2"/>
              </w:rPr>
            </w:pPr>
          </w:p>
        </w:tc>
        <w:tc>
          <w:tcPr>
            <w:tcW w:w="1892" w:type="dxa"/>
            <w:tcBorders>
              <w:top w:val="nil"/>
              <w:left w:val="single" w:sz="4" w:space="0" w:color="000000"/>
              <w:bottom w:val="single" w:sz="4" w:space="0" w:color="000000"/>
              <w:right w:val="single" w:sz="4" w:space="0" w:color="000000"/>
            </w:tcBorders>
          </w:tcPr>
          <w:p>
            <w:pPr>
              <w:pStyle w:val="TableParagraph"/>
              <w:spacing w:before="89"/>
              <w:ind w:left="454" w:right="454"/>
              <w:jc w:val="center"/>
              <w:rPr>
                <w:rFonts w:ascii="Times New Roman"/>
                <w:sz w:val="20"/>
              </w:rPr>
            </w:pPr>
            <w:r>
              <w:rPr>
                <w:rFonts w:ascii="Times New Roman"/>
                <w:spacing w:val="-2"/>
                <w:sz w:val="20"/>
              </w:rPr>
              <w:t>{0.6162}</w:t>
            </w:r>
          </w:p>
        </w:tc>
        <w:tc>
          <w:tcPr>
            <w:tcW w:w="1805" w:type="dxa"/>
            <w:tcBorders>
              <w:top w:val="nil"/>
              <w:left w:val="single" w:sz="4" w:space="0" w:color="000000"/>
              <w:bottom w:val="single" w:sz="4" w:space="0" w:color="000000"/>
              <w:right w:val="single" w:sz="4" w:space="0" w:color="000000"/>
            </w:tcBorders>
          </w:tcPr>
          <w:p>
            <w:pPr>
              <w:pStyle w:val="TableParagraph"/>
              <w:spacing w:before="91"/>
              <w:ind w:left="10" w:right="20"/>
              <w:jc w:val="center"/>
              <w:rPr>
                <w:rFonts w:ascii="Times New Roman"/>
                <w:sz w:val="20"/>
              </w:rPr>
            </w:pPr>
            <w:r>
              <w:rPr>
                <w:rFonts w:ascii="Times New Roman"/>
                <w:spacing w:val="-2"/>
                <w:sz w:val="20"/>
              </w:rPr>
              <w:t>{0.9711}</w:t>
            </w:r>
          </w:p>
        </w:tc>
        <w:tc>
          <w:tcPr>
            <w:tcW w:w="1885" w:type="dxa"/>
            <w:vMerge/>
            <w:tcBorders>
              <w:top w:val="nil"/>
              <w:left w:val="single" w:sz="4" w:space="0" w:color="000000"/>
              <w:bottom w:val="single" w:sz="4" w:space="0" w:color="000000"/>
              <w:right w:val="nil"/>
            </w:tcBorders>
          </w:tcPr>
          <w:p>
            <w:pPr>
              <w:rPr>
                <w:sz w:val="2"/>
                <w:szCs w:val="2"/>
              </w:rPr>
            </w:pP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rPr>
                <w:rFonts w:ascii="Times New Roman"/>
                <w:sz w:val="20"/>
              </w:rPr>
            </w:pP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369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
              <w:ind w:left="1146"/>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1885"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spacing w:line="144" w:lineRule="auto" w:before="37"/>
              <w:ind w:left="159" w:right="145"/>
              <w:jc w:val="center"/>
              <w:rPr>
                <w:rFonts w:ascii="Times New Roman"/>
                <w:sz w:val="12"/>
              </w:rPr>
            </w:pPr>
            <w:r>
              <w:rPr>
                <w:rFonts w:ascii="Times New Roman"/>
                <w:spacing w:val="-5"/>
                <w:position w:val="-6"/>
                <w:sz w:val="19"/>
              </w:rPr>
              <w:t>R</w:t>
            </w:r>
            <w:r>
              <w:rPr>
                <w:rFonts w:ascii="Times New Roman"/>
                <w:spacing w:val="-5"/>
                <w:sz w:val="12"/>
              </w:rPr>
              <w:t>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top w:val="single" w:sz="4" w:space="0" w:color="000000"/>
              <w:left w:val="single" w:sz="4" w:space="0" w:color="000000"/>
              <w:bottom w:val="single" w:sz="4" w:space="0" w:color="000000"/>
              <w:right w:val="nil"/>
            </w:tcBorders>
          </w:tcPr>
          <w:p>
            <w:pPr>
              <w:pStyle w:val="TableParagraph"/>
              <w:ind w:right="8"/>
              <w:jc w:val="center"/>
              <w:rPr>
                <w:rFonts w:ascii="Times New Roman"/>
                <w:sz w:val="19"/>
              </w:rPr>
            </w:pPr>
            <w:r>
              <w:rPr>
                <w:rFonts w:ascii="Times New Roman"/>
                <w:spacing w:val="-2"/>
                <w:sz w:val="19"/>
              </w:rPr>
              <w:t>0.2803</w:t>
            </w:r>
          </w:p>
        </w:tc>
        <w:tc>
          <w:tcPr>
            <w:tcW w:w="1805" w:type="dxa"/>
            <w:tcBorders>
              <w:top w:val="single" w:sz="4" w:space="0" w:color="000000"/>
              <w:left w:val="nil"/>
              <w:bottom w:val="nil"/>
              <w:right w:val="single" w:sz="4" w:space="0" w:color="000000"/>
            </w:tcBorders>
          </w:tcPr>
          <w:p>
            <w:pPr>
              <w:pStyle w:val="TableParagraph"/>
              <w:spacing w:before="15"/>
              <w:ind w:right="5"/>
              <w:jc w:val="center"/>
              <w:rPr>
                <w:sz w:val="18"/>
              </w:rPr>
            </w:pPr>
            <w:r>
              <w:rPr>
                <w:spacing w:val="-2"/>
                <w:sz w:val="18"/>
              </w:rPr>
              <w:t>0.033655</w:t>
            </w:r>
          </w:p>
        </w:tc>
        <w:tc>
          <w:tcPr>
            <w:tcW w:w="1885" w:type="dxa"/>
            <w:tcBorders>
              <w:top w:val="single" w:sz="4" w:space="0" w:color="000000"/>
              <w:left w:val="single" w:sz="4" w:space="0" w:color="000000"/>
              <w:bottom w:val="single" w:sz="4" w:space="0" w:color="000000"/>
              <w:right w:val="nil"/>
            </w:tcBorders>
          </w:tcPr>
          <w:p>
            <w:pPr>
              <w:pStyle w:val="TableParagraph"/>
              <w:ind w:left="9" w:right="24"/>
              <w:jc w:val="center"/>
              <w:rPr>
                <w:rFonts w:ascii="Times New Roman"/>
                <w:sz w:val="19"/>
              </w:rPr>
            </w:pPr>
            <w:r>
              <w:rPr>
                <w:rFonts w:ascii="Times New Roman"/>
                <w:spacing w:val="-2"/>
                <w:sz w:val="19"/>
              </w:rPr>
              <w:t>0.0941</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1"/>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top w:val="single" w:sz="4" w:space="0" w:color="000000"/>
              <w:left w:val="single" w:sz="4" w:space="0" w:color="000000"/>
              <w:bottom w:val="single" w:sz="4" w:space="0" w:color="000000"/>
              <w:right w:val="nil"/>
            </w:tcBorders>
          </w:tcPr>
          <w:p>
            <w:pPr>
              <w:pStyle w:val="TableParagraph"/>
              <w:ind w:right="8"/>
              <w:jc w:val="center"/>
              <w:rPr>
                <w:rFonts w:ascii="Times New Roman"/>
                <w:sz w:val="19"/>
              </w:rPr>
            </w:pPr>
            <w:r>
              <w:rPr>
                <w:rFonts w:ascii="Times New Roman"/>
                <w:spacing w:val="-2"/>
                <w:sz w:val="19"/>
              </w:rPr>
              <w:t>0.188</w:t>
            </w:r>
          </w:p>
        </w:tc>
        <w:tc>
          <w:tcPr>
            <w:tcW w:w="1805" w:type="dxa"/>
            <w:tcBorders>
              <w:top w:val="nil"/>
              <w:left w:val="nil"/>
              <w:bottom w:val="nil"/>
              <w:right w:val="single" w:sz="4" w:space="0" w:color="000000"/>
            </w:tcBorders>
          </w:tcPr>
          <w:p>
            <w:pPr>
              <w:pStyle w:val="TableParagraph"/>
              <w:spacing w:before="15"/>
              <w:ind w:left="3" w:right="5"/>
              <w:jc w:val="center"/>
              <w:rPr>
                <w:sz w:val="18"/>
              </w:rPr>
            </w:pPr>
            <w:r>
              <w:rPr>
                <w:spacing w:val="-2"/>
                <w:sz w:val="18"/>
              </w:rPr>
              <w:t>-0.018864</w:t>
            </w:r>
          </w:p>
        </w:tc>
        <w:tc>
          <w:tcPr>
            <w:tcW w:w="1885" w:type="dxa"/>
            <w:tcBorders>
              <w:top w:val="single" w:sz="4" w:space="0" w:color="000000"/>
              <w:left w:val="single" w:sz="4" w:space="0" w:color="000000"/>
              <w:bottom w:val="single" w:sz="4" w:space="0" w:color="000000"/>
              <w:right w:val="nil"/>
            </w:tcBorders>
          </w:tcPr>
          <w:p>
            <w:pPr>
              <w:pStyle w:val="TableParagraph"/>
              <w:ind w:left="9" w:right="24"/>
              <w:jc w:val="center"/>
              <w:rPr>
                <w:rFonts w:ascii="Times New Roman"/>
                <w:sz w:val="19"/>
              </w:rPr>
            </w:pPr>
            <w:r>
              <w:rPr>
                <w:rFonts w:ascii="Times New Roman"/>
                <w:spacing w:val="-2"/>
                <w:sz w:val="19"/>
              </w:rPr>
              <w:t>0.039</w:t>
            </w:r>
          </w:p>
        </w:tc>
      </w:tr>
      <w:tr>
        <w:trPr>
          <w:trHeight w:val="326"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6"/>
              <w:jc w:val="center"/>
              <w:rPr>
                <w:rFonts w:ascii="Times New Roman"/>
                <w:sz w:val="19"/>
              </w:rPr>
            </w:pPr>
            <w:r>
              <w:rPr>
                <w:rFonts w:ascii="Times New Roman"/>
                <w:spacing w:val="-2"/>
                <w:sz w:val="19"/>
              </w:rPr>
              <w:t>F-statistic</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top w:val="single" w:sz="4" w:space="0" w:color="000000"/>
              <w:left w:val="single" w:sz="4" w:space="0" w:color="000000"/>
              <w:bottom w:val="single" w:sz="4" w:space="0" w:color="000000"/>
              <w:right w:val="nil"/>
            </w:tcBorders>
          </w:tcPr>
          <w:p>
            <w:pPr>
              <w:pStyle w:val="TableParagraph"/>
              <w:ind w:right="8"/>
              <w:jc w:val="center"/>
              <w:rPr>
                <w:rFonts w:ascii="Times New Roman"/>
                <w:sz w:val="19"/>
              </w:rPr>
            </w:pPr>
            <w:r>
              <w:rPr>
                <w:rFonts w:ascii="Times New Roman"/>
                <w:spacing w:val="-2"/>
                <w:sz w:val="19"/>
              </w:rPr>
              <w:t>3.0456</w:t>
            </w:r>
          </w:p>
        </w:tc>
        <w:tc>
          <w:tcPr>
            <w:tcW w:w="1805" w:type="dxa"/>
            <w:tcBorders>
              <w:top w:val="nil"/>
              <w:left w:val="nil"/>
              <w:bottom w:val="nil"/>
              <w:right w:val="single" w:sz="4" w:space="0" w:color="000000"/>
            </w:tcBorders>
          </w:tcPr>
          <w:p>
            <w:pPr>
              <w:pStyle w:val="TableParagraph"/>
              <w:spacing w:before="15"/>
              <w:ind w:right="5"/>
              <w:jc w:val="center"/>
              <w:rPr>
                <w:sz w:val="18"/>
              </w:rPr>
            </w:pPr>
            <w:r>
              <w:rPr>
                <w:spacing w:val="-2"/>
                <w:sz w:val="18"/>
              </w:rPr>
              <w:t>0.640815</w:t>
            </w:r>
          </w:p>
        </w:tc>
        <w:tc>
          <w:tcPr>
            <w:tcW w:w="1885" w:type="dxa"/>
            <w:tcBorders>
              <w:top w:val="single" w:sz="4" w:space="0" w:color="000000"/>
              <w:left w:val="single" w:sz="4" w:space="0" w:color="000000"/>
              <w:bottom w:val="single" w:sz="4" w:space="0" w:color="000000"/>
              <w:right w:val="nil"/>
            </w:tcBorders>
          </w:tcPr>
          <w:p>
            <w:pPr>
              <w:pStyle w:val="TableParagraph"/>
              <w:ind w:left="9" w:right="24"/>
              <w:jc w:val="center"/>
              <w:rPr>
                <w:rFonts w:ascii="Times New Roman"/>
                <w:sz w:val="19"/>
              </w:rPr>
            </w:pPr>
            <w:r>
              <w:rPr>
                <w:rFonts w:ascii="Times New Roman"/>
                <w:spacing w:val="-2"/>
                <w:sz w:val="19"/>
              </w:rPr>
              <w:t>1.728</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5"/>
              <w:jc w:val="center"/>
              <w:rPr>
                <w:rFonts w:ascii="Times New Roman"/>
                <w:sz w:val="19"/>
              </w:rPr>
            </w:pPr>
            <w:r>
              <w:rPr>
                <w:rFonts w:ascii="Times New Roman"/>
                <w:spacing w:val="-2"/>
                <w:sz w:val="19"/>
              </w:rPr>
              <w:t>Prob(F-stat)</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top w:val="single" w:sz="4" w:space="0" w:color="000000"/>
              <w:left w:val="single" w:sz="4" w:space="0" w:color="000000"/>
              <w:bottom w:val="single" w:sz="4" w:space="0" w:color="000000"/>
              <w:right w:val="nil"/>
            </w:tcBorders>
          </w:tcPr>
          <w:p>
            <w:pPr>
              <w:pStyle w:val="TableParagraph"/>
              <w:ind w:right="8"/>
              <w:jc w:val="center"/>
              <w:rPr>
                <w:rFonts w:ascii="Times New Roman"/>
                <w:sz w:val="19"/>
              </w:rPr>
            </w:pPr>
            <w:r>
              <w:rPr>
                <w:rFonts w:ascii="Times New Roman"/>
                <w:spacing w:val="-2"/>
                <w:sz w:val="19"/>
              </w:rPr>
              <w:t>0.000</w:t>
            </w:r>
          </w:p>
        </w:tc>
        <w:tc>
          <w:tcPr>
            <w:tcW w:w="1805" w:type="dxa"/>
            <w:tcBorders>
              <w:top w:val="nil"/>
              <w:left w:val="nil"/>
              <w:bottom w:val="single" w:sz="4" w:space="0" w:color="000000"/>
              <w:right w:val="single" w:sz="4" w:space="0" w:color="000000"/>
            </w:tcBorders>
          </w:tcPr>
          <w:p>
            <w:pPr>
              <w:pStyle w:val="TableParagraph"/>
              <w:spacing w:before="18"/>
              <w:ind w:right="5"/>
              <w:jc w:val="center"/>
              <w:rPr>
                <w:sz w:val="18"/>
              </w:rPr>
            </w:pPr>
            <w:r>
              <w:rPr>
                <w:spacing w:val="-2"/>
                <w:sz w:val="18"/>
              </w:rPr>
              <w:t>0.777498</w:t>
            </w:r>
          </w:p>
        </w:tc>
        <w:tc>
          <w:tcPr>
            <w:tcW w:w="1885" w:type="dxa"/>
            <w:tcBorders>
              <w:top w:val="single" w:sz="4" w:space="0" w:color="000000"/>
              <w:left w:val="single" w:sz="4" w:space="0" w:color="000000"/>
              <w:bottom w:val="single" w:sz="4" w:space="0" w:color="000000"/>
              <w:right w:val="nil"/>
            </w:tcBorders>
          </w:tcPr>
          <w:p>
            <w:pPr>
              <w:pStyle w:val="TableParagraph"/>
              <w:ind w:left="9" w:right="24"/>
              <w:jc w:val="center"/>
              <w:rPr>
                <w:rFonts w:ascii="Times New Roman"/>
                <w:sz w:val="19"/>
              </w:rPr>
            </w:pPr>
            <w:r>
              <w:rPr>
                <w:rFonts w:ascii="Times New Roman"/>
                <w:spacing w:val="-2"/>
                <w:sz w:val="19"/>
              </w:rPr>
              <w:t>0.070</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2"/>
              <w:jc w:val="center"/>
              <w:rPr>
                <w:rFonts w:ascii="Times New Roman"/>
                <w:sz w:val="19"/>
              </w:rPr>
            </w:pPr>
            <w:r>
              <w:rPr>
                <w:rFonts w:ascii="Times New Roman"/>
                <w:spacing w:val="-2"/>
                <w:sz w:val="19"/>
              </w:rPr>
              <w:t>Durbin-Watson</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892" w:type="dxa"/>
            <w:tcBorders>
              <w:top w:val="single" w:sz="4" w:space="0" w:color="000000"/>
              <w:left w:val="single" w:sz="4" w:space="0" w:color="000000"/>
              <w:bottom w:val="single" w:sz="4" w:space="0" w:color="000000"/>
              <w:right w:val="single" w:sz="4" w:space="0" w:color="000000"/>
            </w:tcBorders>
          </w:tcPr>
          <w:p>
            <w:pPr>
              <w:pStyle w:val="TableParagraph"/>
              <w:ind w:left="454" w:right="454"/>
              <w:jc w:val="center"/>
              <w:rPr>
                <w:rFonts w:ascii="Times New Roman"/>
                <w:sz w:val="19"/>
              </w:rPr>
            </w:pPr>
            <w:r>
              <w:rPr>
                <w:rFonts w:ascii="Times New Roman"/>
                <w:spacing w:val="-4"/>
                <w:sz w:val="19"/>
              </w:rPr>
              <w:t>1.60</w:t>
            </w:r>
          </w:p>
        </w:tc>
        <w:tc>
          <w:tcPr>
            <w:tcW w:w="1805" w:type="dxa"/>
            <w:tcBorders>
              <w:top w:val="single" w:sz="4" w:space="0" w:color="000000"/>
              <w:left w:val="single" w:sz="4" w:space="0" w:color="000000"/>
              <w:bottom w:val="single" w:sz="4" w:space="0" w:color="000000"/>
              <w:right w:val="single" w:sz="4" w:space="0" w:color="000000"/>
            </w:tcBorders>
          </w:tcPr>
          <w:p>
            <w:pPr>
              <w:pStyle w:val="TableParagraph"/>
              <w:spacing w:line="206" w:lineRule="exact"/>
              <w:ind w:left="10" w:right="20"/>
              <w:jc w:val="center"/>
              <w:rPr>
                <w:sz w:val="18"/>
              </w:rPr>
            </w:pPr>
            <w:r>
              <w:rPr>
                <w:spacing w:val="-2"/>
                <w:sz w:val="18"/>
              </w:rPr>
              <w:t>1.50497</w:t>
            </w:r>
          </w:p>
        </w:tc>
        <w:tc>
          <w:tcPr>
            <w:tcW w:w="1885" w:type="dxa"/>
            <w:tcBorders>
              <w:top w:val="single" w:sz="4" w:space="0" w:color="000000"/>
              <w:left w:val="single" w:sz="4" w:space="0" w:color="000000"/>
              <w:bottom w:val="single" w:sz="4" w:space="0" w:color="000000"/>
              <w:right w:val="nil"/>
            </w:tcBorders>
          </w:tcPr>
          <w:p>
            <w:pPr>
              <w:pStyle w:val="TableParagraph"/>
              <w:ind w:left="9" w:right="24"/>
              <w:jc w:val="center"/>
              <w:rPr>
                <w:rFonts w:ascii="Times New Roman"/>
                <w:sz w:val="19"/>
              </w:rPr>
            </w:pPr>
            <w:r>
              <w:rPr>
                <w:rFonts w:ascii="Times New Roman"/>
                <w:spacing w:val="-2"/>
                <w:sz w:val="19"/>
              </w:rPr>
              <w:t>1.982</w:t>
            </w:r>
          </w:p>
        </w:tc>
      </w:tr>
    </w:tbl>
    <w:p>
      <w:pPr>
        <w:spacing w:before="28"/>
        <w:ind w:left="846" w:right="1358" w:firstLine="0"/>
        <w:jc w:val="center"/>
        <w:rPr>
          <w:sz w:val="19"/>
        </w:rPr>
      </w:pPr>
      <w:r>
        <w:rPr/>
        <mc:AlternateContent>
          <mc:Choice Requires="wps">
            <w:drawing>
              <wp:anchor distT="0" distB="0" distL="0" distR="0" allowOverlap="1" layoutInCell="1" locked="0" behindDoc="1" simplePos="0" relativeHeight="477744128">
                <wp:simplePos x="0" y="0"/>
                <wp:positionH relativeFrom="page">
                  <wp:posOffset>1269060</wp:posOffset>
                </wp:positionH>
                <wp:positionV relativeFrom="paragraph">
                  <wp:posOffset>-578437</wp:posOffset>
                </wp:positionV>
                <wp:extent cx="3241040" cy="31623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3241040" cy="3162300"/>
                          <a:chExt cx="3241040" cy="3162300"/>
                        </a:xfrm>
                      </wpg:grpSpPr>
                      <wps:wsp>
                        <wps:cNvPr id="189" name="Graphic 189"/>
                        <wps:cNvSpPr/>
                        <wps:spPr>
                          <a:xfrm>
                            <a:off x="0" y="1880631"/>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190" name="Image 190"/>
                          <pic:cNvPicPr/>
                        </pic:nvPicPr>
                        <pic:blipFill>
                          <a:blip r:embed="rId9" cstate="print"/>
                          <a:stretch>
                            <a:fillRect/>
                          </a:stretch>
                        </pic:blipFill>
                        <pic:spPr>
                          <a:xfrm>
                            <a:off x="1248333" y="1928701"/>
                            <a:ext cx="221995" cy="221614"/>
                          </a:xfrm>
                          <a:prstGeom prst="rect">
                            <a:avLst/>
                          </a:prstGeom>
                        </pic:spPr>
                      </pic:pic>
                      <wps:wsp>
                        <wps:cNvPr id="191" name="Graphic 191"/>
                        <wps:cNvSpPr/>
                        <wps:spPr>
                          <a:xfrm>
                            <a:off x="1117777" y="2"/>
                            <a:ext cx="2123440" cy="2132330"/>
                          </a:xfrm>
                          <a:custGeom>
                            <a:avLst/>
                            <a:gdLst/>
                            <a:ahLst/>
                            <a:cxnLst/>
                            <a:rect l="l" t="t" r="r" b="b"/>
                            <a:pathLst>
                              <a:path w="2123440" h="2132330">
                                <a:moveTo>
                                  <a:pt x="721741" y="2081479"/>
                                </a:moveTo>
                                <a:lnTo>
                                  <a:pt x="721487" y="2078558"/>
                                </a:lnTo>
                                <a:lnTo>
                                  <a:pt x="719328" y="2072462"/>
                                </a:lnTo>
                                <a:lnTo>
                                  <a:pt x="717042" y="2069414"/>
                                </a:lnTo>
                                <a:lnTo>
                                  <a:pt x="714375" y="2066874"/>
                                </a:lnTo>
                                <a:lnTo>
                                  <a:pt x="62357" y="1414856"/>
                                </a:lnTo>
                                <a:lnTo>
                                  <a:pt x="59436" y="1412570"/>
                                </a:lnTo>
                                <a:lnTo>
                                  <a:pt x="53213" y="1410284"/>
                                </a:lnTo>
                                <a:lnTo>
                                  <a:pt x="50292" y="1410157"/>
                                </a:lnTo>
                                <a:lnTo>
                                  <a:pt x="46355" y="1410919"/>
                                </a:lnTo>
                                <a:lnTo>
                                  <a:pt x="13970" y="1434922"/>
                                </a:lnTo>
                                <a:lnTo>
                                  <a:pt x="0" y="1463497"/>
                                </a:lnTo>
                                <a:lnTo>
                                  <a:pt x="2286" y="1469720"/>
                                </a:lnTo>
                                <a:lnTo>
                                  <a:pt x="658749" y="2127707"/>
                                </a:lnTo>
                                <a:lnTo>
                                  <a:pt x="670941" y="2132279"/>
                                </a:lnTo>
                                <a:lnTo>
                                  <a:pt x="674243" y="2131009"/>
                                </a:lnTo>
                                <a:lnTo>
                                  <a:pt x="678307" y="2130247"/>
                                </a:lnTo>
                                <a:lnTo>
                                  <a:pt x="712089" y="2101799"/>
                                </a:lnTo>
                                <a:lnTo>
                                  <a:pt x="720344" y="2084908"/>
                                </a:lnTo>
                                <a:lnTo>
                                  <a:pt x="721741" y="2081479"/>
                                </a:lnTo>
                                <a:close/>
                              </a:path>
                              <a:path w="2123440" h="2132330">
                                <a:moveTo>
                                  <a:pt x="896239" y="1903806"/>
                                </a:moveTo>
                                <a:lnTo>
                                  <a:pt x="645541" y="1648409"/>
                                </a:lnTo>
                                <a:lnTo>
                                  <a:pt x="695325" y="1598625"/>
                                </a:lnTo>
                                <a:lnTo>
                                  <a:pt x="729310" y="1556905"/>
                                </a:lnTo>
                                <a:lnTo>
                                  <a:pt x="749681" y="1512900"/>
                                </a:lnTo>
                                <a:lnTo>
                                  <a:pt x="757631" y="1467688"/>
                                </a:lnTo>
                                <a:lnTo>
                                  <a:pt x="757694" y="1443215"/>
                                </a:lnTo>
                                <a:lnTo>
                                  <a:pt x="754634" y="1418920"/>
                                </a:lnTo>
                                <a:lnTo>
                                  <a:pt x="740511" y="1369364"/>
                                </a:lnTo>
                                <a:lnTo>
                                  <a:pt x="716026" y="1318463"/>
                                </a:lnTo>
                                <a:lnTo>
                                  <a:pt x="680796" y="1267282"/>
                                </a:lnTo>
                                <a:lnTo>
                                  <a:pt x="661314" y="1243952"/>
                                </a:lnTo>
                                <a:lnTo>
                                  <a:pt x="661314" y="1439202"/>
                                </a:lnTo>
                                <a:lnTo>
                                  <a:pt x="660438" y="1453654"/>
                                </a:lnTo>
                                <a:lnTo>
                                  <a:pt x="645807" y="1495310"/>
                                </a:lnTo>
                                <a:lnTo>
                                  <a:pt x="571754" y="1574622"/>
                                </a:lnTo>
                                <a:lnTo>
                                  <a:pt x="300482" y="1303223"/>
                                </a:lnTo>
                                <a:lnTo>
                                  <a:pt x="354330" y="1249502"/>
                                </a:lnTo>
                                <a:lnTo>
                                  <a:pt x="388747" y="1222324"/>
                                </a:lnTo>
                                <a:lnTo>
                                  <a:pt x="436499" y="1209116"/>
                                </a:lnTo>
                                <a:lnTo>
                                  <a:pt x="451167" y="1209738"/>
                                </a:lnTo>
                                <a:lnTo>
                                  <a:pt x="502412" y="1225626"/>
                                </a:lnTo>
                                <a:lnTo>
                                  <a:pt x="540804" y="1249311"/>
                                </a:lnTo>
                                <a:lnTo>
                                  <a:pt x="581406" y="1284808"/>
                                </a:lnTo>
                                <a:lnTo>
                                  <a:pt x="609015" y="1315720"/>
                                </a:lnTo>
                                <a:lnTo>
                                  <a:pt x="631190" y="1346911"/>
                                </a:lnTo>
                                <a:lnTo>
                                  <a:pt x="653580" y="1394155"/>
                                </a:lnTo>
                                <a:lnTo>
                                  <a:pt x="661314" y="1439202"/>
                                </a:lnTo>
                                <a:lnTo>
                                  <a:pt x="661314" y="1243952"/>
                                </a:lnTo>
                                <a:lnTo>
                                  <a:pt x="659422" y="1241679"/>
                                </a:lnTo>
                                <a:lnTo>
                                  <a:pt x="635381" y="1216101"/>
                                </a:lnTo>
                                <a:lnTo>
                                  <a:pt x="628015" y="1209116"/>
                                </a:lnTo>
                                <a:lnTo>
                                  <a:pt x="616153" y="1197864"/>
                                </a:lnTo>
                                <a:lnTo>
                                  <a:pt x="577710" y="1166380"/>
                                </a:lnTo>
                                <a:lnTo>
                                  <a:pt x="539343" y="1141653"/>
                                </a:lnTo>
                                <a:lnTo>
                                  <a:pt x="501675" y="1124127"/>
                                </a:lnTo>
                                <a:lnTo>
                                  <a:pt x="464718" y="1112532"/>
                                </a:lnTo>
                                <a:lnTo>
                                  <a:pt x="428688" y="1107859"/>
                                </a:lnTo>
                                <a:lnTo>
                                  <a:pt x="411099" y="1107897"/>
                                </a:lnTo>
                                <a:lnTo>
                                  <a:pt x="365036" y="1116495"/>
                                </a:lnTo>
                                <a:lnTo>
                                  <a:pt x="321881" y="1139215"/>
                                </a:lnTo>
                                <a:lnTo>
                                  <a:pt x="291896" y="1163535"/>
                                </a:lnTo>
                                <a:lnTo>
                                  <a:pt x="190881" y="1264361"/>
                                </a:lnTo>
                                <a:lnTo>
                                  <a:pt x="183692" y="1281569"/>
                                </a:lnTo>
                                <a:lnTo>
                                  <a:pt x="183896" y="1288999"/>
                                </a:lnTo>
                                <a:lnTo>
                                  <a:pt x="206629" y="1325956"/>
                                </a:lnTo>
                                <a:lnTo>
                                  <a:pt x="830961" y="1950288"/>
                                </a:lnTo>
                                <a:lnTo>
                                  <a:pt x="833501" y="1952955"/>
                                </a:lnTo>
                                <a:lnTo>
                                  <a:pt x="836549" y="1955241"/>
                                </a:lnTo>
                                <a:lnTo>
                                  <a:pt x="839597" y="1956384"/>
                                </a:lnTo>
                                <a:lnTo>
                                  <a:pt x="842772" y="1957273"/>
                                </a:lnTo>
                                <a:lnTo>
                                  <a:pt x="845693" y="1957527"/>
                                </a:lnTo>
                                <a:lnTo>
                                  <a:pt x="848995" y="1956257"/>
                                </a:lnTo>
                                <a:lnTo>
                                  <a:pt x="853059" y="1955495"/>
                                </a:lnTo>
                                <a:lnTo>
                                  <a:pt x="886828" y="1926920"/>
                                </a:lnTo>
                                <a:lnTo>
                                  <a:pt x="895096" y="1910156"/>
                                </a:lnTo>
                                <a:lnTo>
                                  <a:pt x="896112" y="1907108"/>
                                </a:lnTo>
                                <a:lnTo>
                                  <a:pt x="896239" y="1903806"/>
                                </a:lnTo>
                                <a:close/>
                              </a:path>
                              <a:path w="2123440" h="2132330">
                                <a:moveTo>
                                  <a:pt x="1336294" y="1466799"/>
                                </a:moveTo>
                                <a:lnTo>
                                  <a:pt x="1336167" y="1463878"/>
                                </a:lnTo>
                                <a:lnTo>
                                  <a:pt x="1334008" y="1457655"/>
                                </a:lnTo>
                                <a:lnTo>
                                  <a:pt x="1331722" y="1454734"/>
                                </a:lnTo>
                                <a:lnTo>
                                  <a:pt x="742442" y="865454"/>
                                </a:lnTo>
                                <a:lnTo>
                                  <a:pt x="867410" y="740486"/>
                                </a:lnTo>
                                <a:lnTo>
                                  <a:pt x="868540" y="738327"/>
                                </a:lnTo>
                                <a:lnTo>
                                  <a:pt x="868667" y="735025"/>
                                </a:lnTo>
                                <a:lnTo>
                                  <a:pt x="868426" y="731977"/>
                                </a:lnTo>
                                <a:lnTo>
                                  <a:pt x="867778" y="728548"/>
                                </a:lnTo>
                                <a:lnTo>
                                  <a:pt x="865632" y="724484"/>
                                </a:lnTo>
                                <a:lnTo>
                                  <a:pt x="863981" y="720801"/>
                                </a:lnTo>
                                <a:lnTo>
                                  <a:pt x="832739" y="686257"/>
                                </a:lnTo>
                                <a:lnTo>
                                  <a:pt x="799465" y="663016"/>
                                </a:lnTo>
                                <a:lnTo>
                                  <a:pt x="793242" y="663016"/>
                                </a:lnTo>
                                <a:lnTo>
                                  <a:pt x="791083" y="664159"/>
                                </a:lnTo>
                                <a:lnTo>
                                  <a:pt x="482854" y="972388"/>
                                </a:lnTo>
                                <a:lnTo>
                                  <a:pt x="481711" y="974547"/>
                                </a:lnTo>
                                <a:lnTo>
                                  <a:pt x="481965" y="977468"/>
                                </a:lnTo>
                                <a:lnTo>
                                  <a:pt x="481711" y="980770"/>
                                </a:lnTo>
                                <a:lnTo>
                                  <a:pt x="482854" y="983818"/>
                                </a:lnTo>
                                <a:lnTo>
                                  <a:pt x="487045" y="992073"/>
                                </a:lnTo>
                                <a:lnTo>
                                  <a:pt x="490601" y="997026"/>
                                </a:lnTo>
                                <a:lnTo>
                                  <a:pt x="495046" y="1001979"/>
                                </a:lnTo>
                                <a:lnTo>
                                  <a:pt x="499491" y="1007948"/>
                                </a:lnTo>
                                <a:lnTo>
                                  <a:pt x="504952" y="1014044"/>
                                </a:lnTo>
                                <a:lnTo>
                                  <a:pt x="518541" y="1027633"/>
                                </a:lnTo>
                                <a:lnTo>
                                  <a:pt x="524637" y="1033094"/>
                                </a:lnTo>
                                <a:lnTo>
                                  <a:pt x="529971" y="1037031"/>
                                </a:lnTo>
                                <a:lnTo>
                                  <a:pt x="535051" y="1041476"/>
                                </a:lnTo>
                                <a:lnTo>
                                  <a:pt x="539877" y="1044905"/>
                                </a:lnTo>
                                <a:lnTo>
                                  <a:pt x="547751" y="1048588"/>
                                </a:lnTo>
                                <a:lnTo>
                                  <a:pt x="550799" y="1049731"/>
                                </a:lnTo>
                                <a:lnTo>
                                  <a:pt x="554101" y="1049604"/>
                                </a:lnTo>
                                <a:lnTo>
                                  <a:pt x="557022" y="1049858"/>
                                </a:lnTo>
                                <a:lnTo>
                                  <a:pt x="559181" y="1048588"/>
                                </a:lnTo>
                                <a:lnTo>
                                  <a:pt x="684149" y="923620"/>
                                </a:lnTo>
                                <a:lnTo>
                                  <a:pt x="1273556" y="1512900"/>
                                </a:lnTo>
                                <a:lnTo>
                                  <a:pt x="1276477" y="1515186"/>
                                </a:lnTo>
                                <a:lnTo>
                                  <a:pt x="1282700" y="1517345"/>
                                </a:lnTo>
                                <a:lnTo>
                                  <a:pt x="1285494" y="1517599"/>
                                </a:lnTo>
                                <a:lnTo>
                                  <a:pt x="1289050" y="1516329"/>
                                </a:lnTo>
                                <a:lnTo>
                                  <a:pt x="1292987" y="1515567"/>
                                </a:lnTo>
                                <a:lnTo>
                                  <a:pt x="1326769" y="1486992"/>
                                </a:lnTo>
                                <a:lnTo>
                                  <a:pt x="1335024" y="1470228"/>
                                </a:lnTo>
                                <a:lnTo>
                                  <a:pt x="1336294" y="1466799"/>
                                </a:lnTo>
                                <a:close/>
                              </a:path>
                              <a:path w="2123440" h="2132330">
                                <a:moveTo>
                                  <a:pt x="1674368" y="1128852"/>
                                </a:moveTo>
                                <a:lnTo>
                                  <a:pt x="1674241" y="1125804"/>
                                </a:lnTo>
                                <a:lnTo>
                                  <a:pt x="1671955" y="1119708"/>
                                </a:lnTo>
                                <a:lnTo>
                                  <a:pt x="1669796" y="1116660"/>
                                </a:lnTo>
                                <a:lnTo>
                                  <a:pt x="1080389" y="527380"/>
                                </a:lnTo>
                                <a:lnTo>
                                  <a:pt x="1205357" y="402412"/>
                                </a:lnTo>
                                <a:lnTo>
                                  <a:pt x="1206627" y="400253"/>
                                </a:lnTo>
                                <a:lnTo>
                                  <a:pt x="1206754" y="396951"/>
                                </a:lnTo>
                                <a:lnTo>
                                  <a:pt x="1205738" y="390601"/>
                                </a:lnTo>
                                <a:lnTo>
                                  <a:pt x="1202055" y="382854"/>
                                </a:lnTo>
                                <a:lnTo>
                                  <a:pt x="1198626" y="377901"/>
                                </a:lnTo>
                                <a:lnTo>
                                  <a:pt x="1194054" y="372948"/>
                                </a:lnTo>
                                <a:lnTo>
                                  <a:pt x="1184402" y="361772"/>
                                </a:lnTo>
                                <a:lnTo>
                                  <a:pt x="1177544" y="355041"/>
                                </a:lnTo>
                                <a:lnTo>
                                  <a:pt x="1170813" y="348183"/>
                                </a:lnTo>
                                <a:lnTo>
                                  <a:pt x="1154049" y="333451"/>
                                </a:lnTo>
                                <a:lnTo>
                                  <a:pt x="1149223" y="330022"/>
                                </a:lnTo>
                                <a:lnTo>
                                  <a:pt x="1140968" y="325704"/>
                                </a:lnTo>
                                <a:lnTo>
                                  <a:pt x="1137412" y="325069"/>
                                </a:lnTo>
                                <a:lnTo>
                                  <a:pt x="1134491" y="324815"/>
                                </a:lnTo>
                                <a:lnTo>
                                  <a:pt x="1131316" y="324942"/>
                                </a:lnTo>
                                <a:lnTo>
                                  <a:pt x="1129030" y="326212"/>
                                </a:lnTo>
                                <a:lnTo>
                                  <a:pt x="820928" y="634314"/>
                                </a:lnTo>
                                <a:lnTo>
                                  <a:pt x="819658" y="636600"/>
                                </a:lnTo>
                                <a:lnTo>
                                  <a:pt x="819912" y="639521"/>
                                </a:lnTo>
                                <a:lnTo>
                                  <a:pt x="819785" y="642696"/>
                                </a:lnTo>
                                <a:lnTo>
                                  <a:pt x="820928" y="645871"/>
                                </a:lnTo>
                                <a:lnTo>
                                  <a:pt x="825119" y="654126"/>
                                </a:lnTo>
                                <a:lnTo>
                                  <a:pt x="828548" y="658952"/>
                                </a:lnTo>
                                <a:lnTo>
                                  <a:pt x="832993" y="664032"/>
                                </a:lnTo>
                                <a:lnTo>
                                  <a:pt x="837565" y="670001"/>
                                </a:lnTo>
                                <a:lnTo>
                                  <a:pt x="842899" y="676097"/>
                                </a:lnTo>
                                <a:lnTo>
                                  <a:pt x="856488" y="689686"/>
                                </a:lnTo>
                                <a:lnTo>
                                  <a:pt x="862584" y="695020"/>
                                </a:lnTo>
                                <a:lnTo>
                                  <a:pt x="868045" y="699084"/>
                                </a:lnTo>
                                <a:lnTo>
                                  <a:pt x="872998" y="703529"/>
                                </a:lnTo>
                                <a:lnTo>
                                  <a:pt x="877951" y="706958"/>
                                </a:lnTo>
                                <a:lnTo>
                                  <a:pt x="885698" y="710641"/>
                                </a:lnTo>
                                <a:lnTo>
                                  <a:pt x="888746" y="711657"/>
                                </a:lnTo>
                                <a:lnTo>
                                  <a:pt x="892048" y="711657"/>
                                </a:lnTo>
                                <a:lnTo>
                                  <a:pt x="894969" y="711911"/>
                                </a:lnTo>
                                <a:lnTo>
                                  <a:pt x="897115" y="710641"/>
                                </a:lnTo>
                                <a:lnTo>
                                  <a:pt x="1022223" y="585673"/>
                                </a:lnTo>
                                <a:lnTo>
                                  <a:pt x="1611503" y="1174953"/>
                                </a:lnTo>
                                <a:lnTo>
                                  <a:pt x="1614551" y="1177239"/>
                                </a:lnTo>
                                <a:lnTo>
                                  <a:pt x="1620647" y="1179398"/>
                                </a:lnTo>
                                <a:lnTo>
                                  <a:pt x="1623568" y="1179652"/>
                                </a:lnTo>
                                <a:lnTo>
                                  <a:pt x="1626997" y="1178255"/>
                                </a:lnTo>
                                <a:lnTo>
                                  <a:pt x="1630934" y="1177620"/>
                                </a:lnTo>
                                <a:lnTo>
                                  <a:pt x="1668018" y="1144727"/>
                                </a:lnTo>
                                <a:lnTo>
                                  <a:pt x="1673098" y="1132281"/>
                                </a:lnTo>
                                <a:lnTo>
                                  <a:pt x="1674368" y="1128852"/>
                                </a:lnTo>
                                <a:close/>
                              </a:path>
                              <a:path w="2123440" h="2132330">
                                <a:moveTo>
                                  <a:pt x="2122817" y="595096"/>
                                </a:moveTo>
                                <a:lnTo>
                                  <a:pt x="2109851" y="525983"/>
                                </a:lnTo>
                                <a:lnTo>
                                  <a:pt x="2080412" y="453301"/>
                                </a:lnTo>
                                <a:lnTo>
                                  <a:pt x="2059838" y="415569"/>
                                </a:lnTo>
                                <a:lnTo>
                                  <a:pt x="2035175" y="376885"/>
                                </a:lnTo>
                                <a:lnTo>
                                  <a:pt x="2023275" y="360400"/>
                                </a:lnTo>
                                <a:lnTo>
                                  <a:pt x="2023275" y="581355"/>
                                </a:lnTo>
                                <a:lnTo>
                                  <a:pt x="2022983" y="605739"/>
                                </a:lnTo>
                                <a:lnTo>
                                  <a:pt x="2010384" y="651294"/>
                                </a:lnTo>
                                <a:lnTo>
                                  <a:pt x="1980565" y="691972"/>
                                </a:lnTo>
                                <a:lnTo>
                                  <a:pt x="1940153" y="722287"/>
                                </a:lnTo>
                                <a:lnTo>
                                  <a:pt x="1896237" y="735533"/>
                                </a:lnTo>
                                <a:lnTo>
                                  <a:pt x="1872983" y="736854"/>
                                </a:lnTo>
                                <a:lnTo>
                                  <a:pt x="1848993" y="734796"/>
                                </a:lnTo>
                                <a:lnTo>
                                  <a:pt x="1798701" y="720039"/>
                                </a:lnTo>
                                <a:lnTo>
                                  <a:pt x="1746084" y="693356"/>
                                </a:lnTo>
                                <a:lnTo>
                                  <a:pt x="1691005" y="655142"/>
                                </a:lnTo>
                                <a:lnTo>
                                  <a:pt x="1633664" y="607453"/>
                                </a:lnTo>
                                <a:lnTo>
                                  <a:pt x="1604416" y="580605"/>
                                </a:lnTo>
                                <a:lnTo>
                                  <a:pt x="1574800" y="551764"/>
                                </a:lnTo>
                                <a:lnTo>
                                  <a:pt x="1523911" y="497332"/>
                                </a:lnTo>
                                <a:lnTo>
                                  <a:pt x="1478661" y="442036"/>
                                </a:lnTo>
                                <a:lnTo>
                                  <a:pt x="1442186" y="387299"/>
                                </a:lnTo>
                                <a:lnTo>
                                  <a:pt x="1416304" y="333705"/>
                                </a:lnTo>
                                <a:lnTo>
                                  <a:pt x="1401673" y="282460"/>
                                </a:lnTo>
                                <a:lnTo>
                                  <a:pt x="1399133" y="257733"/>
                                </a:lnTo>
                                <a:lnTo>
                                  <a:pt x="1399540" y="233502"/>
                                </a:lnTo>
                                <a:lnTo>
                                  <a:pt x="1411693" y="188163"/>
                                </a:lnTo>
                                <a:lnTo>
                                  <a:pt x="1441196" y="147777"/>
                                </a:lnTo>
                                <a:lnTo>
                                  <a:pt x="1481175" y="117906"/>
                                </a:lnTo>
                                <a:lnTo>
                                  <a:pt x="1525270" y="104597"/>
                                </a:lnTo>
                                <a:lnTo>
                                  <a:pt x="1548726" y="103568"/>
                                </a:lnTo>
                                <a:lnTo>
                                  <a:pt x="1572831" y="105702"/>
                                </a:lnTo>
                                <a:lnTo>
                                  <a:pt x="1623060" y="119837"/>
                                </a:lnTo>
                                <a:lnTo>
                                  <a:pt x="1675955" y="146418"/>
                                </a:lnTo>
                                <a:lnTo>
                                  <a:pt x="1730756" y="183464"/>
                                </a:lnTo>
                                <a:lnTo>
                                  <a:pt x="1787296" y="230314"/>
                                </a:lnTo>
                                <a:lnTo>
                                  <a:pt x="1815833" y="256463"/>
                                </a:lnTo>
                                <a:lnTo>
                                  <a:pt x="1844421" y="284302"/>
                                </a:lnTo>
                                <a:lnTo>
                                  <a:pt x="1871078" y="311810"/>
                                </a:lnTo>
                                <a:lnTo>
                                  <a:pt x="1919605" y="367195"/>
                                </a:lnTo>
                                <a:lnTo>
                                  <a:pt x="1961730" y="422859"/>
                                </a:lnTo>
                                <a:lnTo>
                                  <a:pt x="1993366" y="477494"/>
                                </a:lnTo>
                                <a:lnTo>
                                  <a:pt x="2014677" y="530415"/>
                                </a:lnTo>
                                <a:lnTo>
                                  <a:pt x="2023275" y="581355"/>
                                </a:lnTo>
                                <a:lnTo>
                                  <a:pt x="2023275" y="360400"/>
                                </a:lnTo>
                                <a:lnTo>
                                  <a:pt x="1974723" y="297573"/>
                                </a:lnTo>
                                <a:lnTo>
                                  <a:pt x="1939086" y="257238"/>
                                </a:lnTo>
                                <a:lnTo>
                                  <a:pt x="1899793" y="216357"/>
                                </a:lnTo>
                                <a:lnTo>
                                  <a:pt x="1859089" y="177101"/>
                                </a:lnTo>
                                <a:lnTo>
                                  <a:pt x="1819300" y="141605"/>
                                </a:lnTo>
                                <a:lnTo>
                                  <a:pt x="1780413" y="109905"/>
                                </a:lnTo>
                                <a:lnTo>
                                  <a:pt x="1742440" y="81991"/>
                                </a:lnTo>
                                <a:lnTo>
                                  <a:pt x="1705368" y="58064"/>
                                </a:lnTo>
                                <a:lnTo>
                                  <a:pt x="1669262" y="38341"/>
                                </a:lnTo>
                                <a:lnTo>
                                  <a:pt x="1634185" y="22669"/>
                                </a:lnTo>
                                <a:lnTo>
                                  <a:pt x="1567332" y="3251"/>
                                </a:lnTo>
                                <a:lnTo>
                                  <a:pt x="1535569" y="0"/>
                                </a:lnTo>
                                <a:lnTo>
                                  <a:pt x="1504772" y="825"/>
                                </a:lnTo>
                                <a:lnTo>
                                  <a:pt x="1446123" y="14147"/>
                                </a:lnTo>
                                <a:lnTo>
                                  <a:pt x="1392758" y="45237"/>
                                </a:lnTo>
                                <a:lnTo>
                                  <a:pt x="1345222" y="93141"/>
                                </a:lnTo>
                                <a:lnTo>
                                  <a:pt x="1313649" y="149288"/>
                                </a:lnTo>
                                <a:lnTo>
                                  <a:pt x="1300848" y="211455"/>
                                </a:lnTo>
                                <a:lnTo>
                                  <a:pt x="1300632" y="244335"/>
                                </a:lnTo>
                                <a:lnTo>
                                  <a:pt x="1304556" y="278117"/>
                                </a:lnTo>
                                <a:lnTo>
                                  <a:pt x="1325664" y="348754"/>
                                </a:lnTo>
                                <a:lnTo>
                                  <a:pt x="1342085" y="385622"/>
                                </a:lnTo>
                                <a:lnTo>
                                  <a:pt x="1362341" y="423303"/>
                                </a:lnTo>
                                <a:lnTo>
                                  <a:pt x="1386586" y="461721"/>
                                </a:lnTo>
                                <a:lnTo>
                                  <a:pt x="1414691" y="500773"/>
                                </a:lnTo>
                                <a:lnTo>
                                  <a:pt x="1446250" y="540143"/>
                                </a:lnTo>
                                <a:lnTo>
                                  <a:pt x="1481213" y="579818"/>
                                </a:lnTo>
                                <a:lnTo>
                                  <a:pt x="1519555" y="619709"/>
                                </a:lnTo>
                                <a:lnTo>
                                  <a:pt x="1560957" y="659714"/>
                                </a:lnTo>
                                <a:lnTo>
                                  <a:pt x="1601254" y="695680"/>
                                </a:lnTo>
                                <a:lnTo>
                                  <a:pt x="1640611" y="727786"/>
                                </a:lnTo>
                                <a:lnTo>
                                  <a:pt x="1679067" y="756107"/>
                                </a:lnTo>
                                <a:lnTo>
                                  <a:pt x="1716443" y="780478"/>
                                </a:lnTo>
                                <a:lnTo>
                                  <a:pt x="1752739" y="800658"/>
                                </a:lnTo>
                                <a:lnTo>
                                  <a:pt x="1787918" y="816686"/>
                                </a:lnTo>
                                <a:lnTo>
                                  <a:pt x="1854669" y="836549"/>
                                </a:lnTo>
                                <a:lnTo>
                                  <a:pt x="1886534" y="840079"/>
                                </a:lnTo>
                                <a:lnTo>
                                  <a:pt x="1917471" y="839431"/>
                                </a:lnTo>
                                <a:lnTo>
                                  <a:pt x="1976501" y="826363"/>
                                </a:lnTo>
                                <a:lnTo>
                                  <a:pt x="2030577" y="795045"/>
                                </a:lnTo>
                                <a:lnTo>
                                  <a:pt x="2078558" y="746734"/>
                                </a:lnTo>
                                <a:lnTo>
                                  <a:pt x="2109965" y="690333"/>
                                </a:lnTo>
                                <a:lnTo>
                                  <a:pt x="2122690" y="628015"/>
                                </a:lnTo>
                                <a:lnTo>
                                  <a:pt x="2122817" y="595096"/>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5.546249pt;width:255.2pt;height:249pt;mso-position-horizontal-relative:page;mso-position-vertical-relative:paragraph;z-index:-25572352" id="docshapegroup52" coordorigin="1999,-911" coordsize="5104,4980">
                <v:shape style="position:absolute;left:1998;top:2050;width:2142;height:2018" id="docshape53" coordorigin="1999,2051" coordsize="2142,2018" path="m3420,3760l3419,3719,3412,3676,3400,3632,3383,3587,3362,3541,3335,3494,3304,3447,3268,3399,3227,3351,3181,3303,2526,2648,2521,2645,2511,2641,2501,2642,2495,2644,2489,2647,2482,2651,2475,2656,2467,2663,2449,2680,2438,2695,2434,2702,2431,2709,2429,2714,2427,2720,2428,2725,2431,2735,2435,2740,3090,3395,3124,3430,3154,3465,3181,3499,3204,3531,3223,3563,3239,3595,3252,3625,3261,3654,3266,3682,3268,3710,3267,3736,3262,3761,3254,3786,3243,3809,3227,3830,3209,3851,3189,3869,3167,3883,3144,3894,3120,3902,3095,3906,3068,3908,3040,3906,3012,3900,2982,3891,2951,3879,2919,3863,2886,3843,2852,3819,2817,3792,2782,3760,2745,3725,2097,3077,2092,3074,2083,3070,2078,3070,2072,3071,2067,3073,2060,3076,2053,3080,2038,3092,2020,3109,2014,3117,2009,3124,2002,3138,2000,3143,1999,3149,1999,3154,2002,3164,2006,3168,2671,3834,2720,3880,2768,3921,2815,3957,2862,3989,2908,4014,2953,4035,2996,4051,3038,4061,3080,4067,3119,4068,3157,4065,3195,4056,3230,4044,3263,4026,3295,4004,3324,3978,3353,3946,3377,3912,3395,3876,3408,3839,3417,3800,3420,3760xm4140,2988l4134,2934,4120,2879,4100,2823,4073,2765,4041,2705,4002,2644,3983,2618,3983,2966,3983,3005,3977,3041,3963,3076,3943,3109,3916,3140,3885,3168,3852,3188,3819,3202,3783,3209,3747,3211,3709,3208,3670,3199,3630,3185,3589,3166,3547,3143,3504,3115,3460,3082,3415,3046,3370,3007,3324,2965,3277,2920,3236,2877,3197,2834,3160,2791,3126,2747,3095,2704,3068,2661,3046,2618,3028,2576,3013,2535,3004,2496,3000,2457,3001,2419,3007,2382,3020,2347,3040,2314,3067,2284,3097,2257,3130,2237,3163,2223,3199,2215,3236,2214,3274,2217,3313,2226,3353,2239,3394,2258,3436,2281,3479,2308,3523,2340,3567,2375,3612,2413,3657,2455,3702,2498,3744,2542,3783,2585,3820,2629,3855,2673,3887,2717,3914,2760,3936,2803,3955,2845,3970,2886,3979,2927,3983,2966,3983,2618,3957,2582,3907,2519,3851,2456,3789,2391,3725,2330,3662,2274,3601,2224,3588,2214,3541,2180,3483,2142,3426,2111,3371,2086,3317,2068,3265,2056,3215,2051,3167,2052,3120,2059,3075,2073,3032,2094,2991,2122,2952,2157,2916,2197,2887,2241,2866,2286,2852,2334,2846,2384,2845,2436,2852,2489,2865,2543,2885,2600,2911,2658,2943,2717,2981,2778,3025,2839,3075,2901,3130,2964,3190,3027,3255,3090,3319,3146,3381,3197,3441,3242,3500,3280,3557,3312,3613,3337,3666,3356,3718,3368,3768,3374,3817,3373,3864,3366,3910,3352,3953,3331,3995,3303,4035,3268,4071,3227,4081,3211,4099,3184,4120,3138,4133,3090,4140,3040,4140,2988xe" filled="true" fillcolor="#c0c0c0" stroked="false">
                  <v:path arrowok="t"/>
                  <v:fill opacity="32896f" type="solid"/>
                </v:shape>
                <v:shape style="position:absolute;left:3964;top:2126;width:350;height:349" type="#_x0000_t75" id="docshape54" stroked="false">
                  <v:imagedata r:id="rId9" o:title=""/>
                </v:shape>
                <v:shape style="position:absolute;left:3758;top:-911;width:3344;height:3358" id="docshape55" coordorigin="3759,-911" coordsize="3344,3358" path="m4895,2367l4895,2362,4892,2353,4888,2348,4884,2344,3857,1317,3852,1314,3843,1310,3838,1310,3832,1311,3826,1313,3821,1316,3813,1320,3806,1325,3798,1332,3781,1349,3770,1363,3762,1377,3760,1382,3759,1389,3759,1394,3762,1404,3765,1409,4796,2440,4801,2443,4811,2447,4815,2447,4821,2445,4827,2444,4833,2441,4841,2436,4848,2431,4856,2425,4873,2407,4880,2399,4885,2392,4889,2385,4892,2379,4893,2372,4895,2367xm5170,2087l5169,2082,5167,2077,5163,2073,5159,2069,4775,1685,4854,1607,4883,1574,4887,1569,4907,1541,4926,1507,4939,1472,4948,1436,4952,1400,4952,1362,4947,1324,4938,1285,4925,1246,4908,1206,4886,1165,4861,1125,4831,1085,4800,1048,4800,1356,4799,1378,4795,1400,4787,1422,4776,1444,4761,1465,4742,1486,4659,1569,4232,1141,4317,1057,4329,1045,4342,1034,4356,1024,4371,1014,4387,1006,4405,999,4425,995,4446,993,4469,994,4494,999,4521,1007,4550,1019,4580,1036,4610,1056,4642,1082,4674,1112,4697,1137,4718,1161,4736,1185,4753,1210,4767,1235,4779,1260,4788,1285,4795,1308,4799,1332,4800,1356,4800,1048,4797,1044,4759,1004,4748,993,4729,975,4699,949,4669,926,4638,905,4608,887,4578,872,4549,859,4520,849,4491,841,4462,836,4434,834,4406,834,4380,836,4356,841,4334,847,4314,855,4296,865,4280,874,4266,883,4253,892,4241,901,4230,911,4218,921,4207,932,4059,1080,4054,1088,4050,1097,4048,1107,4048,1119,4052,1132,4059,1146,4069,1161,4084,1177,5067,2160,5071,2165,5076,2168,5081,2170,5086,2171,5091,2172,5096,2170,5102,2169,5109,2165,5116,2161,5123,2156,5131,2150,5149,2132,5155,2124,5160,2117,5165,2109,5167,2104,5168,2097,5170,2092,5170,2087xm5863,1399l5863,1394,5860,1385,5856,1380,4928,452,5125,255,5127,252,5127,247,5126,242,5125,236,5122,230,5119,224,5114,217,5092,191,5081,180,5070,170,5061,161,5044,147,5036,141,5023,134,5018,133,5008,133,5005,135,4519,620,4517,624,4518,628,4517,634,4519,638,4526,651,4531,659,4538,667,4545,676,4554,686,4575,707,4585,716,4593,722,4601,729,4609,735,4621,740,4626,742,4631,742,4636,742,4639,740,4836,544,5764,1472,5769,1475,5779,1479,5783,1479,5789,1477,5795,1476,5809,1468,5824,1457,5842,1439,5848,1431,5853,1424,5857,1417,5860,1411,5861,1404,5863,1399xm6396,867l6395,862,6392,852,6388,848,5460,-80,5657,-277,5659,-281,5659,-286,5658,-296,5652,-308,5646,-316,5639,-324,5624,-341,5613,-352,5603,-363,5576,-386,5569,-391,5556,-398,5550,-399,5545,-399,5540,-399,5537,-397,5052,88,5050,92,5050,96,5050,101,5052,106,5058,119,5064,127,5071,135,5078,144,5086,154,5108,175,5117,184,5126,190,5134,197,5141,202,5154,208,5158,210,5164,210,5168,210,5172,208,5369,11,6297,939,6301,943,6311,946,6316,947,6321,945,6327,944,6341,936,6348,931,6356,924,6374,907,6386,892,6392,878,6394,872,6396,867xm7102,26l7095,-27,7081,-83,7061,-139,7035,-197,7003,-256,6964,-317,6945,-343,6945,5,6945,43,6938,80,6925,115,6905,148,6878,179,6847,206,6814,227,6780,240,6745,247,6708,249,6671,246,6632,237,6591,223,6551,204,6509,181,6466,153,6422,121,6377,85,6332,46,6285,3,6239,-42,6198,-85,6159,-128,6122,-171,6087,-215,6056,-258,6030,-301,6008,-343,5989,-385,5975,-426,5966,-466,5962,-505,5963,-543,5969,-580,5982,-615,6002,-647,6028,-678,6059,-705,6091,-725,6125,-739,6161,-746,6198,-748,6236,-744,6275,-736,6315,-722,6356,-703,6398,-680,6441,-653,6484,-622,6529,-587,6573,-548,6618,-507,6663,-463,6705,-420,6745,-376,6782,-333,6817,-289,6848,-245,6875,-202,6898,-159,6917,-117,6932,-76,6941,-35,6945,5,6945,-343,6919,-380,6869,-442,6812,-506,6751,-570,6687,-632,6624,-688,6563,-738,6549,-748,6503,-782,6444,-819,6388,-851,6332,-875,6279,-894,6227,-906,6177,-911,6129,-910,6081,-902,6036,-889,5993,-868,5952,-840,5913,-805,5877,-764,5849,-721,5828,-676,5814,-628,5807,-578,5807,-526,5813,-473,5826,-418,5846,-362,5872,-304,5904,-244,5942,-184,5987,-122,6036,-60,6091,2,6152,65,6217,128,6280,185,6342,235,6403,280,6462,318,6519,350,6574,375,6628,394,6680,406,6730,412,6778,411,6826,404,6871,390,6915,369,6957,341,6996,306,7032,265,7042,249,7061,222,7082,176,7095,128,7102,78,7102,26xe" filled="true" fillcolor="#c0c0c0" stroked="false">
                  <v:path arrowok="t"/>
                  <v:fill opacity="32896f" type="solid"/>
                </v:shape>
                <w10:wrap type="none"/>
              </v:group>
            </w:pict>
          </mc:Fallback>
        </mc:AlternateContent>
      </w:r>
      <w:r>
        <w:rPr>
          <w:sz w:val="19"/>
        </w:rPr>
        <w:t>Model</w:t>
      </w:r>
      <w:r>
        <w:rPr>
          <w:spacing w:val="-6"/>
          <w:sz w:val="19"/>
        </w:rPr>
        <w:t> </w:t>
      </w:r>
      <w:r>
        <w:rPr>
          <w:spacing w:val="-2"/>
          <w:sz w:val="19"/>
        </w:rPr>
        <w:t>Diagnostics</w:t>
      </w:r>
    </w:p>
    <w:p>
      <w:pPr>
        <w:pStyle w:val="BodyText"/>
        <w:spacing w:before="4"/>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989"/>
        <w:gridCol w:w="1892"/>
        <w:gridCol w:w="3690"/>
      </w:tblGrid>
      <w:tr>
        <w:trPr>
          <w:trHeight w:val="657" w:hRule="atLeast"/>
        </w:trPr>
        <w:tc>
          <w:tcPr>
            <w:tcW w:w="1906" w:type="dxa"/>
            <w:tcBorders>
              <w:left w:val="nil"/>
            </w:tcBorders>
          </w:tcPr>
          <w:p>
            <w:pPr>
              <w:pStyle w:val="TableParagraph"/>
              <w:spacing w:line="154" w:lineRule="exact"/>
              <w:ind w:left="722"/>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right="2"/>
              <w:jc w:val="center"/>
              <w:rPr>
                <w:rFonts w:ascii="Times New Roman"/>
                <w:sz w:val="12"/>
              </w:rPr>
            </w:pPr>
            <w:r>
              <w:rPr>
                <w:rFonts w:ascii="Times New Roman"/>
                <w:spacing w:val="-2"/>
                <w:sz w:val="12"/>
              </w:rPr>
              <w:t>Hetero</w:t>
            </w:r>
          </w:p>
          <w:p>
            <w:pPr>
              <w:pStyle w:val="TableParagraph"/>
              <w:spacing w:line="156" w:lineRule="exact" w:before="99"/>
              <w:ind w:left="619"/>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jc w:val="center"/>
              <w:rPr>
                <w:rFonts w:ascii="Times New Roman"/>
                <w:sz w:val="12"/>
              </w:rPr>
            </w:pPr>
            <w:r>
              <w:rPr>
                <w:rFonts w:ascii="Times New Roman"/>
                <w:spacing w:val="-2"/>
                <w:sz w:val="12"/>
              </w:rPr>
              <w:t>Serial/Corr</w:t>
            </w:r>
          </w:p>
        </w:tc>
        <w:tc>
          <w:tcPr>
            <w:tcW w:w="989" w:type="dxa"/>
          </w:tcPr>
          <w:p>
            <w:pPr>
              <w:pStyle w:val="TableParagraph"/>
              <w:spacing w:before="2"/>
              <w:ind w:left="273"/>
              <w:rPr>
                <w:rFonts w:ascii="Times New Roman"/>
                <w:sz w:val="19"/>
              </w:rPr>
            </w:pPr>
            <w:r>
              <w:rPr>
                <w:rFonts w:ascii="Times New Roman"/>
                <w:spacing w:val="-2"/>
                <w:sz w:val="19"/>
              </w:rPr>
              <w:t>0.621</w:t>
            </w:r>
          </w:p>
          <w:p>
            <w:pPr>
              <w:pStyle w:val="TableParagraph"/>
              <w:spacing w:before="108"/>
              <w:ind w:left="273"/>
              <w:rPr>
                <w:rFonts w:ascii="Times New Roman"/>
                <w:sz w:val="19"/>
              </w:rPr>
            </w:pPr>
            <w:r>
              <w:rPr>
                <w:rFonts w:ascii="Times New Roman"/>
                <w:spacing w:val="-2"/>
                <w:sz w:val="19"/>
              </w:rPr>
              <w:t>0.095</w:t>
            </w:r>
          </w:p>
        </w:tc>
        <w:tc>
          <w:tcPr>
            <w:tcW w:w="1892" w:type="dxa"/>
            <w:tcBorders>
              <w:top w:val="nil"/>
            </w:tcBorders>
          </w:tcPr>
          <w:p>
            <w:pPr>
              <w:pStyle w:val="TableParagraph"/>
              <w:spacing w:line="154" w:lineRule="exact"/>
              <w:ind w:left="520"/>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37"/>
              <w:jc w:val="center"/>
              <w:rPr>
                <w:rFonts w:ascii="Times New Roman"/>
                <w:sz w:val="12"/>
              </w:rPr>
            </w:pPr>
            <w:r>
              <w:rPr>
                <w:rFonts w:ascii="Times New Roman"/>
                <w:spacing w:val="-2"/>
                <w:sz w:val="12"/>
              </w:rPr>
              <w:t>Ramsey-Reset</w:t>
            </w:r>
          </w:p>
          <w:p>
            <w:pPr>
              <w:pStyle w:val="TableParagraph"/>
              <w:spacing w:line="156" w:lineRule="exact" w:before="99"/>
              <w:ind w:right="454"/>
              <w:jc w:val="center"/>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38"/>
              <w:jc w:val="center"/>
              <w:rPr>
                <w:rFonts w:ascii="Times New Roman"/>
                <w:sz w:val="12"/>
              </w:rPr>
            </w:pPr>
            <w:r>
              <w:rPr>
                <w:rFonts w:ascii="Times New Roman"/>
                <w:spacing w:val="-2"/>
                <w:sz w:val="12"/>
              </w:rPr>
              <w:t>Hausman</w:t>
            </w:r>
          </w:p>
        </w:tc>
        <w:tc>
          <w:tcPr>
            <w:tcW w:w="3690" w:type="dxa"/>
            <w:tcBorders>
              <w:right w:val="nil"/>
            </w:tcBorders>
          </w:tcPr>
          <w:p>
            <w:pPr>
              <w:pStyle w:val="TableParagraph"/>
              <w:spacing w:before="2"/>
              <w:ind w:left="1621"/>
              <w:rPr>
                <w:rFonts w:ascii="Times New Roman"/>
                <w:sz w:val="19"/>
              </w:rPr>
            </w:pPr>
            <w:r>
              <w:rPr>
                <w:rFonts w:ascii="Times New Roman"/>
                <w:spacing w:val="-2"/>
                <w:sz w:val="19"/>
              </w:rPr>
              <w:t>0.725</w:t>
            </w:r>
          </w:p>
          <w:p>
            <w:pPr>
              <w:pStyle w:val="TableParagraph"/>
              <w:spacing w:before="108"/>
              <w:ind w:left="1273"/>
              <w:rPr>
                <w:rFonts w:ascii="Times New Roman"/>
                <w:sz w:val="19"/>
              </w:rPr>
            </w:pPr>
            <w:r>
              <w:rPr>
                <w:rFonts w:ascii="Times New Roman"/>
                <w:sz w:val="19"/>
              </w:rPr>
              <w:t>11.421</w:t>
            </w:r>
            <w:r>
              <w:rPr>
                <w:rFonts w:ascii="Times New Roman"/>
                <w:spacing w:val="-7"/>
                <w:sz w:val="19"/>
              </w:rPr>
              <w:t> </w:t>
            </w:r>
            <w:r>
              <w:rPr>
                <w:rFonts w:ascii="Times New Roman"/>
                <w:spacing w:val="-2"/>
                <w:sz w:val="19"/>
              </w:rPr>
              <w:t>(0.031)</w:t>
            </w:r>
          </w:p>
        </w:tc>
      </w:tr>
    </w:tbl>
    <w:p>
      <w:pPr>
        <w:spacing w:before="0"/>
        <w:ind w:left="940" w:right="0" w:firstLine="0"/>
        <w:jc w:val="both"/>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rPr>
          <w:sz w:val="19"/>
        </w:rPr>
      </w:pPr>
    </w:p>
    <w:p>
      <w:pPr>
        <w:pStyle w:val="BodyText"/>
        <w:spacing w:before="181"/>
        <w:rPr>
          <w:sz w:val="19"/>
        </w:rPr>
      </w:pPr>
    </w:p>
    <w:p>
      <w:pPr>
        <w:pStyle w:val="BodyText"/>
        <w:spacing w:line="477" w:lineRule="auto"/>
        <w:ind w:left="940" w:right="1435"/>
        <w:jc w:val="both"/>
      </w:pPr>
      <w:r>
        <w:rPr/>
        <mc:AlternateContent>
          <mc:Choice Requires="wps">
            <w:drawing>
              <wp:anchor distT="0" distB="0" distL="0" distR="0" allowOverlap="1" layoutInCell="1" locked="0" behindDoc="1" simplePos="0" relativeHeight="477743616">
                <wp:simplePos x="0" y="0"/>
                <wp:positionH relativeFrom="page">
                  <wp:posOffset>1095451</wp:posOffset>
                </wp:positionH>
                <wp:positionV relativeFrom="paragraph">
                  <wp:posOffset>798242</wp:posOffset>
                </wp:positionV>
                <wp:extent cx="721995" cy="72263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62.853722pt;width:56.85pt;height:56.9pt;mso-position-horizontal-relative:page;mso-position-vertical-relative:paragraph;z-index:-25572864" id="docshape56" coordorigin="1725,1257" coordsize="1137,1138" path="m1809,1257l1747,1296,1725,1341,1729,1351,2763,2387,2782,2394,2787,2392,2793,2391,2852,2339,2860,2320,2862,2314,1823,1264,1819,1261,1809,1257xe" filled="true" fillcolor="#c0c0c0" stroked="false">
                <v:path arrowok="t"/>
                <v:fill opacity="32896f" type="solid"/>
                <w10:wrap type="none"/>
              </v:shape>
            </w:pict>
          </mc:Fallback>
        </mc:AlternateContent>
      </w:r>
      <w:r>
        <w:rPr/>
        <w:t>Table 4.8 showed the regression results examining the impact of board structure on discretionary</w:t>
      </w:r>
      <w:r>
        <w:rPr>
          <w:spacing w:val="-4"/>
        </w:rPr>
        <w:t> </w:t>
      </w:r>
      <w:r>
        <w:rPr/>
        <w:t>accruals</w:t>
      </w:r>
      <w:r>
        <w:rPr>
          <w:spacing w:val="-4"/>
        </w:rPr>
        <w:t> </w:t>
      </w:r>
      <w:r>
        <w:rPr/>
        <w:t>measurement</w:t>
      </w:r>
      <w:r>
        <w:rPr>
          <w:spacing w:val="-4"/>
        </w:rPr>
        <w:t> </w:t>
      </w:r>
      <w:r>
        <w:rPr/>
        <w:t>for</w:t>
      </w:r>
      <w:r>
        <w:rPr>
          <w:spacing w:val="-4"/>
        </w:rPr>
        <w:t> </w:t>
      </w:r>
      <w:r>
        <w:rPr/>
        <w:t>financial</w:t>
      </w:r>
      <w:r>
        <w:rPr>
          <w:spacing w:val="-4"/>
        </w:rPr>
        <w:t> </w:t>
      </w:r>
      <w:r>
        <w:rPr/>
        <w:t>reporting</w:t>
      </w:r>
      <w:r>
        <w:rPr>
          <w:spacing w:val="-4"/>
        </w:rPr>
        <w:t> </w:t>
      </w:r>
      <w:r>
        <w:rPr/>
        <w:t>quality</w:t>
      </w:r>
      <w:r>
        <w:rPr>
          <w:spacing w:val="-4"/>
        </w:rPr>
        <w:t> </w:t>
      </w:r>
      <w:r>
        <w:rPr/>
        <w:t>(Appendices</w:t>
      </w:r>
      <w:r>
        <w:rPr>
          <w:spacing w:val="-4"/>
        </w:rPr>
        <w:t> </w:t>
      </w:r>
      <w:r>
        <w:rPr/>
        <w:t>14</w:t>
      </w:r>
      <w:r>
        <w:rPr>
          <w:spacing w:val="-4"/>
        </w:rPr>
        <w:t> </w:t>
      </w:r>
      <w:r>
        <w:rPr/>
        <w:t>to</w:t>
      </w:r>
      <w:r>
        <w:rPr>
          <w:spacing w:val="-4"/>
        </w:rPr>
        <w:t> </w:t>
      </w:r>
      <w:r>
        <w:rPr/>
        <w:t>16).</w:t>
      </w:r>
      <w:r>
        <w:rPr>
          <w:spacing w:val="-4"/>
        </w:rPr>
        <w:t> </w:t>
      </w:r>
      <w:r>
        <w:rPr/>
        <w:t>The </w:t>
      </w:r>
      <w:r>
        <w:rPr>
          <w:position w:val="2"/>
        </w:rPr>
        <w:t>model diagnostics revealed that the χ</w:t>
      </w:r>
      <w:r>
        <w:rPr>
          <w:position w:val="2"/>
          <w:vertAlign w:val="superscript"/>
        </w:rPr>
        <w:t>2</w:t>
      </w:r>
      <w:r>
        <w:rPr>
          <w:sz w:val="16"/>
          <w:vertAlign w:val="baseline"/>
        </w:rPr>
        <w:t>Hausman</w:t>
      </w:r>
      <w:r>
        <w:rPr>
          <w:spacing w:val="40"/>
          <w:sz w:val="16"/>
          <w:vertAlign w:val="baseline"/>
        </w:rPr>
        <w:t> </w:t>
      </w:r>
      <w:r>
        <w:rPr>
          <w:position w:val="2"/>
          <w:vertAlign w:val="baseline"/>
        </w:rPr>
        <w:t>statistic (11.421) and p-value (0.031) indicated </w:t>
      </w:r>
      <w:r>
        <w:rPr>
          <w:vertAlign w:val="baseline"/>
        </w:rPr>
        <w:t>that the fixed effects model estimation was the appropriate estimation of the model indicating the existence of significant correlations between a firm’s specific disturbances and the beta’s. Hence, the R</w:t>
      </w:r>
      <w:r>
        <w:rPr>
          <w:vertAlign w:val="superscript"/>
        </w:rPr>
        <w:t>2</w:t>
      </w:r>
      <w:r>
        <w:rPr>
          <w:vertAlign w:val="baseline"/>
        </w:rPr>
        <w:t> and Adj R</w:t>
      </w:r>
      <w:r>
        <w:rPr>
          <w:vertAlign w:val="superscript"/>
        </w:rPr>
        <w:t>2</w:t>
      </w:r>
      <w:r>
        <w:rPr>
          <w:spacing w:val="-11"/>
          <w:vertAlign w:val="baseline"/>
        </w:rPr>
        <w:t> </w:t>
      </w:r>
      <w:r>
        <w:rPr>
          <w:vertAlign w:val="baseline"/>
        </w:rPr>
        <w:t>stood at 28.03% and 18.8% respectively. The F-stat of 3.0456 (p- value</w:t>
      </w:r>
      <w:r>
        <w:rPr>
          <w:spacing w:val="-2"/>
          <w:vertAlign w:val="baseline"/>
        </w:rPr>
        <w:t> </w:t>
      </w:r>
      <w:r>
        <w:rPr>
          <w:vertAlign w:val="baseline"/>
        </w:rPr>
        <w:t>=</w:t>
      </w:r>
      <w:r>
        <w:rPr>
          <w:spacing w:val="-2"/>
          <w:vertAlign w:val="baseline"/>
        </w:rPr>
        <w:t> </w:t>
      </w:r>
      <w:r>
        <w:rPr>
          <w:vertAlign w:val="baseline"/>
        </w:rPr>
        <w:t>0.00)</w:t>
      </w:r>
      <w:r>
        <w:rPr>
          <w:spacing w:val="-1"/>
          <w:vertAlign w:val="baseline"/>
        </w:rPr>
        <w:t> </w:t>
      </w:r>
      <w:r>
        <w:rPr>
          <w:vertAlign w:val="baseline"/>
        </w:rPr>
        <w:t>which</w:t>
      </w:r>
      <w:r>
        <w:rPr>
          <w:spacing w:val="-2"/>
          <w:vertAlign w:val="baseline"/>
        </w:rPr>
        <w:t> </w:t>
      </w:r>
      <w:r>
        <w:rPr>
          <w:vertAlign w:val="baseline"/>
        </w:rPr>
        <w:t>was significant</w:t>
      </w:r>
      <w:r>
        <w:rPr>
          <w:spacing w:val="-2"/>
          <w:vertAlign w:val="baseline"/>
        </w:rPr>
        <w:t> </w:t>
      </w:r>
      <w:r>
        <w:rPr>
          <w:vertAlign w:val="baseline"/>
        </w:rPr>
        <w:t>at</w:t>
      </w:r>
      <w:r>
        <w:rPr>
          <w:spacing w:val="-2"/>
          <w:vertAlign w:val="baseline"/>
        </w:rPr>
        <w:t> </w:t>
      </w:r>
      <w:r>
        <w:rPr>
          <w:vertAlign w:val="baseline"/>
        </w:rPr>
        <w:t>1%</w:t>
      </w:r>
      <w:r>
        <w:rPr>
          <w:spacing w:val="-1"/>
          <w:vertAlign w:val="baseline"/>
        </w:rPr>
        <w:t> </w:t>
      </w:r>
      <w:r>
        <w:rPr>
          <w:vertAlign w:val="baseline"/>
        </w:rPr>
        <w:t>suggested</w:t>
      </w:r>
      <w:r>
        <w:rPr>
          <w:spacing w:val="-2"/>
          <w:vertAlign w:val="baseline"/>
        </w:rPr>
        <w:t> </w:t>
      </w:r>
      <w:r>
        <w:rPr>
          <w:vertAlign w:val="baseline"/>
        </w:rPr>
        <w:t>that</w:t>
      </w:r>
      <w:r>
        <w:rPr>
          <w:spacing w:val="-2"/>
          <w:vertAlign w:val="baseline"/>
        </w:rPr>
        <w:t> </w:t>
      </w:r>
      <w:r>
        <w:rPr>
          <w:vertAlign w:val="baseline"/>
        </w:rPr>
        <w:t>the</w:t>
      </w:r>
      <w:r>
        <w:rPr>
          <w:spacing w:val="-1"/>
          <w:vertAlign w:val="baseline"/>
        </w:rPr>
        <w:t> </w:t>
      </w:r>
      <w:r>
        <w:rPr>
          <w:vertAlign w:val="baseline"/>
        </w:rPr>
        <w:t>hypothesis</w:t>
      </w:r>
      <w:r>
        <w:rPr>
          <w:spacing w:val="-2"/>
          <w:vertAlign w:val="baseline"/>
        </w:rPr>
        <w:t> </w:t>
      </w:r>
      <w:r>
        <w:rPr>
          <w:vertAlign w:val="baseline"/>
        </w:rPr>
        <w:t>of</w:t>
      </w:r>
      <w:r>
        <w:rPr>
          <w:spacing w:val="-1"/>
          <w:vertAlign w:val="baseline"/>
        </w:rPr>
        <w:t> </w:t>
      </w:r>
      <w:r>
        <w:rPr>
          <w:vertAlign w:val="baseline"/>
        </w:rPr>
        <w:t>a</w:t>
      </w:r>
      <w:r>
        <w:rPr>
          <w:spacing w:val="-3"/>
          <w:vertAlign w:val="baseline"/>
        </w:rPr>
        <w:t> </w:t>
      </w:r>
      <w:r>
        <w:rPr>
          <w:vertAlign w:val="baseline"/>
        </w:rPr>
        <w:t>significant</w:t>
      </w:r>
      <w:r>
        <w:rPr>
          <w:spacing w:val="-2"/>
          <w:vertAlign w:val="baseline"/>
        </w:rPr>
        <w:t> </w:t>
      </w:r>
      <w:r>
        <w:rPr>
          <w:vertAlign w:val="baseline"/>
        </w:rPr>
        <w:t>linear relationship</w:t>
      </w:r>
      <w:r>
        <w:rPr>
          <w:spacing w:val="-15"/>
          <w:vertAlign w:val="baseline"/>
        </w:rPr>
        <w:t> </w:t>
      </w:r>
      <w:r>
        <w:rPr>
          <w:vertAlign w:val="baseline"/>
        </w:rPr>
        <w:t>between</w:t>
      </w:r>
      <w:r>
        <w:rPr>
          <w:spacing w:val="-15"/>
          <w:vertAlign w:val="baseline"/>
        </w:rPr>
        <w:t> </w:t>
      </w:r>
      <w:r>
        <w:rPr>
          <w:vertAlign w:val="baseline"/>
        </w:rPr>
        <w:t>the</w:t>
      </w:r>
      <w:r>
        <w:rPr>
          <w:spacing w:val="-11"/>
          <w:vertAlign w:val="baseline"/>
        </w:rPr>
        <w:t> </w:t>
      </w:r>
      <w:r>
        <w:rPr>
          <w:vertAlign w:val="baseline"/>
        </w:rPr>
        <w:t>dependent</w:t>
      </w:r>
      <w:r>
        <w:rPr>
          <w:spacing w:val="-13"/>
          <w:vertAlign w:val="baseline"/>
        </w:rPr>
        <w:t> </w:t>
      </w:r>
      <w:r>
        <w:rPr>
          <w:vertAlign w:val="baseline"/>
        </w:rPr>
        <w:t>and</w:t>
      </w:r>
      <w:r>
        <w:rPr>
          <w:spacing w:val="-15"/>
          <w:vertAlign w:val="baseline"/>
        </w:rPr>
        <w:t> </w:t>
      </w:r>
      <w:r>
        <w:rPr>
          <w:vertAlign w:val="baseline"/>
        </w:rPr>
        <w:t>independent</w:t>
      </w:r>
      <w:r>
        <w:rPr>
          <w:spacing w:val="-15"/>
          <w:vertAlign w:val="baseline"/>
        </w:rPr>
        <w:t> </w:t>
      </w:r>
      <w:r>
        <w:rPr>
          <w:vertAlign w:val="baseline"/>
        </w:rPr>
        <w:t>variables</w:t>
      </w:r>
      <w:r>
        <w:rPr>
          <w:spacing w:val="-14"/>
          <w:vertAlign w:val="baseline"/>
        </w:rPr>
        <w:t> </w:t>
      </w:r>
      <w:r>
        <w:rPr>
          <w:vertAlign w:val="baseline"/>
        </w:rPr>
        <w:t>could</w:t>
      </w:r>
      <w:r>
        <w:rPr>
          <w:spacing w:val="-13"/>
          <w:vertAlign w:val="baseline"/>
        </w:rPr>
        <w:t> </w:t>
      </w:r>
      <w:r>
        <w:rPr>
          <w:vertAlign w:val="baseline"/>
        </w:rPr>
        <w:t>not</w:t>
      </w:r>
      <w:r>
        <w:rPr>
          <w:spacing w:val="-15"/>
          <w:vertAlign w:val="baseline"/>
        </w:rPr>
        <w:t> </w:t>
      </w:r>
      <w:r>
        <w:rPr>
          <w:vertAlign w:val="baseline"/>
        </w:rPr>
        <w:t>be</w:t>
      </w:r>
      <w:r>
        <w:rPr>
          <w:spacing w:val="-15"/>
          <w:vertAlign w:val="baseline"/>
        </w:rPr>
        <w:t> </w:t>
      </w:r>
      <w:r>
        <w:rPr>
          <w:vertAlign w:val="baseline"/>
        </w:rPr>
        <w:t>rejected.</w:t>
      </w:r>
      <w:r>
        <w:rPr>
          <w:spacing w:val="-11"/>
          <w:vertAlign w:val="baseline"/>
        </w:rPr>
        <w:t> </w:t>
      </w:r>
      <w:r>
        <w:rPr>
          <w:vertAlign w:val="baseline"/>
        </w:rPr>
        <w:t>It</w:t>
      </w:r>
      <w:r>
        <w:rPr>
          <w:spacing w:val="-13"/>
          <w:vertAlign w:val="baseline"/>
        </w:rPr>
        <w:t> </w:t>
      </w:r>
      <w:r>
        <w:rPr>
          <w:vertAlign w:val="baseline"/>
        </w:rPr>
        <w:t>was</w:t>
      </w:r>
      <w:r>
        <w:rPr>
          <w:spacing w:val="-15"/>
          <w:vertAlign w:val="baseline"/>
        </w:rPr>
        <w:t> </w:t>
      </w:r>
      <w:r>
        <w:rPr>
          <w:vertAlign w:val="baseline"/>
        </w:rPr>
        <w:t>also indicative of the joint statistical significance of the model. The estimations revealed that BDS had</w:t>
      </w:r>
      <w:r>
        <w:rPr>
          <w:spacing w:val="5"/>
          <w:vertAlign w:val="baseline"/>
        </w:rPr>
        <w:t> </w:t>
      </w:r>
      <w:r>
        <w:rPr>
          <w:vertAlign w:val="baseline"/>
        </w:rPr>
        <w:t>a</w:t>
      </w:r>
      <w:r>
        <w:rPr>
          <w:spacing w:val="5"/>
          <w:vertAlign w:val="baseline"/>
        </w:rPr>
        <w:t> </w:t>
      </w:r>
      <w:r>
        <w:rPr>
          <w:vertAlign w:val="baseline"/>
        </w:rPr>
        <w:t>negative</w:t>
      </w:r>
      <w:r>
        <w:rPr>
          <w:spacing w:val="5"/>
          <w:vertAlign w:val="baseline"/>
        </w:rPr>
        <w:t> </w:t>
      </w:r>
      <w:r>
        <w:rPr>
          <w:vertAlign w:val="baseline"/>
        </w:rPr>
        <w:t>effect</w:t>
      </w:r>
      <w:r>
        <w:rPr>
          <w:spacing w:val="6"/>
          <w:vertAlign w:val="baseline"/>
        </w:rPr>
        <w:t> </w:t>
      </w:r>
      <w:r>
        <w:rPr>
          <w:vertAlign w:val="baseline"/>
        </w:rPr>
        <w:t>on</w:t>
      </w:r>
      <w:r>
        <w:rPr>
          <w:spacing w:val="4"/>
          <w:vertAlign w:val="baseline"/>
        </w:rPr>
        <w:t> </w:t>
      </w:r>
      <w:r>
        <w:rPr>
          <w:vertAlign w:val="baseline"/>
        </w:rPr>
        <w:t>DISACC</w:t>
      </w:r>
      <w:r>
        <w:rPr>
          <w:spacing w:val="9"/>
          <w:vertAlign w:val="baseline"/>
        </w:rPr>
        <w:t> </w:t>
      </w:r>
      <w:r>
        <w:rPr>
          <w:vertAlign w:val="baseline"/>
        </w:rPr>
        <w:t>although</w:t>
      </w:r>
      <w:r>
        <w:rPr>
          <w:spacing w:val="6"/>
          <w:vertAlign w:val="baseline"/>
        </w:rPr>
        <w:t> </w:t>
      </w:r>
      <w:r>
        <w:rPr>
          <w:vertAlign w:val="baseline"/>
        </w:rPr>
        <w:t>not</w:t>
      </w:r>
      <w:r>
        <w:rPr>
          <w:spacing w:val="4"/>
          <w:vertAlign w:val="baseline"/>
        </w:rPr>
        <w:t> </w:t>
      </w:r>
      <w:r>
        <w:rPr>
          <w:vertAlign w:val="baseline"/>
        </w:rPr>
        <w:t>significant</w:t>
      </w:r>
      <w:r>
        <w:rPr>
          <w:spacing w:val="6"/>
          <w:vertAlign w:val="baseline"/>
        </w:rPr>
        <w:t> </w:t>
      </w:r>
      <w:r>
        <w:rPr>
          <w:vertAlign w:val="baseline"/>
        </w:rPr>
        <w:t>at</w:t>
      </w:r>
      <w:r>
        <w:rPr>
          <w:spacing w:val="5"/>
          <w:vertAlign w:val="baseline"/>
        </w:rPr>
        <w:t> </w:t>
      </w:r>
      <w:r>
        <w:rPr>
          <w:vertAlign w:val="baseline"/>
        </w:rPr>
        <w:t>5%</w:t>
      </w:r>
      <w:r>
        <w:rPr>
          <w:spacing w:val="5"/>
          <w:vertAlign w:val="baseline"/>
        </w:rPr>
        <w:t> </w:t>
      </w:r>
      <w:r>
        <w:rPr>
          <w:vertAlign w:val="baseline"/>
        </w:rPr>
        <w:t>(-0.0283,</w:t>
      </w:r>
      <w:r>
        <w:rPr>
          <w:spacing w:val="5"/>
          <w:vertAlign w:val="baseline"/>
        </w:rPr>
        <w:t> </w:t>
      </w:r>
      <w:r>
        <w:rPr>
          <w:vertAlign w:val="baseline"/>
        </w:rPr>
        <w:t>p=0.1130)</w:t>
      </w:r>
      <w:r>
        <w:rPr>
          <w:spacing w:val="5"/>
          <w:vertAlign w:val="baseline"/>
        </w:rPr>
        <w:t> </w:t>
      </w:r>
      <w:r>
        <w:rPr>
          <w:vertAlign w:val="baseline"/>
        </w:rPr>
        <w:t>and</w:t>
      </w:r>
      <w:r>
        <w:rPr>
          <w:spacing w:val="5"/>
          <w:vertAlign w:val="baseline"/>
        </w:rPr>
        <w:t> </w:t>
      </w:r>
      <w:r>
        <w:rPr>
          <w:spacing w:val="-5"/>
          <w:vertAlign w:val="baseline"/>
        </w:rPr>
        <w:t>the</w:t>
      </w:r>
    </w:p>
    <w:p>
      <w:pPr>
        <w:spacing w:after="0" w:line="477" w:lineRule="auto"/>
        <w:jc w:val="both"/>
        <w:sectPr>
          <w:type w:val="continuous"/>
          <w:pgSz w:w="11910" w:h="16840"/>
          <w:pgMar w:header="0" w:footer="971" w:top="1400" w:bottom="1160" w:left="500" w:right="0"/>
        </w:sectPr>
      </w:pPr>
    </w:p>
    <w:p>
      <w:pPr>
        <w:pStyle w:val="BodyText"/>
        <w:spacing w:line="477" w:lineRule="auto" w:before="61"/>
        <w:ind w:left="940" w:right="1432"/>
        <w:jc w:val="both"/>
      </w:pPr>
      <w:r>
        <w:rPr/>
        <w:drawing>
          <wp:anchor distT="0" distB="0" distL="0" distR="0" allowOverlap="1" layoutInCell="1" locked="0" behindDoc="1" simplePos="0" relativeHeight="477745152">
            <wp:simplePos x="0" y="0"/>
            <wp:positionH relativeFrom="page">
              <wp:posOffset>1095451</wp:posOffset>
            </wp:positionH>
            <wp:positionV relativeFrom="paragraph">
              <wp:posOffset>1850770</wp:posOffset>
            </wp:positionV>
            <wp:extent cx="5106847" cy="5238115"/>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5" cstate="print"/>
                    <a:stretch>
                      <a:fillRect/>
                    </a:stretch>
                  </pic:blipFill>
                  <pic:spPr>
                    <a:xfrm>
                      <a:off x="0" y="0"/>
                      <a:ext cx="5106847" cy="5238115"/>
                    </a:xfrm>
                    <a:prstGeom prst="rect">
                      <a:avLst/>
                    </a:prstGeom>
                  </pic:spPr>
                </pic:pic>
              </a:graphicData>
            </a:graphic>
          </wp:anchor>
        </w:drawing>
      </w:r>
      <w:r>
        <w:rPr/>
        <w:t>interaction Post-IFRS*BDS testing the presence of incremental IFRS adoption effect also did not</w:t>
      </w:r>
      <w:r>
        <w:rPr>
          <w:spacing w:val="-2"/>
        </w:rPr>
        <w:t> </w:t>
      </w:r>
      <w:r>
        <w:rPr/>
        <w:t>show</w:t>
      </w:r>
      <w:r>
        <w:rPr>
          <w:spacing w:val="-2"/>
        </w:rPr>
        <w:t> </w:t>
      </w:r>
      <w:r>
        <w:rPr/>
        <w:t>that</w:t>
      </w:r>
      <w:r>
        <w:rPr>
          <w:spacing w:val="-2"/>
        </w:rPr>
        <w:t> </w:t>
      </w:r>
      <w:r>
        <w:rPr/>
        <w:t>board</w:t>
      </w:r>
      <w:r>
        <w:rPr>
          <w:spacing w:val="-2"/>
        </w:rPr>
        <w:t> </w:t>
      </w:r>
      <w:r>
        <w:rPr/>
        <w:t>size</w:t>
      </w:r>
      <w:r>
        <w:rPr>
          <w:spacing w:val="-1"/>
        </w:rPr>
        <w:t> </w:t>
      </w:r>
      <w:r>
        <w:rPr/>
        <w:t>had</w:t>
      </w:r>
      <w:r>
        <w:rPr>
          <w:spacing w:val="-1"/>
        </w:rPr>
        <w:t> </w:t>
      </w:r>
      <w:r>
        <w:rPr/>
        <w:t>a</w:t>
      </w:r>
      <w:r>
        <w:rPr>
          <w:spacing w:val="-1"/>
        </w:rPr>
        <w:t> </w:t>
      </w:r>
      <w:r>
        <w:rPr/>
        <w:t>significant</w:t>
      </w:r>
      <w:r>
        <w:rPr>
          <w:spacing w:val="-2"/>
        </w:rPr>
        <w:t> </w:t>
      </w:r>
      <w:r>
        <w:rPr/>
        <w:t>incremental</w:t>
      </w:r>
      <w:r>
        <w:rPr>
          <w:spacing w:val="-2"/>
        </w:rPr>
        <w:t> </w:t>
      </w:r>
      <w:r>
        <w:rPr/>
        <w:t>effect</w:t>
      </w:r>
      <w:r>
        <w:rPr>
          <w:spacing w:val="-2"/>
        </w:rPr>
        <w:t> </w:t>
      </w:r>
      <w:r>
        <w:rPr/>
        <w:t>on DISACC</w:t>
      </w:r>
      <w:r>
        <w:rPr>
          <w:spacing w:val="-2"/>
        </w:rPr>
        <w:t> </w:t>
      </w:r>
      <w:r>
        <w:rPr/>
        <w:t>resulting</w:t>
      </w:r>
      <w:r>
        <w:rPr>
          <w:spacing w:val="-2"/>
        </w:rPr>
        <w:t> </w:t>
      </w:r>
      <w:r>
        <w:rPr/>
        <w:t>from IFRS adoption (-0.006, p=0.7260).</w:t>
      </w:r>
      <w:r>
        <w:rPr>
          <w:spacing w:val="-1"/>
        </w:rPr>
        <w:t> </w:t>
      </w:r>
      <w:r>
        <w:rPr/>
        <w:t>BDIND</w:t>
      </w:r>
      <w:r>
        <w:rPr>
          <w:spacing w:val="-1"/>
        </w:rPr>
        <w:t> </w:t>
      </w:r>
      <w:r>
        <w:rPr/>
        <w:t>had a</w:t>
      </w:r>
      <w:r>
        <w:rPr>
          <w:spacing w:val="-1"/>
        </w:rPr>
        <w:t> </w:t>
      </w:r>
      <w:r>
        <w:rPr/>
        <w:t>negative</w:t>
      </w:r>
      <w:r>
        <w:rPr>
          <w:spacing w:val="-1"/>
        </w:rPr>
        <w:t> </w:t>
      </w:r>
      <w:r>
        <w:rPr/>
        <w:t>coefficient (-1.2307)</w:t>
      </w:r>
      <w:r>
        <w:rPr>
          <w:spacing w:val="-1"/>
        </w:rPr>
        <w:t> </w:t>
      </w:r>
      <w:r>
        <w:rPr/>
        <w:t>and was significant (p=0.0162) at 5% indicating that a higher level of independent boards constrained rising discretionary</w:t>
      </w:r>
      <w:r>
        <w:rPr>
          <w:spacing w:val="-2"/>
        </w:rPr>
        <w:t> </w:t>
      </w:r>
      <w:r>
        <w:rPr/>
        <w:t>accruals.</w:t>
      </w:r>
      <w:r>
        <w:rPr>
          <w:spacing w:val="-3"/>
        </w:rPr>
        <w:t> </w:t>
      </w:r>
      <w:r>
        <w:rPr/>
        <w:t>The</w:t>
      </w:r>
      <w:r>
        <w:rPr>
          <w:spacing w:val="-4"/>
        </w:rPr>
        <w:t> </w:t>
      </w:r>
      <w:r>
        <w:rPr/>
        <w:t>interaction</w:t>
      </w:r>
      <w:r>
        <w:rPr>
          <w:spacing w:val="-3"/>
        </w:rPr>
        <w:t> </w:t>
      </w:r>
      <w:r>
        <w:rPr/>
        <w:t>Post-IFRS*BDIND</w:t>
      </w:r>
      <w:r>
        <w:rPr>
          <w:spacing w:val="-3"/>
        </w:rPr>
        <w:t> </w:t>
      </w:r>
      <w:r>
        <w:rPr/>
        <w:t>testing</w:t>
      </w:r>
      <w:r>
        <w:rPr>
          <w:spacing w:val="-3"/>
        </w:rPr>
        <w:t> </w:t>
      </w:r>
      <w:r>
        <w:rPr/>
        <w:t>the</w:t>
      </w:r>
      <w:r>
        <w:rPr>
          <w:spacing w:val="-3"/>
        </w:rPr>
        <w:t> </w:t>
      </w:r>
      <w:r>
        <w:rPr/>
        <w:t>presence</w:t>
      </w:r>
      <w:r>
        <w:rPr>
          <w:spacing w:val="-4"/>
        </w:rPr>
        <w:t> </w:t>
      </w:r>
      <w:r>
        <w:rPr/>
        <w:t>of</w:t>
      </w:r>
      <w:r>
        <w:rPr>
          <w:spacing w:val="-3"/>
        </w:rPr>
        <w:t> </w:t>
      </w:r>
      <w:r>
        <w:rPr/>
        <w:t>incremental IFRS</w:t>
      </w:r>
      <w:r>
        <w:rPr>
          <w:spacing w:val="-15"/>
        </w:rPr>
        <w:t> </w:t>
      </w:r>
      <w:r>
        <w:rPr/>
        <w:t>adoption</w:t>
      </w:r>
      <w:r>
        <w:rPr>
          <w:spacing w:val="-15"/>
        </w:rPr>
        <w:t> </w:t>
      </w:r>
      <w:r>
        <w:rPr/>
        <w:t>effect</w:t>
      </w:r>
      <w:r>
        <w:rPr>
          <w:spacing w:val="-15"/>
        </w:rPr>
        <w:t> </w:t>
      </w:r>
      <w:r>
        <w:rPr/>
        <w:t>also</w:t>
      </w:r>
      <w:r>
        <w:rPr>
          <w:spacing w:val="-15"/>
        </w:rPr>
        <w:t> </w:t>
      </w:r>
      <w:r>
        <w:rPr/>
        <w:t>confirmed</w:t>
      </w:r>
      <w:r>
        <w:rPr>
          <w:spacing w:val="-15"/>
        </w:rPr>
        <w:t> </w:t>
      </w:r>
      <w:r>
        <w:rPr/>
        <w:t>that</w:t>
      </w:r>
      <w:r>
        <w:rPr>
          <w:spacing w:val="-15"/>
        </w:rPr>
        <w:t> </w:t>
      </w:r>
      <w:r>
        <w:rPr/>
        <w:t>board</w:t>
      </w:r>
      <w:r>
        <w:rPr>
          <w:spacing w:val="-15"/>
        </w:rPr>
        <w:t> </w:t>
      </w:r>
      <w:r>
        <w:rPr/>
        <w:t>had</w:t>
      </w:r>
      <w:r>
        <w:rPr>
          <w:spacing w:val="-15"/>
        </w:rPr>
        <w:t> </w:t>
      </w:r>
      <w:r>
        <w:rPr/>
        <w:t>a</w:t>
      </w:r>
      <w:r>
        <w:rPr>
          <w:spacing w:val="-15"/>
        </w:rPr>
        <w:t> </w:t>
      </w:r>
      <w:r>
        <w:rPr/>
        <w:t>significant</w:t>
      </w:r>
      <w:r>
        <w:rPr>
          <w:spacing w:val="-15"/>
        </w:rPr>
        <w:t> </w:t>
      </w:r>
      <w:r>
        <w:rPr/>
        <w:t>incremental</w:t>
      </w:r>
      <w:r>
        <w:rPr>
          <w:spacing w:val="-15"/>
        </w:rPr>
        <w:t> </w:t>
      </w:r>
      <w:r>
        <w:rPr/>
        <w:t>effect</w:t>
      </w:r>
      <w:r>
        <w:rPr>
          <w:spacing w:val="-15"/>
        </w:rPr>
        <w:t> </w:t>
      </w:r>
      <w:r>
        <w:rPr/>
        <w:t>on</w:t>
      </w:r>
      <w:r>
        <w:rPr>
          <w:spacing w:val="-15"/>
        </w:rPr>
        <w:t> </w:t>
      </w:r>
      <w:r>
        <w:rPr/>
        <w:t>DISACC resulting</w:t>
      </w:r>
      <w:r>
        <w:rPr>
          <w:spacing w:val="-9"/>
        </w:rPr>
        <w:t> </w:t>
      </w:r>
      <w:r>
        <w:rPr/>
        <w:t>from</w:t>
      </w:r>
      <w:r>
        <w:rPr>
          <w:spacing w:val="-8"/>
        </w:rPr>
        <w:t> </w:t>
      </w:r>
      <w:r>
        <w:rPr/>
        <w:t>IFRS</w:t>
      </w:r>
      <w:r>
        <w:rPr>
          <w:spacing w:val="-9"/>
        </w:rPr>
        <w:t> </w:t>
      </w:r>
      <w:r>
        <w:rPr/>
        <w:t>adoption</w:t>
      </w:r>
      <w:r>
        <w:rPr>
          <w:spacing w:val="-9"/>
        </w:rPr>
        <w:t> </w:t>
      </w:r>
      <w:r>
        <w:rPr/>
        <w:t>(1.4173,</w:t>
      </w:r>
      <w:r>
        <w:rPr>
          <w:spacing w:val="-10"/>
        </w:rPr>
        <w:t> </w:t>
      </w:r>
      <w:r>
        <w:rPr/>
        <w:t>p=0.006).</w:t>
      </w:r>
      <w:r>
        <w:rPr>
          <w:spacing w:val="-10"/>
        </w:rPr>
        <w:t> </w:t>
      </w:r>
      <w:r>
        <w:rPr/>
        <w:t>BFEXP</w:t>
      </w:r>
      <w:r>
        <w:rPr>
          <w:spacing w:val="-9"/>
        </w:rPr>
        <w:t> </w:t>
      </w:r>
      <w:r>
        <w:rPr/>
        <w:t>had</w:t>
      </w:r>
      <w:r>
        <w:rPr>
          <w:spacing w:val="-7"/>
        </w:rPr>
        <w:t> </w:t>
      </w:r>
      <w:r>
        <w:rPr/>
        <w:t>a</w:t>
      </w:r>
      <w:r>
        <w:rPr>
          <w:spacing w:val="-11"/>
        </w:rPr>
        <w:t> </w:t>
      </w:r>
      <w:r>
        <w:rPr/>
        <w:t>positive</w:t>
      </w:r>
      <w:r>
        <w:rPr>
          <w:spacing w:val="-11"/>
        </w:rPr>
        <w:t> </w:t>
      </w:r>
      <w:r>
        <w:rPr/>
        <w:t>effect</w:t>
      </w:r>
      <w:r>
        <w:rPr>
          <w:spacing w:val="-9"/>
        </w:rPr>
        <w:t> </w:t>
      </w:r>
      <w:r>
        <w:rPr/>
        <w:t>on</w:t>
      </w:r>
      <w:r>
        <w:rPr>
          <w:spacing w:val="-10"/>
        </w:rPr>
        <w:t> </w:t>
      </w:r>
      <w:r>
        <w:rPr/>
        <w:t>discretionary accruals although not significant at 5% (-0.6411, p=0.3468) and the interaction; Post- IFRS*BFEXP,</w:t>
      </w:r>
      <w:r>
        <w:rPr>
          <w:spacing w:val="-7"/>
        </w:rPr>
        <w:t> </w:t>
      </w:r>
      <w:r>
        <w:rPr/>
        <w:t>testing</w:t>
      </w:r>
      <w:r>
        <w:rPr>
          <w:spacing w:val="-7"/>
        </w:rPr>
        <w:t> </w:t>
      </w:r>
      <w:r>
        <w:rPr/>
        <w:t>the</w:t>
      </w:r>
      <w:r>
        <w:rPr>
          <w:spacing w:val="-8"/>
        </w:rPr>
        <w:t> </w:t>
      </w:r>
      <w:r>
        <w:rPr/>
        <w:t>presence</w:t>
      </w:r>
      <w:r>
        <w:rPr>
          <w:spacing w:val="-6"/>
        </w:rPr>
        <w:t> </w:t>
      </w:r>
      <w:r>
        <w:rPr/>
        <w:t>of</w:t>
      </w:r>
      <w:r>
        <w:rPr>
          <w:spacing w:val="-8"/>
        </w:rPr>
        <w:t> </w:t>
      </w:r>
      <w:r>
        <w:rPr/>
        <w:t>incremental</w:t>
      </w:r>
      <w:r>
        <w:rPr>
          <w:spacing w:val="-4"/>
        </w:rPr>
        <w:t> </w:t>
      </w:r>
      <w:r>
        <w:rPr/>
        <w:t>IFRS</w:t>
      </w:r>
      <w:r>
        <w:rPr>
          <w:spacing w:val="-7"/>
        </w:rPr>
        <w:t> </w:t>
      </w:r>
      <w:r>
        <w:rPr/>
        <w:t>adoption</w:t>
      </w:r>
      <w:r>
        <w:rPr>
          <w:spacing w:val="-5"/>
        </w:rPr>
        <w:t> </w:t>
      </w:r>
      <w:r>
        <w:rPr/>
        <w:t>effect</w:t>
      </w:r>
      <w:r>
        <w:rPr>
          <w:spacing w:val="-7"/>
        </w:rPr>
        <w:t> </w:t>
      </w:r>
      <w:r>
        <w:rPr/>
        <w:t>also</w:t>
      </w:r>
      <w:r>
        <w:rPr>
          <w:spacing w:val="-7"/>
        </w:rPr>
        <w:t> </w:t>
      </w:r>
      <w:r>
        <w:rPr/>
        <w:t>did</w:t>
      </w:r>
      <w:r>
        <w:rPr>
          <w:spacing w:val="-4"/>
        </w:rPr>
        <w:t> </w:t>
      </w:r>
      <w:r>
        <w:rPr/>
        <w:t>not</w:t>
      </w:r>
      <w:r>
        <w:rPr>
          <w:spacing w:val="-7"/>
        </w:rPr>
        <w:t> </w:t>
      </w:r>
      <w:r>
        <w:rPr/>
        <w:t>show</w:t>
      </w:r>
      <w:r>
        <w:rPr>
          <w:spacing w:val="-8"/>
        </w:rPr>
        <w:t> </w:t>
      </w:r>
      <w:r>
        <w:rPr/>
        <w:t>that BFEXP has a significant incremental effect on DISACC resulting from IFRS adoption (- 0.3774, p=0.6162). Looking at the control variables, FSIZE AND Fage showed evidence of significant</w:t>
      </w:r>
      <w:r>
        <w:rPr>
          <w:spacing w:val="-15"/>
        </w:rPr>
        <w:t> </w:t>
      </w:r>
      <w:r>
        <w:rPr/>
        <w:t>effects</w:t>
      </w:r>
      <w:r>
        <w:rPr>
          <w:spacing w:val="-15"/>
        </w:rPr>
        <w:t> </w:t>
      </w:r>
      <w:r>
        <w:rPr/>
        <w:t>on</w:t>
      </w:r>
      <w:r>
        <w:rPr>
          <w:spacing w:val="-15"/>
        </w:rPr>
        <w:t> </w:t>
      </w:r>
      <w:r>
        <w:rPr/>
        <w:t>discretionary</w:t>
      </w:r>
      <w:r>
        <w:rPr>
          <w:spacing w:val="-15"/>
        </w:rPr>
        <w:t> </w:t>
      </w:r>
      <w:r>
        <w:rPr/>
        <w:t>accruals</w:t>
      </w:r>
      <w:r>
        <w:rPr>
          <w:spacing w:val="-15"/>
        </w:rPr>
        <w:t> </w:t>
      </w:r>
      <w:r>
        <w:rPr/>
        <w:t>with</w:t>
      </w:r>
      <w:r>
        <w:rPr>
          <w:spacing w:val="-15"/>
        </w:rPr>
        <w:t> </w:t>
      </w:r>
      <w:r>
        <w:rPr/>
        <w:t>coefficients</w:t>
      </w:r>
      <w:r>
        <w:rPr>
          <w:spacing w:val="-15"/>
        </w:rPr>
        <w:t> </w:t>
      </w:r>
      <w:r>
        <w:rPr/>
        <w:t>of</w:t>
      </w:r>
      <w:r>
        <w:rPr>
          <w:spacing w:val="-15"/>
        </w:rPr>
        <w:t> </w:t>
      </w:r>
      <w:r>
        <w:rPr/>
        <w:t>0.037</w:t>
      </w:r>
      <w:r>
        <w:rPr>
          <w:spacing w:val="-15"/>
        </w:rPr>
        <w:t> </w:t>
      </w:r>
      <w:r>
        <w:rPr/>
        <w:t>and</w:t>
      </w:r>
      <w:r>
        <w:rPr>
          <w:spacing w:val="-15"/>
        </w:rPr>
        <w:t> </w:t>
      </w:r>
      <w:r>
        <w:rPr/>
        <w:t>-0.2879</w:t>
      </w:r>
      <w:r>
        <w:rPr>
          <w:spacing w:val="-15"/>
        </w:rPr>
        <w:t> </w:t>
      </w:r>
      <w:r>
        <w:rPr/>
        <w:t>respectively. </w:t>
      </w:r>
      <w:r>
        <w:rPr>
          <w:position w:val="2"/>
        </w:rPr>
        <w:t>The</w:t>
      </w:r>
      <w:r>
        <w:rPr>
          <w:spacing w:val="-15"/>
          <w:position w:val="2"/>
        </w:rPr>
        <w:t> </w:t>
      </w:r>
      <w:r>
        <w:rPr>
          <w:position w:val="2"/>
        </w:rPr>
        <w:t>χ</w:t>
      </w:r>
      <w:r>
        <w:rPr>
          <w:position w:val="2"/>
          <w:vertAlign w:val="superscript"/>
        </w:rPr>
        <w:t>2</w:t>
      </w:r>
      <w:r>
        <w:rPr>
          <w:sz w:val="16"/>
          <w:vertAlign w:val="baseline"/>
        </w:rPr>
        <w:t>Hetero</w:t>
      </w:r>
      <w:r>
        <w:rPr>
          <w:spacing w:val="6"/>
          <w:sz w:val="16"/>
          <w:vertAlign w:val="baseline"/>
        </w:rPr>
        <w:t> </w:t>
      </w:r>
      <w:r>
        <w:rPr>
          <w:position w:val="2"/>
          <w:vertAlign w:val="baseline"/>
        </w:rPr>
        <w:t>p-value</w:t>
      </w:r>
      <w:r>
        <w:rPr>
          <w:spacing w:val="-15"/>
          <w:position w:val="2"/>
          <w:vertAlign w:val="baseline"/>
        </w:rPr>
        <w:t> </w:t>
      </w:r>
      <w:r>
        <w:rPr>
          <w:position w:val="2"/>
          <w:vertAlign w:val="baseline"/>
        </w:rPr>
        <w:t>(0.621)</w:t>
      </w:r>
      <w:r>
        <w:rPr>
          <w:spacing w:val="-15"/>
          <w:position w:val="2"/>
          <w:vertAlign w:val="baseline"/>
        </w:rPr>
        <w:t> </w:t>
      </w:r>
      <w:r>
        <w:rPr>
          <w:position w:val="2"/>
          <w:vertAlign w:val="baseline"/>
        </w:rPr>
        <w:t>implied</w:t>
      </w:r>
      <w:r>
        <w:rPr>
          <w:spacing w:val="-14"/>
          <w:position w:val="2"/>
          <w:vertAlign w:val="baseline"/>
        </w:rPr>
        <w:t> </w:t>
      </w:r>
      <w:r>
        <w:rPr>
          <w:position w:val="2"/>
          <w:vertAlign w:val="baseline"/>
        </w:rPr>
        <w:t>the</w:t>
      </w:r>
      <w:r>
        <w:rPr>
          <w:spacing w:val="-15"/>
          <w:position w:val="2"/>
          <w:vertAlign w:val="baseline"/>
        </w:rPr>
        <w:t> </w:t>
      </w:r>
      <w:r>
        <w:rPr>
          <w:position w:val="2"/>
          <w:vertAlign w:val="baseline"/>
        </w:rPr>
        <w:t>homoscedastic</w:t>
      </w:r>
      <w:r>
        <w:rPr>
          <w:spacing w:val="-15"/>
          <w:position w:val="2"/>
          <w:vertAlign w:val="baseline"/>
        </w:rPr>
        <w:t> </w:t>
      </w:r>
      <w:r>
        <w:rPr>
          <w:position w:val="2"/>
          <w:vertAlign w:val="baseline"/>
        </w:rPr>
        <w:t>behaviour</w:t>
      </w:r>
      <w:r>
        <w:rPr>
          <w:spacing w:val="-15"/>
          <w:position w:val="2"/>
          <w:vertAlign w:val="baseline"/>
        </w:rPr>
        <w:t> </w:t>
      </w:r>
      <w:r>
        <w:rPr>
          <w:position w:val="2"/>
          <w:vertAlign w:val="baseline"/>
        </w:rPr>
        <w:t>of</w:t>
      </w:r>
      <w:r>
        <w:rPr>
          <w:spacing w:val="-15"/>
          <w:position w:val="2"/>
          <w:vertAlign w:val="baseline"/>
        </w:rPr>
        <w:t> </w:t>
      </w:r>
      <w:r>
        <w:rPr>
          <w:position w:val="2"/>
          <w:vertAlign w:val="baseline"/>
        </w:rPr>
        <w:t>the</w:t>
      </w:r>
      <w:r>
        <w:rPr>
          <w:spacing w:val="-15"/>
          <w:position w:val="2"/>
          <w:vertAlign w:val="baseline"/>
        </w:rPr>
        <w:t> </w:t>
      </w:r>
      <w:r>
        <w:rPr>
          <w:position w:val="2"/>
          <w:vertAlign w:val="baseline"/>
        </w:rPr>
        <w:t>errors</w:t>
      </w:r>
      <w:r>
        <w:rPr>
          <w:spacing w:val="-14"/>
          <w:position w:val="2"/>
          <w:vertAlign w:val="baseline"/>
        </w:rPr>
        <w:t> </w:t>
      </w:r>
      <w:r>
        <w:rPr>
          <w:position w:val="2"/>
          <w:vertAlign w:val="baseline"/>
        </w:rPr>
        <w:t>and</w:t>
      </w:r>
      <w:r>
        <w:rPr>
          <w:spacing w:val="-14"/>
          <w:position w:val="2"/>
          <w:vertAlign w:val="baseline"/>
        </w:rPr>
        <w:t> </w:t>
      </w:r>
      <w:r>
        <w:rPr>
          <w:position w:val="2"/>
          <w:vertAlign w:val="baseline"/>
        </w:rPr>
        <w:t>the</w:t>
      </w:r>
      <w:r>
        <w:rPr>
          <w:spacing w:val="-15"/>
          <w:position w:val="2"/>
          <w:vertAlign w:val="baseline"/>
        </w:rPr>
        <w:t> </w:t>
      </w:r>
      <w:r>
        <w:rPr>
          <w:position w:val="2"/>
          <w:vertAlign w:val="baseline"/>
        </w:rPr>
        <w:t>χ</w:t>
      </w:r>
      <w:r>
        <w:rPr>
          <w:position w:val="2"/>
          <w:vertAlign w:val="superscript"/>
        </w:rPr>
        <w:t>2</w:t>
      </w:r>
      <w:r>
        <w:rPr>
          <w:sz w:val="16"/>
          <w:vertAlign w:val="baseline"/>
        </w:rPr>
        <w:t>Serial/Corr</w:t>
      </w:r>
      <w:r>
        <w:rPr>
          <w:spacing w:val="40"/>
          <w:sz w:val="16"/>
          <w:vertAlign w:val="baseline"/>
        </w:rPr>
        <w:t> </w:t>
      </w:r>
      <w:r>
        <w:rPr>
          <w:position w:val="2"/>
          <w:vertAlign w:val="baseline"/>
        </w:rPr>
        <w:t>p-value</w:t>
      </w:r>
      <w:r>
        <w:rPr>
          <w:spacing w:val="-11"/>
          <w:position w:val="2"/>
          <w:vertAlign w:val="baseline"/>
        </w:rPr>
        <w:t> </w:t>
      </w:r>
      <w:r>
        <w:rPr>
          <w:position w:val="2"/>
          <w:vertAlign w:val="baseline"/>
        </w:rPr>
        <w:t>(0.095)</w:t>
      </w:r>
      <w:r>
        <w:rPr>
          <w:spacing w:val="-11"/>
          <w:position w:val="2"/>
          <w:vertAlign w:val="baseline"/>
        </w:rPr>
        <w:t> </w:t>
      </w:r>
      <w:r>
        <w:rPr>
          <w:position w:val="2"/>
          <w:vertAlign w:val="baseline"/>
        </w:rPr>
        <w:t>also</w:t>
      </w:r>
      <w:r>
        <w:rPr>
          <w:spacing w:val="-10"/>
          <w:position w:val="2"/>
          <w:vertAlign w:val="baseline"/>
        </w:rPr>
        <w:t> </w:t>
      </w:r>
      <w:r>
        <w:rPr>
          <w:position w:val="2"/>
          <w:vertAlign w:val="baseline"/>
        </w:rPr>
        <w:t>revealed</w:t>
      </w:r>
      <w:r>
        <w:rPr>
          <w:spacing w:val="-10"/>
          <w:position w:val="2"/>
          <w:vertAlign w:val="baseline"/>
        </w:rPr>
        <w:t> </w:t>
      </w:r>
      <w:r>
        <w:rPr>
          <w:position w:val="2"/>
          <w:vertAlign w:val="baseline"/>
        </w:rPr>
        <w:t>the</w:t>
      </w:r>
      <w:r>
        <w:rPr>
          <w:spacing w:val="-11"/>
          <w:position w:val="2"/>
          <w:vertAlign w:val="baseline"/>
        </w:rPr>
        <w:t> </w:t>
      </w:r>
      <w:r>
        <w:rPr>
          <w:position w:val="2"/>
          <w:vertAlign w:val="baseline"/>
        </w:rPr>
        <w:t>absence</w:t>
      </w:r>
      <w:r>
        <w:rPr>
          <w:spacing w:val="-12"/>
          <w:position w:val="2"/>
          <w:vertAlign w:val="baseline"/>
        </w:rPr>
        <w:t> </w:t>
      </w:r>
      <w:r>
        <w:rPr>
          <w:position w:val="2"/>
          <w:vertAlign w:val="baseline"/>
        </w:rPr>
        <w:t>of</w:t>
      </w:r>
      <w:r>
        <w:rPr>
          <w:spacing w:val="-11"/>
          <w:position w:val="2"/>
          <w:vertAlign w:val="baseline"/>
        </w:rPr>
        <w:t> </w:t>
      </w:r>
      <w:r>
        <w:rPr>
          <w:position w:val="2"/>
          <w:vertAlign w:val="baseline"/>
        </w:rPr>
        <w:t>a</w:t>
      </w:r>
      <w:r>
        <w:rPr>
          <w:spacing w:val="-12"/>
          <w:position w:val="2"/>
          <w:vertAlign w:val="baseline"/>
        </w:rPr>
        <w:t> </w:t>
      </w:r>
      <w:r>
        <w:rPr>
          <w:position w:val="2"/>
          <w:vertAlign w:val="baseline"/>
        </w:rPr>
        <w:t>serial</w:t>
      </w:r>
      <w:r>
        <w:rPr>
          <w:spacing w:val="-10"/>
          <w:position w:val="2"/>
          <w:vertAlign w:val="baseline"/>
        </w:rPr>
        <w:t> </w:t>
      </w:r>
      <w:r>
        <w:rPr>
          <w:position w:val="2"/>
          <w:vertAlign w:val="baseline"/>
        </w:rPr>
        <w:t>correlation.</w:t>
      </w:r>
      <w:r>
        <w:rPr>
          <w:spacing w:val="-8"/>
          <w:position w:val="2"/>
          <w:vertAlign w:val="baseline"/>
        </w:rPr>
        <w:t> </w:t>
      </w:r>
      <w:r>
        <w:rPr>
          <w:position w:val="2"/>
          <w:vertAlign w:val="baseline"/>
        </w:rPr>
        <w:t>In</w:t>
      </w:r>
      <w:r>
        <w:rPr>
          <w:spacing w:val="-11"/>
          <w:position w:val="2"/>
          <w:vertAlign w:val="baseline"/>
        </w:rPr>
        <w:t> </w:t>
      </w:r>
      <w:r>
        <w:rPr>
          <w:position w:val="2"/>
          <w:vertAlign w:val="baseline"/>
        </w:rPr>
        <w:t>addition,</w:t>
      </w:r>
      <w:r>
        <w:rPr>
          <w:spacing w:val="-11"/>
          <w:position w:val="2"/>
          <w:vertAlign w:val="baseline"/>
        </w:rPr>
        <w:t> </w:t>
      </w:r>
      <w:r>
        <w:rPr>
          <w:position w:val="2"/>
          <w:vertAlign w:val="baseline"/>
        </w:rPr>
        <w:t>χ</w:t>
      </w:r>
      <w:r>
        <w:rPr>
          <w:position w:val="2"/>
          <w:vertAlign w:val="superscript"/>
        </w:rPr>
        <w:t>2</w:t>
      </w:r>
      <w:r>
        <w:rPr>
          <w:sz w:val="16"/>
          <w:vertAlign w:val="baseline"/>
        </w:rPr>
        <w:t>ramsey-reset</w:t>
      </w:r>
      <w:r>
        <w:rPr>
          <w:spacing w:val="10"/>
          <w:sz w:val="16"/>
          <w:vertAlign w:val="baseline"/>
        </w:rPr>
        <w:t> </w:t>
      </w:r>
      <w:r>
        <w:rPr>
          <w:position w:val="2"/>
          <w:vertAlign w:val="baseline"/>
        </w:rPr>
        <w:t>(0.074) </w:t>
      </w:r>
      <w:r>
        <w:rPr>
          <w:vertAlign w:val="baseline"/>
        </w:rPr>
        <w:t>revealed that the series followed a normal distribution.</w:t>
      </w:r>
    </w:p>
    <w:p>
      <w:pPr>
        <w:pStyle w:val="BodyText"/>
        <w:spacing w:line="480" w:lineRule="auto" w:before="3"/>
        <w:ind w:left="940" w:right="1438"/>
        <w:jc w:val="both"/>
      </w:pPr>
      <w:r>
        <w:rPr/>
        <w:t>Moving to the difference in difference estimations, the coefficient TG (treatment period) represented the difference in discretionary accruals between the pre and post IFRS adoption periods</w:t>
      </w:r>
      <w:r>
        <w:rPr>
          <w:spacing w:val="-17"/>
        </w:rPr>
        <w:t> </w:t>
      </w:r>
      <w:r>
        <w:rPr/>
        <w:t>and</w:t>
      </w:r>
      <w:r>
        <w:rPr>
          <w:spacing w:val="-13"/>
        </w:rPr>
        <w:t> </w:t>
      </w:r>
      <w:r>
        <w:rPr/>
        <w:t>controlled</w:t>
      </w:r>
      <w:r>
        <w:rPr>
          <w:spacing w:val="-13"/>
        </w:rPr>
        <w:t> </w:t>
      </w:r>
      <w:r>
        <w:rPr/>
        <w:t>for</w:t>
      </w:r>
      <w:r>
        <w:rPr>
          <w:spacing w:val="-13"/>
        </w:rPr>
        <w:t> </w:t>
      </w:r>
      <w:r>
        <w:rPr/>
        <w:t>pre-existing</w:t>
      </w:r>
      <w:r>
        <w:rPr>
          <w:spacing w:val="-14"/>
        </w:rPr>
        <w:t> </w:t>
      </w:r>
      <w:r>
        <w:rPr/>
        <w:t>differences</w:t>
      </w:r>
      <w:r>
        <w:rPr>
          <w:spacing w:val="-12"/>
        </w:rPr>
        <w:t> </w:t>
      </w:r>
      <w:r>
        <w:rPr/>
        <w:t>between</w:t>
      </w:r>
      <w:r>
        <w:rPr>
          <w:spacing w:val="-13"/>
        </w:rPr>
        <w:t> </w:t>
      </w:r>
      <w:r>
        <w:rPr/>
        <w:t>the</w:t>
      </w:r>
      <w:r>
        <w:rPr>
          <w:spacing w:val="-15"/>
        </w:rPr>
        <w:t> </w:t>
      </w:r>
      <w:r>
        <w:rPr/>
        <w:t>two</w:t>
      </w:r>
      <w:r>
        <w:rPr>
          <w:spacing w:val="-13"/>
        </w:rPr>
        <w:t> </w:t>
      </w:r>
      <w:r>
        <w:rPr/>
        <w:t>groups.</w:t>
      </w:r>
      <w:r>
        <w:rPr>
          <w:spacing w:val="-12"/>
        </w:rPr>
        <w:t> </w:t>
      </w:r>
      <w:r>
        <w:rPr/>
        <w:t>The</w:t>
      </w:r>
      <w:r>
        <w:rPr>
          <w:spacing w:val="-15"/>
        </w:rPr>
        <w:t> </w:t>
      </w:r>
      <w:r>
        <w:rPr/>
        <w:t>coefficient</w:t>
      </w:r>
      <w:r>
        <w:rPr>
          <w:spacing w:val="-13"/>
        </w:rPr>
        <w:t> </w:t>
      </w:r>
      <w:r>
        <w:rPr>
          <w:spacing w:val="-5"/>
        </w:rPr>
        <w:t>was</w:t>
      </w:r>
    </w:p>
    <w:p>
      <w:pPr>
        <w:pStyle w:val="BodyText"/>
        <w:spacing w:line="480" w:lineRule="auto"/>
        <w:ind w:left="940" w:right="1435"/>
        <w:jc w:val="both"/>
      </w:pPr>
      <w:r>
        <w:rPr/>
        <w:t>-0.0482 and insignificant at 5% {0.9921}. The result indicated that there was no change in absolute discretionary accruals between the pre- and post-IFRS periods. Post-IFRS variable represented the incremental effect in DISACC from the pre- to post-IFRS periods and controlled for contemporaneous changes in DISACC that were not related to IFRS adoption and the coefficient was also positive and insignificant (0.0936, p=0.9846}. Particularly, the study was interested in the D-I-D estimates which reflected an incremental change in DACC which</w:t>
      </w:r>
      <w:r>
        <w:rPr>
          <w:spacing w:val="-6"/>
        </w:rPr>
        <w:t> </w:t>
      </w:r>
      <w:r>
        <w:rPr/>
        <w:t>captured</w:t>
      </w:r>
      <w:r>
        <w:rPr>
          <w:spacing w:val="-6"/>
        </w:rPr>
        <w:t> </w:t>
      </w:r>
      <w:r>
        <w:rPr/>
        <w:t>the</w:t>
      </w:r>
      <w:r>
        <w:rPr>
          <w:spacing w:val="-4"/>
        </w:rPr>
        <w:t> </w:t>
      </w:r>
      <w:r>
        <w:rPr/>
        <w:t>IFRS</w:t>
      </w:r>
      <w:r>
        <w:rPr>
          <w:spacing w:val="-6"/>
        </w:rPr>
        <w:t> </w:t>
      </w:r>
      <w:r>
        <w:rPr/>
        <w:t>adoption</w:t>
      </w:r>
      <w:r>
        <w:rPr>
          <w:spacing w:val="-6"/>
        </w:rPr>
        <w:t> </w:t>
      </w:r>
      <w:r>
        <w:rPr/>
        <w:t>effect</w:t>
      </w:r>
      <w:r>
        <w:rPr>
          <w:spacing w:val="-6"/>
        </w:rPr>
        <w:t> </w:t>
      </w:r>
      <w:r>
        <w:rPr/>
        <w:t>for</w:t>
      </w:r>
      <w:r>
        <w:rPr>
          <w:spacing w:val="-8"/>
        </w:rPr>
        <w:t> </w:t>
      </w:r>
      <w:r>
        <w:rPr/>
        <w:t>the</w:t>
      </w:r>
      <w:r>
        <w:rPr>
          <w:spacing w:val="-6"/>
        </w:rPr>
        <w:t> </w:t>
      </w:r>
      <w:r>
        <w:rPr/>
        <w:t>surrogate</w:t>
      </w:r>
      <w:r>
        <w:rPr>
          <w:spacing w:val="-7"/>
        </w:rPr>
        <w:t> </w:t>
      </w:r>
      <w:r>
        <w:rPr/>
        <w:t>firms.</w:t>
      </w:r>
      <w:r>
        <w:rPr>
          <w:spacing w:val="-6"/>
        </w:rPr>
        <w:t> </w:t>
      </w:r>
      <w:r>
        <w:rPr/>
        <w:t>If</w:t>
      </w:r>
      <w:r>
        <w:rPr>
          <w:spacing w:val="-5"/>
        </w:rPr>
        <w:t> </w:t>
      </w:r>
      <w:r>
        <w:rPr/>
        <w:t>IFRS</w:t>
      </w:r>
      <w:r>
        <w:rPr>
          <w:spacing w:val="-6"/>
        </w:rPr>
        <w:t> </w:t>
      </w:r>
      <w:r>
        <w:rPr/>
        <w:t>led</w:t>
      </w:r>
      <w:r>
        <w:rPr>
          <w:spacing w:val="-7"/>
        </w:rPr>
        <w:t> </w:t>
      </w:r>
      <w:r>
        <w:rPr/>
        <w:t>to</w:t>
      </w:r>
      <w:r>
        <w:rPr>
          <w:spacing w:val="-6"/>
        </w:rPr>
        <w:t> </w:t>
      </w:r>
      <w:r>
        <w:rPr/>
        <w:t>less</w:t>
      </w:r>
      <w:r>
        <w:rPr>
          <w:spacing w:val="-6"/>
        </w:rPr>
        <w:t> </w:t>
      </w:r>
      <w:r>
        <w:rPr/>
        <w:t>DACC,</w:t>
      </w:r>
      <w:r>
        <w:rPr>
          <w:spacing w:val="-5"/>
        </w:rPr>
        <w:t> we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t>expected a negative coefficient. The D-I-D coefficient was not significant and hence, it suggested that the change in absolute discretionary accruals was not incrementally different suggesting</w:t>
      </w:r>
      <w:r>
        <w:rPr>
          <w:spacing w:val="-6"/>
        </w:rPr>
        <w:t> </w:t>
      </w:r>
      <w:r>
        <w:rPr/>
        <w:t>that</w:t>
      </w:r>
      <w:r>
        <w:rPr>
          <w:spacing w:val="-6"/>
        </w:rPr>
        <w:t> </w:t>
      </w:r>
      <w:r>
        <w:rPr/>
        <w:t>the</w:t>
      </w:r>
      <w:r>
        <w:rPr>
          <w:spacing w:val="-6"/>
        </w:rPr>
        <w:t> </w:t>
      </w:r>
      <w:r>
        <w:rPr/>
        <w:t>mandatory</w:t>
      </w:r>
      <w:r>
        <w:rPr>
          <w:spacing w:val="-6"/>
        </w:rPr>
        <w:t> </w:t>
      </w:r>
      <w:r>
        <w:rPr/>
        <w:t>adoption</w:t>
      </w:r>
      <w:r>
        <w:rPr>
          <w:spacing w:val="-6"/>
        </w:rPr>
        <w:t> </w:t>
      </w:r>
      <w:r>
        <w:rPr/>
        <w:t>of</w:t>
      </w:r>
      <w:r>
        <w:rPr>
          <w:spacing w:val="-3"/>
        </w:rPr>
        <w:t> </w:t>
      </w:r>
      <w:r>
        <w:rPr/>
        <w:t>IFRS</w:t>
      </w:r>
      <w:r>
        <w:rPr>
          <w:spacing w:val="-5"/>
        </w:rPr>
        <w:t> </w:t>
      </w:r>
      <w:r>
        <w:rPr/>
        <w:t>did</w:t>
      </w:r>
      <w:r>
        <w:rPr>
          <w:spacing w:val="-5"/>
        </w:rPr>
        <w:t> </w:t>
      </w:r>
      <w:r>
        <w:rPr/>
        <w:t>not</w:t>
      </w:r>
      <w:r>
        <w:rPr>
          <w:spacing w:val="-5"/>
        </w:rPr>
        <w:t> </w:t>
      </w:r>
      <w:r>
        <w:rPr/>
        <w:t>significantly</w:t>
      </w:r>
      <w:r>
        <w:rPr>
          <w:spacing w:val="-6"/>
        </w:rPr>
        <w:t> </w:t>
      </w:r>
      <w:r>
        <w:rPr/>
        <w:t>affect</w:t>
      </w:r>
      <w:r>
        <w:rPr>
          <w:spacing w:val="-5"/>
        </w:rPr>
        <w:t> </w:t>
      </w:r>
      <w:r>
        <w:rPr/>
        <w:t>financial</w:t>
      </w:r>
      <w:r>
        <w:rPr>
          <w:spacing w:val="-6"/>
        </w:rPr>
        <w:t> </w:t>
      </w:r>
      <w:r>
        <w:rPr/>
        <w:t>reporting quality, at least as measured by absolute discretionary accruals.</w:t>
      </w:r>
    </w:p>
    <w:p>
      <w:pPr>
        <w:pStyle w:val="BodyText"/>
        <w:ind w:left="2073"/>
        <w:jc w:val="both"/>
      </w:pPr>
      <w:r>
        <w:rPr/>
        <w:t>Table</w:t>
      </w:r>
      <w:r>
        <w:rPr>
          <w:spacing w:val="-2"/>
        </w:rPr>
        <w:t> </w:t>
      </w:r>
      <w:r>
        <w:rPr/>
        <w:t>4.9.</w:t>
      </w:r>
      <w:r>
        <w:rPr>
          <w:spacing w:val="-1"/>
        </w:rPr>
        <w:t> </w:t>
      </w:r>
      <w:r>
        <w:rPr/>
        <w:t>DISACC</w:t>
      </w:r>
      <w:r>
        <w:rPr>
          <w:spacing w:val="-1"/>
        </w:rPr>
        <w:t> </w:t>
      </w:r>
      <w:r>
        <w:rPr/>
        <w:t>and Ownership Structure</w:t>
      </w:r>
      <w:r>
        <w:rPr>
          <w:spacing w:val="-3"/>
        </w:rPr>
        <w:t> </w:t>
      </w:r>
      <w:r>
        <w:rPr/>
        <w:t>Regression</w:t>
      </w:r>
      <w:r>
        <w:rPr>
          <w:spacing w:val="-1"/>
        </w:rPr>
        <w:t> </w:t>
      </w:r>
      <w:r>
        <w:rPr>
          <w:spacing w:val="-2"/>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708"/>
        <w:gridCol w:w="2253"/>
      </w:tblGrid>
      <w:tr>
        <w:trPr>
          <w:trHeight w:val="460" w:hRule="atLeast"/>
        </w:trPr>
        <w:tc>
          <w:tcPr>
            <w:tcW w:w="1906" w:type="dxa"/>
            <w:tcBorders>
              <w:left w:val="nil"/>
              <w:bottom w:val="single" w:sz="4" w:space="0" w:color="000000"/>
            </w:tcBorders>
          </w:tcPr>
          <w:p>
            <w:pPr>
              <w:pStyle w:val="TableParagraph"/>
              <w:rPr>
                <w:rFonts w:ascii="Times New Roman"/>
                <w:sz w:val="20"/>
              </w:rPr>
            </w:pPr>
          </w:p>
        </w:tc>
        <w:tc>
          <w:tcPr>
            <w:tcW w:w="986" w:type="dxa"/>
            <w:tcBorders>
              <w:bottom w:val="single" w:sz="4" w:space="0" w:color="000000"/>
            </w:tcBorders>
          </w:tcPr>
          <w:p>
            <w:pPr>
              <w:pStyle w:val="TableParagraph"/>
              <w:spacing w:line="230" w:lineRule="atLeast"/>
              <w:ind w:left="100" w:right="334"/>
              <w:rPr>
                <w:rFonts w:ascii="Times New Roman"/>
                <w:sz w:val="20"/>
              </w:rPr>
            </w:pPr>
            <w:r>
              <w:rPr>
                <w:rFonts w:ascii="Times New Roman"/>
                <w:spacing w:val="-2"/>
                <w:sz w:val="20"/>
              </w:rPr>
              <w:t>Aprori </w:t>
            </w:r>
            <w:r>
              <w:rPr>
                <w:rFonts w:ascii="Times New Roman"/>
                <w:spacing w:val="-4"/>
                <w:sz w:val="20"/>
              </w:rPr>
              <w:t>sign</w:t>
            </w:r>
          </w:p>
        </w:tc>
        <w:tc>
          <w:tcPr>
            <w:tcW w:w="5581" w:type="dxa"/>
            <w:gridSpan w:val="3"/>
            <w:tcBorders>
              <w:bottom w:val="single" w:sz="4" w:space="0" w:color="000000"/>
              <w:right w:val="nil"/>
            </w:tcBorders>
          </w:tcPr>
          <w:p>
            <w:pPr>
              <w:pStyle w:val="TableParagraph"/>
              <w:ind w:left="1591"/>
              <w:rPr>
                <w:rFonts w:ascii="Times New Roman"/>
                <w:sz w:val="20"/>
              </w:rPr>
            </w:pPr>
            <w:r>
              <w:rPr>
                <w:rFonts w:ascii="Times New Roman"/>
                <w:sz w:val="20"/>
              </w:rPr>
              <w:t>Dependent</w:t>
            </w:r>
            <w:r>
              <w:rPr>
                <w:rFonts w:ascii="Times New Roman"/>
                <w:spacing w:val="-6"/>
                <w:sz w:val="20"/>
              </w:rPr>
              <w:t> </w:t>
            </w:r>
            <w:r>
              <w:rPr>
                <w:rFonts w:ascii="Times New Roman"/>
                <w:sz w:val="20"/>
              </w:rPr>
              <w:t>Variable</w:t>
            </w:r>
            <w:r>
              <w:rPr>
                <w:rFonts w:ascii="Times New Roman"/>
                <w:spacing w:val="-5"/>
                <w:sz w:val="20"/>
              </w:rPr>
              <w:t> </w:t>
            </w:r>
            <w:r>
              <w:rPr>
                <w:rFonts w:ascii="Times New Roman"/>
                <w:spacing w:val="-2"/>
                <w:sz w:val="20"/>
              </w:rPr>
              <w:t>DISACC</w:t>
            </w:r>
          </w:p>
        </w:tc>
      </w:tr>
      <w:tr>
        <w:trPr>
          <w:trHeight w:val="460" w:hRule="atLeast"/>
        </w:trPr>
        <w:tc>
          <w:tcPr>
            <w:tcW w:w="1906" w:type="dxa"/>
            <w:tcBorders>
              <w:top w:val="single" w:sz="4" w:space="0" w:color="000000"/>
              <w:left w:val="nil"/>
            </w:tcBorders>
          </w:tcPr>
          <w:p>
            <w:pPr>
              <w:pStyle w:val="TableParagraph"/>
              <w:rPr>
                <w:rFonts w:ascii="Times New Roman"/>
                <w:sz w:val="20"/>
              </w:rPr>
            </w:pPr>
          </w:p>
        </w:tc>
        <w:tc>
          <w:tcPr>
            <w:tcW w:w="986" w:type="dxa"/>
            <w:tcBorders>
              <w:top w:val="single" w:sz="4" w:space="0" w:color="000000"/>
            </w:tcBorders>
          </w:tcPr>
          <w:p>
            <w:pPr>
              <w:pStyle w:val="TableParagraph"/>
              <w:rPr>
                <w:rFonts w:ascii="Times New Roman"/>
                <w:sz w:val="20"/>
              </w:rPr>
            </w:pPr>
          </w:p>
        </w:tc>
        <w:tc>
          <w:tcPr>
            <w:tcW w:w="1620" w:type="dxa"/>
            <w:tcBorders>
              <w:top w:val="single" w:sz="4" w:space="0" w:color="000000"/>
              <w:right w:val="single" w:sz="4" w:space="0" w:color="000000"/>
            </w:tcBorders>
          </w:tcPr>
          <w:p>
            <w:pPr>
              <w:pStyle w:val="TableParagraph"/>
              <w:spacing w:line="230" w:lineRule="atLeast"/>
              <w:ind w:left="429" w:right="170" w:hanging="257"/>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1708" w:type="dxa"/>
            <w:tcBorders>
              <w:top w:val="single" w:sz="4" w:space="0" w:color="000000"/>
              <w:left w:val="single" w:sz="4" w:space="0" w:color="000000"/>
              <w:right w:val="single" w:sz="4" w:space="0" w:color="000000"/>
            </w:tcBorders>
          </w:tcPr>
          <w:p>
            <w:pPr>
              <w:pStyle w:val="TableParagraph"/>
              <w:spacing w:line="230" w:lineRule="atLeast"/>
              <w:ind w:left="475" w:right="326" w:hanging="149"/>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2253" w:type="dxa"/>
            <w:tcBorders>
              <w:top w:val="single" w:sz="4" w:space="0" w:color="000000"/>
              <w:left w:val="single" w:sz="4" w:space="0" w:color="000000"/>
              <w:right w:val="nil"/>
            </w:tcBorders>
          </w:tcPr>
          <w:p>
            <w:pPr>
              <w:pStyle w:val="TableParagraph"/>
              <w:ind w:left="399" w:right="399"/>
              <w:jc w:val="center"/>
              <w:rPr>
                <w:rFonts w:ascii="Times New Roman"/>
                <w:sz w:val="20"/>
              </w:rPr>
            </w:pPr>
            <w:r>
              <w:rPr>
                <w:rFonts w:ascii="Times New Roman"/>
                <w:spacing w:val="-2"/>
                <w:sz w:val="20"/>
              </w:rPr>
              <w:t>D-I-</w:t>
            </w:r>
            <w:r>
              <w:rPr>
                <w:rFonts w:ascii="Times New Roman"/>
                <w:spacing w:val="-10"/>
                <w:sz w:val="20"/>
              </w:rPr>
              <w:t>D</w:t>
            </w:r>
          </w:p>
          <w:p>
            <w:pPr>
              <w:pStyle w:val="TableParagraph"/>
              <w:spacing w:line="210" w:lineRule="exact"/>
              <w:ind w:left="447" w:right="399"/>
              <w:jc w:val="center"/>
              <w:rPr>
                <w:rFonts w:ascii="Times New Roman"/>
                <w:sz w:val="20"/>
              </w:rPr>
            </w:pPr>
            <w:r>
              <w:rPr>
                <w:rFonts w:ascii="Times New Roman"/>
                <w:spacing w:val="-2"/>
                <w:sz w:val="20"/>
              </w:rPr>
              <w:t>estimates</w:t>
            </w:r>
          </w:p>
        </w:tc>
      </w:tr>
      <w:tr>
        <w:trPr>
          <w:trHeight w:val="247" w:hRule="atLeast"/>
        </w:trPr>
        <w:tc>
          <w:tcPr>
            <w:tcW w:w="1906" w:type="dxa"/>
            <w:tcBorders>
              <w:left w:val="nil"/>
              <w:bottom w:val="nil"/>
            </w:tcBorders>
          </w:tcPr>
          <w:p>
            <w:pPr>
              <w:pStyle w:val="TableParagraph"/>
              <w:ind w:left="159" w:right="144"/>
              <w:jc w:val="center"/>
              <w:rPr>
                <w:rFonts w:ascii="Times New Roman"/>
                <w:sz w:val="19"/>
              </w:rPr>
            </w:pPr>
            <w:r>
              <w:rPr/>
              <mc:AlternateContent>
                <mc:Choice Requires="wps">
                  <w:drawing>
                    <wp:anchor distT="0" distB="0" distL="0" distR="0" allowOverlap="1" layoutInCell="1" locked="0" behindDoc="1" simplePos="0" relativeHeight="477745664">
                      <wp:simplePos x="0" y="0"/>
                      <wp:positionH relativeFrom="column">
                        <wp:posOffset>14630</wp:posOffset>
                      </wp:positionH>
                      <wp:positionV relativeFrom="paragraph">
                        <wp:posOffset>-369961</wp:posOffset>
                      </wp:positionV>
                      <wp:extent cx="5107305" cy="523811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107305" cy="5238115"/>
                                <a:chExt cx="5107305" cy="5238115"/>
                              </a:xfrm>
                            </wpg:grpSpPr>
                            <pic:pic>
                              <pic:nvPicPr>
                                <pic:cNvPr id="195" name="Image 195"/>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1.152pt;margin-top:-29.13084pt;width:402.15pt;height:412.45pt;mso-position-horizontal-relative:column;mso-position-vertical-relative:paragraph;z-index:-25570816" id="docshapegroup57" coordorigin="23,-583" coordsize="8043,8249">
                      <v:shape style="position:absolute;left:23;top:-583;width:8043;height:8249" type="#_x0000_t75" id="docshape58" stroked="false">
                        <v:imagedata r:id="rId5" o:title=""/>
                      </v:shape>
                      <w10:wrap type="none"/>
                    </v:group>
                  </w:pict>
                </mc:Fallback>
              </mc:AlternateContent>
            </w:r>
            <w:r>
              <w:rPr>
                <w:rFonts w:ascii="Times New Roman"/>
                <w:spacing w:val="-10"/>
                <w:sz w:val="19"/>
              </w:rPr>
              <w:t>C</w:t>
            </w:r>
          </w:p>
        </w:tc>
        <w:tc>
          <w:tcPr>
            <w:tcW w:w="986" w:type="dxa"/>
            <w:vMerge w:val="restart"/>
            <w:tcBorders>
              <w:bottom w:val="single" w:sz="4" w:space="0" w:color="000000"/>
            </w:tcBorders>
          </w:tcPr>
          <w:p>
            <w:pPr>
              <w:pStyle w:val="TableParagraph"/>
              <w:rPr>
                <w:rFonts w:ascii="Times New Roman"/>
                <w:sz w:val="20"/>
              </w:rPr>
            </w:pPr>
          </w:p>
        </w:tc>
        <w:tc>
          <w:tcPr>
            <w:tcW w:w="1620" w:type="dxa"/>
            <w:tcBorders>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0.2463</w:t>
            </w:r>
          </w:p>
        </w:tc>
        <w:tc>
          <w:tcPr>
            <w:tcW w:w="1708" w:type="dxa"/>
            <w:tcBorders>
              <w:left w:val="single" w:sz="4" w:space="0" w:color="000000"/>
              <w:bottom w:val="nil"/>
              <w:right w:val="single" w:sz="4" w:space="0" w:color="000000"/>
            </w:tcBorders>
          </w:tcPr>
          <w:p>
            <w:pPr>
              <w:pStyle w:val="TableParagraph"/>
              <w:ind w:left="69" w:right="70"/>
              <w:jc w:val="center"/>
              <w:rPr>
                <w:rFonts w:ascii="Times New Roman"/>
                <w:sz w:val="19"/>
              </w:rPr>
            </w:pPr>
            <w:r>
              <w:rPr>
                <w:rFonts w:ascii="Times New Roman"/>
                <w:spacing w:val="-2"/>
                <w:sz w:val="19"/>
              </w:rPr>
              <w:t>0.8319</w:t>
            </w:r>
          </w:p>
        </w:tc>
        <w:tc>
          <w:tcPr>
            <w:tcW w:w="2253" w:type="dxa"/>
            <w:tcBorders>
              <w:left w:val="single" w:sz="4" w:space="0" w:color="000000"/>
              <w:bottom w:val="nil"/>
              <w:right w:val="nil"/>
            </w:tcBorders>
          </w:tcPr>
          <w:p>
            <w:pPr>
              <w:pStyle w:val="TableParagraph"/>
              <w:spacing w:line="227" w:lineRule="exact" w:before="1"/>
              <w:ind w:left="399" w:right="399"/>
              <w:jc w:val="center"/>
              <w:rPr>
                <w:rFonts w:ascii="Times New Roman"/>
                <w:sz w:val="20"/>
              </w:rPr>
            </w:pPr>
            <w:r>
              <w:rPr>
                <w:rFonts w:ascii="Times New Roman"/>
                <w:spacing w:val="-2"/>
                <w:sz w:val="20"/>
              </w:rPr>
              <w:t>0.407938</w:t>
            </w:r>
          </w:p>
        </w:tc>
      </w:tr>
      <w:tr>
        <w:trPr>
          <w:trHeight w:val="281"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tcBorders>
          </w:tcPr>
          <w:p>
            <w:pPr>
              <w:rPr>
                <w:sz w:val="2"/>
                <w:szCs w:val="2"/>
              </w:rPr>
            </w:pPr>
          </w:p>
        </w:tc>
        <w:tc>
          <w:tcPr>
            <w:tcW w:w="1620" w:type="dxa"/>
            <w:tcBorders>
              <w:top w:val="nil"/>
              <w:bottom w:val="nil"/>
              <w:right w:val="single" w:sz="4" w:space="0" w:color="000000"/>
            </w:tcBorders>
          </w:tcPr>
          <w:p>
            <w:pPr>
              <w:pStyle w:val="TableParagraph"/>
              <w:spacing w:line="190" w:lineRule="exact" w:before="72"/>
              <w:ind w:left="143" w:right="145"/>
              <w:jc w:val="center"/>
              <w:rPr>
                <w:rFonts w:ascii="Times New Roman"/>
                <w:sz w:val="19"/>
              </w:rPr>
            </w:pPr>
            <w:r>
              <w:rPr>
                <w:rFonts w:ascii="Times New Roman"/>
                <w:spacing w:val="-2"/>
                <w:sz w:val="19"/>
              </w:rPr>
              <w:t>(0.0732)</w:t>
            </w:r>
          </w:p>
        </w:tc>
        <w:tc>
          <w:tcPr>
            <w:tcW w:w="1708" w:type="dxa"/>
            <w:tcBorders>
              <w:top w:val="nil"/>
              <w:left w:val="single" w:sz="4" w:space="0" w:color="000000"/>
              <w:bottom w:val="nil"/>
              <w:right w:val="single" w:sz="4" w:space="0" w:color="000000"/>
            </w:tcBorders>
          </w:tcPr>
          <w:p>
            <w:pPr>
              <w:pStyle w:val="TableParagraph"/>
              <w:spacing w:line="190" w:lineRule="exact" w:before="72"/>
              <w:ind w:left="70" w:right="70"/>
              <w:jc w:val="center"/>
              <w:rPr>
                <w:rFonts w:ascii="Times New Roman"/>
                <w:sz w:val="19"/>
              </w:rPr>
            </w:pPr>
            <w:r>
              <w:rPr>
                <w:rFonts w:ascii="Times New Roman"/>
                <w:spacing w:val="-2"/>
                <w:sz w:val="19"/>
              </w:rPr>
              <w:t>(0.8904)</w:t>
            </w:r>
          </w:p>
        </w:tc>
        <w:tc>
          <w:tcPr>
            <w:tcW w:w="2253" w:type="dxa"/>
            <w:tcBorders>
              <w:top w:val="nil"/>
              <w:left w:val="single" w:sz="4" w:space="0" w:color="000000"/>
              <w:bottom w:val="nil"/>
              <w:right w:val="nil"/>
            </w:tcBorders>
          </w:tcPr>
          <w:p>
            <w:pPr>
              <w:pStyle w:val="TableParagraph"/>
              <w:spacing w:before="7"/>
              <w:ind w:left="399" w:right="399"/>
              <w:jc w:val="center"/>
              <w:rPr>
                <w:rFonts w:ascii="Times New Roman"/>
                <w:sz w:val="20"/>
              </w:rPr>
            </w:pPr>
            <w:r>
              <w:rPr>
                <w:rFonts w:ascii="Times New Roman"/>
                <w:spacing w:val="-2"/>
                <w:sz w:val="20"/>
              </w:rPr>
              <w:t>1.031646</w:t>
            </w:r>
          </w:p>
        </w:tc>
      </w:tr>
      <w:tr>
        <w:trPr>
          <w:trHeight w:val="435"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tcBorders>
          </w:tcPr>
          <w:p>
            <w:pPr>
              <w:rPr>
                <w:sz w:val="2"/>
                <w:szCs w:val="2"/>
              </w:rPr>
            </w:pPr>
          </w:p>
        </w:tc>
        <w:tc>
          <w:tcPr>
            <w:tcW w:w="1620" w:type="dxa"/>
            <w:tcBorders>
              <w:top w:val="nil"/>
              <w:bottom w:val="single" w:sz="4" w:space="0" w:color="000000"/>
              <w:right w:val="single" w:sz="4" w:space="0" w:color="000000"/>
            </w:tcBorders>
          </w:tcPr>
          <w:p>
            <w:pPr>
              <w:pStyle w:val="TableParagraph"/>
              <w:spacing w:before="106"/>
              <w:ind w:left="143" w:right="146"/>
              <w:jc w:val="center"/>
              <w:rPr>
                <w:rFonts w:ascii="Times New Roman"/>
                <w:sz w:val="19"/>
              </w:rPr>
            </w:pPr>
            <w:r>
              <w:rPr>
                <w:rFonts w:ascii="Times New Roman"/>
                <w:spacing w:val="-2"/>
                <w:sz w:val="19"/>
              </w:rPr>
              <w:t>{0.0010}</w:t>
            </w:r>
          </w:p>
        </w:tc>
        <w:tc>
          <w:tcPr>
            <w:tcW w:w="1708" w:type="dxa"/>
            <w:tcBorders>
              <w:top w:val="nil"/>
              <w:left w:val="single" w:sz="4" w:space="0" w:color="000000"/>
              <w:bottom w:val="single" w:sz="4" w:space="0" w:color="000000"/>
              <w:right w:val="single" w:sz="4" w:space="0" w:color="000000"/>
            </w:tcBorders>
          </w:tcPr>
          <w:p>
            <w:pPr>
              <w:pStyle w:val="TableParagraph"/>
              <w:spacing w:before="106"/>
              <w:ind w:left="69" w:right="70"/>
              <w:jc w:val="center"/>
              <w:rPr>
                <w:rFonts w:ascii="Times New Roman"/>
                <w:sz w:val="19"/>
              </w:rPr>
            </w:pPr>
            <w:r>
              <w:rPr>
                <w:rFonts w:ascii="Times New Roman"/>
                <w:spacing w:val="-2"/>
                <w:sz w:val="19"/>
              </w:rPr>
              <w:t>{0.3514}</w:t>
            </w:r>
          </w:p>
        </w:tc>
        <w:tc>
          <w:tcPr>
            <w:tcW w:w="2253" w:type="dxa"/>
            <w:tcBorders>
              <w:top w:val="nil"/>
              <w:left w:val="single" w:sz="4" w:space="0" w:color="000000"/>
              <w:bottom w:val="single" w:sz="4" w:space="0" w:color="000000"/>
              <w:right w:val="nil"/>
            </w:tcBorders>
          </w:tcPr>
          <w:p>
            <w:pPr>
              <w:pStyle w:val="TableParagraph"/>
              <w:spacing w:line="212" w:lineRule="exact"/>
              <w:ind w:left="399" w:right="399"/>
              <w:jc w:val="center"/>
              <w:rPr>
                <w:rFonts w:ascii="Times New Roman"/>
                <w:sz w:val="20"/>
              </w:rPr>
            </w:pPr>
            <w:r>
              <w:rPr>
                <w:rFonts w:ascii="Times New Roman"/>
                <w:spacing w:val="-2"/>
                <w:sz w:val="20"/>
              </w:rPr>
              <w:t>0.6930</w:t>
            </w:r>
          </w:p>
        </w:tc>
      </w:tr>
      <w:tr>
        <w:trPr>
          <w:trHeight w:val="283" w:hRule="atLeast"/>
        </w:trPr>
        <w:tc>
          <w:tcPr>
            <w:tcW w:w="1906" w:type="dxa"/>
            <w:tcBorders>
              <w:top w:val="single" w:sz="4" w:space="0" w:color="000000"/>
              <w:left w:val="nil"/>
              <w:bottom w:val="nil"/>
            </w:tcBorders>
          </w:tcPr>
          <w:p>
            <w:pPr>
              <w:pStyle w:val="TableParagraph"/>
              <w:ind w:left="159" w:right="143"/>
              <w:jc w:val="center"/>
              <w:rPr>
                <w:rFonts w:ascii="Times New Roman"/>
                <w:sz w:val="19"/>
              </w:rPr>
            </w:pPr>
            <w:r>
              <w:rPr>
                <w:rFonts w:ascii="Times New Roman"/>
                <w:spacing w:val="-4"/>
                <w:sz w:val="19"/>
              </w:rPr>
              <w:t>IFRS</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right w:val="single" w:sz="4" w:space="0" w:color="000000"/>
            </w:tcBorders>
          </w:tcPr>
          <w:p>
            <w:pPr>
              <w:pStyle w:val="TableParagraph"/>
              <w:ind w:left="143" w:right="146"/>
              <w:jc w:val="center"/>
              <w:rPr>
                <w:rFonts w:ascii="Times New Roman"/>
                <w:sz w:val="19"/>
              </w:rPr>
            </w:pPr>
            <w:r>
              <w:rPr>
                <w:rFonts w:ascii="Times New Roman"/>
                <w:spacing w:val="-2"/>
                <w:sz w:val="19"/>
              </w:rPr>
              <w:t>-0.0672</w:t>
            </w:r>
          </w:p>
        </w:tc>
        <w:tc>
          <w:tcPr>
            <w:tcW w:w="1708" w:type="dxa"/>
            <w:tcBorders>
              <w:top w:val="single" w:sz="4" w:space="0" w:color="000000"/>
              <w:left w:val="single" w:sz="4" w:space="0" w:color="000000"/>
              <w:bottom w:val="nil"/>
            </w:tcBorders>
          </w:tcPr>
          <w:p>
            <w:pPr>
              <w:pStyle w:val="TableParagraph"/>
              <w:ind w:left="69" w:right="70"/>
              <w:jc w:val="center"/>
              <w:rPr>
                <w:rFonts w:ascii="Times New Roman"/>
                <w:sz w:val="19"/>
              </w:rPr>
            </w:pPr>
            <w:r>
              <w:rPr>
                <w:rFonts w:ascii="Times New Roman"/>
                <w:spacing w:val="-2"/>
                <w:sz w:val="19"/>
              </w:rPr>
              <w:t>0.1263</w:t>
            </w:r>
          </w:p>
        </w:tc>
        <w:tc>
          <w:tcPr>
            <w:tcW w:w="2253" w:type="dxa"/>
            <w:tcBorders>
              <w:top w:val="single" w:sz="4" w:space="0" w:color="000000"/>
              <w:bottom w:val="nil"/>
              <w:right w:val="nil"/>
            </w:tcBorders>
          </w:tcPr>
          <w:p>
            <w:pPr>
              <w:pStyle w:val="TableParagraph"/>
              <w:ind w:left="392" w:right="399"/>
              <w:jc w:val="center"/>
              <w:rPr>
                <w:rFonts w:ascii="Times New Roman"/>
                <w:sz w:val="20"/>
              </w:rPr>
            </w:pPr>
            <w:r>
              <w:rPr>
                <w:rFonts w:ascii="Times New Roman"/>
                <w:spacing w:val="-2"/>
                <w:sz w:val="20"/>
              </w:rPr>
              <w:t>0.13115</w:t>
            </w:r>
          </w:p>
        </w:tc>
      </w:tr>
      <w:tr>
        <w:trPr>
          <w:trHeight w:val="336"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31"/>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45"/>
              <w:ind w:left="143" w:right="145"/>
              <w:jc w:val="center"/>
              <w:rPr>
                <w:rFonts w:ascii="Times New Roman"/>
                <w:sz w:val="19"/>
              </w:rPr>
            </w:pPr>
            <w:r>
              <w:rPr>
                <w:rFonts w:ascii="Times New Roman"/>
                <w:spacing w:val="-2"/>
                <w:sz w:val="19"/>
              </w:rPr>
              <w:t>(0.0561)</w:t>
            </w:r>
          </w:p>
        </w:tc>
        <w:tc>
          <w:tcPr>
            <w:tcW w:w="1708" w:type="dxa"/>
            <w:tcBorders>
              <w:top w:val="nil"/>
              <w:left w:val="single" w:sz="4" w:space="0" w:color="000000"/>
              <w:bottom w:val="nil"/>
            </w:tcBorders>
          </w:tcPr>
          <w:p>
            <w:pPr>
              <w:pStyle w:val="TableParagraph"/>
              <w:spacing w:before="45"/>
              <w:ind w:right="70"/>
              <w:jc w:val="center"/>
              <w:rPr>
                <w:rFonts w:ascii="Times New Roman"/>
                <w:sz w:val="19"/>
              </w:rPr>
            </w:pPr>
            <w:r>
              <w:rPr>
                <w:rFonts w:ascii="Times New Roman"/>
                <w:spacing w:val="-2"/>
                <w:sz w:val="19"/>
              </w:rPr>
              <w:t>(0.2037)</w:t>
            </w:r>
          </w:p>
        </w:tc>
        <w:tc>
          <w:tcPr>
            <w:tcW w:w="2253" w:type="dxa"/>
            <w:tcBorders>
              <w:top w:val="nil"/>
              <w:bottom w:val="nil"/>
              <w:right w:val="nil"/>
            </w:tcBorders>
          </w:tcPr>
          <w:p>
            <w:pPr>
              <w:pStyle w:val="TableParagraph"/>
              <w:spacing w:before="62"/>
              <w:ind w:left="392" w:right="399"/>
              <w:jc w:val="center"/>
              <w:rPr>
                <w:rFonts w:ascii="Times New Roman"/>
                <w:sz w:val="20"/>
              </w:rPr>
            </w:pPr>
            <w:r>
              <w:rPr>
                <w:rFonts w:ascii="Times New Roman"/>
                <w:spacing w:val="-2"/>
                <w:sz w:val="20"/>
              </w:rPr>
              <w:t>(0.1455)</w:t>
            </w:r>
          </w:p>
        </w:tc>
      </w:tr>
      <w:tr>
        <w:trPr>
          <w:trHeight w:val="414"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bottom w:val="single" w:sz="4" w:space="0" w:color="000000"/>
              <w:right w:val="single" w:sz="4" w:space="0" w:color="000000"/>
            </w:tcBorders>
          </w:tcPr>
          <w:p>
            <w:pPr>
              <w:pStyle w:val="TableParagraph"/>
              <w:spacing w:before="35"/>
              <w:ind w:left="143" w:right="146"/>
              <w:jc w:val="center"/>
              <w:rPr>
                <w:rFonts w:ascii="Times New Roman"/>
                <w:sz w:val="19"/>
              </w:rPr>
            </w:pPr>
            <w:r>
              <w:rPr>
                <w:rFonts w:ascii="Times New Roman"/>
                <w:spacing w:val="-2"/>
                <w:sz w:val="19"/>
              </w:rPr>
              <w:t>{0.2327}</w:t>
            </w:r>
          </w:p>
        </w:tc>
        <w:tc>
          <w:tcPr>
            <w:tcW w:w="1708" w:type="dxa"/>
            <w:tcBorders>
              <w:top w:val="nil"/>
              <w:left w:val="single" w:sz="4" w:space="0" w:color="000000"/>
              <w:bottom w:val="single" w:sz="4" w:space="0" w:color="000000"/>
            </w:tcBorders>
          </w:tcPr>
          <w:p>
            <w:pPr>
              <w:pStyle w:val="TableParagraph"/>
              <w:spacing w:before="35"/>
              <w:ind w:left="69" w:right="70"/>
              <w:jc w:val="center"/>
              <w:rPr>
                <w:rFonts w:ascii="Times New Roman"/>
                <w:sz w:val="19"/>
              </w:rPr>
            </w:pPr>
            <w:r>
              <w:rPr>
                <w:rFonts w:ascii="Times New Roman"/>
                <w:spacing w:val="-2"/>
                <w:sz w:val="19"/>
              </w:rPr>
              <w:t>{0.5360}</w:t>
            </w:r>
          </w:p>
        </w:tc>
        <w:tc>
          <w:tcPr>
            <w:tcW w:w="2253" w:type="dxa"/>
            <w:tcBorders>
              <w:top w:val="nil"/>
              <w:right w:val="nil"/>
            </w:tcBorders>
          </w:tcPr>
          <w:p>
            <w:pPr>
              <w:pStyle w:val="TableParagraph"/>
              <w:spacing w:before="69"/>
              <w:ind w:left="400" w:right="399"/>
              <w:jc w:val="center"/>
              <w:rPr>
                <w:rFonts w:ascii="Times New Roman"/>
                <w:sz w:val="20"/>
              </w:rPr>
            </w:pPr>
            <w:r>
              <w:rPr>
                <w:rFonts w:ascii="Times New Roman"/>
                <w:spacing w:val="-2"/>
                <w:sz w:val="20"/>
              </w:rPr>
              <w:t>{0.3685}</w:t>
            </w:r>
          </w:p>
        </w:tc>
      </w:tr>
      <w:tr>
        <w:trPr>
          <w:trHeight w:val="1194" w:hRule="atLeast"/>
        </w:trPr>
        <w:tc>
          <w:tcPr>
            <w:tcW w:w="1906" w:type="dxa"/>
            <w:tcBorders>
              <w:top w:val="single" w:sz="4" w:space="0" w:color="000000"/>
              <w:left w:val="nil"/>
              <w:bottom w:val="single" w:sz="4" w:space="0" w:color="000000"/>
            </w:tcBorders>
          </w:tcPr>
          <w:p>
            <w:pPr>
              <w:pStyle w:val="TableParagraph"/>
              <w:ind w:left="159" w:right="145"/>
              <w:jc w:val="center"/>
              <w:rPr>
                <w:rFonts w:ascii="Times New Roman"/>
                <w:sz w:val="19"/>
              </w:rPr>
            </w:pPr>
            <w:r>
              <w:rPr>
                <w:rFonts w:ascii="Times New Roman"/>
                <w:spacing w:val="-2"/>
                <w:sz w:val="19"/>
              </w:rPr>
              <w:t>D-I-</w:t>
            </w:r>
            <w:r>
              <w:rPr>
                <w:rFonts w:ascii="Times New Roman"/>
                <w:spacing w:val="-10"/>
                <w:sz w:val="19"/>
              </w:rPr>
              <w:t>D</w:t>
            </w:r>
          </w:p>
        </w:tc>
        <w:tc>
          <w:tcPr>
            <w:tcW w:w="986" w:type="dxa"/>
            <w:tcBorders>
              <w:bottom w:val="single" w:sz="4" w:space="0" w:color="000000"/>
              <w:right w:val="single" w:sz="4" w:space="0" w:color="000000"/>
            </w:tcBorders>
          </w:tcPr>
          <w:p>
            <w:pPr>
              <w:pStyle w:val="TableParagraph"/>
              <w:spacing w:before="110"/>
              <w:rPr>
                <w:rFonts w:ascii="Times New Roman"/>
                <w:sz w:val="19"/>
              </w:rPr>
            </w:pPr>
          </w:p>
          <w:p>
            <w:pPr>
              <w:pStyle w:val="TableParagraph"/>
              <w:ind w:left="431"/>
              <w:rPr>
                <w:rFonts w:ascii="Times New Roman"/>
                <w:sz w:val="19"/>
              </w:rPr>
            </w:pPr>
            <w:r>
              <w:rPr>
                <w:rFonts w:ascii="Times New Roman"/>
                <w:spacing w:val="-10"/>
                <w:sz w:val="19"/>
              </w:rPr>
              <w:t>+</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53" w:type="dxa"/>
            <w:tcBorders>
              <w:left w:val="single" w:sz="4" w:space="0" w:color="000000"/>
              <w:right w:val="nil"/>
            </w:tcBorders>
          </w:tcPr>
          <w:p>
            <w:pPr>
              <w:pStyle w:val="TableParagraph"/>
              <w:spacing w:line="484" w:lineRule="auto"/>
              <w:ind w:left="389" w:right="399"/>
              <w:jc w:val="center"/>
              <w:rPr>
                <w:rFonts w:ascii="Times New Roman"/>
                <w:sz w:val="20"/>
              </w:rPr>
            </w:pPr>
            <w:r>
              <w:rPr>
                <w:rFonts w:ascii="Times New Roman"/>
                <w:spacing w:val="-2"/>
                <w:sz w:val="20"/>
              </w:rPr>
              <w:t>0.92363** (0.3780)</w:t>
            </w:r>
          </w:p>
          <w:p>
            <w:pPr>
              <w:pStyle w:val="TableParagraph"/>
              <w:spacing w:line="230" w:lineRule="exact"/>
              <w:ind w:left="400" w:right="399"/>
              <w:jc w:val="center"/>
              <w:rPr>
                <w:rFonts w:ascii="Times New Roman"/>
                <w:sz w:val="20"/>
              </w:rPr>
            </w:pPr>
            <w:r>
              <w:rPr>
                <w:rFonts w:ascii="Times New Roman"/>
                <w:spacing w:val="-2"/>
                <w:sz w:val="20"/>
              </w:rPr>
              <w:t>{0.0155}</w:t>
            </w:r>
          </w:p>
        </w:tc>
      </w:tr>
      <w:tr>
        <w:trPr>
          <w:trHeight w:val="282" w:hRule="atLeast"/>
        </w:trPr>
        <w:tc>
          <w:tcPr>
            <w:tcW w:w="1906" w:type="dxa"/>
            <w:tcBorders>
              <w:top w:val="single" w:sz="4" w:space="0" w:color="000000"/>
              <w:left w:val="nil"/>
              <w:bottom w:val="nil"/>
            </w:tcBorders>
          </w:tcPr>
          <w:p>
            <w:pPr>
              <w:pStyle w:val="TableParagraph"/>
              <w:ind w:left="159" w:right="146"/>
              <w:jc w:val="center"/>
              <w:rPr>
                <w:rFonts w:ascii="Times New Roman"/>
                <w:sz w:val="19"/>
              </w:rPr>
            </w:pPr>
            <w:r>
              <w:rPr>
                <w:rFonts w:ascii="Times New Roman"/>
                <w:spacing w:val="-2"/>
                <w:sz w:val="19"/>
              </w:rPr>
              <w:t>INSTOWN</w:t>
            </w:r>
          </w:p>
        </w:tc>
        <w:tc>
          <w:tcPr>
            <w:tcW w:w="986" w:type="dxa"/>
            <w:tcBorders>
              <w:top w:val="single" w:sz="4" w:space="0" w:color="000000"/>
              <w:bottom w:val="nil"/>
            </w:tcBorders>
          </w:tcPr>
          <w:p>
            <w:pPr>
              <w:pStyle w:val="TableParagraph"/>
              <w:rPr>
                <w:rFonts w:ascii="Times New Roman"/>
                <w:sz w:val="20"/>
              </w:rPr>
            </w:pPr>
          </w:p>
        </w:tc>
        <w:tc>
          <w:tcPr>
            <w:tcW w:w="1620" w:type="dxa"/>
            <w:tcBorders>
              <w:top w:val="single" w:sz="4" w:space="0" w:color="000000"/>
              <w:bottom w:val="nil"/>
              <w:right w:val="single" w:sz="4" w:space="0" w:color="7E7E7E"/>
            </w:tcBorders>
          </w:tcPr>
          <w:p>
            <w:pPr>
              <w:pStyle w:val="TableParagraph"/>
              <w:ind w:left="143" w:right="153"/>
              <w:jc w:val="center"/>
              <w:rPr>
                <w:rFonts w:ascii="Times New Roman"/>
                <w:sz w:val="20"/>
              </w:rPr>
            </w:pPr>
            <w:r>
              <w:rPr>
                <w:rFonts w:ascii="Times New Roman"/>
                <w:spacing w:val="-2"/>
                <w:sz w:val="20"/>
              </w:rPr>
              <w:t>0.0012</w:t>
            </w:r>
          </w:p>
        </w:tc>
        <w:tc>
          <w:tcPr>
            <w:tcW w:w="1708" w:type="dxa"/>
            <w:tcBorders>
              <w:top w:val="single" w:sz="4" w:space="0" w:color="000000"/>
              <w:left w:val="single" w:sz="4" w:space="0" w:color="7E7E7E"/>
              <w:bottom w:val="nil"/>
              <w:right w:val="single" w:sz="4" w:space="0" w:color="7E7E7E"/>
            </w:tcBorders>
          </w:tcPr>
          <w:p>
            <w:pPr>
              <w:pStyle w:val="TableParagraph"/>
              <w:ind w:left="59" w:right="70"/>
              <w:jc w:val="center"/>
              <w:rPr>
                <w:rFonts w:ascii="Times New Roman"/>
                <w:sz w:val="20"/>
              </w:rPr>
            </w:pPr>
            <w:r>
              <w:rPr>
                <w:rFonts w:ascii="Times New Roman"/>
                <w:spacing w:val="-2"/>
                <w:sz w:val="20"/>
              </w:rPr>
              <w:t>-0.009</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-0.0084</w:t>
            </w:r>
          </w:p>
        </w:tc>
      </w:tr>
      <w:tr>
        <w:trPr>
          <w:trHeight w:val="53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(0.0070)</w:t>
            </w:r>
          </w:p>
        </w:tc>
        <w:tc>
          <w:tcPr>
            <w:tcW w:w="1708" w:type="dxa"/>
            <w:tcBorders>
              <w:top w:val="nil"/>
              <w:left w:val="single" w:sz="4" w:space="0" w:color="7E7E7E"/>
              <w:bottom w:val="nil"/>
              <w:right w:val="single" w:sz="4" w:space="0" w:color="7E7E7E"/>
            </w:tcBorders>
          </w:tcPr>
          <w:p>
            <w:pPr>
              <w:pStyle w:val="TableParagraph"/>
              <w:spacing w:before="181"/>
              <w:ind w:left="59" w:right="70"/>
              <w:jc w:val="center"/>
              <w:rPr>
                <w:rFonts w:ascii="Times New Roman"/>
                <w:sz w:val="20"/>
              </w:rPr>
            </w:pPr>
            <w:r>
              <w:rPr>
                <w:rFonts w:ascii="Times New Roman"/>
                <w:spacing w:val="-2"/>
                <w:sz w:val="20"/>
              </w:rPr>
              <w:t>(0.0064)</w:t>
            </w:r>
          </w:p>
        </w:tc>
        <w:tc>
          <w:tcPr>
            <w:tcW w:w="2253" w:type="dxa"/>
            <w:tcBorders>
              <w:top w:val="nil"/>
              <w:left w:val="single" w:sz="4" w:space="0" w:color="7E7E7E"/>
              <w:bottom w:val="nil"/>
              <w:right w:val="nil"/>
            </w:tcBorders>
          </w:tcPr>
          <w:p>
            <w:pPr>
              <w:pStyle w:val="TableParagraph"/>
              <w:spacing w:before="181"/>
              <w:ind w:left="392" w:right="399"/>
              <w:jc w:val="center"/>
              <w:rPr>
                <w:rFonts w:ascii="Times New Roman"/>
                <w:sz w:val="20"/>
              </w:rPr>
            </w:pPr>
            <w:r>
              <w:rPr>
                <w:rFonts w:ascii="Times New Roman"/>
                <w:spacing w:val="-2"/>
                <w:sz w:val="20"/>
              </w:rPr>
              <w:t>(0.0075)</w:t>
            </w:r>
          </w:p>
        </w:tc>
      </w:tr>
      <w:tr>
        <w:trPr>
          <w:trHeight w:val="458" w:hRule="atLeast"/>
        </w:trPr>
        <w:tc>
          <w:tcPr>
            <w:tcW w:w="1906" w:type="dxa"/>
            <w:tcBorders>
              <w:top w:val="nil"/>
              <w:left w:val="nil"/>
            </w:tcBorders>
          </w:tcPr>
          <w:p>
            <w:pPr>
              <w:pStyle w:val="TableParagraph"/>
              <w:rPr>
                <w:rFonts w:ascii="Times New Roman"/>
                <w:sz w:val="20"/>
              </w:rPr>
            </w:pPr>
          </w:p>
        </w:tc>
        <w:tc>
          <w:tcPr>
            <w:tcW w:w="986" w:type="dxa"/>
            <w:tcBorders>
              <w:top w:val="nil"/>
            </w:tcBorders>
          </w:tcPr>
          <w:p>
            <w:pPr>
              <w:pStyle w:val="TableParagraph"/>
              <w:rPr>
                <w:rFonts w:ascii="Times New Roman"/>
                <w:sz w:val="20"/>
              </w:rPr>
            </w:pPr>
          </w:p>
        </w:tc>
        <w:tc>
          <w:tcPr>
            <w:tcW w:w="1620" w:type="dxa"/>
            <w:tcBorders>
              <w:top w:val="nil"/>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{0.8574}</w:t>
            </w:r>
          </w:p>
        </w:tc>
        <w:tc>
          <w:tcPr>
            <w:tcW w:w="1708" w:type="dxa"/>
            <w:tcBorders>
              <w:top w:val="nil"/>
              <w:left w:val="single" w:sz="4" w:space="0" w:color="7E7E7E"/>
              <w:right w:val="single" w:sz="4" w:space="0" w:color="7E7E7E"/>
            </w:tcBorders>
          </w:tcPr>
          <w:p>
            <w:pPr>
              <w:pStyle w:val="TableParagraph"/>
              <w:spacing w:before="113"/>
              <w:ind w:left="69" w:right="70"/>
              <w:jc w:val="center"/>
              <w:rPr>
                <w:rFonts w:ascii="Times New Roman"/>
                <w:sz w:val="20"/>
              </w:rPr>
            </w:pPr>
            <w:r>
              <w:rPr>
                <w:rFonts w:ascii="Times New Roman"/>
                <w:spacing w:val="-2"/>
                <w:sz w:val="20"/>
              </w:rPr>
              <w:t>{0.1464}</w:t>
            </w:r>
          </w:p>
        </w:tc>
        <w:tc>
          <w:tcPr>
            <w:tcW w:w="2253" w:type="dxa"/>
            <w:tcBorders>
              <w:top w:val="nil"/>
              <w:left w:val="single" w:sz="4" w:space="0" w:color="7E7E7E"/>
              <w:right w:val="nil"/>
            </w:tcBorders>
          </w:tcPr>
          <w:p>
            <w:pPr>
              <w:pStyle w:val="TableParagraph"/>
              <w:spacing w:before="113"/>
              <w:ind w:left="400" w:right="399"/>
              <w:jc w:val="center"/>
              <w:rPr>
                <w:rFonts w:ascii="Times New Roman"/>
                <w:sz w:val="20"/>
              </w:rPr>
            </w:pPr>
            <w:r>
              <w:rPr>
                <w:rFonts w:ascii="Times New Roman"/>
                <w:spacing w:val="-2"/>
                <w:sz w:val="20"/>
              </w:rPr>
              <w:t>{0.2658}</w:t>
            </w:r>
          </w:p>
        </w:tc>
      </w:tr>
      <w:tr>
        <w:trPr>
          <w:trHeight w:val="282"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MOWN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7E7E7E"/>
            </w:tcBorders>
          </w:tcPr>
          <w:p>
            <w:pPr>
              <w:pStyle w:val="TableParagraph"/>
              <w:ind w:left="143" w:right="156"/>
              <w:jc w:val="center"/>
              <w:rPr>
                <w:rFonts w:ascii="Times New Roman"/>
                <w:sz w:val="20"/>
              </w:rPr>
            </w:pPr>
            <w:r>
              <w:rPr>
                <w:rFonts w:ascii="Times New Roman"/>
                <w:spacing w:val="-2"/>
                <w:sz w:val="20"/>
              </w:rPr>
              <w:t>0.002</w:t>
            </w:r>
          </w:p>
        </w:tc>
        <w:tc>
          <w:tcPr>
            <w:tcW w:w="1708" w:type="dxa"/>
            <w:tcBorders>
              <w:left w:val="single" w:sz="4" w:space="0" w:color="7E7E7E"/>
              <w:bottom w:val="nil"/>
              <w:right w:val="single" w:sz="4" w:space="0" w:color="7E7E7E"/>
            </w:tcBorders>
          </w:tcPr>
          <w:p>
            <w:pPr>
              <w:pStyle w:val="TableParagraph"/>
              <w:ind w:left="59" w:right="70"/>
              <w:jc w:val="center"/>
              <w:rPr>
                <w:rFonts w:ascii="Times New Roman"/>
                <w:sz w:val="20"/>
              </w:rPr>
            </w:pPr>
            <w:r>
              <w:rPr>
                <w:rFonts w:ascii="Times New Roman"/>
                <w:spacing w:val="-2"/>
                <w:sz w:val="20"/>
              </w:rPr>
              <w:t>0.0100</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0.0107</w:t>
            </w:r>
          </w:p>
        </w:tc>
      </w:tr>
      <w:tr>
        <w:trPr>
          <w:trHeight w:val="53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(0.0051)</w:t>
            </w:r>
          </w:p>
        </w:tc>
        <w:tc>
          <w:tcPr>
            <w:tcW w:w="1708" w:type="dxa"/>
            <w:tcBorders>
              <w:top w:val="nil"/>
              <w:left w:val="single" w:sz="4" w:space="0" w:color="7E7E7E"/>
              <w:bottom w:val="nil"/>
              <w:right w:val="single" w:sz="4" w:space="0" w:color="7E7E7E"/>
            </w:tcBorders>
          </w:tcPr>
          <w:p>
            <w:pPr>
              <w:pStyle w:val="TableParagraph"/>
              <w:spacing w:before="181"/>
              <w:ind w:left="59" w:right="70"/>
              <w:jc w:val="center"/>
              <w:rPr>
                <w:rFonts w:ascii="Times New Roman"/>
                <w:sz w:val="20"/>
              </w:rPr>
            </w:pPr>
            <w:r>
              <w:rPr>
                <w:rFonts w:ascii="Times New Roman"/>
                <w:spacing w:val="-2"/>
                <w:sz w:val="20"/>
              </w:rPr>
              <w:t>(0.0050)</w:t>
            </w:r>
          </w:p>
        </w:tc>
        <w:tc>
          <w:tcPr>
            <w:tcW w:w="2253" w:type="dxa"/>
            <w:tcBorders>
              <w:top w:val="nil"/>
              <w:left w:val="single" w:sz="4" w:space="0" w:color="7E7E7E"/>
              <w:bottom w:val="nil"/>
              <w:right w:val="nil"/>
            </w:tcBorders>
          </w:tcPr>
          <w:p>
            <w:pPr>
              <w:pStyle w:val="TableParagraph"/>
              <w:spacing w:before="181"/>
              <w:ind w:left="392" w:right="399"/>
              <w:jc w:val="center"/>
              <w:rPr>
                <w:rFonts w:ascii="Times New Roman"/>
                <w:sz w:val="20"/>
              </w:rPr>
            </w:pPr>
            <w:r>
              <w:rPr>
                <w:rFonts w:ascii="Times New Roman"/>
                <w:spacing w:val="-2"/>
                <w:sz w:val="20"/>
              </w:rPr>
              <w:t>(0.0049)</w:t>
            </w:r>
          </w:p>
        </w:tc>
      </w:tr>
      <w:tr>
        <w:trPr>
          <w:trHeight w:val="458"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{0.6596}</w:t>
            </w:r>
          </w:p>
        </w:tc>
        <w:tc>
          <w:tcPr>
            <w:tcW w:w="1708" w:type="dxa"/>
            <w:tcBorders>
              <w:top w:val="nil"/>
              <w:left w:val="single" w:sz="4" w:space="0" w:color="7E7E7E"/>
              <w:right w:val="single" w:sz="4" w:space="0" w:color="7E7E7E"/>
            </w:tcBorders>
          </w:tcPr>
          <w:p>
            <w:pPr>
              <w:pStyle w:val="TableParagraph"/>
              <w:spacing w:before="113"/>
              <w:ind w:left="69" w:right="70"/>
              <w:jc w:val="center"/>
              <w:rPr>
                <w:rFonts w:ascii="Times New Roman"/>
                <w:sz w:val="20"/>
              </w:rPr>
            </w:pPr>
            <w:r>
              <w:rPr>
                <w:rFonts w:ascii="Times New Roman"/>
                <w:spacing w:val="-2"/>
                <w:sz w:val="20"/>
              </w:rPr>
              <w:t>{0.0468}</w:t>
            </w:r>
          </w:p>
        </w:tc>
        <w:tc>
          <w:tcPr>
            <w:tcW w:w="2253" w:type="dxa"/>
            <w:tcBorders>
              <w:top w:val="nil"/>
              <w:left w:val="single" w:sz="4" w:space="0" w:color="7E7E7E"/>
              <w:right w:val="nil"/>
            </w:tcBorders>
          </w:tcPr>
          <w:p>
            <w:pPr>
              <w:pStyle w:val="TableParagraph"/>
              <w:spacing w:before="113"/>
              <w:ind w:left="400" w:right="399"/>
              <w:jc w:val="center"/>
              <w:rPr>
                <w:rFonts w:ascii="Times New Roman"/>
                <w:sz w:val="20"/>
              </w:rPr>
            </w:pPr>
            <w:r>
              <w:rPr>
                <w:rFonts w:ascii="Times New Roman"/>
                <w:spacing w:val="-2"/>
                <w:sz w:val="20"/>
              </w:rPr>
              <w:t>{0.0292}</w:t>
            </w:r>
          </w:p>
        </w:tc>
      </w:tr>
      <w:tr>
        <w:trPr>
          <w:trHeight w:val="282"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FOWN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7E7E7E"/>
            </w:tcBorders>
          </w:tcPr>
          <w:p>
            <w:pPr>
              <w:pStyle w:val="TableParagraph"/>
              <w:ind w:left="143" w:right="153"/>
              <w:jc w:val="center"/>
              <w:rPr>
                <w:rFonts w:ascii="Times New Roman"/>
                <w:sz w:val="20"/>
              </w:rPr>
            </w:pPr>
            <w:r>
              <w:rPr>
                <w:rFonts w:ascii="Times New Roman"/>
                <w:spacing w:val="-2"/>
                <w:sz w:val="20"/>
              </w:rPr>
              <w:t>0.0051</w:t>
            </w:r>
          </w:p>
        </w:tc>
        <w:tc>
          <w:tcPr>
            <w:tcW w:w="1708" w:type="dxa"/>
            <w:tcBorders>
              <w:left w:val="single" w:sz="4" w:space="0" w:color="7E7E7E"/>
              <w:bottom w:val="nil"/>
              <w:right w:val="single" w:sz="4" w:space="0" w:color="000000"/>
            </w:tcBorders>
          </w:tcPr>
          <w:p>
            <w:pPr>
              <w:pStyle w:val="TableParagraph"/>
              <w:ind w:left="59" w:right="70"/>
              <w:jc w:val="center"/>
              <w:rPr>
                <w:rFonts w:ascii="Times New Roman"/>
                <w:sz w:val="20"/>
              </w:rPr>
            </w:pPr>
            <w:r>
              <w:rPr>
                <w:rFonts w:ascii="Times New Roman"/>
                <w:spacing w:val="-2"/>
                <w:sz w:val="20"/>
              </w:rPr>
              <w:t>0.0022</w:t>
            </w:r>
          </w:p>
        </w:tc>
        <w:tc>
          <w:tcPr>
            <w:tcW w:w="2253" w:type="dxa"/>
            <w:tcBorders>
              <w:left w:val="single" w:sz="4" w:space="0" w:color="000000"/>
              <w:bottom w:val="nil"/>
              <w:right w:val="nil"/>
            </w:tcBorders>
          </w:tcPr>
          <w:p>
            <w:pPr>
              <w:pStyle w:val="TableParagraph"/>
              <w:ind w:left="393" w:right="399"/>
              <w:jc w:val="center"/>
              <w:rPr>
                <w:rFonts w:ascii="Times New Roman"/>
                <w:sz w:val="20"/>
              </w:rPr>
            </w:pPr>
            <w:r>
              <w:rPr>
                <w:rFonts w:ascii="Times New Roman"/>
                <w:spacing w:val="-2"/>
                <w:sz w:val="20"/>
              </w:rPr>
              <w:t>0.0074</w:t>
            </w:r>
          </w:p>
        </w:tc>
      </w:tr>
      <w:tr>
        <w:trPr>
          <w:trHeight w:val="53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(0.0065)</w:t>
            </w:r>
          </w:p>
        </w:tc>
        <w:tc>
          <w:tcPr>
            <w:tcW w:w="1708" w:type="dxa"/>
            <w:tcBorders>
              <w:top w:val="nil"/>
              <w:left w:val="single" w:sz="4" w:space="0" w:color="7E7E7E"/>
              <w:bottom w:val="nil"/>
              <w:right w:val="single" w:sz="4" w:space="0" w:color="000000"/>
            </w:tcBorders>
          </w:tcPr>
          <w:p>
            <w:pPr>
              <w:pStyle w:val="TableParagraph"/>
              <w:spacing w:before="181"/>
              <w:ind w:left="59" w:right="70"/>
              <w:jc w:val="center"/>
              <w:rPr>
                <w:rFonts w:ascii="Times New Roman"/>
                <w:sz w:val="20"/>
              </w:rPr>
            </w:pPr>
            <w:r>
              <w:rPr>
                <w:rFonts w:ascii="Times New Roman"/>
                <w:spacing w:val="-2"/>
                <w:sz w:val="20"/>
              </w:rPr>
              <w:t>(0.0050)</w:t>
            </w:r>
          </w:p>
        </w:tc>
        <w:tc>
          <w:tcPr>
            <w:tcW w:w="2253" w:type="dxa"/>
            <w:tcBorders>
              <w:top w:val="nil"/>
              <w:left w:val="single" w:sz="4" w:space="0" w:color="000000"/>
              <w:bottom w:val="nil"/>
              <w:right w:val="nil"/>
            </w:tcBorders>
          </w:tcPr>
          <w:p>
            <w:pPr>
              <w:pStyle w:val="TableParagraph"/>
              <w:spacing w:before="181"/>
              <w:ind w:left="392" w:right="399"/>
              <w:jc w:val="center"/>
              <w:rPr>
                <w:rFonts w:ascii="Times New Roman"/>
                <w:sz w:val="20"/>
              </w:rPr>
            </w:pPr>
            <w:r>
              <w:rPr>
                <w:rFonts w:ascii="Times New Roman"/>
                <w:spacing w:val="-2"/>
                <w:sz w:val="20"/>
              </w:rPr>
              <w:t>(0.0036)</w:t>
            </w:r>
          </w:p>
        </w:tc>
      </w:tr>
      <w:tr>
        <w:trPr>
          <w:trHeight w:val="458"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{0.4347}</w:t>
            </w:r>
          </w:p>
        </w:tc>
        <w:tc>
          <w:tcPr>
            <w:tcW w:w="1708" w:type="dxa"/>
            <w:tcBorders>
              <w:top w:val="nil"/>
              <w:left w:val="single" w:sz="4" w:space="0" w:color="7E7E7E"/>
              <w:right w:val="single" w:sz="4" w:space="0" w:color="000000"/>
            </w:tcBorders>
          </w:tcPr>
          <w:p>
            <w:pPr>
              <w:pStyle w:val="TableParagraph"/>
              <w:spacing w:before="113"/>
              <w:ind w:left="69" w:right="70"/>
              <w:jc w:val="center"/>
              <w:rPr>
                <w:rFonts w:ascii="Times New Roman"/>
                <w:sz w:val="20"/>
              </w:rPr>
            </w:pPr>
            <w:r>
              <w:rPr>
                <w:rFonts w:ascii="Times New Roman"/>
                <w:spacing w:val="-2"/>
                <w:sz w:val="20"/>
              </w:rPr>
              <w:t>{0.6559}</w:t>
            </w:r>
          </w:p>
        </w:tc>
        <w:tc>
          <w:tcPr>
            <w:tcW w:w="2253" w:type="dxa"/>
            <w:tcBorders>
              <w:top w:val="nil"/>
              <w:left w:val="single" w:sz="4" w:space="0" w:color="000000"/>
              <w:right w:val="nil"/>
            </w:tcBorders>
          </w:tcPr>
          <w:p>
            <w:pPr>
              <w:pStyle w:val="TableParagraph"/>
              <w:spacing w:before="113"/>
              <w:ind w:left="400" w:right="399"/>
              <w:jc w:val="center"/>
              <w:rPr>
                <w:rFonts w:ascii="Times New Roman"/>
                <w:sz w:val="20"/>
              </w:rPr>
            </w:pPr>
            <w:r>
              <w:rPr>
                <w:rFonts w:ascii="Times New Roman"/>
                <w:spacing w:val="-2"/>
                <w:sz w:val="20"/>
              </w:rPr>
              <w:t>{0.0442}</w:t>
            </w:r>
          </w:p>
        </w:tc>
      </w:tr>
      <w:tr>
        <w:trPr>
          <w:trHeight w:val="282" w:hRule="atLeast"/>
        </w:trPr>
        <w:tc>
          <w:tcPr>
            <w:tcW w:w="1906" w:type="dxa"/>
            <w:tcBorders>
              <w:left w:val="nil"/>
              <w:bottom w:val="nil"/>
            </w:tcBorders>
          </w:tcPr>
          <w:p>
            <w:pPr>
              <w:pStyle w:val="TableParagraph"/>
              <w:ind w:left="159" w:right="146"/>
              <w:jc w:val="center"/>
              <w:rPr>
                <w:rFonts w:ascii="Times New Roman"/>
                <w:sz w:val="19"/>
              </w:rPr>
            </w:pPr>
            <w:r>
              <w:rPr>
                <w:rFonts w:ascii="Times New Roman"/>
                <w:spacing w:val="-2"/>
                <w:sz w:val="19"/>
              </w:rPr>
              <w:t>BLOWN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7E7E7E"/>
            </w:tcBorders>
          </w:tcPr>
          <w:p>
            <w:pPr>
              <w:pStyle w:val="TableParagraph"/>
              <w:ind w:left="143" w:right="153"/>
              <w:jc w:val="center"/>
              <w:rPr>
                <w:rFonts w:ascii="Times New Roman"/>
                <w:sz w:val="20"/>
              </w:rPr>
            </w:pPr>
            <w:r>
              <w:rPr>
                <w:rFonts w:ascii="Times New Roman"/>
                <w:spacing w:val="-2"/>
                <w:sz w:val="20"/>
              </w:rPr>
              <w:t>-0.0075</w:t>
            </w:r>
          </w:p>
        </w:tc>
        <w:tc>
          <w:tcPr>
            <w:tcW w:w="1708" w:type="dxa"/>
            <w:tcBorders>
              <w:left w:val="single" w:sz="4" w:space="0" w:color="7E7E7E"/>
              <w:bottom w:val="nil"/>
              <w:right w:val="single" w:sz="4" w:space="0" w:color="000000"/>
            </w:tcBorders>
          </w:tcPr>
          <w:p>
            <w:pPr>
              <w:pStyle w:val="TableParagraph"/>
              <w:ind w:left="59" w:right="70"/>
              <w:jc w:val="center"/>
              <w:rPr>
                <w:rFonts w:ascii="Times New Roman"/>
                <w:sz w:val="20"/>
              </w:rPr>
            </w:pPr>
            <w:r>
              <w:rPr>
                <w:rFonts w:ascii="Times New Roman"/>
                <w:spacing w:val="-2"/>
                <w:sz w:val="20"/>
              </w:rPr>
              <w:t>0.0034</w:t>
            </w:r>
          </w:p>
        </w:tc>
        <w:tc>
          <w:tcPr>
            <w:tcW w:w="2253" w:type="dxa"/>
            <w:tcBorders>
              <w:left w:val="single" w:sz="4" w:space="0" w:color="000000"/>
              <w:bottom w:val="nil"/>
              <w:right w:val="nil"/>
            </w:tcBorders>
          </w:tcPr>
          <w:p>
            <w:pPr>
              <w:pStyle w:val="TableParagraph"/>
              <w:ind w:left="392" w:right="399"/>
              <w:jc w:val="center"/>
              <w:rPr>
                <w:rFonts w:ascii="Times New Roman"/>
                <w:sz w:val="20"/>
              </w:rPr>
            </w:pPr>
            <w:r>
              <w:rPr>
                <w:rFonts w:ascii="Times New Roman"/>
                <w:spacing w:val="-2"/>
                <w:sz w:val="20"/>
              </w:rPr>
              <w:t>0.00045</w:t>
            </w:r>
          </w:p>
        </w:tc>
      </w:tr>
      <w:tr>
        <w:trPr>
          <w:trHeight w:val="53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(0.0061)</w:t>
            </w:r>
          </w:p>
        </w:tc>
        <w:tc>
          <w:tcPr>
            <w:tcW w:w="1708" w:type="dxa"/>
            <w:tcBorders>
              <w:top w:val="nil"/>
              <w:left w:val="single" w:sz="4" w:space="0" w:color="7E7E7E"/>
              <w:bottom w:val="nil"/>
              <w:right w:val="single" w:sz="4" w:space="0" w:color="000000"/>
            </w:tcBorders>
          </w:tcPr>
          <w:p>
            <w:pPr>
              <w:pStyle w:val="TableParagraph"/>
              <w:spacing w:before="181"/>
              <w:ind w:left="59" w:right="70"/>
              <w:jc w:val="center"/>
              <w:rPr>
                <w:rFonts w:ascii="Times New Roman"/>
                <w:sz w:val="20"/>
              </w:rPr>
            </w:pPr>
            <w:r>
              <w:rPr>
                <w:rFonts w:ascii="Times New Roman"/>
                <w:spacing w:val="-2"/>
                <w:sz w:val="20"/>
              </w:rPr>
              <w:t>(0.0058)</w:t>
            </w:r>
          </w:p>
        </w:tc>
        <w:tc>
          <w:tcPr>
            <w:tcW w:w="2253" w:type="dxa"/>
            <w:tcBorders>
              <w:top w:val="nil"/>
              <w:left w:val="single" w:sz="4" w:space="0" w:color="000000"/>
              <w:bottom w:val="nil"/>
              <w:right w:val="nil"/>
            </w:tcBorders>
          </w:tcPr>
          <w:p>
            <w:pPr>
              <w:pStyle w:val="TableParagraph"/>
              <w:spacing w:before="181"/>
              <w:ind w:left="392" w:right="399"/>
              <w:jc w:val="center"/>
              <w:rPr>
                <w:rFonts w:ascii="Times New Roman"/>
                <w:sz w:val="20"/>
              </w:rPr>
            </w:pPr>
            <w:r>
              <w:rPr>
                <w:rFonts w:ascii="Times New Roman"/>
                <w:spacing w:val="-2"/>
                <w:sz w:val="20"/>
              </w:rPr>
              <w:t>(0.0057)</w:t>
            </w:r>
          </w:p>
        </w:tc>
      </w:tr>
      <w:tr>
        <w:trPr>
          <w:trHeight w:val="455"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{0.2232}</w:t>
            </w:r>
          </w:p>
        </w:tc>
        <w:tc>
          <w:tcPr>
            <w:tcW w:w="1708" w:type="dxa"/>
            <w:tcBorders>
              <w:top w:val="nil"/>
              <w:left w:val="single" w:sz="4" w:space="0" w:color="7E7E7E"/>
              <w:right w:val="single" w:sz="4" w:space="0" w:color="000000"/>
            </w:tcBorders>
          </w:tcPr>
          <w:p>
            <w:pPr>
              <w:pStyle w:val="TableParagraph"/>
              <w:spacing w:before="113"/>
              <w:ind w:left="69" w:right="70"/>
              <w:jc w:val="center"/>
              <w:rPr>
                <w:rFonts w:ascii="Times New Roman"/>
                <w:sz w:val="20"/>
              </w:rPr>
            </w:pPr>
            <w:r>
              <w:rPr>
                <w:rFonts w:ascii="Times New Roman"/>
                <w:spacing w:val="-2"/>
                <w:sz w:val="20"/>
              </w:rPr>
              <w:t>{0.5529}</w:t>
            </w:r>
          </w:p>
        </w:tc>
        <w:tc>
          <w:tcPr>
            <w:tcW w:w="2253" w:type="dxa"/>
            <w:tcBorders>
              <w:top w:val="nil"/>
              <w:left w:val="single" w:sz="4" w:space="0" w:color="000000"/>
              <w:bottom w:val="single" w:sz="4" w:space="0" w:color="000000"/>
              <w:right w:val="nil"/>
            </w:tcBorders>
          </w:tcPr>
          <w:p>
            <w:pPr>
              <w:pStyle w:val="TableParagraph"/>
              <w:spacing w:before="113"/>
              <w:ind w:left="400" w:right="399"/>
              <w:jc w:val="center"/>
              <w:rPr>
                <w:rFonts w:ascii="Times New Roman"/>
                <w:sz w:val="20"/>
              </w:rPr>
            </w:pPr>
            <w:r>
              <w:rPr>
                <w:rFonts w:ascii="Times New Roman"/>
                <w:spacing w:val="-2"/>
                <w:sz w:val="20"/>
              </w:rPr>
              <w:t>{0.9374}</w:t>
            </w:r>
          </w:p>
        </w:tc>
      </w:tr>
      <w:tr>
        <w:trPr>
          <w:trHeight w:val="284" w:hRule="atLeast"/>
        </w:trPr>
        <w:tc>
          <w:tcPr>
            <w:tcW w:w="1906" w:type="dxa"/>
            <w:tcBorders>
              <w:top w:val="single" w:sz="4" w:space="0" w:color="000000"/>
              <w:left w:val="nil"/>
              <w:bottom w:val="nil"/>
            </w:tcBorders>
          </w:tcPr>
          <w:p>
            <w:pPr>
              <w:pStyle w:val="TableParagraph"/>
              <w:spacing w:before="2"/>
              <w:ind w:left="159" w:right="145"/>
              <w:jc w:val="center"/>
              <w:rPr>
                <w:rFonts w:ascii="Times New Roman"/>
                <w:sz w:val="19"/>
              </w:rPr>
            </w:pPr>
            <w:r>
              <w:rPr>
                <w:rFonts w:ascii="Times New Roman"/>
                <w:spacing w:val="-4"/>
                <w:sz w:val="19"/>
              </w:rPr>
              <w:t>FAGE</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7E7E7E"/>
            </w:tcBorders>
          </w:tcPr>
          <w:p>
            <w:pPr>
              <w:pStyle w:val="TableParagraph"/>
              <w:spacing w:before="2"/>
              <w:ind w:left="143" w:right="153"/>
              <w:jc w:val="center"/>
              <w:rPr>
                <w:rFonts w:ascii="Times New Roman"/>
                <w:sz w:val="20"/>
              </w:rPr>
            </w:pPr>
            <w:r>
              <w:rPr>
                <w:rFonts w:ascii="Times New Roman"/>
                <w:spacing w:val="-2"/>
                <w:sz w:val="20"/>
              </w:rPr>
              <w:t>0.0347</w:t>
            </w:r>
          </w:p>
        </w:tc>
        <w:tc>
          <w:tcPr>
            <w:tcW w:w="1708" w:type="dxa"/>
            <w:tcBorders>
              <w:left w:val="single" w:sz="4" w:space="0" w:color="7E7E7E"/>
              <w:bottom w:val="nil"/>
              <w:right w:val="single" w:sz="4" w:space="0" w:color="7E7E7E"/>
            </w:tcBorders>
          </w:tcPr>
          <w:p>
            <w:pPr>
              <w:pStyle w:val="TableParagraph"/>
              <w:spacing w:before="2"/>
              <w:ind w:left="59" w:right="70"/>
              <w:jc w:val="center"/>
              <w:rPr>
                <w:rFonts w:ascii="Times New Roman"/>
                <w:sz w:val="20"/>
              </w:rPr>
            </w:pPr>
            <w:r>
              <w:rPr>
                <w:rFonts w:ascii="Times New Roman"/>
                <w:spacing w:val="-2"/>
                <w:sz w:val="20"/>
              </w:rPr>
              <w:t>-0.0066</w:t>
            </w:r>
          </w:p>
        </w:tc>
        <w:tc>
          <w:tcPr>
            <w:tcW w:w="2253" w:type="dxa"/>
            <w:tcBorders>
              <w:top w:val="single" w:sz="4" w:space="0" w:color="000000"/>
              <w:left w:val="single" w:sz="4" w:space="0" w:color="7E7E7E"/>
              <w:bottom w:val="nil"/>
              <w:right w:val="nil"/>
            </w:tcBorders>
          </w:tcPr>
          <w:p>
            <w:pPr>
              <w:pStyle w:val="TableParagraph"/>
              <w:spacing w:before="2"/>
              <w:ind w:left="393" w:right="399"/>
              <w:jc w:val="center"/>
              <w:rPr>
                <w:rFonts w:ascii="Times New Roman"/>
                <w:sz w:val="20"/>
              </w:rPr>
            </w:pPr>
            <w:r>
              <w:rPr>
                <w:rFonts w:ascii="Times New Roman"/>
                <w:spacing w:val="-2"/>
                <w:sz w:val="20"/>
              </w:rPr>
              <w:t>-0.0049</w:t>
            </w:r>
          </w:p>
        </w:tc>
      </w:tr>
      <w:tr>
        <w:trPr>
          <w:trHeight w:val="53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82"/>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(0.0144)</w:t>
            </w:r>
          </w:p>
        </w:tc>
        <w:tc>
          <w:tcPr>
            <w:tcW w:w="1708" w:type="dxa"/>
            <w:tcBorders>
              <w:top w:val="nil"/>
              <w:left w:val="single" w:sz="4" w:space="0" w:color="7E7E7E"/>
              <w:bottom w:val="nil"/>
              <w:right w:val="single" w:sz="4" w:space="0" w:color="7E7E7E"/>
            </w:tcBorders>
          </w:tcPr>
          <w:p>
            <w:pPr>
              <w:pStyle w:val="TableParagraph"/>
              <w:spacing w:before="181"/>
              <w:ind w:left="59" w:right="70"/>
              <w:jc w:val="center"/>
              <w:rPr>
                <w:rFonts w:ascii="Times New Roman"/>
                <w:sz w:val="20"/>
              </w:rPr>
            </w:pPr>
            <w:r>
              <w:rPr>
                <w:rFonts w:ascii="Times New Roman"/>
                <w:spacing w:val="-2"/>
                <w:sz w:val="20"/>
              </w:rPr>
              <w:t>(0.0039)</w:t>
            </w:r>
          </w:p>
        </w:tc>
        <w:tc>
          <w:tcPr>
            <w:tcW w:w="2253" w:type="dxa"/>
            <w:tcBorders>
              <w:top w:val="nil"/>
              <w:left w:val="single" w:sz="4" w:space="0" w:color="7E7E7E"/>
              <w:bottom w:val="nil"/>
              <w:right w:val="nil"/>
            </w:tcBorders>
          </w:tcPr>
          <w:p>
            <w:pPr>
              <w:pStyle w:val="TableParagraph"/>
              <w:spacing w:before="181"/>
              <w:ind w:left="390" w:right="399"/>
              <w:jc w:val="center"/>
              <w:rPr>
                <w:rFonts w:ascii="Times New Roman"/>
                <w:sz w:val="20"/>
              </w:rPr>
            </w:pPr>
            <w:r>
              <w:rPr>
                <w:rFonts w:ascii="Times New Roman"/>
                <w:spacing w:val="-2"/>
                <w:sz w:val="20"/>
              </w:rPr>
              <w:t>(0.00601)</w:t>
            </w:r>
          </w:p>
        </w:tc>
      </w:tr>
      <w:tr>
        <w:trPr>
          <w:trHeight w:val="455"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{0.0168}</w:t>
            </w:r>
          </w:p>
        </w:tc>
        <w:tc>
          <w:tcPr>
            <w:tcW w:w="1708" w:type="dxa"/>
            <w:tcBorders>
              <w:top w:val="nil"/>
              <w:left w:val="single" w:sz="4" w:space="0" w:color="7E7E7E"/>
              <w:right w:val="single" w:sz="4" w:space="0" w:color="7E7E7E"/>
            </w:tcBorders>
          </w:tcPr>
          <w:p>
            <w:pPr>
              <w:pStyle w:val="TableParagraph"/>
              <w:spacing w:before="113"/>
              <w:ind w:left="69" w:right="70"/>
              <w:jc w:val="center"/>
              <w:rPr>
                <w:rFonts w:ascii="Times New Roman"/>
                <w:sz w:val="20"/>
              </w:rPr>
            </w:pPr>
            <w:r>
              <w:rPr>
                <w:rFonts w:ascii="Times New Roman"/>
                <w:spacing w:val="-2"/>
                <w:sz w:val="20"/>
              </w:rPr>
              <w:t>{0.0995}</w:t>
            </w:r>
          </w:p>
        </w:tc>
        <w:tc>
          <w:tcPr>
            <w:tcW w:w="2253" w:type="dxa"/>
            <w:tcBorders>
              <w:top w:val="nil"/>
              <w:left w:val="single" w:sz="4" w:space="0" w:color="7E7E7E"/>
              <w:right w:val="nil"/>
            </w:tcBorders>
          </w:tcPr>
          <w:p>
            <w:pPr>
              <w:pStyle w:val="TableParagraph"/>
              <w:spacing w:before="113"/>
              <w:ind w:left="400" w:right="399"/>
              <w:jc w:val="center"/>
              <w:rPr>
                <w:rFonts w:ascii="Times New Roman"/>
                <w:sz w:val="20"/>
              </w:rPr>
            </w:pPr>
            <w:r>
              <w:rPr>
                <w:rFonts w:ascii="Times New Roman"/>
                <w:spacing w:val="-2"/>
                <w:sz w:val="20"/>
              </w:rPr>
              <w:t>{0.4090}</w:t>
            </w:r>
          </w:p>
        </w:tc>
      </w:tr>
      <w:tr>
        <w:trPr>
          <w:trHeight w:val="657" w:hRule="atLeast"/>
        </w:trPr>
        <w:tc>
          <w:tcPr>
            <w:tcW w:w="1906" w:type="dxa"/>
            <w:tcBorders>
              <w:top w:val="single" w:sz="4" w:space="0" w:color="000000"/>
              <w:left w:val="nil"/>
            </w:tcBorders>
          </w:tcPr>
          <w:p>
            <w:pPr>
              <w:pStyle w:val="TableParagraph"/>
              <w:spacing w:before="2"/>
              <w:ind w:left="159" w:right="145"/>
              <w:jc w:val="center"/>
              <w:rPr>
                <w:rFonts w:ascii="Times New Roman"/>
                <w:sz w:val="19"/>
              </w:rPr>
            </w:pPr>
            <w:r>
              <w:rPr>
                <w:rFonts w:ascii="Times New Roman"/>
                <w:spacing w:val="-2"/>
                <w:sz w:val="19"/>
              </w:rPr>
              <w:t>FSIZE</w:t>
            </w:r>
          </w:p>
        </w:tc>
        <w:tc>
          <w:tcPr>
            <w:tcW w:w="986" w:type="dxa"/>
            <w:tcBorders>
              <w:top w:val="single" w:sz="4" w:space="0" w:color="000000"/>
              <w:bottom w:val="dotted" w:sz="4" w:space="0" w:color="000000"/>
              <w:right w:val="single" w:sz="4" w:space="0" w:color="000000"/>
            </w:tcBorders>
          </w:tcPr>
          <w:p>
            <w:pPr>
              <w:pStyle w:val="TableParagraph"/>
              <w:spacing w:before="110"/>
              <w:rPr>
                <w:rFonts w:ascii="Times New Roman"/>
                <w:sz w:val="19"/>
              </w:rPr>
            </w:pPr>
          </w:p>
          <w:p>
            <w:pPr>
              <w:pStyle w:val="TableParagraph"/>
              <w:ind w:left="431"/>
              <w:rPr>
                <w:rFonts w:ascii="Times New Roman"/>
                <w:sz w:val="19"/>
              </w:rPr>
            </w:pPr>
            <w:r>
              <w:rPr>
                <w:rFonts w:ascii="Times New Roman"/>
                <w:spacing w:val="-10"/>
                <w:sz w:val="19"/>
              </w:rPr>
              <w:t>+</w:t>
            </w:r>
          </w:p>
        </w:tc>
        <w:tc>
          <w:tcPr>
            <w:tcW w:w="1620" w:type="dxa"/>
            <w:tcBorders>
              <w:left w:val="single" w:sz="4" w:space="0" w:color="000000"/>
              <w:right w:val="single" w:sz="4" w:space="0" w:color="7E7E7E"/>
            </w:tcBorders>
          </w:tcPr>
          <w:p>
            <w:pPr>
              <w:pStyle w:val="TableParagraph"/>
              <w:spacing w:before="2"/>
              <w:ind w:left="143" w:right="154"/>
              <w:jc w:val="center"/>
              <w:rPr>
                <w:rFonts w:ascii="Times New Roman"/>
                <w:sz w:val="20"/>
              </w:rPr>
            </w:pPr>
            <w:r>
              <w:rPr>
                <w:rFonts w:ascii="Times New Roman"/>
                <w:spacing w:val="-2"/>
                <w:sz w:val="20"/>
              </w:rPr>
              <w:t>-0.20613</w:t>
            </w:r>
          </w:p>
        </w:tc>
        <w:tc>
          <w:tcPr>
            <w:tcW w:w="1708" w:type="dxa"/>
            <w:tcBorders>
              <w:left w:val="single" w:sz="4" w:space="0" w:color="7E7E7E"/>
              <w:right w:val="single" w:sz="4" w:space="0" w:color="7E7E7E"/>
            </w:tcBorders>
          </w:tcPr>
          <w:p>
            <w:pPr>
              <w:pStyle w:val="TableParagraph"/>
              <w:spacing w:before="2"/>
              <w:ind w:left="59" w:right="70"/>
              <w:jc w:val="center"/>
              <w:rPr>
                <w:rFonts w:ascii="Times New Roman"/>
                <w:sz w:val="20"/>
              </w:rPr>
            </w:pPr>
            <w:r>
              <w:rPr>
                <w:rFonts w:ascii="Times New Roman"/>
                <w:spacing w:val="-2"/>
                <w:sz w:val="20"/>
              </w:rPr>
              <w:t>-0.0889</w:t>
            </w:r>
          </w:p>
        </w:tc>
        <w:tc>
          <w:tcPr>
            <w:tcW w:w="2253" w:type="dxa"/>
            <w:tcBorders>
              <w:left w:val="single" w:sz="4" w:space="0" w:color="7E7E7E"/>
              <w:right w:val="nil"/>
            </w:tcBorders>
          </w:tcPr>
          <w:p>
            <w:pPr>
              <w:pStyle w:val="TableParagraph"/>
              <w:spacing w:before="2"/>
              <w:ind w:left="392" w:right="399"/>
              <w:jc w:val="center"/>
              <w:rPr>
                <w:rFonts w:ascii="Times New Roman"/>
                <w:sz w:val="20"/>
              </w:rPr>
            </w:pPr>
            <w:r>
              <w:rPr>
                <w:rFonts w:ascii="Times New Roman"/>
                <w:spacing w:val="-2"/>
                <w:sz w:val="20"/>
              </w:rPr>
              <w:t>-0.04597</w:t>
            </w:r>
          </w:p>
        </w:tc>
      </w:tr>
    </w:tbl>
    <w:p>
      <w:pPr>
        <w:spacing w:after="0"/>
        <w:jc w:val="center"/>
        <w:rPr>
          <w:rFonts w:ascii="Times New Roman"/>
          <w:sz w:val="20"/>
        </w:rPr>
        <w:sectPr>
          <w:pgSz w:w="11910" w:h="16840"/>
          <w:pgMar w:header="0" w:footer="971" w:top="1360" w:bottom="1160"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708"/>
        <w:gridCol w:w="2253"/>
      </w:tblGrid>
      <w:tr>
        <w:trPr>
          <w:trHeight w:val="808" w:hRule="atLeast"/>
        </w:trPr>
        <w:tc>
          <w:tcPr>
            <w:tcW w:w="1906" w:type="dxa"/>
            <w:tcBorders>
              <w:left w:val="nil"/>
            </w:tcBorders>
          </w:tcPr>
          <w:p>
            <w:pPr>
              <w:pStyle w:val="TableParagraph"/>
              <w:rPr>
                <w:rFonts w:ascii="Times New Roman"/>
                <w:sz w:val="18"/>
              </w:rPr>
            </w:pPr>
          </w:p>
        </w:tc>
        <w:tc>
          <w:tcPr>
            <w:tcW w:w="986" w:type="dxa"/>
            <w:tcBorders>
              <w:right w:val="single" w:sz="4" w:space="0" w:color="000000"/>
            </w:tcBorders>
          </w:tcPr>
          <w:p>
            <w:pPr>
              <w:pStyle w:val="TableParagraph"/>
              <w:rPr>
                <w:rFonts w:ascii="Times New Roman"/>
                <w:sz w:val="18"/>
              </w:rPr>
            </w:pPr>
          </w:p>
        </w:tc>
        <w:tc>
          <w:tcPr>
            <w:tcW w:w="1620" w:type="dxa"/>
            <w:tcBorders>
              <w:left w:val="single" w:sz="4" w:space="0" w:color="000000"/>
              <w:right w:val="single" w:sz="4" w:space="0" w:color="7E7E7E"/>
            </w:tcBorders>
          </w:tcPr>
          <w:p>
            <w:pPr>
              <w:pStyle w:val="TableParagraph"/>
              <w:ind w:left="456"/>
              <w:rPr>
                <w:rFonts w:ascii="Times New Roman"/>
                <w:sz w:val="20"/>
              </w:rPr>
            </w:pPr>
            <w:r>
              <w:rPr>
                <w:rFonts w:ascii="Times New Roman"/>
                <w:spacing w:val="-2"/>
                <w:sz w:val="20"/>
              </w:rPr>
              <w:t>(0.0856)</w:t>
            </w:r>
          </w:p>
          <w:p>
            <w:pPr>
              <w:pStyle w:val="TableParagraph"/>
              <w:spacing w:before="6"/>
              <w:rPr>
                <w:rFonts w:ascii="Times New Roman"/>
                <w:sz w:val="20"/>
              </w:rPr>
            </w:pPr>
          </w:p>
          <w:p>
            <w:pPr>
              <w:pStyle w:val="TableParagraph"/>
              <w:ind w:left="432"/>
              <w:rPr>
                <w:rFonts w:ascii="Times New Roman"/>
                <w:sz w:val="20"/>
              </w:rPr>
            </w:pPr>
            <w:r>
              <w:rPr>
                <w:rFonts w:ascii="Times New Roman"/>
                <w:spacing w:val="-2"/>
                <w:sz w:val="20"/>
              </w:rPr>
              <w:t>{0.0171}</w:t>
            </w:r>
          </w:p>
        </w:tc>
        <w:tc>
          <w:tcPr>
            <w:tcW w:w="1708" w:type="dxa"/>
            <w:tcBorders>
              <w:left w:val="single" w:sz="4" w:space="0" w:color="7E7E7E"/>
              <w:right w:val="single" w:sz="4" w:space="0" w:color="7E7E7E"/>
            </w:tcBorders>
          </w:tcPr>
          <w:p>
            <w:pPr>
              <w:pStyle w:val="TableParagraph"/>
              <w:ind w:left="499"/>
              <w:rPr>
                <w:rFonts w:ascii="Times New Roman"/>
                <w:sz w:val="20"/>
              </w:rPr>
            </w:pPr>
            <w:r>
              <w:rPr>
                <w:rFonts w:ascii="Times New Roman"/>
                <w:spacing w:val="-2"/>
                <w:sz w:val="20"/>
              </w:rPr>
              <w:t>(0.1021)</w:t>
            </w:r>
          </w:p>
          <w:p>
            <w:pPr>
              <w:pStyle w:val="TableParagraph"/>
              <w:spacing w:before="6"/>
              <w:rPr>
                <w:rFonts w:ascii="Times New Roman"/>
                <w:sz w:val="20"/>
              </w:rPr>
            </w:pPr>
          </w:p>
          <w:p>
            <w:pPr>
              <w:pStyle w:val="TableParagraph"/>
              <w:ind w:left="475"/>
              <w:rPr>
                <w:rFonts w:ascii="Times New Roman"/>
                <w:sz w:val="20"/>
              </w:rPr>
            </w:pPr>
            <w:r>
              <w:rPr>
                <w:rFonts w:ascii="Times New Roman"/>
                <w:spacing w:val="-2"/>
                <w:sz w:val="20"/>
              </w:rPr>
              <w:t>{0.3848}</w:t>
            </w:r>
          </w:p>
        </w:tc>
        <w:tc>
          <w:tcPr>
            <w:tcW w:w="2253" w:type="dxa"/>
            <w:tcBorders>
              <w:left w:val="single" w:sz="4" w:space="0" w:color="7E7E7E"/>
              <w:right w:val="nil"/>
            </w:tcBorders>
          </w:tcPr>
          <w:p>
            <w:pPr>
              <w:pStyle w:val="TableParagraph"/>
              <w:ind w:left="390" w:right="399"/>
              <w:jc w:val="center"/>
              <w:rPr>
                <w:rFonts w:ascii="Times New Roman"/>
                <w:sz w:val="20"/>
              </w:rPr>
            </w:pPr>
            <w:r>
              <w:rPr>
                <w:rFonts w:ascii="Times New Roman"/>
                <w:spacing w:val="-2"/>
                <w:sz w:val="20"/>
              </w:rPr>
              <w:t>(0.12324)</w:t>
            </w:r>
          </w:p>
          <w:p>
            <w:pPr>
              <w:pStyle w:val="TableParagraph"/>
              <w:spacing w:before="6"/>
              <w:rPr>
                <w:rFonts w:ascii="Times New Roman"/>
                <w:sz w:val="20"/>
              </w:rPr>
            </w:pPr>
          </w:p>
          <w:p>
            <w:pPr>
              <w:pStyle w:val="TableParagraph"/>
              <w:ind w:left="400" w:right="399"/>
              <w:jc w:val="center"/>
              <w:rPr>
                <w:rFonts w:ascii="Times New Roman"/>
                <w:sz w:val="20"/>
              </w:rPr>
            </w:pPr>
            <w:r>
              <w:rPr>
                <w:rFonts w:ascii="Times New Roman"/>
                <w:spacing w:val="-2"/>
                <w:sz w:val="20"/>
              </w:rPr>
              <w:t>{0.7096}</w:t>
            </w:r>
          </w:p>
        </w:tc>
      </w:tr>
      <w:tr>
        <w:trPr>
          <w:trHeight w:val="284" w:hRule="atLeast"/>
        </w:trPr>
        <w:tc>
          <w:tcPr>
            <w:tcW w:w="1906" w:type="dxa"/>
            <w:tcBorders>
              <w:left w:val="nil"/>
              <w:bottom w:val="nil"/>
            </w:tcBorders>
          </w:tcPr>
          <w:p>
            <w:pPr>
              <w:pStyle w:val="TableParagraph"/>
              <w:spacing w:before="2"/>
              <w:ind w:left="159" w:right="148"/>
              <w:jc w:val="center"/>
              <w:rPr>
                <w:rFonts w:ascii="Times New Roman"/>
                <w:sz w:val="19"/>
              </w:rPr>
            </w:pPr>
            <w:r>
              <w:rPr>
                <w:rFonts w:ascii="Times New Roman"/>
                <w:spacing w:val="-5"/>
                <w:sz w:val="19"/>
              </w:rPr>
              <w:t>LEV</w:t>
            </w:r>
          </w:p>
        </w:tc>
        <w:tc>
          <w:tcPr>
            <w:tcW w:w="986"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spacing w:before="2"/>
              <w:ind w:left="143" w:right="153"/>
              <w:jc w:val="center"/>
              <w:rPr>
                <w:rFonts w:ascii="Times New Roman"/>
                <w:sz w:val="20"/>
              </w:rPr>
            </w:pPr>
            <w:r>
              <w:rPr>
                <w:rFonts w:ascii="Times New Roman"/>
                <w:spacing w:val="-2"/>
                <w:sz w:val="20"/>
              </w:rPr>
              <w:t>0.0110</w:t>
            </w:r>
          </w:p>
        </w:tc>
        <w:tc>
          <w:tcPr>
            <w:tcW w:w="1708" w:type="dxa"/>
            <w:tcBorders>
              <w:left w:val="single" w:sz="4" w:space="0" w:color="7E7E7E"/>
              <w:bottom w:val="nil"/>
              <w:right w:val="single" w:sz="4" w:space="0" w:color="7E7E7E"/>
            </w:tcBorders>
          </w:tcPr>
          <w:p>
            <w:pPr>
              <w:pStyle w:val="TableParagraph"/>
              <w:spacing w:before="2"/>
              <w:ind w:left="59" w:right="70"/>
              <w:jc w:val="center"/>
              <w:rPr>
                <w:rFonts w:ascii="Times New Roman"/>
                <w:sz w:val="20"/>
              </w:rPr>
            </w:pPr>
            <w:r>
              <w:rPr>
                <w:rFonts w:ascii="Times New Roman"/>
                <w:spacing w:val="-2"/>
                <w:sz w:val="20"/>
              </w:rPr>
              <w:t>0.0278</w:t>
            </w:r>
          </w:p>
        </w:tc>
        <w:tc>
          <w:tcPr>
            <w:tcW w:w="2253" w:type="dxa"/>
            <w:tcBorders>
              <w:left w:val="single" w:sz="4" w:space="0" w:color="7E7E7E"/>
              <w:bottom w:val="nil"/>
              <w:right w:val="nil"/>
            </w:tcBorders>
          </w:tcPr>
          <w:p>
            <w:pPr>
              <w:pStyle w:val="TableParagraph"/>
              <w:spacing w:before="2"/>
              <w:ind w:left="392" w:right="399"/>
              <w:jc w:val="center"/>
              <w:rPr>
                <w:rFonts w:ascii="Times New Roman"/>
                <w:sz w:val="20"/>
              </w:rPr>
            </w:pPr>
            <w:r>
              <w:rPr>
                <w:rFonts w:ascii="Times New Roman"/>
                <w:spacing w:val="-2"/>
                <w:sz w:val="20"/>
              </w:rPr>
              <w:t>-0.02154</w:t>
            </w:r>
          </w:p>
        </w:tc>
      </w:tr>
      <w:tr>
        <w:trPr>
          <w:trHeight w:val="533" w:hRule="atLeast"/>
        </w:trPr>
        <w:tc>
          <w:tcPr>
            <w:tcW w:w="1906" w:type="dxa"/>
            <w:tcBorders>
              <w:top w:val="nil"/>
              <w:left w:val="nil"/>
              <w:bottom w:val="nil"/>
            </w:tcBorders>
          </w:tcPr>
          <w:p>
            <w:pPr>
              <w:pStyle w:val="TableParagraph"/>
              <w:rPr>
                <w:rFonts w:ascii="Times New Roman"/>
                <w:sz w:val="18"/>
              </w:rPr>
            </w:pPr>
          </w:p>
        </w:tc>
        <w:tc>
          <w:tcPr>
            <w:tcW w:w="986" w:type="dxa"/>
            <w:tcBorders>
              <w:top w:val="nil"/>
              <w:bottom w:val="nil"/>
              <w:right w:val="single" w:sz="4" w:space="0" w:color="000000"/>
            </w:tcBorders>
          </w:tcPr>
          <w:p>
            <w:pPr>
              <w:pStyle w:val="TableParagraph"/>
              <w:spacing w:before="44"/>
              <w:ind w:left="93" w:right="96"/>
              <w:jc w:val="center"/>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81"/>
              <w:ind w:left="143" w:right="154"/>
              <w:jc w:val="center"/>
              <w:rPr>
                <w:rFonts w:ascii="Times New Roman"/>
                <w:sz w:val="20"/>
              </w:rPr>
            </w:pPr>
            <w:r>
              <w:rPr>
                <w:rFonts w:ascii="Times New Roman"/>
                <w:spacing w:val="-2"/>
                <w:sz w:val="20"/>
              </w:rPr>
              <w:t>(0.0207)</w:t>
            </w:r>
          </w:p>
        </w:tc>
        <w:tc>
          <w:tcPr>
            <w:tcW w:w="1708" w:type="dxa"/>
            <w:tcBorders>
              <w:top w:val="nil"/>
              <w:left w:val="single" w:sz="4" w:space="0" w:color="7E7E7E"/>
              <w:bottom w:val="nil"/>
              <w:right w:val="single" w:sz="4" w:space="0" w:color="7E7E7E"/>
            </w:tcBorders>
          </w:tcPr>
          <w:p>
            <w:pPr>
              <w:pStyle w:val="TableParagraph"/>
              <w:spacing w:before="181"/>
              <w:ind w:left="61" w:right="70"/>
              <w:jc w:val="center"/>
              <w:rPr>
                <w:rFonts w:ascii="Times New Roman"/>
                <w:sz w:val="20"/>
              </w:rPr>
            </w:pPr>
            <w:r>
              <w:rPr>
                <w:rFonts w:ascii="Times New Roman"/>
                <w:spacing w:val="-2"/>
                <w:sz w:val="20"/>
              </w:rPr>
              <w:t>(0.06083)</w:t>
            </w:r>
          </w:p>
        </w:tc>
        <w:tc>
          <w:tcPr>
            <w:tcW w:w="2253" w:type="dxa"/>
            <w:tcBorders>
              <w:top w:val="nil"/>
              <w:left w:val="single" w:sz="4" w:space="0" w:color="7E7E7E"/>
              <w:bottom w:val="nil"/>
              <w:right w:val="nil"/>
            </w:tcBorders>
          </w:tcPr>
          <w:p>
            <w:pPr>
              <w:pStyle w:val="TableParagraph"/>
              <w:spacing w:before="181"/>
              <w:ind w:left="392" w:right="399"/>
              <w:jc w:val="center"/>
              <w:rPr>
                <w:rFonts w:ascii="Times New Roman"/>
                <w:sz w:val="20"/>
              </w:rPr>
            </w:pPr>
            <w:r>
              <w:rPr>
                <w:rFonts w:ascii="Times New Roman"/>
                <w:spacing w:val="-2"/>
                <w:sz w:val="20"/>
              </w:rPr>
              <w:t>(0.0965)</w:t>
            </w:r>
          </w:p>
        </w:tc>
      </w:tr>
      <w:tr>
        <w:trPr>
          <w:trHeight w:val="455"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right w:val="single" w:sz="4" w:space="0" w:color="7E7E7E"/>
            </w:tcBorders>
          </w:tcPr>
          <w:p>
            <w:pPr>
              <w:pStyle w:val="TableParagraph"/>
              <w:spacing w:before="113"/>
              <w:ind w:left="143" w:right="143"/>
              <w:jc w:val="center"/>
              <w:rPr>
                <w:rFonts w:ascii="Times New Roman"/>
                <w:sz w:val="20"/>
              </w:rPr>
            </w:pPr>
            <w:r>
              <w:rPr>
                <w:rFonts w:ascii="Times New Roman"/>
                <w:spacing w:val="-2"/>
                <w:sz w:val="20"/>
              </w:rPr>
              <w:t>{0.5963}</w:t>
            </w:r>
          </w:p>
        </w:tc>
        <w:tc>
          <w:tcPr>
            <w:tcW w:w="1708" w:type="dxa"/>
            <w:tcBorders>
              <w:top w:val="nil"/>
              <w:left w:val="single" w:sz="4" w:space="0" w:color="7E7E7E"/>
              <w:right w:val="single" w:sz="4" w:space="0" w:color="7E7E7E"/>
            </w:tcBorders>
          </w:tcPr>
          <w:p>
            <w:pPr>
              <w:pStyle w:val="TableParagraph"/>
              <w:spacing w:before="113"/>
              <w:ind w:left="69" w:right="70"/>
              <w:jc w:val="center"/>
              <w:rPr>
                <w:rFonts w:ascii="Times New Roman"/>
                <w:sz w:val="20"/>
              </w:rPr>
            </w:pPr>
            <w:r>
              <w:rPr>
                <w:rFonts w:ascii="Times New Roman"/>
                <w:spacing w:val="-2"/>
                <w:sz w:val="20"/>
              </w:rPr>
              <w:t>{0.6485}</w:t>
            </w:r>
          </w:p>
        </w:tc>
        <w:tc>
          <w:tcPr>
            <w:tcW w:w="2253" w:type="dxa"/>
            <w:tcBorders>
              <w:top w:val="nil"/>
              <w:left w:val="single" w:sz="4" w:space="0" w:color="7E7E7E"/>
              <w:right w:val="nil"/>
            </w:tcBorders>
          </w:tcPr>
          <w:p>
            <w:pPr>
              <w:pStyle w:val="TableParagraph"/>
              <w:spacing w:before="113"/>
              <w:ind w:left="400" w:right="399"/>
              <w:jc w:val="center"/>
              <w:rPr>
                <w:rFonts w:ascii="Times New Roman"/>
                <w:sz w:val="20"/>
              </w:rPr>
            </w:pPr>
            <w:r>
              <w:rPr>
                <w:rFonts w:ascii="Times New Roman"/>
                <w:spacing w:val="-2"/>
                <w:sz w:val="20"/>
              </w:rPr>
              <w:t>{0.8241}</w:t>
            </w:r>
          </w:p>
        </w:tc>
      </w:tr>
      <w:tr>
        <w:trPr>
          <w:trHeight w:val="279" w:hRule="atLeast"/>
        </w:trPr>
        <w:tc>
          <w:tcPr>
            <w:tcW w:w="1906" w:type="dxa"/>
            <w:tcBorders>
              <w:top w:val="single" w:sz="4" w:space="0" w:color="000000"/>
              <w:left w:val="nil"/>
              <w:bottom w:val="nil"/>
            </w:tcBorders>
          </w:tcPr>
          <w:p>
            <w:pPr>
              <w:pStyle w:val="TableParagraph"/>
              <w:spacing w:before="2"/>
              <w:ind w:left="159" w:right="143"/>
              <w:jc w:val="center"/>
              <w:rPr>
                <w:rFonts w:ascii="Times New Roman"/>
                <w:sz w:val="19"/>
              </w:rPr>
            </w:pPr>
            <w:r>
              <w:rPr>
                <w:rFonts w:ascii="Times New Roman"/>
                <w:spacing w:val="-4"/>
                <w:sz w:val="19"/>
              </w:rPr>
              <w:t>IFRS</w:t>
            </w:r>
          </w:p>
        </w:tc>
        <w:tc>
          <w:tcPr>
            <w:tcW w:w="986"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spacing w:before="2"/>
              <w:ind w:left="143" w:right="153"/>
              <w:jc w:val="center"/>
              <w:rPr>
                <w:rFonts w:ascii="Times New Roman"/>
                <w:sz w:val="20"/>
              </w:rPr>
            </w:pPr>
            <w:r>
              <w:rPr>
                <w:rFonts w:ascii="Times New Roman"/>
                <w:spacing w:val="-2"/>
                <w:sz w:val="20"/>
              </w:rPr>
              <w:t>-0.1512</w:t>
            </w:r>
          </w:p>
        </w:tc>
        <w:tc>
          <w:tcPr>
            <w:tcW w:w="1708" w:type="dxa"/>
            <w:tcBorders>
              <w:left w:val="single" w:sz="4" w:space="0" w:color="7E7E7E"/>
              <w:bottom w:val="nil"/>
            </w:tcBorders>
          </w:tcPr>
          <w:p>
            <w:pPr>
              <w:pStyle w:val="TableParagraph"/>
              <w:spacing w:before="2"/>
              <w:ind w:left="58" w:right="70"/>
              <w:jc w:val="center"/>
              <w:rPr>
                <w:rFonts w:ascii="Times New Roman"/>
                <w:sz w:val="20"/>
              </w:rPr>
            </w:pPr>
            <w:r>
              <w:rPr>
                <w:rFonts w:ascii="Times New Roman"/>
                <w:spacing w:val="-2"/>
                <w:sz w:val="20"/>
              </w:rPr>
              <w:t>0.126310</w:t>
            </w:r>
          </w:p>
        </w:tc>
        <w:tc>
          <w:tcPr>
            <w:tcW w:w="2253" w:type="dxa"/>
            <w:vMerge w:val="restart"/>
            <w:tcBorders>
              <w:right w:val="nil"/>
            </w:tcBorders>
          </w:tcPr>
          <w:p>
            <w:pPr>
              <w:pStyle w:val="TableParagraph"/>
              <w:rPr>
                <w:rFonts w:ascii="Times New Roman"/>
                <w:sz w:val="18"/>
              </w:rPr>
            </w:pPr>
          </w:p>
        </w:tc>
      </w:tr>
      <w:tr>
        <w:trPr>
          <w:trHeight w:val="523" w:hRule="atLeast"/>
        </w:trPr>
        <w:tc>
          <w:tcPr>
            <w:tcW w:w="1906" w:type="dxa"/>
            <w:tcBorders>
              <w:top w:val="nil"/>
              <w:left w:val="nil"/>
              <w:bottom w:val="nil"/>
            </w:tcBorders>
          </w:tcPr>
          <w:p>
            <w:pPr>
              <w:pStyle w:val="TableParagraph"/>
              <w:rPr>
                <w:rFonts w:ascii="Times New Roman"/>
                <w:sz w:val="18"/>
              </w:rPr>
            </w:pPr>
          </w:p>
        </w:tc>
        <w:tc>
          <w:tcPr>
            <w:tcW w:w="986" w:type="dxa"/>
            <w:tcBorders>
              <w:top w:val="nil"/>
              <w:bottom w:val="nil"/>
              <w:right w:val="single" w:sz="4" w:space="0" w:color="000000"/>
            </w:tcBorders>
          </w:tcPr>
          <w:p>
            <w:pPr>
              <w:pStyle w:val="TableParagraph"/>
              <w:spacing w:before="39"/>
              <w:ind w:left="93" w:right="42"/>
              <w:jc w:val="center"/>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76"/>
              <w:ind w:left="143" w:right="156"/>
              <w:jc w:val="center"/>
              <w:rPr>
                <w:rFonts w:ascii="Times New Roman"/>
                <w:sz w:val="20"/>
              </w:rPr>
            </w:pPr>
            <w:r>
              <w:rPr>
                <w:rFonts w:ascii="Times New Roman"/>
                <w:spacing w:val="-2"/>
                <w:sz w:val="20"/>
              </w:rPr>
              <w:t>(0.14414)</w:t>
            </w:r>
          </w:p>
        </w:tc>
        <w:tc>
          <w:tcPr>
            <w:tcW w:w="1708" w:type="dxa"/>
            <w:tcBorders>
              <w:top w:val="nil"/>
              <w:left w:val="single" w:sz="4" w:space="0" w:color="7E7E7E"/>
              <w:bottom w:val="nil"/>
            </w:tcBorders>
          </w:tcPr>
          <w:p>
            <w:pPr>
              <w:pStyle w:val="TableParagraph"/>
              <w:spacing w:before="176"/>
              <w:ind w:left="59" w:right="70"/>
              <w:jc w:val="center"/>
              <w:rPr>
                <w:rFonts w:ascii="Times New Roman"/>
                <w:sz w:val="20"/>
              </w:rPr>
            </w:pPr>
            <w:r>
              <w:rPr>
                <w:rFonts w:ascii="Times New Roman"/>
                <w:spacing w:val="-2"/>
                <w:sz w:val="20"/>
              </w:rPr>
              <w:t>(0.2037)</w:t>
            </w:r>
          </w:p>
        </w:tc>
        <w:tc>
          <w:tcPr>
            <w:tcW w:w="2253" w:type="dxa"/>
            <w:vMerge/>
            <w:tcBorders>
              <w:top w:val="nil"/>
              <w:right w:val="nil"/>
            </w:tcBorders>
          </w:tcPr>
          <w:p>
            <w:pPr>
              <w:rPr>
                <w:sz w:val="2"/>
                <w:szCs w:val="2"/>
              </w:rPr>
            </w:pPr>
          </w:p>
        </w:tc>
      </w:tr>
      <w:tr>
        <w:trPr>
          <w:trHeight w:val="450"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right w:val="single" w:sz="4" w:space="0" w:color="7E7E7E"/>
            </w:tcBorders>
          </w:tcPr>
          <w:p>
            <w:pPr>
              <w:pStyle w:val="TableParagraph"/>
              <w:spacing w:before="108"/>
              <w:ind w:left="143" w:right="143"/>
              <w:jc w:val="center"/>
              <w:rPr>
                <w:rFonts w:ascii="Times New Roman"/>
                <w:sz w:val="20"/>
              </w:rPr>
            </w:pPr>
            <w:r>
              <w:rPr>
                <w:rFonts w:ascii="Times New Roman"/>
                <w:spacing w:val="-2"/>
                <w:sz w:val="20"/>
              </w:rPr>
              <w:t>{0.2956}</w:t>
            </w:r>
          </w:p>
        </w:tc>
        <w:tc>
          <w:tcPr>
            <w:tcW w:w="1708" w:type="dxa"/>
            <w:tcBorders>
              <w:top w:val="nil"/>
              <w:left w:val="single" w:sz="4" w:space="0" w:color="7E7E7E"/>
            </w:tcBorders>
          </w:tcPr>
          <w:p>
            <w:pPr>
              <w:pStyle w:val="TableParagraph"/>
              <w:spacing w:before="108"/>
              <w:ind w:left="69" w:right="70"/>
              <w:jc w:val="center"/>
              <w:rPr>
                <w:rFonts w:ascii="Times New Roman"/>
                <w:sz w:val="20"/>
              </w:rPr>
            </w:pPr>
            <w:r>
              <w:rPr>
                <w:rFonts w:ascii="Times New Roman"/>
                <w:spacing w:val="-2"/>
                <w:sz w:val="20"/>
              </w:rPr>
              <w:t>{0.5360}</w:t>
            </w:r>
          </w:p>
        </w:tc>
        <w:tc>
          <w:tcPr>
            <w:tcW w:w="2253" w:type="dxa"/>
            <w:vMerge/>
            <w:tcBorders>
              <w:top w:val="nil"/>
              <w:right w:val="nil"/>
            </w:tcBorders>
          </w:tcPr>
          <w:p>
            <w:pPr>
              <w:rPr>
                <w:sz w:val="2"/>
                <w:szCs w:val="2"/>
              </w:rPr>
            </w:pPr>
          </w:p>
        </w:tc>
      </w:tr>
      <w:tr>
        <w:trPr>
          <w:trHeight w:val="280" w:hRule="atLeast"/>
        </w:trPr>
        <w:tc>
          <w:tcPr>
            <w:tcW w:w="1906" w:type="dxa"/>
            <w:tcBorders>
              <w:top w:val="single" w:sz="4" w:space="0" w:color="000000"/>
              <w:left w:val="nil"/>
              <w:bottom w:val="nil"/>
            </w:tcBorders>
          </w:tcPr>
          <w:p>
            <w:pPr>
              <w:pStyle w:val="TableParagraph"/>
              <w:spacing w:before="3"/>
              <w:ind w:left="159" w:right="148"/>
              <w:jc w:val="center"/>
              <w:rPr>
                <w:rFonts w:ascii="Times New Roman"/>
                <w:sz w:val="19"/>
              </w:rPr>
            </w:pPr>
            <w:r>
              <w:rPr/>
              <mc:AlternateContent>
                <mc:Choice Requires="wps">
                  <w:drawing>
                    <wp:anchor distT="0" distB="0" distL="0" distR="0" allowOverlap="1" layoutInCell="1" locked="0" behindDoc="1" simplePos="0" relativeHeight="477746688">
                      <wp:simplePos x="0" y="0"/>
                      <wp:positionH relativeFrom="column">
                        <wp:posOffset>188239</wp:posOffset>
                      </wp:positionH>
                      <wp:positionV relativeFrom="paragraph">
                        <wp:posOffset>-345196</wp:posOffset>
                      </wp:positionV>
                      <wp:extent cx="4933315" cy="4976495"/>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4933315" cy="4976495"/>
                                <a:chExt cx="4933315" cy="4976495"/>
                              </a:xfrm>
                            </wpg:grpSpPr>
                            <wps:wsp>
                              <wps:cNvPr id="197" name="Graphic 197"/>
                              <wps:cNvSpPr/>
                              <wps:spPr>
                                <a:xfrm>
                                  <a:off x="0" y="0"/>
                                  <a:ext cx="4933315" cy="4976495"/>
                                </a:xfrm>
                                <a:custGeom>
                                  <a:avLst/>
                                  <a:gdLst/>
                                  <a:ahLst/>
                                  <a:cxnLst/>
                                  <a:rect l="l" t="t" r="r" b="b"/>
                                  <a:pathLst>
                                    <a:path w="4933315" h="4976495">
                                      <a:moveTo>
                                        <a:pt x="902779" y="4780826"/>
                                      </a:moveTo>
                                      <a:lnTo>
                                        <a:pt x="897432" y="4727194"/>
                                      </a:lnTo>
                                      <a:lnTo>
                                        <a:pt x="879348" y="4670653"/>
                                      </a:lnTo>
                                      <a:lnTo>
                                        <a:pt x="848791" y="4611624"/>
                                      </a:lnTo>
                                      <a:lnTo>
                                        <a:pt x="806081" y="4551604"/>
                                      </a:lnTo>
                                      <a:lnTo>
                                        <a:pt x="779957" y="4521136"/>
                                      </a:lnTo>
                                      <a:lnTo>
                                        <a:pt x="750620" y="4490339"/>
                                      </a:lnTo>
                                      <a:lnTo>
                                        <a:pt x="334822" y="4074668"/>
                                      </a:lnTo>
                                      <a:lnTo>
                                        <a:pt x="325551" y="4070096"/>
                                      </a:lnTo>
                                      <a:lnTo>
                                        <a:pt x="318820" y="4070731"/>
                                      </a:lnTo>
                                      <a:lnTo>
                                        <a:pt x="286181" y="4094988"/>
                                      </a:lnTo>
                                      <a:lnTo>
                                        <a:pt x="272338" y="4120388"/>
                                      </a:lnTo>
                                      <a:lnTo>
                                        <a:pt x="272465" y="4123309"/>
                                      </a:lnTo>
                                      <a:lnTo>
                                        <a:pt x="274624" y="4129532"/>
                                      </a:lnTo>
                                      <a:lnTo>
                                        <a:pt x="276910" y="4132580"/>
                                      </a:lnTo>
                                      <a:lnTo>
                                        <a:pt x="693089" y="4548759"/>
                                      </a:lnTo>
                                      <a:lnTo>
                                        <a:pt x="714679" y="4571276"/>
                                      </a:lnTo>
                                      <a:lnTo>
                                        <a:pt x="750874" y="4614646"/>
                                      </a:lnTo>
                                      <a:lnTo>
                                        <a:pt x="777633" y="4655731"/>
                                      </a:lnTo>
                                      <a:lnTo>
                                        <a:pt x="795743" y="4694796"/>
                                      </a:lnTo>
                                      <a:lnTo>
                                        <a:pt x="806284" y="4748581"/>
                                      </a:lnTo>
                                      <a:lnTo>
                                        <a:pt x="805421" y="4765306"/>
                                      </a:lnTo>
                                      <a:lnTo>
                                        <a:pt x="789927" y="4811382"/>
                                      </a:lnTo>
                                      <a:lnTo>
                                        <a:pt x="755726" y="4849558"/>
                                      </a:lnTo>
                                      <a:lnTo>
                                        <a:pt x="712266" y="4870577"/>
                                      </a:lnTo>
                                      <a:lnTo>
                                        <a:pt x="679157" y="4874488"/>
                                      </a:lnTo>
                                      <a:lnTo>
                                        <a:pt x="661593" y="4873193"/>
                                      </a:lnTo>
                                      <a:lnTo>
                                        <a:pt x="624509" y="4863858"/>
                                      </a:lnTo>
                                      <a:lnTo>
                                        <a:pt x="584619" y="4845774"/>
                                      </a:lnTo>
                                      <a:lnTo>
                                        <a:pt x="541959" y="4818037"/>
                                      </a:lnTo>
                                      <a:lnTo>
                                        <a:pt x="497230" y="4780737"/>
                                      </a:lnTo>
                                      <a:lnTo>
                                        <a:pt x="62534" y="4346956"/>
                                      </a:lnTo>
                                      <a:lnTo>
                                        <a:pt x="59613" y="4344670"/>
                                      </a:lnTo>
                                      <a:lnTo>
                                        <a:pt x="53390" y="4342384"/>
                                      </a:lnTo>
                                      <a:lnTo>
                                        <a:pt x="50469" y="4342384"/>
                                      </a:lnTo>
                                      <a:lnTo>
                                        <a:pt x="13893" y="4367276"/>
                                      </a:lnTo>
                                      <a:lnTo>
                                        <a:pt x="0" y="4392803"/>
                                      </a:lnTo>
                                      <a:lnTo>
                                        <a:pt x="139" y="4395597"/>
                                      </a:lnTo>
                                      <a:lnTo>
                                        <a:pt x="427151" y="4827270"/>
                                      </a:lnTo>
                                      <a:lnTo>
                                        <a:pt x="457936" y="4856696"/>
                                      </a:lnTo>
                                      <a:lnTo>
                                        <a:pt x="488403" y="4882870"/>
                                      </a:lnTo>
                                      <a:lnTo>
                                        <a:pt x="548436" y="4925695"/>
                                      </a:lnTo>
                                      <a:lnTo>
                                        <a:pt x="606094" y="4955184"/>
                                      </a:lnTo>
                                      <a:lnTo>
                                        <a:pt x="660323" y="4971796"/>
                                      </a:lnTo>
                                      <a:lnTo>
                                        <a:pt x="711581" y="4976330"/>
                                      </a:lnTo>
                                      <a:lnTo>
                                        <a:pt x="735876" y="4973929"/>
                                      </a:lnTo>
                                      <a:lnTo>
                                        <a:pt x="782040" y="4960658"/>
                                      </a:lnTo>
                                      <a:lnTo>
                                        <a:pt x="823125" y="4935639"/>
                                      </a:lnTo>
                                      <a:lnTo>
                                        <a:pt x="860044" y="4898593"/>
                                      </a:lnTo>
                                      <a:lnTo>
                                        <a:pt x="886879" y="4854499"/>
                                      </a:lnTo>
                                      <a:lnTo>
                                        <a:pt x="900518" y="4806251"/>
                                      </a:lnTo>
                                      <a:lnTo>
                                        <a:pt x="902779" y="4780826"/>
                                      </a:lnTo>
                                      <a:close/>
                                    </a:path>
                                    <a:path w="4933315" h="4976495">
                                      <a:moveTo>
                                        <a:pt x="1359979" y="4290288"/>
                                      </a:moveTo>
                                      <a:lnTo>
                                        <a:pt x="1347012" y="4221226"/>
                                      </a:lnTo>
                                      <a:lnTo>
                                        <a:pt x="1334198" y="4185285"/>
                                      </a:lnTo>
                                      <a:lnTo>
                                        <a:pt x="1317574" y="4148480"/>
                                      </a:lnTo>
                                      <a:lnTo>
                                        <a:pt x="1297000" y="4110736"/>
                                      </a:lnTo>
                                      <a:lnTo>
                                        <a:pt x="1272336" y="4072001"/>
                                      </a:lnTo>
                                      <a:lnTo>
                                        <a:pt x="1260360" y="4055402"/>
                                      </a:lnTo>
                                      <a:lnTo>
                                        <a:pt x="1260360" y="4276471"/>
                                      </a:lnTo>
                                      <a:lnTo>
                                        <a:pt x="1260017" y="4300855"/>
                                      </a:lnTo>
                                      <a:lnTo>
                                        <a:pt x="1247533" y="4346499"/>
                                      </a:lnTo>
                                      <a:lnTo>
                                        <a:pt x="1217726" y="4387088"/>
                                      </a:lnTo>
                                      <a:lnTo>
                                        <a:pt x="1177251" y="4417466"/>
                                      </a:lnTo>
                                      <a:lnTo>
                                        <a:pt x="1133271" y="4430776"/>
                                      </a:lnTo>
                                      <a:lnTo>
                                        <a:pt x="1110094" y="4432071"/>
                                      </a:lnTo>
                                      <a:lnTo>
                                        <a:pt x="1086116" y="4429988"/>
                                      </a:lnTo>
                                      <a:lnTo>
                                        <a:pt x="1035735" y="4415282"/>
                                      </a:lnTo>
                                      <a:lnTo>
                                        <a:pt x="983234" y="4388586"/>
                                      </a:lnTo>
                                      <a:lnTo>
                                        <a:pt x="928166" y="4350258"/>
                                      </a:lnTo>
                                      <a:lnTo>
                                        <a:pt x="870813" y="4302595"/>
                                      </a:lnTo>
                                      <a:lnTo>
                                        <a:pt x="841578" y="4275772"/>
                                      </a:lnTo>
                                      <a:lnTo>
                                        <a:pt x="811961" y="4247007"/>
                                      </a:lnTo>
                                      <a:lnTo>
                                        <a:pt x="761060" y="4192511"/>
                                      </a:lnTo>
                                      <a:lnTo>
                                        <a:pt x="715695" y="4137152"/>
                                      </a:lnTo>
                                      <a:lnTo>
                                        <a:pt x="679284" y="4082465"/>
                                      </a:lnTo>
                                      <a:lnTo>
                                        <a:pt x="653465" y="4028821"/>
                                      </a:lnTo>
                                      <a:lnTo>
                                        <a:pt x="638771" y="3977640"/>
                                      </a:lnTo>
                                      <a:lnTo>
                                        <a:pt x="636219" y="3952925"/>
                                      </a:lnTo>
                                      <a:lnTo>
                                        <a:pt x="636574" y="3928745"/>
                                      </a:lnTo>
                                      <a:lnTo>
                                        <a:pt x="648779" y="3883406"/>
                                      </a:lnTo>
                                      <a:lnTo>
                                        <a:pt x="678230" y="3843020"/>
                                      </a:lnTo>
                                      <a:lnTo>
                                        <a:pt x="718210" y="3813137"/>
                                      </a:lnTo>
                                      <a:lnTo>
                                        <a:pt x="762304" y="3799713"/>
                                      </a:lnTo>
                                      <a:lnTo>
                                        <a:pt x="785812" y="3798760"/>
                                      </a:lnTo>
                                      <a:lnTo>
                                        <a:pt x="809904" y="3800906"/>
                                      </a:lnTo>
                                      <a:lnTo>
                                        <a:pt x="860094" y="3814953"/>
                                      </a:lnTo>
                                      <a:lnTo>
                                        <a:pt x="913003" y="3841534"/>
                                      </a:lnTo>
                                      <a:lnTo>
                                        <a:pt x="967917" y="3878580"/>
                                      </a:lnTo>
                                      <a:lnTo>
                                        <a:pt x="1024407" y="3925430"/>
                                      </a:lnTo>
                                      <a:lnTo>
                                        <a:pt x="1052944" y="3951579"/>
                                      </a:lnTo>
                                      <a:lnTo>
                                        <a:pt x="1081582" y="3979418"/>
                                      </a:lnTo>
                                      <a:lnTo>
                                        <a:pt x="1108176" y="4006939"/>
                                      </a:lnTo>
                                      <a:lnTo>
                                        <a:pt x="1156690" y="4062361"/>
                                      </a:lnTo>
                                      <a:lnTo>
                                        <a:pt x="1198892" y="4118038"/>
                                      </a:lnTo>
                                      <a:lnTo>
                                        <a:pt x="1230528" y="4172674"/>
                                      </a:lnTo>
                                      <a:lnTo>
                                        <a:pt x="1251775" y="4225582"/>
                                      </a:lnTo>
                                      <a:lnTo>
                                        <a:pt x="1260360" y="4276471"/>
                                      </a:lnTo>
                                      <a:lnTo>
                                        <a:pt x="1260360" y="4055402"/>
                                      </a:lnTo>
                                      <a:lnTo>
                                        <a:pt x="1211859" y="3992689"/>
                                      </a:lnTo>
                                      <a:lnTo>
                                        <a:pt x="1176197" y="3952354"/>
                                      </a:lnTo>
                                      <a:lnTo>
                                        <a:pt x="1136827" y="3911473"/>
                                      </a:lnTo>
                                      <a:lnTo>
                                        <a:pt x="1096149" y="3872217"/>
                                      </a:lnTo>
                                      <a:lnTo>
                                        <a:pt x="1056398" y="3836720"/>
                                      </a:lnTo>
                                      <a:lnTo>
                                        <a:pt x="1017562" y="3805021"/>
                                      </a:lnTo>
                                      <a:lnTo>
                                        <a:pt x="1009040" y="3798760"/>
                                      </a:lnTo>
                                      <a:lnTo>
                                        <a:pt x="979601" y="3777107"/>
                                      </a:lnTo>
                                      <a:lnTo>
                                        <a:pt x="942454" y="3753180"/>
                                      </a:lnTo>
                                      <a:lnTo>
                                        <a:pt x="906335" y="3733457"/>
                                      </a:lnTo>
                                      <a:lnTo>
                                        <a:pt x="871283" y="3717785"/>
                                      </a:lnTo>
                                      <a:lnTo>
                                        <a:pt x="804481" y="3698367"/>
                                      </a:lnTo>
                                      <a:lnTo>
                                        <a:pt x="772680" y="3695128"/>
                                      </a:lnTo>
                                      <a:lnTo>
                                        <a:pt x="741883" y="3695992"/>
                                      </a:lnTo>
                                      <a:lnTo>
                                        <a:pt x="683285" y="3709378"/>
                                      </a:lnTo>
                                      <a:lnTo>
                                        <a:pt x="629920" y="3740378"/>
                                      </a:lnTo>
                                      <a:lnTo>
                                        <a:pt x="582320" y="3788321"/>
                                      </a:lnTo>
                                      <a:lnTo>
                                        <a:pt x="550697" y="3844480"/>
                                      </a:lnTo>
                                      <a:lnTo>
                                        <a:pt x="537895" y="3906647"/>
                                      </a:lnTo>
                                      <a:lnTo>
                                        <a:pt x="537718" y="3939527"/>
                                      </a:lnTo>
                                      <a:lnTo>
                                        <a:pt x="541655" y="3973347"/>
                                      </a:lnTo>
                                      <a:lnTo>
                                        <a:pt x="562698" y="4043934"/>
                                      </a:lnTo>
                                      <a:lnTo>
                                        <a:pt x="579132" y="4080814"/>
                                      </a:lnTo>
                                      <a:lnTo>
                                        <a:pt x="599427" y="4118533"/>
                                      </a:lnTo>
                                      <a:lnTo>
                                        <a:pt x="623747" y="4156964"/>
                                      </a:lnTo>
                                      <a:lnTo>
                                        <a:pt x="651840" y="4195940"/>
                                      </a:lnTo>
                                      <a:lnTo>
                                        <a:pt x="683348" y="4235285"/>
                                      </a:lnTo>
                                      <a:lnTo>
                                        <a:pt x="718273" y="4274934"/>
                                      </a:lnTo>
                                      <a:lnTo>
                                        <a:pt x="756589" y="4314825"/>
                                      </a:lnTo>
                                      <a:lnTo>
                                        <a:pt x="798029" y="4354830"/>
                                      </a:lnTo>
                                      <a:lnTo>
                                        <a:pt x="838390" y="4390860"/>
                                      </a:lnTo>
                                      <a:lnTo>
                                        <a:pt x="877722" y="4423003"/>
                                      </a:lnTo>
                                      <a:lnTo>
                                        <a:pt x="916101" y="4451350"/>
                                      </a:lnTo>
                                      <a:lnTo>
                                        <a:pt x="953490" y="4475658"/>
                                      </a:lnTo>
                                      <a:lnTo>
                                        <a:pt x="989838" y="4495800"/>
                                      </a:lnTo>
                                      <a:lnTo>
                                        <a:pt x="1025055" y="4511865"/>
                                      </a:lnTo>
                                      <a:lnTo>
                                        <a:pt x="1091806" y="4531715"/>
                                      </a:lnTo>
                                      <a:lnTo>
                                        <a:pt x="1123645" y="4535221"/>
                                      </a:lnTo>
                                      <a:lnTo>
                                        <a:pt x="1154569" y="4534611"/>
                                      </a:lnTo>
                                      <a:lnTo>
                                        <a:pt x="1213650" y="4521606"/>
                                      </a:lnTo>
                                      <a:lnTo>
                                        <a:pt x="1267688" y="4490288"/>
                                      </a:lnTo>
                                      <a:lnTo>
                                        <a:pt x="1315707" y="4441926"/>
                                      </a:lnTo>
                                      <a:lnTo>
                                        <a:pt x="1322197" y="4432071"/>
                                      </a:lnTo>
                                      <a:lnTo>
                                        <a:pt x="1333779" y="4414507"/>
                                      </a:lnTo>
                                      <a:lnTo>
                                        <a:pt x="1347076" y="4385551"/>
                                      </a:lnTo>
                                      <a:lnTo>
                                        <a:pt x="1355521" y="4354957"/>
                                      </a:lnTo>
                                      <a:lnTo>
                                        <a:pt x="1359852" y="4323245"/>
                                      </a:lnTo>
                                      <a:lnTo>
                                        <a:pt x="1359979" y="4290288"/>
                                      </a:lnTo>
                                      <a:close/>
                                    </a:path>
                                    <a:path w="4933315" h="4976495">
                                      <a:moveTo>
                                        <a:pt x="1839518" y="3895979"/>
                                      </a:moveTo>
                                      <a:lnTo>
                                        <a:pt x="1839264" y="3893058"/>
                                      </a:lnTo>
                                      <a:lnTo>
                                        <a:pt x="1837105" y="3886962"/>
                                      </a:lnTo>
                                      <a:lnTo>
                                        <a:pt x="1834819" y="3883914"/>
                                      </a:lnTo>
                                      <a:lnTo>
                                        <a:pt x="1832152" y="3881374"/>
                                      </a:lnTo>
                                      <a:lnTo>
                                        <a:pt x="1180134" y="3229356"/>
                                      </a:lnTo>
                                      <a:lnTo>
                                        <a:pt x="1177213" y="3227070"/>
                                      </a:lnTo>
                                      <a:lnTo>
                                        <a:pt x="1170990" y="3224784"/>
                                      </a:lnTo>
                                      <a:lnTo>
                                        <a:pt x="1168069" y="3224657"/>
                                      </a:lnTo>
                                      <a:lnTo>
                                        <a:pt x="1164132" y="3225419"/>
                                      </a:lnTo>
                                      <a:lnTo>
                                        <a:pt x="1131747" y="3249422"/>
                                      </a:lnTo>
                                      <a:lnTo>
                                        <a:pt x="1117777" y="3277997"/>
                                      </a:lnTo>
                                      <a:lnTo>
                                        <a:pt x="1120063" y="3284220"/>
                                      </a:lnTo>
                                      <a:lnTo>
                                        <a:pt x="1776526" y="3942207"/>
                                      </a:lnTo>
                                      <a:lnTo>
                                        <a:pt x="1788718" y="3946779"/>
                                      </a:lnTo>
                                      <a:lnTo>
                                        <a:pt x="1792020" y="3945509"/>
                                      </a:lnTo>
                                      <a:lnTo>
                                        <a:pt x="1796084" y="3944747"/>
                                      </a:lnTo>
                                      <a:lnTo>
                                        <a:pt x="1829866" y="3916299"/>
                                      </a:lnTo>
                                      <a:lnTo>
                                        <a:pt x="1838121" y="3899408"/>
                                      </a:lnTo>
                                      <a:lnTo>
                                        <a:pt x="1839518" y="3895979"/>
                                      </a:lnTo>
                                      <a:close/>
                                    </a:path>
                                    <a:path w="4933315" h="4976495">
                                      <a:moveTo>
                                        <a:pt x="2014016" y="3718306"/>
                                      </a:moveTo>
                                      <a:lnTo>
                                        <a:pt x="1763318" y="3462909"/>
                                      </a:lnTo>
                                      <a:lnTo>
                                        <a:pt x="1813102" y="3413125"/>
                                      </a:lnTo>
                                      <a:lnTo>
                                        <a:pt x="1847088" y="3371405"/>
                                      </a:lnTo>
                                      <a:lnTo>
                                        <a:pt x="1867458" y="3327400"/>
                                      </a:lnTo>
                                      <a:lnTo>
                                        <a:pt x="1875409" y="3282188"/>
                                      </a:lnTo>
                                      <a:lnTo>
                                        <a:pt x="1875472" y="3257715"/>
                                      </a:lnTo>
                                      <a:lnTo>
                                        <a:pt x="1872411" y="3233420"/>
                                      </a:lnTo>
                                      <a:lnTo>
                                        <a:pt x="1858289" y="3183864"/>
                                      </a:lnTo>
                                      <a:lnTo>
                                        <a:pt x="1833803" y="3132963"/>
                                      </a:lnTo>
                                      <a:lnTo>
                                        <a:pt x="1798574" y="3081782"/>
                                      </a:lnTo>
                                      <a:lnTo>
                                        <a:pt x="1779092" y="3058452"/>
                                      </a:lnTo>
                                      <a:lnTo>
                                        <a:pt x="1779092" y="3253702"/>
                                      </a:lnTo>
                                      <a:lnTo>
                                        <a:pt x="1778215" y="3268154"/>
                                      </a:lnTo>
                                      <a:lnTo>
                                        <a:pt x="1763585" y="3309810"/>
                                      </a:lnTo>
                                      <a:lnTo>
                                        <a:pt x="1689531" y="3389122"/>
                                      </a:lnTo>
                                      <a:lnTo>
                                        <a:pt x="1418259" y="3117723"/>
                                      </a:lnTo>
                                      <a:lnTo>
                                        <a:pt x="1472107" y="3064002"/>
                                      </a:lnTo>
                                      <a:lnTo>
                                        <a:pt x="1506524" y="3036824"/>
                                      </a:lnTo>
                                      <a:lnTo>
                                        <a:pt x="1554276" y="3023616"/>
                                      </a:lnTo>
                                      <a:lnTo>
                                        <a:pt x="1568945" y="3024238"/>
                                      </a:lnTo>
                                      <a:lnTo>
                                        <a:pt x="1620189" y="3040126"/>
                                      </a:lnTo>
                                      <a:lnTo>
                                        <a:pt x="1658581" y="3063811"/>
                                      </a:lnTo>
                                      <a:lnTo>
                                        <a:pt x="1699183" y="3099308"/>
                                      </a:lnTo>
                                      <a:lnTo>
                                        <a:pt x="1726793" y="3130219"/>
                                      </a:lnTo>
                                      <a:lnTo>
                                        <a:pt x="1748967" y="3161411"/>
                                      </a:lnTo>
                                      <a:lnTo>
                                        <a:pt x="1771357" y="3208655"/>
                                      </a:lnTo>
                                      <a:lnTo>
                                        <a:pt x="1779092" y="3253702"/>
                                      </a:lnTo>
                                      <a:lnTo>
                                        <a:pt x="1779092" y="3058452"/>
                                      </a:lnTo>
                                      <a:lnTo>
                                        <a:pt x="1777199" y="3056178"/>
                                      </a:lnTo>
                                      <a:lnTo>
                                        <a:pt x="1753158" y="3030601"/>
                                      </a:lnTo>
                                      <a:lnTo>
                                        <a:pt x="1745792" y="3023616"/>
                                      </a:lnTo>
                                      <a:lnTo>
                                        <a:pt x="1733931" y="3012363"/>
                                      </a:lnTo>
                                      <a:lnTo>
                                        <a:pt x="1695488" y="2980880"/>
                                      </a:lnTo>
                                      <a:lnTo>
                                        <a:pt x="1657121" y="2956153"/>
                                      </a:lnTo>
                                      <a:lnTo>
                                        <a:pt x="1619453" y="2938627"/>
                                      </a:lnTo>
                                      <a:lnTo>
                                        <a:pt x="1582496" y="2927032"/>
                                      </a:lnTo>
                                      <a:lnTo>
                                        <a:pt x="1546466" y="2922359"/>
                                      </a:lnTo>
                                      <a:lnTo>
                                        <a:pt x="1528876" y="2922397"/>
                                      </a:lnTo>
                                      <a:lnTo>
                                        <a:pt x="1482813" y="2930995"/>
                                      </a:lnTo>
                                      <a:lnTo>
                                        <a:pt x="1439659" y="2953715"/>
                                      </a:lnTo>
                                      <a:lnTo>
                                        <a:pt x="1409674" y="2978035"/>
                                      </a:lnTo>
                                      <a:lnTo>
                                        <a:pt x="1308658" y="3078861"/>
                                      </a:lnTo>
                                      <a:lnTo>
                                        <a:pt x="1301470" y="3096069"/>
                                      </a:lnTo>
                                      <a:lnTo>
                                        <a:pt x="1301673" y="3103499"/>
                                      </a:lnTo>
                                      <a:lnTo>
                                        <a:pt x="1324406" y="3140456"/>
                                      </a:lnTo>
                                      <a:lnTo>
                                        <a:pt x="1948738" y="3764788"/>
                                      </a:lnTo>
                                      <a:lnTo>
                                        <a:pt x="1951278" y="3767455"/>
                                      </a:lnTo>
                                      <a:lnTo>
                                        <a:pt x="1954326" y="3769741"/>
                                      </a:lnTo>
                                      <a:lnTo>
                                        <a:pt x="1957374" y="3770884"/>
                                      </a:lnTo>
                                      <a:lnTo>
                                        <a:pt x="1960549" y="3771773"/>
                                      </a:lnTo>
                                      <a:lnTo>
                                        <a:pt x="1963470" y="3772027"/>
                                      </a:lnTo>
                                      <a:lnTo>
                                        <a:pt x="1966772" y="3770757"/>
                                      </a:lnTo>
                                      <a:lnTo>
                                        <a:pt x="1970836" y="3769995"/>
                                      </a:lnTo>
                                      <a:lnTo>
                                        <a:pt x="2004606" y="3741420"/>
                                      </a:lnTo>
                                      <a:lnTo>
                                        <a:pt x="2012873" y="3724656"/>
                                      </a:lnTo>
                                      <a:lnTo>
                                        <a:pt x="2013889" y="3721608"/>
                                      </a:lnTo>
                                      <a:lnTo>
                                        <a:pt x="2014016" y="3718306"/>
                                      </a:lnTo>
                                      <a:close/>
                                    </a:path>
                                    <a:path w="4933315" h="4976495">
                                      <a:moveTo>
                                        <a:pt x="2454071" y="3281299"/>
                                      </a:moveTo>
                                      <a:lnTo>
                                        <a:pt x="2453944" y="3278378"/>
                                      </a:lnTo>
                                      <a:lnTo>
                                        <a:pt x="2451785" y="3272155"/>
                                      </a:lnTo>
                                      <a:lnTo>
                                        <a:pt x="2449499" y="3269234"/>
                                      </a:lnTo>
                                      <a:lnTo>
                                        <a:pt x="1860219" y="2679954"/>
                                      </a:lnTo>
                                      <a:lnTo>
                                        <a:pt x="1985187" y="2554986"/>
                                      </a:lnTo>
                                      <a:lnTo>
                                        <a:pt x="1986318" y="2552827"/>
                                      </a:lnTo>
                                      <a:lnTo>
                                        <a:pt x="1986445" y="2549525"/>
                                      </a:lnTo>
                                      <a:lnTo>
                                        <a:pt x="1986203" y="2546477"/>
                                      </a:lnTo>
                                      <a:lnTo>
                                        <a:pt x="1985556" y="2543048"/>
                                      </a:lnTo>
                                      <a:lnTo>
                                        <a:pt x="1983409" y="2538984"/>
                                      </a:lnTo>
                                      <a:lnTo>
                                        <a:pt x="1981758" y="2535301"/>
                                      </a:lnTo>
                                      <a:lnTo>
                                        <a:pt x="1950516" y="2500757"/>
                                      </a:lnTo>
                                      <a:lnTo>
                                        <a:pt x="1917242" y="2477516"/>
                                      </a:lnTo>
                                      <a:lnTo>
                                        <a:pt x="1911019" y="2477516"/>
                                      </a:lnTo>
                                      <a:lnTo>
                                        <a:pt x="1908860" y="2478659"/>
                                      </a:lnTo>
                                      <a:lnTo>
                                        <a:pt x="1600631" y="2786888"/>
                                      </a:lnTo>
                                      <a:lnTo>
                                        <a:pt x="1599488" y="2789047"/>
                                      </a:lnTo>
                                      <a:lnTo>
                                        <a:pt x="1599742" y="2791968"/>
                                      </a:lnTo>
                                      <a:lnTo>
                                        <a:pt x="1599488" y="2795270"/>
                                      </a:lnTo>
                                      <a:lnTo>
                                        <a:pt x="1600631" y="2798318"/>
                                      </a:lnTo>
                                      <a:lnTo>
                                        <a:pt x="1604822" y="2806573"/>
                                      </a:lnTo>
                                      <a:lnTo>
                                        <a:pt x="1608378" y="2811526"/>
                                      </a:lnTo>
                                      <a:lnTo>
                                        <a:pt x="1612823" y="2816479"/>
                                      </a:lnTo>
                                      <a:lnTo>
                                        <a:pt x="1617268" y="2822448"/>
                                      </a:lnTo>
                                      <a:lnTo>
                                        <a:pt x="1622729" y="2828544"/>
                                      </a:lnTo>
                                      <a:lnTo>
                                        <a:pt x="1636318" y="2842133"/>
                                      </a:lnTo>
                                      <a:lnTo>
                                        <a:pt x="1642414" y="2847594"/>
                                      </a:lnTo>
                                      <a:lnTo>
                                        <a:pt x="1647748" y="2851531"/>
                                      </a:lnTo>
                                      <a:lnTo>
                                        <a:pt x="1652828" y="2855976"/>
                                      </a:lnTo>
                                      <a:lnTo>
                                        <a:pt x="1657654" y="2859405"/>
                                      </a:lnTo>
                                      <a:lnTo>
                                        <a:pt x="1665528" y="2863088"/>
                                      </a:lnTo>
                                      <a:lnTo>
                                        <a:pt x="1668576" y="2864231"/>
                                      </a:lnTo>
                                      <a:lnTo>
                                        <a:pt x="1671878" y="2864104"/>
                                      </a:lnTo>
                                      <a:lnTo>
                                        <a:pt x="1674799" y="2864358"/>
                                      </a:lnTo>
                                      <a:lnTo>
                                        <a:pt x="1676958" y="2863088"/>
                                      </a:lnTo>
                                      <a:lnTo>
                                        <a:pt x="1801926" y="2738120"/>
                                      </a:lnTo>
                                      <a:lnTo>
                                        <a:pt x="2391333" y="3327400"/>
                                      </a:lnTo>
                                      <a:lnTo>
                                        <a:pt x="2394254" y="3329686"/>
                                      </a:lnTo>
                                      <a:lnTo>
                                        <a:pt x="2400477" y="3331845"/>
                                      </a:lnTo>
                                      <a:lnTo>
                                        <a:pt x="2403271" y="3332099"/>
                                      </a:lnTo>
                                      <a:lnTo>
                                        <a:pt x="2406827" y="3330829"/>
                                      </a:lnTo>
                                      <a:lnTo>
                                        <a:pt x="2410764" y="3330067"/>
                                      </a:lnTo>
                                      <a:lnTo>
                                        <a:pt x="2444546" y="3301492"/>
                                      </a:lnTo>
                                      <a:lnTo>
                                        <a:pt x="2452801" y="3284728"/>
                                      </a:lnTo>
                                      <a:lnTo>
                                        <a:pt x="2454071" y="3281299"/>
                                      </a:lnTo>
                                      <a:close/>
                                    </a:path>
                                    <a:path w="4933315" h="4976495">
                                      <a:moveTo>
                                        <a:pt x="2792145" y="2943352"/>
                                      </a:moveTo>
                                      <a:lnTo>
                                        <a:pt x="2792018" y="2940304"/>
                                      </a:lnTo>
                                      <a:lnTo>
                                        <a:pt x="2789732" y="2934208"/>
                                      </a:lnTo>
                                      <a:lnTo>
                                        <a:pt x="2787573" y="2931160"/>
                                      </a:lnTo>
                                      <a:lnTo>
                                        <a:pt x="2198166" y="2341880"/>
                                      </a:lnTo>
                                      <a:lnTo>
                                        <a:pt x="2323134" y="2216912"/>
                                      </a:lnTo>
                                      <a:lnTo>
                                        <a:pt x="2324404" y="2214753"/>
                                      </a:lnTo>
                                      <a:lnTo>
                                        <a:pt x="2324531" y="2211451"/>
                                      </a:lnTo>
                                      <a:lnTo>
                                        <a:pt x="2323515" y="2205101"/>
                                      </a:lnTo>
                                      <a:lnTo>
                                        <a:pt x="2319832" y="2197354"/>
                                      </a:lnTo>
                                      <a:lnTo>
                                        <a:pt x="2316403" y="2192401"/>
                                      </a:lnTo>
                                      <a:lnTo>
                                        <a:pt x="2311831" y="2187448"/>
                                      </a:lnTo>
                                      <a:lnTo>
                                        <a:pt x="2302179" y="2176272"/>
                                      </a:lnTo>
                                      <a:lnTo>
                                        <a:pt x="2295321" y="2169541"/>
                                      </a:lnTo>
                                      <a:lnTo>
                                        <a:pt x="2288590" y="2162683"/>
                                      </a:lnTo>
                                      <a:lnTo>
                                        <a:pt x="2271826" y="2147951"/>
                                      </a:lnTo>
                                      <a:lnTo>
                                        <a:pt x="2267000" y="2144522"/>
                                      </a:lnTo>
                                      <a:lnTo>
                                        <a:pt x="2258745" y="2140204"/>
                                      </a:lnTo>
                                      <a:lnTo>
                                        <a:pt x="2255189" y="2139569"/>
                                      </a:lnTo>
                                      <a:lnTo>
                                        <a:pt x="2252268" y="2139315"/>
                                      </a:lnTo>
                                      <a:lnTo>
                                        <a:pt x="2249093" y="2139442"/>
                                      </a:lnTo>
                                      <a:lnTo>
                                        <a:pt x="2246807" y="2140712"/>
                                      </a:lnTo>
                                      <a:lnTo>
                                        <a:pt x="1938705" y="2448814"/>
                                      </a:lnTo>
                                      <a:lnTo>
                                        <a:pt x="1937435" y="2451100"/>
                                      </a:lnTo>
                                      <a:lnTo>
                                        <a:pt x="1937689" y="2454021"/>
                                      </a:lnTo>
                                      <a:lnTo>
                                        <a:pt x="1937562" y="2457196"/>
                                      </a:lnTo>
                                      <a:lnTo>
                                        <a:pt x="1938705" y="2460371"/>
                                      </a:lnTo>
                                      <a:lnTo>
                                        <a:pt x="1942896" y="2468626"/>
                                      </a:lnTo>
                                      <a:lnTo>
                                        <a:pt x="1946325" y="2473452"/>
                                      </a:lnTo>
                                      <a:lnTo>
                                        <a:pt x="1950770" y="2478532"/>
                                      </a:lnTo>
                                      <a:lnTo>
                                        <a:pt x="1955342" y="2484501"/>
                                      </a:lnTo>
                                      <a:lnTo>
                                        <a:pt x="1960676" y="2490597"/>
                                      </a:lnTo>
                                      <a:lnTo>
                                        <a:pt x="1974265" y="2504186"/>
                                      </a:lnTo>
                                      <a:lnTo>
                                        <a:pt x="1980361" y="2509520"/>
                                      </a:lnTo>
                                      <a:lnTo>
                                        <a:pt x="1985822" y="2513584"/>
                                      </a:lnTo>
                                      <a:lnTo>
                                        <a:pt x="1990775" y="2518029"/>
                                      </a:lnTo>
                                      <a:lnTo>
                                        <a:pt x="1995728" y="2521458"/>
                                      </a:lnTo>
                                      <a:lnTo>
                                        <a:pt x="2003475" y="2525141"/>
                                      </a:lnTo>
                                      <a:lnTo>
                                        <a:pt x="2006523" y="2526157"/>
                                      </a:lnTo>
                                      <a:lnTo>
                                        <a:pt x="2009825" y="2526157"/>
                                      </a:lnTo>
                                      <a:lnTo>
                                        <a:pt x="2012746" y="2526411"/>
                                      </a:lnTo>
                                      <a:lnTo>
                                        <a:pt x="2014893" y="2525141"/>
                                      </a:lnTo>
                                      <a:lnTo>
                                        <a:pt x="2140000" y="2400173"/>
                                      </a:lnTo>
                                      <a:lnTo>
                                        <a:pt x="2729280" y="2989453"/>
                                      </a:lnTo>
                                      <a:lnTo>
                                        <a:pt x="2732328" y="2991739"/>
                                      </a:lnTo>
                                      <a:lnTo>
                                        <a:pt x="2738424" y="2993898"/>
                                      </a:lnTo>
                                      <a:lnTo>
                                        <a:pt x="2741345" y="2994152"/>
                                      </a:lnTo>
                                      <a:lnTo>
                                        <a:pt x="2744774" y="2992755"/>
                                      </a:lnTo>
                                      <a:lnTo>
                                        <a:pt x="2748711" y="2992120"/>
                                      </a:lnTo>
                                      <a:lnTo>
                                        <a:pt x="2785795" y="2959227"/>
                                      </a:lnTo>
                                      <a:lnTo>
                                        <a:pt x="2790875" y="2946781"/>
                                      </a:lnTo>
                                      <a:lnTo>
                                        <a:pt x="2792145" y="2943352"/>
                                      </a:lnTo>
                                      <a:close/>
                                    </a:path>
                                    <a:path w="4933315" h="4976495">
                                      <a:moveTo>
                                        <a:pt x="3240595" y="2409596"/>
                                      </a:moveTo>
                                      <a:lnTo>
                                        <a:pt x="3227628" y="2340483"/>
                                      </a:lnTo>
                                      <a:lnTo>
                                        <a:pt x="3198190" y="2267801"/>
                                      </a:lnTo>
                                      <a:lnTo>
                                        <a:pt x="3177616" y="2230069"/>
                                      </a:lnTo>
                                      <a:lnTo>
                                        <a:pt x="3152952" y="2191385"/>
                                      </a:lnTo>
                                      <a:lnTo>
                                        <a:pt x="3141053" y="2174900"/>
                                      </a:lnTo>
                                      <a:lnTo>
                                        <a:pt x="3141053" y="2395855"/>
                                      </a:lnTo>
                                      <a:lnTo>
                                        <a:pt x="3140760" y="2420239"/>
                                      </a:lnTo>
                                      <a:lnTo>
                                        <a:pt x="3128162" y="2465794"/>
                                      </a:lnTo>
                                      <a:lnTo>
                                        <a:pt x="3098342" y="2506472"/>
                                      </a:lnTo>
                                      <a:lnTo>
                                        <a:pt x="3057931" y="2536787"/>
                                      </a:lnTo>
                                      <a:lnTo>
                                        <a:pt x="3014014" y="2550033"/>
                                      </a:lnTo>
                                      <a:lnTo>
                                        <a:pt x="2990761" y="2551353"/>
                                      </a:lnTo>
                                      <a:lnTo>
                                        <a:pt x="2966770" y="2549296"/>
                                      </a:lnTo>
                                      <a:lnTo>
                                        <a:pt x="2916478" y="2534539"/>
                                      </a:lnTo>
                                      <a:lnTo>
                                        <a:pt x="2863862" y="2507856"/>
                                      </a:lnTo>
                                      <a:lnTo>
                                        <a:pt x="2808782" y="2469642"/>
                                      </a:lnTo>
                                      <a:lnTo>
                                        <a:pt x="2751442" y="2421953"/>
                                      </a:lnTo>
                                      <a:lnTo>
                                        <a:pt x="2722194" y="2395105"/>
                                      </a:lnTo>
                                      <a:lnTo>
                                        <a:pt x="2692577" y="2366264"/>
                                      </a:lnTo>
                                      <a:lnTo>
                                        <a:pt x="2641689" y="2311831"/>
                                      </a:lnTo>
                                      <a:lnTo>
                                        <a:pt x="2596438" y="2256536"/>
                                      </a:lnTo>
                                      <a:lnTo>
                                        <a:pt x="2559964" y="2201799"/>
                                      </a:lnTo>
                                      <a:lnTo>
                                        <a:pt x="2534081" y="2148205"/>
                                      </a:lnTo>
                                      <a:lnTo>
                                        <a:pt x="2519451" y="2096960"/>
                                      </a:lnTo>
                                      <a:lnTo>
                                        <a:pt x="2516911" y="2072233"/>
                                      </a:lnTo>
                                      <a:lnTo>
                                        <a:pt x="2517317" y="2048002"/>
                                      </a:lnTo>
                                      <a:lnTo>
                                        <a:pt x="2529471" y="2002663"/>
                                      </a:lnTo>
                                      <a:lnTo>
                                        <a:pt x="2558973" y="1962277"/>
                                      </a:lnTo>
                                      <a:lnTo>
                                        <a:pt x="2598953" y="1932406"/>
                                      </a:lnTo>
                                      <a:lnTo>
                                        <a:pt x="2643047" y="1919097"/>
                                      </a:lnTo>
                                      <a:lnTo>
                                        <a:pt x="2666504" y="1918068"/>
                                      </a:lnTo>
                                      <a:lnTo>
                                        <a:pt x="2690609" y="1920201"/>
                                      </a:lnTo>
                                      <a:lnTo>
                                        <a:pt x="2740837" y="1934337"/>
                                      </a:lnTo>
                                      <a:lnTo>
                                        <a:pt x="2793733" y="1960918"/>
                                      </a:lnTo>
                                      <a:lnTo>
                                        <a:pt x="2848533" y="1997964"/>
                                      </a:lnTo>
                                      <a:lnTo>
                                        <a:pt x="2905074" y="2044814"/>
                                      </a:lnTo>
                                      <a:lnTo>
                                        <a:pt x="2933611" y="2070963"/>
                                      </a:lnTo>
                                      <a:lnTo>
                                        <a:pt x="2962198" y="2098802"/>
                                      </a:lnTo>
                                      <a:lnTo>
                                        <a:pt x="2988856" y="2126310"/>
                                      </a:lnTo>
                                      <a:lnTo>
                                        <a:pt x="3037382" y="2181695"/>
                                      </a:lnTo>
                                      <a:lnTo>
                                        <a:pt x="3079508" y="2237359"/>
                                      </a:lnTo>
                                      <a:lnTo>
                                        <a:pt x="3111144" y="2291994"/>
                                      </a:lnTo>
                                      <a:lnTo>
                                        <a:pt x="3132455" y="2344915"/>
                                      </a:lnTo>
                                      <a:lnTo>
                                        <a:pt x="3141053" y="2395855"/>
                                      </a:lnTo>
                                      <a:lnTo>
                                        <a:pt x="3141053" y="2174900"/>
                                      </a:lnTo>
                                      <a:lnTo>
                                        <a:pt x="3092500" y="2112073"/>
                                      </a:lnTo>
                                      <a:lnTo>
                                        <a:pt x="3056864" y="2071738"/>
                                      </a:lnTo>
                                      <a:lnTo>
                                        <a:pt x="3017570" y="2030857"/>
                                      </a:lnTo>
                                      <a:lnTo>
                                        <a:pt x="2976867" y="1991601"/>
                                      </a:lnTo>
                                      <a:lnTo>
                                        <a:pt x="2937078" y="1956104"/>
                                      </a:lnTo>
                                      <a:lnTo>
                                        <a:pt x="2898190" y="1924405"/>
                                      </a:lnTo>
                                      <a:lnTo>
                                        <a:pt x="2860217" y="1896491"/>
                                      </a:lnTo>
                                      <a:lnTo>
                                        <a:pt x="2823146" y="1872564"/>
                                      </a:lnTo>
                                      <a:lnTo>
                                        <a:pt x="2787040" y="1852841"/>
                                      </a:lnTo>
                                      <a:lnTo>
                                        <a:pt x="2751963" y="1837169"/>
                                      </a:lnTo>
                                      <a:lnTo>
                                        <a:pt x="2685110" y="1817751"/>
                                      </a:lnTo>
                                      <a:lnTo>
                                        <a:pt x="2653347" y="1814499"/>
                                      </a:lnTo>
                                      <a:lnTo>
                                        <a:pt x="2622550" y="1815325"/>
                                      </a:lnTo>
                                      <a:lnTo>
                                        <a:pt x="2563901" y="1828647"/>
                                      </a:lnTo>
                                      <a:lnTo>
                                        <a:pt x="2510536" y="1859737"/>
                                      </a:lnTo>
                                      <a:lnTo>
                                        <a:pt x="2463000" y="1907641"/>
                                      </a:lnTo>
                                      <a:lnTo>
                                        <a:pt x="2431427" y="1963788"/>
                                      </a:lnTo>
                                      <a:lnTo>
                                        <a:pt x="2418626" y="2025954"/>
                                      </a:lnTo>
                                      <a:lnTo>
                                        <a:pt x="2418410" y="2058835"/>
                                      </a:lnTo>
                                      <a:lnTo>
                                        <a:pt x="2422334" y="2092617"/>
                                      </a:lnTo>
                                      <a:lnTo>
                                        <a:pt x="2443442" y="2163254"/>
                                      </a:lnTo>
                                      <a:lnTo>
                                        <a:pt x="2459863" y="2200122"/>
                                      </a:lnTo>
                                      <a:lnTo>
                                        <a:pt x="2480119" y="2237803"/>
                                      </a:lnTo>
                                      <a:lnTo>
                                        <a:pt x="2504363" y="2276221"/>
                                      </a:lnTo>
                                      <a:lnTo>
                                        <a:pt x="2532469" y="2315273"/>
                                      </a:lnTo>
                                      <a:lnTo>
                                        <a:pt x="2564028" y="2354643"/>
                                      </a:lnTo>
                                      <a:lnTo>
                                        <a:pt x="2598991" y="2394318"/>
                                      </a:lnTo>
                                      <a:lnTo>
                                        <a:pt x="2637332" y="2434209"/>
                                      </a:lnTo>
                                      <a:lnTo>
                                        <a:pt x="2678734" y="2474214"/>
                                      </a:lnTo>
                                      <a:lnTo>
                                        <a:pt x="2719032" y="2510180"/>
                                      </a:lnTo>
                                      <a:lnTo>
                                        <a:pt x="2758389" y="2542286"/>
                                      </a:lnTo>
                                      <a:lnTo>
                                        <a:pt x="2796844" y="2570607"/>
                                      </a:lnTo>
                                      <a:lnTo>
                                        <a:pt x="2834221" y="2594978"/>
                                      </a:lnTo>
                                      <a:lnTo>
                                        <a:pt x="2870517" y="2615158"/>
                                      </a:lnTo>
                                      <a:lnTo>
                                        <a:pt x="2905696" y="2631186"/>
                                      </a:lnTo>
                                      <a:lnTo>
                                        <a:pt x="2972447" y="2651048"/>
                                      </a:lnTo>
                                      <a:lnTo>
                                        <a:pt x="3004312" y="2654579"/>
                                      </a:lnTo>
                                      <a:lnTo>
                                        <a:pt x="3035249" y="2653931"/>
                                      </a:lnTo>
                                      <a:lnTo>
                                        <a:pt x="3094278" y="2640863"/>
                                      </a:lnTo>
                                      <a:lnTo>
                                        <a:pt x="3148355" y="2609545"/>
                                      </a:lnTo>
                                      <a:lnTo>
                                        <a:pt x="3196336" y="2561234"/>
                                      </a:lnTo>
                                      <a:lnTo>
                                        <a:pt x="3227743" y="2504833"/>
                                      </a:lnTo>
                                      <a:lnTo>
                                        <a:pt x="3240468" y="2442514"/>
                                      </a:lnTo>
                                      <a:lnTo>
                                        <a:pt x="3240595" y="2409596"/>
                                      </a:lnTo>
                                      <a:close/>
                                    </a:path>
                                    <a:path w="4933315" h="4976495">
                                      <a:moveTo>
                                        <a:pt x="3845483" y="1820926"/>
                                      </a:moveTo>
                                      <a:lnTo>
                                        <a:pt x="3841419" y="1781048"/>
                                      </a:lnTo>
                                      <a:lnTo>
                                        <a:pt x="3809542" y="1739773"/>
                                      </a:lnTo>
                                      <a:lnTo>
                                        <a:pt x="3774871" y="1709674"/>
                                      </a:lnTo>
                                      <a:lnTo>
                                        <a:pt x="3768394" y="1706626"/>
                                      </a:lnTo>
                                      <a:lnTo>
                                        <a:pt x="3764330" y="1706626"/>
                                      </a:lnTo>
                                      <a:lnTo>
                                        <a:pt x="3762425" y="1707388"/>
                                      </a:lnTo>
                                      <a:lnTo>
                                        <a:pt x="3757345" y="1712468"/>
                                      </a:lnTo>
                                      <a:lnTo>
                                        <a:pt x="3755567" y="1720469"/>
                                      </a:lnTo>
                                      <a:lnTo>
                                        <a:pt x="3756837" y="1733042"/>
                                      </a:lnTo>
                                      <a:lnTo>
                                        <a:pt x="3757396" y="1742833"/>
                                      </a:lnTo>
                                      <a:lnTo>
                                        <a:pt x="3755225" y="1790687"/>
                                      </a:lnTo>
                                      <a:lnTo>
                                        <a:pt x="3745280" y="1833245"/>
                                      </a:lnTo>
                                      <a:lnTo>
                                        <a:pt x="3721468" y="1875840"/>
                                      </a:lnTo>
                                      <a:lnTo>
                                        <a:pt x="3693325" y="1903031"/>
                                      </a:lnTo>
                                      <a:lnTo>
                                        <a:pt x="3656901" y="1922272"/>
                                      </a:lnTo>
                                      <a:lnTo>
                                        <a:pt x="3615486" y="1929790"/>
                                      </a:lnTo>
                                      <a:lnTo>
                                        <a:pt x="3593211" y="1929218"/>
                                      </a:lnTo>
                                      <a:lnTo>
                                        <a:pt x="3545255" y="1918335"/>
                                      </a:lnTo>
                                      <a:lnTo>
                                        <a:pt x="3493185" y="1896033"/>
                                      </a:lnTo>
                                      <a:lnTo>
                                        <a:pt x="3436924" y="1861439"/>
                                      </a:lnTo>
                                      <a:lnTo>
                                        <a:pt x="3377057" y="1815312"/>
                                      </a:lnTo>
                                      <a:lnTo>
                                        <a:pt x="3346031" y="1787791"/>
                                      </a:lnTo>
                                      <a:lnTo>
                                        <a:pt x="3314242" y="1757172"/>
                                      </a:lnTo>
                                      <a:lnTo>
                                        <a:pt x="3283242" y="1724990"/>
                                      </a:lnTo>
                                      <a:lnTo>
                                        <a:pt x="3255314" y="1693494"/>
                                      </a:lnTo>
                                      <a:lnTo>
                                        <a:pt x="3230334" y="1662557"/>
                                      </a:lnTo>
                                      <a:lnTo>
                                        <a:pt x="3189084" y="1602892"/>
                                      </a:lnTo>
                                      <a:lnTo>
                                        <a:pt x="3159683" y="1547228"/>
                                      </a:lnTo>
                                      <a:lnTo>
                                        <a:pt x="3141281" y="1495412"/>
                                      </a:lnTo>
                                      <a:lnTo>
                                        <a:pt x="3135350" y="1448181"/>
                                      </a:lnTo>
                                      <a:lnTo>
                                        <a:pt x="3136696" y="1426464"/>
                                      </a:lnTo>
                                      <a:lnTo>
                                        <a:pt x="3148546" y="1387754"/>
                                      </a:lnTo>
                                      <a:lnTo>
                                        <a:pt x="3172510" y="1355229"/>
                                      </a:lnTo>
                                      <a:lnTo>
                                        <a:pt x="3213862" y="1324686"/>
                                      </a:lnTo>
                                      <a:lnTo>
                                        <a:pt x="3257118" y="1312062"/>
                                      </a:lnTo>
                                      <a:lnTo>
                                        <a:pt x="3296132" y="1308544"/>
                                      </a:lnTo>
                                      <a:lnTo>
                                        <a:pt x="3318154" y="1308862"/>
                                      </a:lnTo>
                                      <a:lnTo>
                                        <a:pt x="3327958" y="1309509"/>
                                      </a:lnTo>
                                      <a:lnTo>
                                        <a:pt x="3340531" y="1310640"/>
                                      </a:lnTo>
                                      <a:lnTo>
                                        <a:pt x="3348532" y="1309878"/>
                                      </a:lnTo>
                                      <a:lnTo>
                                        <a:pt x="3353231" y="1305052"/>
                                      </a:lnTo>
                                      <a:lnTo>
                                        <a:pt x="3353866" y="1302385"/>
                                      </a:lnTo>
                                      <a:lnTo>
                                        <a:pt x="3353739" y="1299464"/>
                                      </a:lnTo>
                                      <a:lnTo>
                                        <a:pt x="3329355" y="1263015"/>
                                      </a:lnTo>
                                      <a:lnTo>
                                        <a:pt x="3301034" y="1235964"/>
                                      </a:lnTo>
                                      <a:lnTo>
                                        <a:pt x="3296716" y="1233043"/>
                                      </a:lnTo>
                                      <a:lnTo>
                                        <a:pt x="3292779" y="1229614"/>
                                      </a:lnTo>
                                      <a:lnTo>
                                        <a:pt x="3250831" y="1217066"/>
                                      </a:lnTo>
                                      <a:lnTo>
                                        <a:pt x="3230930" y="1217295"/>
                                      </a:lnTo>
                                      <a:lnTo>
                                        <a:pt x="3184448" y="1225042"/>
                                      </a:lnTo>
                                      <a:lnTo>
                                        <a:pt x="3137077" y="1244092"/>
                                      </a:lnTo>
                                      <a:lnTo>
                                        <a:pt x="3104616" y="1266621"/>
                                      </a:lnTo>
                                      <a:lnTo>
                                        <a:pt x="3075241" y="1298308"/>
                                      </a:lnTo>
                                      <a:lnTo>
                                        <a:pt x="3048050" y="1349425"/>
                                      </a:lnTo>
                                      <a:lnTo>
                                        <a:pt x="3037205" y="1408658"/>
                                      </a:lnTo>
                                      <a:lnTo>
                                        <a:pt x="3037268" y="1440586"/>
                                      </a:lnTo>
                                      <a:lnTo>
                                        <a:pt x="3049447" y="1508506"/>
                                      </a:lnTo>
                                      <a:lnTo>
                                        <a:pt x="3061868" y="1544840"/>
                                      </a:lnTo>
                                      <a:lnTo>
                                        <a:pt x="3077959" y="1582191"/>
                                      </a:lnTo>
                                      <a:lnTo>
                                        <a:pt x="3097949" y="1620507"/>
                                      </a:lnTo>
                                      <a:lnTo>
                                        <a:pt x="3122091" y="1659763"/>
                                      </a:lnTo>
                                      <a:lnTo>
                                        <a:pt x="3150019" y="1700022"/>
                                      </a:lnTo>
                                      <a:lnTo>
                                        <a:pt x="3181972" y="1740877"/>
                                      </a:lnTo>
                                      <a:lnTo>
                                        <a:pt x="3217913" y="1782229"/>
                                      </a:lnTo>
                                      <a:lnTo>
                                        <a:pt x="3257854" y="1823974"/>
                                      </a:lnTo>
                                      <a:lnTo>
                                        <a:pt x="3298596" y="1863077"/>
                                      </a:lnTo>
                                      <a:lnTo>
                                        <a:pt x="3338525" y="1897976"/>
                                      </a:lnTo>
                                      <a:lnTo>
                                        <a:pt x="3377654" y="1928799"/>
                                      </a:lnTo>
                                      <a:lnTo>
                                        <a:pt x="3415969" y="1955673"/>
                                      </a:lnTo>
                                      <a:lnTo>
                                        <a:pt x="3453422" y="1978990"/>
                                      </a:lnTo>
                                      <a:lnTo>
                                        <a:pt x="3489795" y="1998052"/>
                                      </a:lnTo>
                                      <a:lnTo>
                                        <a:pt x="3525101" y="2013127"/>
                                      </a:lnTo>
                                      <a:lnTo>
                                        <a:pt x="3592131" y="2032203"/>
                                      </a:lnTo>
                                      <a:lnTo>
                                        <a:pt x="3623627" y="2035619"/>
                                      </a:lnTo>
                                      <a:lnTo>
                                        <a:pt x="3653802" y="2035048"/>
                                      </a:lnTo>
                                      <a:lnTo>
                                        <a:pt x="3709924" y="2022957"/>
                                      </a:lnTo>
                                      <a:lnTo>
                                        <a:pt x="3759403" y="1995424"/>
                                      </a:lnTo>
                                      <a:lnTo>
                                        <a:pt x="3793426" y="1963369"/>
                                      </a:lnTo>
                                      <a:lnTo>
                                        <a:pt x="3820591" y="1923415"/>
                                      </a:lnTo>
                                      <a:lnTo>
                                        <a:pt x="3836225" y="1881987"/>
                                      </a:lnTo>
                                      <a:lnTo>
                                        <a:pt x="3844036" y="1843811"/>
                                      </a:lnTo>
                                      <a:lnTo>
                                        <a:pt x="3845229" y="1832127"/>
                                      </a:lnTo>
                                      <a:lnTo>
                                        <a:pt x="3845483" y="1820926"/>
                                      </a:lnTo>
                                      <a:close/>
                                    </a:path>
                                    <a:path w="4933315" h="4976495">
                                      <a:moveTo>
                                        <a:pt x="4226509" y="1423746"/>
                                      </a:moveTo>
                                      <a:lnTo>
                                        <a:pt x="4213657" y="1354582"/>
                                      </a:lnTo>
                                      <a:lnTo>
                                        <a:pt x="4200766" y="1318704"/>
                                      </a:lnTo>
                                      <a:lnTo>
                                        <a:pt x="4184129" y="1281874"/>
                                      </a:lnTo>
                                      <a:lnTo>
                                        <a:pt x="4163568" y="1244104"/>
                                      </a:lnTo>
                                      <a:lnTo>
                                        <a:pt x="4138980" y="1205357"/>
                                      </a:lnTo>
                                      <a:lnTo>
                                        <a:pt x="4126954" y="1188770"/>
                                      </a:lnTo>
                                      <a:lnTo>
                                        <a:pt x="4126954" y="1409928"/>
                                      </a:lnTo>
                                      <a:lnTo>
                                        <a:pt x="4126661" y="1434338"/>
                                      </a:lnTo>
                                      <a:lnTo>
                                        <a:pt x="4114114" y="1479892"/>
                                      </a:lnTo>
                                      <a:lnTo>
                                        <a:pt x="4084243" y="1520571"/>
                                      </a:lnTo>
                                      <a:lnTo>
                                        <a:pt x="4043819" y="1550949"/>
                                      </a:lnTo>
                                      <a:lnTo>
                                        <a:pt x="3999788" y="1564259"/>
                                      </a:lnTo>
                                      <a:lnTo>
                                        <a:pt x="3976636" y="1565490"/>
                                      </a:lnTo>
                                      <a:lnTo>
                                        <a:pt x="3952697" y="1563357"/>
                                      </a:lnTo>
                                      <a:lnTo>
                                        <a:pt x="3902379" y="1548638"/>
                                      </a:lnTo>
                                      <a:lnTo>
                                        <a:pt x="3849865" y="1521955"/>
                                      </a:lnTo>
                                      <a:lnTo>
                                        <a:pt x="3794683" y="1483741"/>
                                      </a:lnTo>
                                      <a:lnTo>
                                        <a:pt x="3737343" y="1436065"/>
                                      </a:lnTo>
                                      <a:lnTo>
                                        <a:pt x="3708095" y="1409204"/>
                                      </a:lnTo>
                                      <a:lnTo>
                                        <a:pt x="3678478" y="1380363"/>
                                      </a:lnTo>
                                      <a:lnTo>
                                        <a:pt x="3627590" y="1325930"/>
                                      </a:lnTo>
                                      <a:lnTo>
                                        <a:pt x="3582339" y="1270635"/>
                                      </a:lnTo>
                                      <a:lnTo>
                                        <a:pt x="3545865" y="1215898"/>
                                      </a:lnTo>
                                      <a:lnTo>
                                        <a:pt x="3519982" y="1162304"/>
                                      </a:lnTo>
                                      <a:lnTo>
                                        <a:pt x="3505403" y="1111059"/>
                                      </a:lnTo>
                                      <a:lnTo>
                                        <a:pt x="3502863" y="1086294"/>
                                      </a:lnTo>
                                      <a:lnTo>
                                        <a:pt x="3503218" y="1062101"/>
                                      </a:lnTo>
                                      <a:lnTo>
                                        <a:pt x="3515322" y="1016787"/>
                                      </a:lnTo>
                                      <a:lnTo>
                                        <a:pt x="3544874" y="976503"/>
                                      </a:lnTo>
                                      <a:lnTo>
                                        <a:pt x="3584816" y="946569"/>
                                      </a:lnTo>
                                      <a:lnTo>
                                        <a:pt x="3628948" y="933196"/>
                                      </a:lnTo>
                                      <a:lnTo>
                                        <a:pt x="3652405" y="932218"/>
                                      </a:lnTo>
                                      <a:lnTo>
                                        <a:pt x="3676510" y="934326"/>
                                      </a:lnTo>
                                      <a:lnTo>
                                        <a:pt x="3726738" y="948309"/>
                                      </a:lnTo>
                                      <a:lnTo>
                                        <a:pt x="3779634" y="975004"/>
                                      </a:lnTo>
                                      <a:lnTo>
                                        <a:pt x="3834434" y="1012063"/>
                                      </a:lnTo>
                                      <a:lnTo>
                                        <a:pt x="3890975" y="1058913"/>
                                      </a:lnTo>
                                      <a:lnTo>
                                        <a:pt x="3919512" y="1085062"/>
                                      </a:lnTo>
                                      <a:lnTo>
                                        <a:pt x="3948099" y="1112901"/>
                                      </a:lnTo>
                                      <a:lnTo>
                                        <a:pt x="3974757" y="1140409"/>
                                      </a:lnTo>
                                      <a:lnTo>
                                        <a:pt x="4023283" y="1195793"/>
                                      </a:lnTo>
                                      <a:lnTo>
                                        <a:pt x="4065409" y="1251458"/>
                                      </a:lnTo>
                                      <a:lnTo>
                                        <a:pt x="4097045" y="1306093"/>
                                      </a:lnTo>
                                      <a:lnTo>
                                        <a:pt x="4118356" y="1358963"/>
                                      </a:lnTo>
                                      <a:lnTo>
                                        <a:pt x="4126954" y="1409928"/>
                                      </a:lnTo>
                                      <a:lnTo>
                                        <a:pt x="4126954" y="1188770"/>
                                      </a:lnTo>
                                      <a:lnTo>
                                        <a:pt x="4078414" y="1126159"/>
                                      </a:lnTo>
                                      <a:lnTo>
                                        <a:pt x="4042765" y="1085824"/>
                                      </a:lnTo>
                                      <a:lnTo>
                                        <a:pt x="4003471" y="1044956"/>
                                      </a:lnTo>
                                      <a:lnTo>
                                        <a:pt x="3962768" y="1005700"/>
                                      </a:lnTo>
                                      <a:lnTo>
                                        <a:pt x="3922979" y="970203"/>
                                      </a:lnTo>
                                      <a:lnTo>
                                        <a:pt x="3884091" y="938504"/>
                                      </a:lnTo>
                                      <a:lnTo>
                                        <a:pt x="3846118" y="910590"/>
                                      </a:lnTo>
                                      <a:lnTo>
                                        <a:pt x="3809022" y="886663"/>
                                      </a:lnTo>
                                      <a:lnTo>
                                        <a:pt x="3772903" y="866940"/>
                                      </a:lnTo>
                                      <a:lnTo>
                                        <a:pt x="3737813" y="851268"/>
                                      </a:lnTo>
                                      <a:lnTo>
                                        <a:pt x="3670998" y="831850"/>
                                      </a:lnTo>
                                      <a:lnTo>
                                        <a:pt x="3639197" y="828611"/>
                                      </a:lnTo>
                                      <a:lnTo>
                                        <a:pt x="3608400" y="829475"/>
                                      </a:lnTo>
                                      <a:lnTo>
                                        <a:pt x="3549802" y="842860"/>
                                      </a:lnTo>
                                      <a:lnTo>
                                        <a:pt x="3496437" y="873861"/>
                                      </a:lnTo>
                                      <a:lnTo>
                                        <a:pt x="3448888" y="921740"/>
                                      </a:lnTo>
                                      <a:lnTo>
                                        <a:pt x="3417227" y="977887"/>
                                      </a:lnTo>
                                      <a:lnTo>
                                        <a:pt x="3404463" y="1040053"/>
                                      </a:lnTo>
                                      <a:lnTo>
                                        <a:pt x="3404273" y="1072946"/>
                                      </a:lnTo>
                                      <a:lnTo>
                                        <a:pt x="3408184" y="1106766"/>
                                      </a:lnTo>
                                      <a:lnTo>
                                        <a:pt x="3429216" y="1177404"/>
                                      </a:lnTo>
                                      <a:lnTo>
                                        <a:pt x="3445649" y="1214234"/>
                                      </a:lnTo>
                                      <a:lnTo>
                                        <a:pt x="3465944" y="1251902"/>
                                      </a:lnTo>
                                      <a:lnTo>
                                        <a:pt x="3490264" y="1290320"/>
                                      </a:lnTo>
                                      <a:lnTo>
                                        <a:pt x="3518357" y="1329372"/>
                                      </a:lnTo>
                                      <a:lnTo>
                                        <a:pt x="3549866" y="1368742"/>
                                      </a:lnTo>
                                      <a:lnTo>
                                        <a:pt x="3584791" y="1408417"/>
                                      </a:lnTo>
                                      <a:lnTo>
                                        <a:pt x="3623106" y="1448308"/>
                                      </a:lnTo>
                                      <a:lnTo>
                                        <a:pt x="3664559" y="1488313"/>
                                      </a:lnTo>
                                      <a:lnTo>
                                        <a:pt x="3704907" y="1524317"/>
                                      </a:lnTo>
                                      <a:lnTo>
                                        <a:pt x="3744239" y="1556435"/>
                                      </a:lnTo>
                                      <a:lnTo>
                                        <a:pt x="3782618" y="1584706"/>
                                      </a:lnTo>
                                      <a:lnTo>
                                        <a:pt x="3820071" y="1609077"/>
                                      </a:lnTo>
                                      <a:lnTo>
                                        <a:pt x="3856405" y="1629257"/>
                                      </a:lnTo>
                                      <a:lnTo>
                                        <a:pt x="3891584" y="1645297"/>
                                      </a:lnTo>
                                      <a:lnTo>
                                        <a:pt x="3958348" y="1665147"/>
                                      </a:lnTo>
                                      <a:lnTo>
                                        <a:pt x="3990213" y="1668691"/>
                                      </a:lnTo>
                                      <a:lnTo>
                                        <a:pt x="4021150" y="1668081"/>
                                      </a:lnTo>
                                      <a:lnTo>
                                        <a:pt x="4080179" y="1655089"/>
                                      </a:lnTo>
                                      <a:lnTo>
                                        <a:pt x="4134256" y="1623720"/>
                                      </a:lnTo>
                                      <a:lnTo>
                                        <a:pt x="4182224" y="1575333"/>
                                      </a:lnTo>
                                      <a:lnTo>
                                        <a:pt x="4213593" y="1518932"/>
                                      </a:lnTo>
                                      <a:lnTo>
                                        <a:pt x="4226369" y="1456677"/>
                                      </a:lnTo>
                                      <a:lnTo>
                                        <a:pt x="4226509" y="1423746"/>
                                      </a:lnTo>
                                      <a:close/>
                                    </a:path>
                                    <a:path w="4933315" h="4976495">
                                      <a:moveTo>
                                        <a:pt x="4493438" y="1238885"/>
                                      </a:moveTo>
                                      <a:lnTo>
                                        <a:pt x="4492422" y="1235837"/>
                                      </a:lnTo>
                                      <a:lnTo>
                                        <a:pt x="4491279" y="1232789"/>
                                      </a:lnTo>
                                      <a:lnTo>
                                        <a:pt x="4488993" y="1229741"/>
                                      </a:lnTo>
                                      <a:lnTo>
                                        <a:pt x="4242740" y="983488"/>
                                      </a:lnTo>
                                      <a:lnTo>
                                        <a:pt x="4292524" y="933704"/>
                                      </a:lnTo>
                                      <a:lnTo>
                                        <a:pt x="4311180" y="913079"/>
                                      </a:lnTo>
                                      <a:lnTo>
                                        <a:pt x="4313618" y="909701"/>
                                      </a:lnTo>
                                      <a:lnTo>
                                        <a:pt x="4326521" y="891921"/>
                                      </a:lnTo>
                                      <a:lnTo>
                                        <a:pt x="4347007" y="847852"/>
                                      </a:lnTo>
                                      <a:lnTo>
                                        <a:pt x="4354868" y="802767"/>
                                      </a:lnTo>
                                      <a:lnTo>
                                        <a:pt x="4354944" y="778319"/>
                                      </a:lnTo>
                                      <a:lnTo>
                                        <a:pt x="4351960" y="753999"/>
                                      </a:lnTo>
                                      <a:lnTo>
                                        <a:pt x="4337774" y="704456"/>
                                      </a:lnTo>
                                      <a:lnTo>
                                        <a:pt x="4313225" y="653669"/>
                                      </a:lnTo>
                                      <a:lnTo>
                                        <a:pt x="4278020" y="602348"/>
                                      </a:lnTo>
                                      <a:lnTo>
                                        <a:pt x="4258564" y="579158"/>
                                      </a:lnTo>
                                      <a:lnTo>
                                        <a:pt x="4258564" y="774280"/>
                                      </a:lnTo>
                                      <a:lnTo>
                                        <a:pt x="4257662" y="788733"/>
                                      </a:lnTo>
                                      <a:lnTo>
                                        <a:pt x="4243057" y="830376"/>
                                      </a:lnTo>
                                      <a:lnTo>
                                        <a:pt x="4168952" y="909701"/>
                                      </a:lnTo>
                                      <a:lnTo>
                                        <a:pt x="3897553" y="638429"/>
                                      </a:lnTo>
                                      <a:lnTo>
                                        <a:pt x="3951541" y="584441"/>
                                      </a:lnTo>
                                      <a:lnTo>
                                        <a:pt x="3986072" y="557403"/>
                                      </a:lnTo>
                                      <a:lnTo>
                                        <a:pt x="4033697" y="544068"/>
                                      </a:lnTo>
                                      <a:lnTo>
                                        <a:pt x="4048417" y="544715"/>
                                      </a:lnTo>
                                      <a:lnTo>
                                        <a:pt x="4099737" y="560705"/>
                                      </a:lnTo>
                                      <a:lnTo>
                                        <a:pt x="4138041" y="584454"/>
                                      </a:lnTo>
                                      <a:lnTo>
                                        <a:pt x="4178604" y="619887"/>
                                      </a:lnTo>
                                      <a:lnTo>
                                        <a:pt x="4206227" y="650608"/>
                                      </a:lnTo>
                                      <a:lnTo>
                                        <a:pt x="4228516" y="681990"/>
                                      </a:lnTo>
                                      <a:lnTo>
                                        <a:pt x="4250779" y="729234"/>
                                      </a:lnTo>
                                      <a:lnTo>
                                        <a:pt x="4258564" y="774280"/>
                                      </a:lnTo>
                                      <a:lnTo>
                                        <a:pt x="4258564" y="579158"/>
                                      </a:lnTo>
                                      <a:lnTo>
                                        <a:pt x="4256583" y="576795"/>
                                      </a:lnTo>
                                      <a:lnTo>
                                        <a:pt x="4232453" y="551307"/>
                                      </a:lnTo>
                                      <a:lnTo>
                                        <a:pt x="4224883" y="544068"/>
                                      </a:lnTo>
                                      <a:lnTo>
                                        <a:pt x="4213314" y="532993"/>
                                      </a:lnTo>
                                      <a:lnTo>
                                        <a:pt x="4175010" y="501472"/>
                                      </a:lnTo>
                                      <a:lnTo>
                                        <a:pt x="4136593" y="476669"/>
                                      </a:lnTo>
                                      <a:lnTo>
                                        <a:pt x="4098874" y="459130"/>
                                      </a:lnTo>
                                      <a:lnTo>
                                        <a:pt x="4061930" y="447548"/>
                                      </a:lnTo>
                                      <a:lnTo>
                                        <a:pt x="4008424" y="442849"/>
                                      </a:lnTo>
                                      <a:lnTo>
                                        <a:pt x="3991533" y="444538"/>
                                      </a:lnTo>
                                      <a:lnTo>
                                        <a:pt x="3949623" y="456692"/>
                                      </a:lnTo>
                                      <a:lnTo>
                                        <a:pt x="3911015" y="479679"/>
                                      </a:lnTo>
                                      <a:lnTo>
                                        <a:pt x="3882059" y="505460"/>
                                      </a:lnTo>
                                      <a:lnTo>
                                        <a:pt x="3788206" y="599313"/>
                                      </a:lnTo>
                                      <a:lnTo>
                                        <a:pt x="3780967" y="616623"/>
                                      </a:lnTo>
                                      <a:lnTo>
                                        <a:pt x="3781094" y="624205"/>
                                      </a:lnTo>
                                      <a:lnTo>
                                        <a:pt x="3803827" y="661035"/>
                                      </a:lnTo>
                                      <a:lnTo>
                                        <a:pt x="4428160" y="1285367"/>
                                      </a:lnTo>
                                      <a:lnTo>
                                        <a:pt x="4430700" y="1288034"/>
                                      </a:lnTo>
                                      <a:lnTo>
                                        <a:pt x="4433748" y="1290193"/>
                                      </a:lnTo>
                                      <a:lnTo>
                                        <a:pt x="4439844" y="1292479"/>
                                      </a:lnTo>
                                      <a:lnTo>
                                        <a:pt x="4442892" y="1292606"/>
                                      </a:lnTo>
                                      <a:lnTo>
                                        <a:pt x="4446321" y="1291336"/>
                                      </a:lnTo>
                                      <a:lnTo>
                                        <a:pt x="4450258" y="1290574"/>
                                      </a:lnTo>
                                      <a:lnTo>
                                        <a:pt x="4484040" y="1261999"/>
                                      </a:lnTo>
                                      <a:lnTo>
                                        <a:pt x="4492295" y="1245235"/>
                                      </a:lnTo>
                                      <a:lnTo>
                                        <a:pt x="4493311" y="1242187"/>
                                      </a:lnTo>
                                      <a:lnTo>
                                        <a:pt x="4493438" y="1238885"/>
                                      </a:lnTo>
                                      <a:close/>
                                    </a:path>
                                    <a:path w="4933315" h="4976495">
                                      <a:moveTo>
                                        <a:pt x="4933239" y="802259"/>
                                      </a:moveTo>
                                      <a:lnTo>
                                        <a:pt x="4933112" y="799211"/>
                                      </a:lnTo>
                                      <a:lnTo>
                                        <a:pt x="4930953" y="793115"/>
                                      </a:lnTo>
                                      <a:lnTo>
                                        <a:pt x="4928667" y="790067"/>
                                      </a:lnTo>
                                      <a:lnTo>
                                        <a:pt x="4676572" y="538099"/>
                                      </a:lnTo>
                                      <a:lnTo>
                                        <a:pt x="4629442" y="446278"/>
                                      </a:lnTo>
                                      <a:lnTo>
                                        <a:pt x="4489424" y="170192"/>
                                      </a:lnTo>
                                      <a:lnTo>
                                        <a:pt x="4418889" y="32385"/>
                                      </a:lnTo>
                                      <a:lnTo>
                                        <a:pt x="4388536" y="0"/>
                                      </a:lnTo>
                                      <a:lnTo>
                                        <a:pt x="4383456" y="1905"/>
                                      </a:lnTo>
                                      <a:lnTo>
                                        <a:pt x="4351960" y="29210"/>
                                      </a:lnTo>
                                      <a:lnTo>
                                        <a:pt x="4337101" y="57658"/>
                                      </a:lnTo>
                                      <a:lnTo>
                                        <a:pt x="4338625" y="61341"/>
                                      </a:lnTo>
                                      <a:lnTo>
                                        <a:pt x="4339895" y="65278"/>
                                      </a:lnTo>
                                      <a:lnTo>
                                        <a:pt x="4341546" y="68961"/>
                                      </a:lnTo>
                                      <a:lnTo>
                                        <a:pt x="4344594" y="73279"/>
                                      </a:lnTo>
                                      <a:lnTo>
                                        <a:pt x="4367149" y="116001"/>
                                      </a:lnTo>
                                      <a:lnTo>
                                        <a:pt x="4434141" y="244411"/>
                                      </a:lnTo>
                                      <a:lnTo>
                                        <a:pt x="4479087" y="329819"/>
                                      </a:lnTo>
                                      <a:lnTo>
                                        <a:pt x="4542028" y="442645"/>
                                      </a:lnTo>
                                      <a:lnTo>
                                        <a:pt x="4563923" y="480314"/>
                                      </a:lnTo>
                                      <a:lnTo>
                                        <a:pt x="4563288" y="480949"/>
                                      </a:lnTo>
                                      <a:lnTo>
                                        <a:pt x="4410253" y="395605"/>
                                      </a:lnTo>
                                      <a:lnTo>
                                        <a:pt x="4367771" y="373176"/>
                                      </a:lnTo>
                                      <a:lnTo>
                                        <a:pt x="4154982" y="261747"/>
                                      </a:lnTo>
                                      <a:lnTo>
                                        <a:pt x="4150283" y="259080"/>
                                      </a:lnTo>
                                      <a:lnTo>
                                        <a:pt x="4146346" y="257937"/>
                                      </a:lnTo>
                                      <a:lnTo>
                                        <a:pt x="4142790" y="256286"/>
                                      </a:lnTo>
                                      <a:lnTo>
                                        <a:pt x="4139234" y="255524"/>
                                      </a:lnTo>
                                      <a:lnTo>
                                        <a:pt x="4094276" y="286893"/>
                                      </a:lnTo>
                                      <a:lnTo>
                                        <a:pt x="4079671" y="307721"/>
                                      </a:lnTo>
                                      <a:lnTo>
                                        <a:pt x="4081703" y="316357"/>
                                      </a:lnTo>
                                      <a:lnTo>
                                        <a:pt x="4112691" y="338582"/>
                                      </a:lnTo>
                                      <a:lnTo>
                                        <a:pt x="4204462" y="385762"/>
                                      </a:lnTo>
                                      <a:lnTo>
                                        <a:pt x="4480572" y="525754"/>
                                      </a:lnTo>
                                      <a:lnTo>
                                        <a:pt x="4618406" y="596265"/>
                                      </a:lnTo>
                                      <a:lnTo>
                                        <a:pt x="4870374" y="848360"/>
                                      </a:lnTo>
                                      <a:lnTo>
                                        <a:pt x="4873422" y="850646"/>
                                      </a:lnTo>
                                      <a:lnTo>
                                        <a:pt x="4876470" y="851789"/>
                                      </a:lnTo>
                                      <a:lnTo>
                                        <a:pt x="4879137" y="853186"/>
                                      </a:lnTo>
                                      <a:lnTo>
                                        <a:pt x="4882439" y="853059"/>
                                      </a:lnTo>
                                      <a:lnTo>
                                        <a:pt x="4885868" y="851662"/>
                                      </a:lnTo>
                                      <a:lnTo>
                                        <a:pt x="4889932" y="850900"/>
                                      </a:lnTo>
                                      <a:lnTo>
                                        <a:pt x="4923333" y="822706"/>
                                      </a:lnTo>
                                      <a:lnTo>
                                        <a:pt x="4931969" y="805561"/>
                                      </a:lnTo>
                                      <a:lnTo>
                                        <a:pt x="4933239"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822pt;margin-top:-27.180853pt;width:388.45pt;height:391.85pt;mso-position-horizontal-relative:column;mso-position-vertical-relative:paragraph;z-index:-25569792" id="docshapegroup59" coordorigin="296,-544" coordsize="7769,7837">
                      <v:shape style="position:absolute;left:296;top:-544;width:7769;height:7837" id="docshape60" coordorigin="296,-544" coordsize="7769,7837" path="m1718,6985l1717,6944,1710,6901,1698,6857,1681,6812,1660,6766,1633,6719,1602,6672,1566,6624,1525,6576,1479,6528,824,5873,819,5870,809,5866,799,5867,793,5869,787,5872,780,5876,773,5881,765,5888,747,5905,736,5920,732,5927,729,5934,727,5939,725,5945,726,5950,729,5960,733,5964,1388,6620,1422,6655,1452,6690,1479,6724,1502,6756,1521,6788,1537,6819,1550,6850,1559,6879,1564,6907,1566,6934,1565,6961,1560,6986,1552,7010,1540,7033,1525,7055,1507,7076,1487,7093,1465,7108,1442,7119,1418,7127,1393,7131,1366,7133,1338,7131,1310,7125,1280,7116,1249,7104,1217,7088,1184,7068,1150,7044,1115,7016,1079,6985,1043,6950,395,6302,390,6298,381,6295,376,6295,370,6295,365,6297,358,6301,351,6305,336,6316,318,6334,312,6342,307,6349,300,6362,298,6368,296,6374,297,6379,300,6388,304,6393,969,7058,1018,7105,1066,7146,1113,7182,1160,7213,1206,7239,1251,7260,1294,7275,1336,7286,1377,7292,1417,7293,1455,7289,1493,7281,1528,7268,1561,7251,1593,7229,1622,7203,1651,7171,1675,7137,1693,7101,1706,7064,1715,7025,1718,6985xm2438,6213l2431,6159,2418,6104,2398,6047,2371,5989,2339,5930,2300,5869,2281,5843,2281,6191,2281,6229,2274,6266,2261,6301,2241,6334,2214,6365,2183,6392,2150,6413,2116,6427,2081,6434,2045,6436,2007,6433,1968,6424,1928,6410,1887,6391,1845,6368,1802,6340,1758,6307,1713,6271,1668,6232,1622,6190,1575,6145,1534,6102,1495,6059,1458,6015,1424,5972,1393,5928,1366,5885,1344,5843,1326,5801,1311,5760,1302,5720,1298,5681,1299,5643,1305,5607,1318,5572,1338,5539,1365,5508,1395,5482,1427,5461,1461,5448,1497,5440,1534,5439,1572,5442,1611,5451,1651,5464,1692,5483,1734,5506,1777,5533,1821,5564,1865,5600,1910,5638,1955,5679,2000,5723,2042,5767,2081,5810,2118,5854,2153,5898,2184,5941,2211,5985,2234,6028,2253,6069,2268,6111,2277,6151,2281,6191,2281,5843,2255,5807,2205,5744,2149,5681,2087,5616,2023,5554,1960,5498,1899,5449,1885,5439,1839,5405,1781,5367,1724,5336,1669,5311,1615,5293,1563,5281,1513,5275,1465,5277,1418,5284,1372,5298,1329,5319,1288,5347,1250,5381,1213,5422,1185,5465,1164,5511,1150,5558,1144,5609,1143,5660,1149,5714,1163,5768,1183,5825,1208,5883,1240,5942,1279,6003,1323,6064,1373,6126,1428,6189,1488,6251,1553,6314,1617,6371,1679,6422,1739,6466,1798,6505,1855,6536,1911,6562,1964,6581,2016,6593,2066,6598,2115,6598,2162,6590,2208,6577,2251,6556,2293,6528,2333,6492,2368,6452,2379,6436,2397,6408,2418,6363,2431,6315,2438,6265,2438,6213xm3193,5592l3193,5587,3190,5578,3186,5573,3182,5569,2155,4542,2150,4538,2141,4535,2136,4535,2130,4536,2124,4538,2119,4541,2111,4545,2104,4550,2096,4556,2079,4574,2068,4588,2060,4602,2058,4607,2057,4614,2057,4619,2060,4628,2063,4634,3094,5665,3099,5668,3109,5672,3113,5672,3119,5670,3125,5669,3131,5665,3139,5661,3146,5656,3154,5649,3171,5632,3178,5624,3183,5617,3187,5609,3190,5604,3191,5597,3193,5592xm3468,5312l3467,5307,3465,5302,3461,5298,3457,5293,3073,4910,3152,4831,3181,4799,3185,4794,3205,4766,3224,4731,3237,4696,3246,4661,3250,4625,3250,4587,3245,4548,3236,4510,3223,4470,3206,4430,3184,4390,3158,4350,3129,4310,3098,4273,3098,4580,3097,4603,3093,4625,3085,4647,3074,4669,3059,4690,3040,4711,2957,4794,2530,4366,2615,4282,2627,4270,2640,4259,2654,4248,2669,4239,2685,4230,2703,4224,2723,4220,2744,4218,2767,4219,2792,4224,2819,4232,2848,4244,2878,4260,2908,4281,2940,4307,2972,4337,2995,4361,3016,4386,3034,4410,3051,4435,3065,4460,3077,4485,3086,4509,3093,4533,3097,4557,3098,4580,3098,4273,3095,4269,3057,4229,3046,4218,3027,4200,2997,4174,2967,4151,2936,4129,2906,4112,2876,4097,2847,4084,2818,4074,2789,4066,2760,4061,2732,4059,2704,4059,2678,4061,2654,4066,2632,4072,2612,4080,2594,4090,2578,4099,2564,4108,2551,4116,2539,4126,2528,4136,2516,4146,2505,4157,2357,4305,2352,4313,2348,4322,2346,4332,2346,4344,2350,4357,2357,4371,2367,4386,2382,4402,3365,5385,3369,5389,3374,5393,3379,5395,3384,5396,3389,5397,3394,5395,3400,5393,3407,5390,3414,5386,3421,5381,3429,5375,3447,5357,3453,5348,3458,5342,3463,5334,3465,5328,3466,5322,3468,5317,3468,5312xm4161,4624l4161,4619,4158,4609,4154,4605,3226,3677,3423,3480,3425,3477,3425,3471,3424,3467,3423,3461,3420,3455,3417,3449,3412,3441,3390,3416,3379,3405,3368,3395,3359,3386,3342,3371,3334,3366,3321,3359,3316,3358,3306,3358,3303,3360,2817,3845,2815,3849,2816,3853,2815,3858,2817,3863,2824,3876,2829,3884,2836,3892,2843,3901,2852,3911,2873,3932,2883,3941,2891,3947,2899,3954,2907,3959,2919,3965,2924,3967,2929,3967,2934,3967,2937,3965,3134,3768,4062,4696,4067,4700,4077,4703,4081,4704,4087,4702,4093,4701,4107,4693,4122,4682,4140,4664,4146,4656,4151,4649,4155,4641,4158,4635,4159,4629,4161,4624xm4694,4092l4693,4087,4690,4077,4686,4072,3758,3144,3955,2948,3957,2944,3957,2939,3956,2929,3950,2917,3944,2909,3937,2901,3922,2884,3911,2873,3901,2862,3874,2839,3867,2834,3854,2827,3848,2826,3843,2825,3838,2826,3835,2828,3350,3313,3348,3316,3348,3321,3348,3326,3350,3331,3356,3344,3362,3352,3369,3360,3376,3369,3384,3379,3406,3400,3415,3408,3424,3415,3432,3422,3439,3427,3452,3433,3456,3435,3462,3435,3466,3435,3470,3433,3667,3236,4595,4164,4599,4168,4609,4171,4614,4172,4619,4169,4625,4168,4639,4161,4646,4156,4654,4149,4672,4132,4684,4117,4690,4103,4692,4097,4694,4092xm5400,3251l5393,3197,5379,3142,5359,3086,5333,3028,5301,2968,5262,2907,5243,2881,5243,3229,5243,3268,5236,3305,5223,3340,5202,3373,5176,3404,5145,3431,5112,3451,5078,3465,5043,3472,5006,3474,4969,3471,4930,3462,4889,3448,4848,3429,4806,3406,4764,3378,4720,3346,4675,3310,4629,3270,4583,3228,4537,3183,4495,3140,4457,3097,4420,3054,4385,3010,4354,2967,4328,2924,4306,2881,4287,2839,4273,2799,4264,2759,4260,2720,4261,2682,4267,2645,4280,2610,4300,2577,4326,2547,4357,2520,4389,2500,4423,2486,4459,2479,4496,2477,4534,2480,4573,2489,4613,2503,4654,2522,4696,2544,4739,2571,4782,2603,4827,2638,4871,2677,4916,2718,4961,2762,5003,2805,5043,2848,5080,2892,5115,2936,5146,2980,5173,3023,5196,3066,5215,3108,5229,3149,5239,3190,5243,3229,5243,2881,5217,2845,5167,2782,5110,2719,5049,2655,4984,2593,4922,2537,4861,2487,4847,2477,4801,2443,4742,2405,4685,2374,4630,2350,4577,2331,4525,2319,4475,2314,4426,2315,4379,2322,4334,2336,4291,2357,4250,2385,4211,2420,4175,2461,4147,2504,4125,2549,4112,2597,4105,2647,4105,2699,4111,2752,4124,2806,4144,2863,4170,2921,4202,2980,4240,3041,4285,3102,4334,3164,4389,3227,4450,3290,4515,3353,4578,3409,4640,3460,4701,3505,4760,3543,4817,3575,4872,3600,4926,3619,4977,3631,5028,3637,5076,3636,5124,3629,5169,3615,5213,3594,5254,3566,5294,3531,5330,3490,5340,3474,5359,3447,5380,3401,5393,3353,5400,3303,5400,3251xm6352,2324l6352,2296,6351,2285,6350,2277,6348,2268,6346,2261,6341,2250,6338,2245,6334,2239,6312,2213,6296,2196,6278,2179,6255,2158,6241,2149,6236,2146,6231,2144,6225,2144,6222,2145,6214,2153,6211,2166,6213,2186,6214,2201,6214,2218,6213,2236,6212,2255,6210,2276,6207,2298,6201,2320,6195,2343,6185,2367,6173,2389,6157,2410,6138,2431,6113,2453,6085,2471,6055,2484,6024,2491,5990,2495,5955,2495,5918,2489,5880,2477,5839,2462,5798,2442,5754,2418,5709,2388,5662,2354,5615,2315,5566,2272,5516,2224,5467,2173,5423,2123,5384,2075,5349,2027,5319,1981,5293,1936,5272,1893,5256,1851,5243,1811,5236,1773,5234,1737,5236,1703,5243,1671,5255,1642,5271,1615,5293,1591,5314,1571,5335,1555,5358,1543,5381,1534,5404,1527,5426,1523,5447,1519,5468,1517,5487,1517,5522,1518,5537,1519,5557,1520,5570,1519,5577,1512,5578,1507,5578,1503,5577,1499,5575,1494,5568,1480,5556,1464,5540,1445,5511,1417,5495,1403,5488,1398,5482,1393,5471,1386,5459,1381,5451,1378,5439,1375,5428,1374,5416,1373,5385,1373,5366,1375,5348,1377,5330,1381,5311,1386,5292,1391,5274,1398,5255,1406,5237,1416,5219,1426,5202,1438,5186,1451,5170,1465,5139,1501,5115,1540,5097,1581,5085,1627,5079,1675,5080,1725,5086,1777,5099,1832,5118,1889,5144,1948,5175,2008,5213,2070,5257,2134,5307,2198,5364,2263,5427,2329,5491,2390,5554,2445,5616,2494,5676,2536,5735,2573,5792,2603,5848,2627,5902,2645,5953,2657,6003,2662,6050,2661,6096,2654,6139,2642,6179,2624,6217,2599,6252,2568,6270,2548,6287,2528,6301,2507,6313,2485,6323,2463,6331,2441,6338,2420,6343,2399,6347,2379,6350,2360,6352,2342,6352,2324xm6952,1699l6946,1645,6932,1590,6912,1533,6886,1475,6853,1416,6815,1355,6796,1328,6796,1677,6795,1715,6789,1752,6775,1787,6755,1820,6728,1851,6697,1878,6665,1899,6631,1913,6595,1920,6559,1922,6521,1918,6482,1910,6442,1895,6401,1876,6359,1853,6316,1825,6272,1793,6227,1757,6182,1718,6136,1676,6089,1630,6048,1587,6009,1544,5973,1501,5938,1457,5907,1414,5880,1371,5858,1329,5840,1287,5826,1246,5817,1206,5813,1167,5813,1129,5819,1092,5832,1058,5852,1025,5879,994,5910,967,5942,947,5976,933,6011,926,6048,924,6086,928,6125,936,6165,950,6207,969,6249,992,6291,1019,6335,1050,6379,1086,6424,1124,6469,1165,6514,1209,6556,1252,6595,1296,6632,1340,6667,1383,6699,1427,6726,1471,6748,1513,6767,1555,6782,1596,6791,1637,6796,1677,6796,1328,6770,1293,6719,1230,6663,1166,6601,1102,6537,1040,6474,984,6413,934,6400,924,6353,890,6295,853,6238,822,6183,797,6129,778,6078,766,6027,761,5979,763,5932,770,5887,784,5844,805,5803,833,5764,867,5728,908,5699,951,5678,996,5664,1044,5658,1094,5658,1146,5664,1199,5677,1254,5697,1311,5723,1369,5755,1428,5793,1488,5837,1550,5887,1612,5942,1674,6002,1737,6067,1800,6131,1857,6193,1907,6253,1952,6312,1990,6370,2022,6425,2047,6479,2066,6530,2079,6580,2084,6629,2083,6676,2076,6722,2063,6766,2042,6807,2013,6847,1978,6883,1937,6893,1922,6911,1894,6932,1848,6945,1800,6952,1750,6952,1699xm7373,1407l7371,1403,7369,1398,7366,1393,6978,1005,7056,927,7086,894,7090,889,7110,861,7129,827,7142,792,7150,756,7155,721,7155,682,7150,644,7141,605,7128,566,7111,526,7089,486,7063,445,7033,405,7003,368,7003,676,7001,698,6997,721,6990,742,6978,764,6963,785,6945,806,6862,889,6434,462,6519,377,6531,365,6544,354,6559,344,6574,334,6590,326,6608,320,6627,315,6649,313,6672,314,6697,319,6724,327,6753,339,6782,356,6813,377,6845,402,6877,433,6900,457,6920,481,6939,505,6956,530,6970,555,6981,580,6991,605,6997,629,7001,652,7003,676,7003,368,7000,365,6962,325,6950,313,6932,296,6901,270,6871,246,6841,225,6811,207,6781,192,6751,179,6722,169,6693,161,6665,156,6637,154,6609,154,6582,156,6558,161,6536,167,6516,176,6499,185,6483,194,6468,203,6456,212,6444,221,6432,231,6421,242,6410,252,6262,400,6256,408,6253,417,6251,427,6251,439,6254,452,6261,466,6272,481,6287,497,7270,1481,7274,1485,7279,1488,7288,1492,7293,1492,7299,1490,7305,1489,7319,1481,7326,1476,7333,1470,7351,1452,7358,1444,7363,1437,7367,1429,7370,1424,7371,1417,7373,1413,7373,1407xm8065,720l8065,715,8062,705,8058,701,7661,304,7587,159,7366,-276,7255,-493,7239,-522,7234,-529,7227,-537,7221,-541,7208,-544,7200,-541,7191,-535,7184,-530,7168,-516,7150,-498,7143,-489,7133,-475,7130,-469,7128,-464,7127,-458,7127,-453,7129,-447,7131,-441,7134,-435,7138,-428,7174,-361,7279,-159,7350,-24,7449,153,7484,213,7483,214,7242,79,7175,44,6840,-131,6832,-136,6826,-137,6821,-140,6815,-141,6803,-139,6798,-137,6791,-133,6767,-114,6744,-92,6736,-82,6724,-66,6721,-59,6724,-45,6728,-39,6743,-28,6752,-22,6773,-10,6918,64,7352,284,7570,395,7966,792,7971,796,7976,798,7980,800,7985,800,7991,798,7997,796,8011,789,8018,784,8025,778,8043,760,8050,752,8055,745,8059,738,8062,731,8063,725,8065,720xe" filled="true" fillcolor="#c0c0c0" stroked="false">
                        <v:path arrowok="t"/>
                        <v:fill opacity="32896f" type="solid"/>
                      </v:shape>
                      <w10:wrap type="none"/>
                    </v:group>
                  </w:pict>
                </mc:Fallback>
              </mc:AlternateContent>
            </w:r>
            <w:r>
              <w:rPr>
                <w:rFonts w:ascii="Times New Roman"/>
                <w:spacing w:val="-2"/>
                <w:sz w:val="19"/>
              </w:rPr>
              <w:t>INSTOWN*IFRS</w:t>
            </w:r>
          </w:p>
        </w:tc>
        <w:tc>
          <w:tcPr>
            <w:tcW w:w="986"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spacing w:before="3"/>
              <w:ind w:left="143" w:right="153"/>
              <w:jc w:val="center"/>
              <w:rPr>
                <w:rFonts w:ascii="Times New Roman"/>
                <w:sz w:val="20"/>
              </w:rPr>
            </w:pPr>
            <w:r>
              <w:rPr>
                <w:rFonts w:ascii="Times New Roman"/>
                <w:spacing w:val="-2"/>
                <w:sz w:val="20"/>
              </w:rPr>
              <w:t>-0.0050</w:t>
            </w:r>
          </w:p>
        </w:tc>
        <w:tc>
          <w:tcPr>
            <w:tcW w:w="1708" w:type="dxa"/>
            <w:tcBorders>
              <w:left w:val="single" w:sz="4" w:space="0" w:color="7E7E7E"/>
              <w:bottom w:val="nil"/>
              <w:right w:val="single" w:sz="4" w:space="0" w:color="000000"/>
            </w:tcBorders>
          </w:tcPr>
          <w:p>
            <w:pPr>
              <w:pStyle w:val="TableParagraph"/>
              <w:spacing w:before="3"/>
              <w:ind w:left="59" w:right="70"/>
              <w:jc w:val="center"/>
              <w:rPr>
                <w:rFonts w:ascii="Times New Roman"/>
                <w:sz w:val="20"/>
              </w:rPr>
            </w:pPr>
            <w:r>
              <w:rPr>
                <w:rFonts w:ascii="Times New Roman"/>
                <w:spacing w:val="-2"/>
                <w:sz w:val="20"/>
              </w:rPr>
              <w:t>0.0007</w:t>
            </w:r>
          </w:p>
        </w:tc>
        <w:tc>
          <w:tcPr>
            <w:tcW w:w="2253" w:type="dxa"/>
            <w:vMerge w:val="restart"/>
            <w:tcBorders>
              <w:left w:val="single" w:sz="4" w:space="0" w:color="000000"/>
              <w:bottom w:val="single" w:sz="4" w:space="0" w:color="000000"/>
              <w:right w:val="nil"/>
            </w:tcBorders>
          </w:tcPr>
          <w:p>
            <w:pPr>
              <w:pStyle w:val="TableParagraph"/>
              <w:rPr>
                <w:rFonts w:ascii="Times New Roman"/>
                <w:sz w:val="18"/>
              </w:rPr>
            </w:pPr>
          </w:p>
        </w:tc>
      </w:tr>
      <w:tr>
        <w:trPr>
          <w:trHeight w:val="523" w:hRule="atLeast"/>
        </w:trPr>
        <w:tc>
          <w:tcPr>
            <w:tcW w:w="1906" w:type="dxa"/>
            <w:tcBorders>
              <w:top w:val="nil"/>
              <w:left w:val="nil"/>
              <w:bottom w:val="nil"/>
            </w:tcBorders>
          </w:tcPr>
          <w:p>
            <w:pPr>
              <w:pStyle w:val="TableParagraph"/>
              <w:rPr>
                <w:rFonts w:ascii="Times New Roman"/>
                <w:sz w:val="18"/>
              </w:rPr>
            </w:pPr>
          </w:p>
        </w:tc>
        <w:tc>
          <w:tcPr>
            <w:tcW w:w="986" w:type="dxa"/>
            <w:tcBorders>
              <w:top w:val="nil"/>
              <w:bottom w:val="nil"/>
              <w:right w:val="single" w:sz="4" w:space="0" w:color="000000"/>
            </w:tcBorders>
          </w:tcPr>
          <w:p>
            <w:pPr>
              <w:pStyle w:val="TableParagraph"/>
              <w:spacing w:before="39"/>
              <w:ind w:left="93" w:right="96"/>
              <w:jc w:val="center"/>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76"/>
              <w:ind w:left="143" w:right="154"/>
              <w:jc w:val="center"/>
              <w:rPr>
                <w:rFonts w:ascii="Times New Roman"/>
                <w:sz w:val="20"/>
              </w:rPr>
            </w:pPr>
            <w:r>
              <w:rPr>
                <w:rFonts w:ascii="Times New Roman"/>
                <w:spacing w:val="-2"/>
                <w:sz w:val="20"/>
              </w:rPr>
              <w:t>(0.0065)</w:t>
            </w:r>
          </w:p>
        </w:tc>
        <w:tc>
          <w:tcPr>
            <w:tcW w:w="1708" w:type="dxa"/>
            <w:tcBorders>
              <w:top w:val="nil"/>
              <w:left w:val="single" w:sz="4" w:space="0" w:color="7E7E7E"/>
              <w:bottom w:val="nil"/>
              <w:right w:val="single" w:sz="4" w:space="0" w:color="000000"/>
            </w:tcBorders>
          </w:tcPr>
          <w:p>
            <w:pPr>
              <w:pStyle w:val="TableParagraph"/>
              <w:spacing w:before="176"/>
              <w:ind w:left="61" w:right="70"/>
              <w:jc w:val="center"/>
              <w:rPr>
                <w:rFonts w:ascii="Times New Roman"/>
                <w:sz w:val="20"/>
              </w:rPr>
            </w:pPr>
            <w:r>
              <w:rPr>
                <w:rFonts w:ascii="Times New Roman"/>
                <w:spacing w:val="-2"/>
                <w:sz w:val="20"/>
              </w:rPr>
              <w:t>(0.00776)</w:t>
            </w:r>
          </w:p>
        </w:tc>
        <w:tc>
          <w:tcPr>
            <w:tcW w:w="2253" w:type="dxa"/>
            <w:vMerge/>
            <w:tcBorders>
              <w:top w:val="nil"/>
              <w:left w:val="single" w:sz="4" w:space="0" w:color="000000"/>
              <w:bottom w:val="single" w:sz="4" w:space="0" w:color="000000"/>
              <w:right w:val="nil"/>
            </w:tcBorders>
          </w:tcPr>
          <w:p>
            <w:pPr>
              <w:rPr>
                <w:sz w:val="2"/>
                <w:szCs w:val="2"/>
              </w:rPr>
            </w:pPr>
          </w:p>
        </w:tc>
      </w:tr>
      <w:tr>
        <w:trPr>
          <w:trHeight w:val="450"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tcBorders>
              <w:top w:val="nil"/>
              <w:bottom w:val="single" w:sz="4" w:space="0" w:color="000000"/>
              <w:right w:val="single" w:sz="4" w:space="0" w:color="000000"/>
            </w:tcBorders>
          </w:tcPr>
          <w:p>
            <w:pPr>
              <w:pStyle w:val="TableParagraph"/>
              <w:rPr>
                <w:rFonts w:ascii="Times New Roman"/>
                <w:sz w:val="18"/>
              </w:rPr>
            </w:pPr>
          </w:p>
        </w:tc>
        <w:tc>
          <w:tcPr>
            <w:tcW w:w="1620" w:type="dxa"/>
            <w:tcBorders>
              <w:top w:val="nil"/>
              <w:left w:val="single" w:sz="4" w:space="0" w:color="000000"/>
              <w:right w:val="single" w:sz="4" w:space="0" w:color="7E7E7E"/>
            </w:tcBorders>
          </w:tcPr>
          <w:p>
            <w:pPr>
              <w:pStyle w:val="TableParagraph"/>
              <w:spacing w:before="108"/>
              <w:ind w:left="143" w:right="143"/>
              <w:jc w:val="center"/>
              <w:rPr>
                <w:rFonts w:ascii="Times New Roman"/>
                <w:sz w:val="20"/>
              </w:rPr>
            </w:pPr>
            <w:r>
              <w:rPr>
                <w:rFonts w:ascii="Times New Roman"/>
                <w:spacing w:val="-2"/>
                <w:sz w:val="20"/>
              </w:rPr>
              <w:t>{0.4388}</w:t>
            </w:r>
          </w:p>
        </w:tc>
        <w:tc>
          <w:tcPr>
            <w:tcW w:w="1708" w:type="dxa"/>
            <w:tcBorders>
              <w:top w:val="nil"/>
              <w:left w:val="single" w:sz="4" w:space="0" w:color="7E7E7E"/>
              <w:right w:val="single" w:sz="4" w:space="0" w:color="000000"/>
            </w:tcBorders>
          </w:tcPr>
          <w:p>
            <w:pPr>
              <w:pStyle w:val="TableParagraph"/>
              <w:spacing w:before="108"/>
              <w:ind w:left="69" w:right="70"/>
              <w:jc w:val="center"/>
              <w:rPr>
                <w:rFonts w:ascii="Times New Roman"/>
                <w:sz w:val="20"/>
              </w:rPr>
            </w:pPr>
            <w:r>
              <w:rPr>
                <w:rFonts w:ascii="Times New Roman"/>
                <w:spacing w:val="-2"/>
                <w:sz w:val="20"/>
              </w:rPr>
              <w:t>{0.9325}</w:t>
            </w:r>
          </w:p>
        </w:tc>
        <w:tc>
          <w:tcPr>
            <w:tcW w:w="2253" w:type="dxa"/>
            <w:vMerge/>
            <w:tcBorders>
              <w:top w:val="nil"/>
              <w:left w:val="single" w:sz="4" w:space="0" w:color="000000"/>
              <w:bottom w:val="single" w:sz="4" w:space="0" w:color="000000"/>
              <w:right w:val="nil"/>
            </w:tcBorders>
          </w:tcPr>
          <w:p>
            <w:pPr>
              <w:rPr>
                <w:sz w:val="2"/>
                <w:szCs w:val="2"/>
              </w:rPr>
            </w:pPr>
          </w:p>
        </w:tc>
      </w:tr>
      <w:tr>
        <w:trPr>
          <w:trHeight w:val="279" w:hRule="atLeast"/>
        </w:trPr>
        <w:tc>
          <w:tcPr>
            <w:tcW w:w="1906" w:type="dxa"/>
            <w:tcBorders>
              <w:top w:val="single" w:sz="4" w:space="0" w:color="000000"/>
              <w:left w:val="nil"/>
              <w:bottom w:val="nil"/>
            </w:tcBorders>
          </w:tcPr>
          <w:p>
            <w:pPr>
              <w:pStyle w:val="TableParagraph"/>
              <w:spacing w:before="2"/>
              <w:ind w:left="159" w:right="146"/>
              <w:jc w:val="center"/>
              <w:rPr>
                <w:rFonts w:ascii="Times New Roman"/>
                <w:sz w:val="19"/>
              </w:rPr>
            </w:pPr>
            <w:r>
              <w:rPr>
                <w:rFonts w:ascii="Times New Roman"/>
                <w:spacing w:val="-2"/>
                <w:sz w:val="19"/>
              </w:rPr>
              <w:t>MOWN*IFRS</w:t>
            </w:r>
          </w:p>
        </w:tc>
        <w:tc>
          <w:tcPr>
            <w:tcW w:w="986" w:type="dxa"/>
            <w:tcBorders>
              <w:top w:val="single" w:sz="4" w:space="0" w:color="000000"/>
              <w:bottom w:val="nil"/>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spacing w:before="2"/>
              <w:ind w:left="143" w:right="153"/>
              <w:jc w:val="center"/>
              <w:rPr>
                <w:rFonts w:ascii="Times New Roman"/>
                <w:sz w:val="20"/>
              </w:rPr>
            </w:pPr>
            <w:r>
              <w:rPr>
                <w:rFonts w:ascii="Times New Roman"/>
                <w:spacing w:val="-2"/>
                <w:sz w:val="20"/>
              </w:rPr>
              <w:t>-0.0002</w:t>
            </w:r>
          </w:p>
        </w:tc>
        <w:tc>
          <w:tcPr>
            <w:tcW w:w="1708" w:type="dxa"/>
            <w:tcBorders>
              <w:left w:val="single" w:sz="4" w:space="0" w:color="7E7E7E"/>
              <w:bottom w:val="nil"/>
              <w:right w:val="single" w:sz="4" w:space="0" w:color="000000"/>
            </w:tcBorders>
          </w:tcPr>
          <w:p>
            <w:pPr>
              <w:pStyle w:val="TableParagraph"/>
              <w:spacing w:before="2"/>
              <w:ind w:left="59" w:right="70"/>
              <w:jc w:val="center"/>
              <w:rPr>
                <w:rFonts w:ascii="Times New Roman"/>
                <w:sz w:val="20"/>
              </w:rPr>
            </w:pPr>
            <w:r>
              <w:rPr>
                <w:rFonts w:ascii="Times New Roman"/>
                <w:spacing w:val="-2"/>
                <w:sz w:val="20"/>
              </w:rPr>
              <w:t>0.0018</w:t>
            </w:r>
          </w:p>
        </w:tc>
        <w:tc>
          <w:tcPr>
            <w:tcW w:w="2253" w:type="dxa"/>
            <w:vMerge w:val="restart"/>
            <w:tcBorders>
              <w:top w:val="single" w:sz="4" w:space="0" w:color="000000"/>
              <w:left w:val="single" w:sz="4" w:space="0" w:color="000000"/>
              <w:bottom w:val="single" w:sz="4" w:space="0" w:color="000000"/>
              <w:right w:val="nil"/>
            </w:tcBorders>
          </w:tcPr>
          <w:p>
            <w:pPr>
              <w:pStyle w:val="TableParagraph"/>
              <w:rPr>
                <w:rFonts w:ascii="Times New Roman"/>
                <w:sz w:val="18"/>
              </w:rPr>
            </w:pPr>
          </w:p>
        </w:tc>
      </w:tr>
      <w:tr>
        <w:trPr>
          <w:trHeight w:val="523" w:hRule="atLeast"/>
        </w:trPr>
        <w:tc>
          <w:tcPr>
            <w:tcW w:w="1906" w:type="dxa"/>
            <w:tcBorders>
              <w:top w:val="nil"/>
              <w:left w:val="nil"/>
              <w:bottom w:val="nil"/>
            </w:tcBorders>
          </w:tcPr>
          <w:p>
            <w:pPr>
              <w:pStyle w:val="TableParagraph"/>
              <w:rPr>
                <w:rFonts w:ascii="Times New Roman"/>
                <w:sz w:val="18"/>
              </w:rPr>
            </w:pPr>
          </w:p>
        </w:tc>
        <w:tc>
          <w:tcPr>
            <w:tcW w:w="986" w:type="dxa"/>
            <w:tcBorders>
              <w:top w:val="nil"/>
              <w:bottom w:val="nil"/>
              <w:right w:val="single" w:sz="4" w:space="0" w:color="000000"/>
            </w:tcBorders>
          </w:tcPr>
          <w:p>
            <w:pPr>
              <w:pStyle w:val="TableParagraph"/>
              <w:spacing w:before="39"/>
              <w:ind w:left="93" w:right="96"/>
              <w:jc w:val="center"/>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7E7E7E"/>
            </w:tcBorders>
          </w:tcPr>
          <w:p>
            <w:pPr>
              <w:pStyle w:val="TableParagraph"/>
              <w:spacing w:before="176"/>
              <w:ind w:left="143" w:right="154"/>
              <w:jc w:val="center"/>
              <w:rPr>
                <w:rFonts w:ascii="Times New Roman"/>
                <w:sz w:val="20"/>
              </w:rPr>
            </w:pPr>
            <w:r>
              <w:rPr>
                <w:rFonts w:ascii="Times New Roman"/>
                <w:spacing w:val="-2"/>
                <w:sz w:val="20"/>
              </w:rPr>
              <w:t>(0.0053)</w:t>
            </w:r>
          </w:p>
        </w:tc>
        <w:tc>
          <w:tcPr>
            <w:tcW w:w="1708" w:type="dxa"/>
            <w:tcBorders>
              <w:top w:val="nil"/>
              <w:left w:val="single" w:sz="4" w:space="0" w:color="7E7E7E"/>
              <w:bottom w:val="nil"/>
              <w:right w:val="single" w:sz="4" w:space="0" w:color="000000"/>
            </w:tcBorders>
          </w:tcPr>
          <w:p>
            <w:pPr>
              <w:pStyle w:val="TableParagraph"/>
              <w:spacing w:before="176"/>
              <w:ind w:left="59" w:right="70"/>
              <w:jc w:val="center"/>
              <w:rPr>
                <w:rFonts w:ascii="Times New Roman"/>
                <w:sz w:val="20"/>
              </w:rPr>
            </w:pPr>
            <w:r>
              <w:rPr>
                <w:rFonts w:ascii="Times New Roman"/>
                <w:spacing w:val="-2"/>
                <w:sz w:val="20"/>
              </w:rPr>
              <w:t>(0.0066)</w:t>
            </w:r>
          </w:p>
        </w:tc>
        <w:tc>
          <w:tcPr>
            <w:tcW w:w="2253" w:type="dxa"/>
            <w:vMerge/>
            <w:tcBorders>
              <w:top w:val="nil"/>
              <w:left w:val="single" w:sz="4" w:space="0" w:color="000000"/>
              <w:bottom w:val="single" w:sz="4" w:space="0" w:color="000000"/>
              <w:right w:val="nil"/>
            </w:tcBorders>
          </w:tcPr>
          <w:p>
            <w:pPr>
              <w:rPr>
                <w:sz w:val="2"/>
                <w:szCs w:val="2"/>
              </w:rPr>
            </w:pPr>
          </w:p>
        </w:tc>
      </w:tr>
      <w:tr>
        <w:trPr>
          <w:trHeight w:val="450"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tcBorders>
              <w:top w:val="nil"/>
              <w:bottom w:val="single" w:sz="4" w:space="0" w:color="000000"/>
              <w:right w:val="single" w:sz="4" w:space="0" w:color="000000"/>
            </w:tcBorders>
          </w:tcPr>
          <w:p>
            <w:pPr>
              <w:pStyle w:val="TableParagraph"/>
              <w:rPr>
                <w:rFonts w:ascii="Times New Roman"/>
                <w:sz w:val="18"/>
              </w:rPr>
            </w:pPr>
          </w:p>
        </w:tc>
        <w:tc>
          <w:tcPr>
            <w:tcW w:w="1620" w:type="dxa"/>
            <w:tcBorders>
              <w:top w:val="nil"/>
              <w:left w:val="single" w:sz="4" w:space="0" w:color="000000"/>
              <w:right w:val="single" w:sz="4" w:space="0" w:color="7E7E7E"/>
            </w:tcBorders>
          </w:tcPr>
          <w:p>
            <w:pPr>
              <w:pStyle w:val="TableParagraph"/>
              <w:spacing w:before="108"/>
              <w:ind w:left="143" w:right="143"/>
              <w:jc w:val="center"/>
              <w:rPr>
                <w:rFonts w:ascii="Times New Roman"/>
                <w:sz w:val="20"/>
              </w:rPr>
            </w:pPr>
            <w:r>
              <w:rPr>
                <w:rFonts w:ascii="Times New Roman"/>
                <w:spacing w:val="-2"/>
                <w:sz w:val="20"/>
              </w:rPr>
              <w:t>{0.9658}</w:t>
            </w:r>
          </w:p>
        </w:tc>
        <w:tc>
          <w:tcPr>
            <w:tcW w:w="1708" w:type="dxa"/>
            <w:tcBorders>
              <w:top w:val="nil"/>
              <w:left w:val="single" w:sz="4" w:space="0" w:color="7E7E7E"/>
              <w:right w:val="single" w:sz="4" w:space="0" w:color="000000"/>
            </w:tcBorders>
          </w:tcPr>
          <w:p>
            <w:pPr>
              <w:pStyle w:val="TableParagraph"/>
              <w:spacing w:before="108"/>
              <w:ind w:left="69" w:right="70"/>
              <w:jc w:val="center"/>
              <w:rPr>
                <w:rFonts w:ascii="Times New Roman"/>
                <w:sz w:val="20"/>
              </w:rPr>
            </w:pPr>
            <w:r>
              <w:rPr>
                <w:rFonts w:ascii="Times New Roman"/>
                <w:spacing w:val="-2"/>
                <w:sz w:val="20"/>
              </w:rPr>
              <w:t>{0.7849}</w:t>
            </w:r>
          </w:p>
        </w:tc>
        <w:tc>
          <w:tcPr>
            <w:tcW w:w="2253" w:type="dxa"/>
            <w:vMerge/>
            <w:tcBorders>
              <w:top w:val="nil"/>
              <w:left w:val="single" w:sz="4" w:space="0" w:color="000000"/>
              <w:bottom w:val="single" w:sz="4" w:space="0" w:color="000000"/>
              <w:right w:val="nil"/>
            </w:tcBorders>
          </w:tcPr>
          <w:p>
            <w:pPr>
              <w:rPr>
                <w:sz w:val="2"/>
                <w:szCs w:val="2"/>
              </w:rPr>
            </w:pPr>
          </w:p>
        </w:tc>
      </w:tr>
      <w:tr>
        <w:trPr>
          <w:trHeight w:val="347" w:hRule="atLeast"/>
        </w:trPr>
        <w:tc>
          <w:tcPr>
            <w:tcW w:w="1906" w:type="dxa"/>
            <w:tcBorders>
              <w:top w:val="single" w:sz="4" w:space="0" w:color="000000"/>
              <w:left w:val="nil"/>
              <w:bottom w:val="nil"/>
            </w:tcBorders>
          </w:tcPr>
          <w:p>
            <w:pPr>
              <w:pStyle w:val="TableParagraph"/>
              <w:ind w:left="159" w:right="146"/>
              <w:jc w:val="center"/>
              <w:rPr>
                <w:rFonts w:ascii="Times New Roman"/>
                <w:sz w:val="19"/>
              </w:rPr>
            </w:pPr>
            <w:r>
              <w:rPr>
                <w:rFonts w:ascii="Times New Roman"/>
                <w:spacing w:val="-2"/>
                <w:sz w:val="19"/>
              </w:rPr>
              <w:t>FOWN*IFRS</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ind w:left="143" w:right="153"/>
              <w:jc w:val="center"/>
              <w:rPr>
                <w:rFonts w:ascii="Times New Roman"/>
                <w:sz w:val="20"/>
              </w:rPr>
            </w:pPr>
            <w:r>
              <w:rPr>
                <w:rFonts w:ascii="Times New Roman"/>
                <w:spacing w:val="-2"/>
                <w:sz w:val="20"/>
              </w:rPr>
              <w:t>0.0020</w:t>
            </w:r>
          </w:p>
        </w:tc>
        <w:tc>
          <w:tcPr>
            <w:tcW w:w="1708" w:type="dxa"/>
            <w:tcBorders>
              <w:left w:val="single" w:sz="4" w:space="0" w:color="7E7E7E"/>
              <w:bottom w:val="nil"/>
              <w:right w:val="single" w:sz="4" w:space="0" w:color="000000"/>
            </w:tcBorders>
          </w:tcPr>
          <w:p>
            <w:pPr>
              <w:pStyle w:val="TableParagraph"/>
              <w:ind w:left="59" w:right="70"/>
              <w:jc w:val="center"/>
              <w:rPr>
                <w:rFonts w:ascii="Times New Roman"/>
                <w:sz w:val="20"/>
              </w:rPr>
            </w:pPr>
            <w:r>
              <w:rPr>
                <w:rFonts w:ascii="Times New Roman"/>
                <w:spacing w:val="-2"/>
                <w:sz w:val="20"/>
              </w:rPr>
              <w:t>0.00827</w:t>
            </w:r>
          </w:p>
        </w:tc>
        <w:tc>
          <w:tcPr>
            <w:tcW w:w="2253" w:type="dxa"/>
            <w:vMerge w:val="restart"/>
            <w:tcBorders>
              <w:top w:val="single" w:sz="4" w:space="0" w:color="000000"/>
              <w:left w:val="single" w:sz="4" w:space="0" w:color="000000"/>
              <w:right w:val="nil"/>
            </w:tcBorders>
          </w:tcPr>
          <w:p>
            <w:pPr>
              <w:pStyle w:val="TableParagraph"/>
              <w:rPr>
                <w:rFonts w:ascii="Times New Roman"/>
                <w:sz w:val="18"/>
              </w:rPr>
            </w:pPr>
          </w:p>
        </w:tc>
      </w:tr>
      <w:tr>
        <w:trPr>
          <w:trHeight w:val="455" w:hRule="atLeast"/>
        </w:trPr>
        <w:tc>
          <w:tcPr>
            <w:tcW w:w="1906" w:type="dxa"/>
            <w:tcBorders>
              <w:top w:val="nil"/>
              <w:left w:val="nil"/>
              <w:bottom w:val="nil"/>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7E7E7E"/>
            </w:tcBorders>
          </w:tcPr>
          <w:p>
            <w:pPr>
              <w:pStyle w:val="TableParagraph"/>
              <w:spacing w:before="108"/>
              <w:ind w:left="143" w:right="156"/>
              <w:jc w:val="center"/>
              <w:rPr>
                <w:rFonts w:ascii="Times New Roman"/>
                <w:sz w:val="20"/>
              </w:rPr>
            </w:pPr>
            <w:r>
              <w:rPr>
                <w:rFonts w:ascii="Times New Roman"/>
                <w:spacing w:val="-2"/>
                <w:sz w:val="20"/>
              </w:rPr>
              <w:t>(0.00491)</w:t>
            </w:r>
          </w:p>
        </w:tc>
        <w:tc>
          <w:tcPr>
            <w:tcW w:w="1708" w:type="dxa"/>
            <w:tcBorders>
              <w:top w:val="nil"/>
              <w:left w:val="single" w:sz="4" w:space="0" w:color="7E7E7E"/>
              <w:bottom w:val="nil"/>
              <w:right w:val="single" w:sz="4" w:space="0" w:color="000000"/>
            </w:tcBorders>
          </w:tcPr>
          <w:p>
            <w:pPr>
              <w:pStyle w:val="TableParagraph"/>
              <w:spacing w:before="108"/>
              <w:ind w:left="59" w:right="70"/>
              <w:jc w:val="center"/>
              <w:rPr>
                <w:rFonts w:ascii="Times New Roman"/>
                <w:sz w:val="20"/>
              </w:rPr>
            </w:pPr>
            <w:r>
              <w:rPr>
                <w:rFonts w:ascii="Times New Roman"/>
                <w:spacing w:val="-2"/>
                <w:sz w:val="20"/>
              </w:rPr>
              <w:t>(0.0060)</w:t>
            </w:r>
          </w:p>
        </w:tc>
        <w:tc>
          <w:tcPr>
            <w:tcW w:w="2253" w:type="dxa"/>
            <w:vMerge/>
            <w:tcBorders>
              <w:top w:val="nil"/>
              <w:left w:val="single" w:sz="4" w:space="0" w:color="000000"/>
              <w:right w:val="nil"/>
            </w:tcBorders>
          </w:tcPr>
          <w:p>
            <w:pPr>
              <w:rPr>
                <w:sz w:val="2"/>
                <w:szCs w:val="2"/>
              </w:rPr>
            </w:pPr>
          </w:p>
        </w:tc>
      </w:tr>
      <w:tr>
        <w:trPr>
          <w:trHeight w:val="451"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right w:val="single" w:sz="4" w:space="0" w:color="7E7E7E"/>
            </w:tcBorders>
          </w:tcPr>
          <w:p>
            <w:pPr>
              <w:pStyle w:val="TableParagraph"/>
              <w:spacing w:before="108"/>
              <w:ind w:left="143" w:right="143"/>
              <w:jc w:val="center"/>
              <w:rPr>
                <w:rFonts w:ascii="Times New Roman"/>
                <w:sz w:val="20"/>
              </w:rPr>
            </w:pPr>
            <w:r>
              <w:rPr>
                <w:rFonts w:ascii="Times New Roman"/>
                <w:spacing w:val="-2"/>
                <w:sz w:val="20"/>
              </w:rPr>
              <w:t>{0.6743}</w:t>
            </w:r>
          </w:p>
        </w:tc>
        <w:tc>
          <w:tcPr>
            <w:tcW w:w="1708" w:type="dxa"/>
            <w:tcBorders>
              <w:top w:val="nil"/>
              <w:left w:val="single" w:sz="4" w:space="0" w:color="7E7E7E"/>
              <w:right w:val="single" w:sz="4" w:space="0" w:color="000000"/>
            </w:tcBorders>
          </w:tcPr>
          <w:p>
            <w:pPr>
              <w:pStyle w:val="TableParagraph"/>
              <w:spacing w:before="108"/>
              <w:ind w:left="69" w:right="70"/>
              <w:jc w:val="center"/>
              <w:rPr>
                <w:rFonts w:ascii="Times New Roman"/>
                <w:sz w:val="20"/>
              </w:rPr>
            </w:pPr>
            <w:r>
              <w:rPr>
                <w:rFonts w:ascii="Times New Roman"/>
                <w:spacing w:val="-2"/>
                <w:sz w:val="20"/>
              </w:rPr>
              <w:t>{0.1715}</w:t>
            </w:r>
          </w:p>
        </w:tc>
        <w:tc>
          <w:tcPr>
            <w:tcW w:w="2253" w:type="dxa"/>
            <w:vMerge/>
            <w:tcBorders>
              <w:top w:val="nil"/>
              <w:left w:val="single" w:sz="4" w:space="0" w:color="000000"/>
              <w:right w:val="nil"/>
            </w:tcBorders>
          </w:tcPr>
          <w:p>
            <w:pPr>
              <w:rPr>
                <w:sz w:val="2"/>
                <w:szCs w:val="2"/>
              </w:rPr>
            </w:pPr>
          </w:p>
        </w:tc>
      </w:tr>
      <w:tr>
        <w:trPr>
          <w:trHeight w:val="347" w:hRule="atLeast"/>
        </w:trPr>
        <w:tc>
          <w:tcPr>
            <w:tcW w:w="1906" w:type="dxa"/>
            <w:tcBorders>
              <w:top w:val="single" w:sz="4" w:space="0" w:color="000000"/>
              <w:left w:val="nil"/>
              <w:bottom w:val="nil"/>
            </w:tcBorders>
          </w:tcPr>
          <w:p>
            <w:pPr>
              <w:pStyle w:val="TableParagraph"/>
              <w:ind w:left="159" w:right="144"/>
              <w:jc w:val="center"/>
              <w:rPr>
                <w:rFonts w:ascii="Times New Roman"/>
                <w:sz w:val="19"/>
              </w:rPr>
            </w:pPr>
            <w:r>
              <w:rPr>
                <w:rFonts w:ascii="Times New Roman"/>
                <w:spacing w:val="-2"/>
                <w:sz w:val="19"/>
              </w:rPr>
              <w:t>BLOWN*IFRS</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left w:val="single" w:sz="4" w:space="0" w:color="000000"/>
              <w:bottom w:val="nil"/>
              <w:right w:val="single" w:sz="4" w:space="0" w:color="7E7E7E"/>
            </w:tcBorders>
          </w:tcPr>
          <w:p>
            <w:pPr>
              <w:pStyle w:val="TableParagraph"/>
              <w:ind w:left="143" w:right="153"/>
              <w:jc w:val="center"/>
              <w:rPr>
                <w:rFonts w:ascii="Times New Roman"/>
                <w:sz w:val="20"/>
              </w:rPr>
            </w:pPr>
            <w:r>
              <w:rPr>
                <w:rFonts w:ascii="Times New Roman"/>
                <w:spacing w:val="-2"/>
                <w:sz w:val="20"/>
              </w:rPr>
              <w:t>0.0056</w:t>
            </w:r>
          </w:p>
        </w:tc>
        <w:tc>
          <w:tcPr>
            <w:tcW w:w="1708" w:type="dxa"/>
            <w:tcBorders>
              <w:left w:val="single" w:sz="4" w:space="0" w:color="7E7E7E"/>
              <w:bottom w:val="nil"/>
              <w:right w:val="single" w:sz="4" w:space="0" w:color="000000"/>
            </w:tcBorders>
          </w:tcPr>
          <w:p>
            <w:pPr>
              <w:pStyle w:val="TableParagraph"/>
              <w:ind w:left="59" w:right="70"/>
              <w:jc w:val="center"/>
              <w:rPr>
                <w:rFonts w:ascii="Times New Roman"/>
                <w:sz w:val="20"/>
              </w:rPr>
            </w:pPr>
            <w:r>
              <w:rPr>
                <w:rFonts w:ascii="Times New Roman"/>
                <w:spacing w:val="-2"/>
                <w:sz w:val="20"/>
              </w:rPr>
              <w:t>-0.00496</w:t>
            </w:r>
          </w:p>
        </w:tc>
        <w:tc>
          <w:tcPr>
            <w:tcW w:w="2253" w:type="dxa"/>
            <w:vMerge w:val="restart"/>
            <w:tcBorders>
              <w:left w:val="single" w:sz="4" w:space="0" w:color="000000"/>
              <w:bottom w:val="single" w:sz="4" w:space="0" w:color="000000"/>
              <w:right w:val="nil"/>
            </w:tcBorders>
          </w:tcPr>
          <w:p>
            <w:pPr>
              <w:pStyle w:val="TableParagraph"/>
              <w:rPr>
                <w:rFonts w:ascii="Times New Roman"/>
                <w:sz w:val="18"/>
              </w:rPr>
            </w:pPr>
          </w:p>
        </w:tc>
      </w:tr>
      <w:tr>
        <w:trPr>
          <w:trHeight w:val="455" w:hRule="atLeast"/>
        </w:trPr>
        <w:tc>
          <w:tcPr>
            <w:tcW w:w="1906" w:type="dxa"/>
            <w:tcBorders>
              <w:top w:val="nil"/>
              <w:left w:val="nil"/>
              <w:bottom w:val="nil"/>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7E7E7E"/>
            </w:tcBorders>
          </w:tcPr>
          <w:p>
            <w:pPr>
              <w:pStyle w:val="TableParagraph"/>
              <w:spacing w:before="108"/>
              <w:ind w:left="143" w:right="156"/>
              <w:jc w:val="center"/>
              <w:rPr>
                <w:rFonts w:ascii="Times New Roman"/>
                <w:sz w:val="20"/>
              </w:rPr>
            </w:pPr>
            <w:r>
              <w:rPr>
                <w:rFonts w:ascii="Times New Roman"/>
                <w:spacing w:val="-2"/>
                <w:sz w:val="20"/>
              </w:rPr>
              <w:t>(0.00541)</w:t>
            </w:r>
          </w:p>
        </w:tc>
        <w:tc>
          <w:tcPr>
            <w:tcW w:w="1708" w:type="dxa"/>
            <w:tcBorders>
              <w:top w:val="nil"/>
              <w:left w:val="single" w:sz="4" w:space="0" w:color="7E7E7E"/>
              <w:bottom w:val="nil"/>
              <w:right w:val="single" w:sz="4" w:space="0" w:color="000000"/>
            </w:tcBorders>
          </w:tcPr>
          <w:p>
            <w:pPr>
              <w:pStyle w:val="TableParagraph"/>
              <w:spacing w:before="108"/>
              <w:ind w:left="61" w:right="70"/>
              <w:jc w:val="center"/>
              <w:rPr>
                <w:rFonts w:ascii="Times New Roman"/>
                <w:sz w:val="20"/>
              </w:rPr>
            </w:pPr>
            <w:r>
              <w:rPr>
                <w:rFonts w:ascii="Times New Roman"/>
                <w:spacing w:val="-2"/>
                <w:sz w:val="20"/>
              </w:rPr>
              <w:t>(0.00712)</w:t>
            </w:r>
          </w:p>
        </w:tc>
        <w:tc>
          <w:tcPr>
            <w:tcW w:w="2253" w:type="dxa"/>
            <w:vMerge/>
            <w:tcBorders>
              <w:top w:val="nil"/>
              <w:left w:val="single" w:sz="4" w:space="0" w:color="000000"/>
              <w:bottom w:val="single" w:sz="4" w:space="0" w:color="000000"/>
              <w:right w:val="nil"/>
            </w:tcBorders>
          </w:tcPr>
          <w:p>
            <w:pPr>
              <w:rPr>
                <w:sz w:val="2"/>
                <w:szCs w:val="2"/>
              </w:rPr>
            </w:pPr>
          </w:p>
        </w:tc>
      </w:tr>
      <w:tr>
        <w:trPr>
          <w:trHeight w:val="450"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right w:val="single" w:sz="4" w:space="0" w:color="7E7E7E"/>
            </w:tcBorders>
          </w:tcPr>
          <w:p>
            <w:pPr>
              <w:pStyle w:val="TableParagraph"/>
              <w:spacing w:before="108"/>
              <w:ind w:left="143" w:right="143"/>
              <w:jc w:val="center"/>
              <w:rPr>
                <w:rFonts w:ascii="Times New Roman"/>
                <w:sz w:val="20"/>
              </w:rPr>
            </w:pPr>
            <w:r>
              <w:rPr>
                <w:rFonts w:ascii="Times New Roman"/>
                <w:spacing w:val="-2"/>
                <w:sz w:val="20"/>
              </w:rPr>
              <w:t>{0.3026}</w:t>
            </w:r>
          </w:p>
        </w:tc>
        <w:tc>
          <w:tcPr>
            <w:tcW w:w="1708" w:type="dxa"/>
            <w:tcBorders>
              <w:top w:val="nil"/>
              <w:left w:val="single" w:sz="4" w:space="0" w:color="7E7E7E"/>
              <w:right w:val="single" w:sz="4" w:space="0" w:color="000000"/>
            </w:tcBorders>
          </w:tcPr>
          <w:p>
            <w:pPr>
              <w:pStyle w:val="TableParagraph"/>
              <w:spacing w:before="108"/>
              <w:ind w:left="69" w:right="70"/>
              <w:jc w:val="center"/>
              <w:rPr>
                <w:rFonts w:ascii="Times New Roman"/>
                <w:sz w:val="20"/>
              </w:rPr>
            </w:pPr>
            <w:r>
              <w:rPr>
                <w:rFonts w:ascii="Times New Roman"/>
                <w:spacing w:val="-2"/>
                <w:sz w:val="20"/>
              </w:rPr>
              <w:t>{0.4869}</w:t>
            </w:r>
          </w:p>
        </w:tc>
        <w:tc>
          <w:tcPr>
            <w:tcW w:w="2253" w:type="dxa"/>
            <w:vMerge/>
            <w:tcBorders>
              <w:top w:val="nil"/>
              <w:left w:val="single" w:sz="4" w:space="0" w:color="000000"/>
              <w:bottom w:val="single" w:sz="4" w:space="0" w:color="000000"/>
              <w:right w:val="nil"/>
            </w:tcBorders>
          </w:tcPr>
          <w:p>
            <w:pPr>
              <w:rPr>
                <w:sz w:val="2"/>
                <w:szCs w:val="2"/>
              </w:rPr>
            </w:pPr>
          </w:p>
        </w:tc>
      </w:tr>
      <w:tr>
        <w:trPr>
          <w:trHeight w:val="347" w:hRule="atLeast"/>
        </w:trPr>
        <w:tc>
          <w:tcPr>
            <w:tcW w:w="1906" w:type="dxa"/>
            <w:tcBorders>
              <w:top w:val="single" w:sz="4" w:space="0" w:color="000000"/>
              <w:left w:val="nil"/>
              <w:bottom w:val="nil"/>
            </w:tcBorders>
          </w:tcPr>
          <w:p>
            <w:pPr>
              <w:pStyle w:val="TableParagraph"/>
              <w:ind w:left="159" w:right="147"/>
              <w:jc w:val="center"/>
              <w:rPr>
                <w:rFonts w:ascii="Times New Roman"/>
                <w:sz w:val="19"/>
              </w:rPr>
            </w:pPr>
            <w:r>
              <w:rPr>
                <w:rFonts w:ascii="Times New Roman"/>
                <w:spacing w:val="-2"/>
                <w:sz w:val="19"/>
              </w:rPr>
              <w:t>Ar(1)</w:t>
            </w:r>
          </w:p>
        </w:tc>
        <w:tc>
          <w:tcPr>
            <w:tcW w:w="986" w:type="dxa"/>
            <w:vMerge w:val="restart"/>
            <w:tcBorders>
              <w:top w:val="single" w:sz="4" w:space="0" w:color="000000"/>
              <w:bottom w:val="single" w:sz="4" w:space="0" w:color="000000"/>
              <w:right w:val="single" w:sz="4" w:space="0" w:color="000000"/>
            </w:tcBorders>
          </w:tcPr>
          <w:p>
            <w:pPr>
              <w:pStyle w:val="TableParagraph"/>
              <w:spacing w:before="7"/>
              <w:rPr>
                <w:rFonts w:ascii="Times New Roman"/>
                <w:sz w:val="18"/>
              </w:rPr>
            </w:pPr>
          </w:p>
          <w:p>
            <w:pPr>
              <w:pStyle w:val="TableParagraph"/>
              <w:ind w:left="351"/>
              <w:rPr>
                <w:rFonts w:ascii="Times New Roman"/>
                <w:sz w:val="20"/>
              </w:rPr>
            </w:pPr>
            <w:r>
              <w:rPr>
                <w:rFonts w:ascii="Times New Roman"/>
                <w:sz w:val="20"/>
              </w:rPr>
              <w:drawing>
                <wp:inline distT="0" distB="0" distL="0" distR="0">
                  <wp:extent cx="224222" cy="223837"/>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9" cstate="print"/>
                          <a:stretch>
                            <a:fillRect/>
                          </a:stretch>
                        </pic:blipFill>
                        <pic:spPr>
                          <a:xfrm>
                            <a:off x="0" y="0"/>
                            <a:ext cx="224222" cy="223837"/>
                          </a:xfrm>
                          <a:prstGeom prst="rect">
                            <a:avLst/>
                          </a:prstGeom>
                        </pic:spPr>
                      </pic:pic>
                    </a:graphicData>
                  </a:graphic>
                </wp:inline>
              </w:drawing>
            </w:r>
            <w:r>
              <w:rPr>
                <w:rFonts w:ascii="Times New Roman"/>
                <w:sz w:val="20"/>
              </w:rPr>
            </w:r>
          </w:p>
        </w:tc>
        <w:tc>
          <w:tcPr>
            <w:tcW w:w="1620" w:type="dxa"/>
            <w:vMerge w:val="restart"/>
            <w:tcBorders>
              <w:left w:val="single" w:sz="4" w:space="0" w:color="000000"/>
              <w:bottom w:val="single" w:sz="4" w:space="0" w:color="000000"/>
              <w:right w:val="single" w:sz="4" w:space="0" w:color="000000"/>
            </w:tcBorders>
          </w:tcPr>
          <w:p>
            <w:pPr>
              <w:pStyle w:val="TableParagraph"/>
              <w:rPr>
                <w:rFonts w:ascii="Times New Roman"/>
                <w:sz w:val="18"/>
              </w:rPr>
            </w:pPr>
          </w:p>
        </w:tc>
        <w:tc>
          <w:tcPr>
            <w:tcW w:w="1708" w:type="dxa"/>
            <w:vMerge w:val="restart"/>
            <w:tcBorders>
              <w:left w:val="single" w:sz="4" w:space="0" w:color="000000"/>
              <w:bottom w:val="single" w:sz="4" w:space="0" w:color="000000"/>
              <w:right w:val="single" w:sz="4" w:space="0" w:color="000000"/>
            </w:tcBorders>
          </w:tcPr>
          <w:p>
            <w:pPr>
              <w:pStyle w:val="TableParagraph"/>
              <w:rPr>
                <w:rFonts w:ascii="Times New Roman"/>
                <w:sz w:val="18"/>
              </w:rPr>
            </w:pPr>
          </w:p>
        </w:tc>
        <w:tc>
          <w:tcPr>
            <w:tcW w:w="2253" w:type="dxa"/>
            <w:tcBorders>
              <w:top w:val="single" w:sz="4" w:space="0" w:color="000000"/>
              <w:left w:val="single" w:sz="4" w:space="0" w:color="000000"/>
              <w:bottom w:val="nil"/>
              <w:right w:val="nil"/>
            </w:tcBorders>
          </w:tcPr>
          <w:p>
            <w:pPr>
              <w:pStyle w:val="TableParagraph"/>
              <w:ind w:left="393" w:right="399"/>
              <w:jc w:val="center"/>
              <w:rPr>
                <w:rFonts w:ascii="Times New Roman"/>
                <w:sz w:val="20"/>
              </w:rPr>
            </w:pPr>
            <w:r>
              <w:rPr>
                <w:rFonts w:ascii="Times New Roman"/>
                <w:spacing w:val="-2"/>
                <w:sz w:val="20"/>
              </w:rPr>
              <w:t>0.1938</w:t>
            </w:r>
          </w:p>
        </w:tc>
      </w:tr>
      <w:tr>
        <w:trPr>
          <w:trHeight w:val="454" w:hRule="atLeast"/>
        </w:trPr>
        <w:tc>
          <w:tcPr>
            <w:tcW w:w="1906" w:type="dxa"/>
            <w:tcBorders>
              <w:top w:val="nil"/>
              <w:left w:val="nil"/>
              <w:bottom w:val="nil"/>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nil"/>
              <w:right w:val="nil"/>
            </w:tcBorders>
          </w:tcPr>
          <w:p>
            <w:pPr>
              <w:pStyle w:val="TableParagraph"/>
              <w:spacing w:before="108"/>
              <w:ind w:left="392" w:right="399"/>
              <w:jc w:val="center"/>
              <w:rPr>
                <w:rFonts w:ascii="Times New Roman"/>
                <w:sz w:val="20"/>
              </w:rPr>
            </w:pPr>
            <w:r>
              <w:rPr>
                <w:rFonts w:ascii="Times New Roman"/>
                <w:spacing w:val="-2"/>
                <w:sz w:val="20"/>
              </w:rPr>
              <w:t>(0.0668)</w:t>
            </w:r>
          </w:p>
        </w:tc>
      </w:tr>
      <w:tr>
        <w:trPr>
          <w:trHeight w:val="372"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single" w:sz="4" w:space="0" w:color="000000"/>
              <w:right w:val="nil"/>
            </w:tcBorders>
          </w:tcPr>
          <w:p>
            <w:pPr>
              <w:pStyle w:val="TableParagraph"/>
              <w:spacing w:before="107"/>
              <w:ind w:left="400" w:right="399"/>
              <w:jc w:val="center"/>
              <w:rPr>
                <w:rFonts w:ascii="Times New Roman"/>
                <w:sz w:val="20"/>
              </w:rPr>
            </w:pPr>
            <w:r>
              <w:rPr>
                <w:rFonts w:ascii="Times New Roman"/>
                <w:spacing w:val="-2"/>
                <w:sz w:val="20"/>
              </w:rPr>
              <w:t>{0.0042}</w:t>
            </w:r>
          </w:p>
        </w:tc>
      </w:tr>
      <w:tr>
        <w:trPr>
          <w:trHeight w:val="326" w:hRule="atLeast"/>
        </w:trPr>
        <w:tc>
          <w:tcPr>
            <w:tcW w:w="6220" w:type="dxa"/>
            <w:gridSpan w:val="4"/>
            <w:tcBorders>
              <w:top w:val="single" w:sz="4" w:space="0" w:color="000000"/>
              <w:left w:val="nil"/>
              <w:bottom w:val="single" w:sz="4" w:space="0" w:color="000000"/>
              <w:right w:val="single" w:sz="4" w:space="0" w:color="000000"/>
            </w:tcBorders>
          </w:tcPr>
          <w:p>
            <w:pPr>
              <w:pStyle w:val="TableParagraph"/>
              <w:ind w:left="22"/>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2253" w:type="dxa"/>
            <w:tcBorders>
              <w:top w:val="single" w:sz="4" w:space="0" w:color="000000"/>
              <w:left w:val="single" w:sz="4" w:space="0" w:color="000000"/>
              <w:bottom w:val="single" w:sz="4" w:space="0" w:color="000000"/>
              <w:right w:val="nil"/>
            </w:tcBorders>
          </w:tcPr>
          <w:p>
            <w:pPr>
              <w:pStyle w:val="TableParagraph"/>
              <w:rPr>
                <w:rFonts w:ascii="Times New Roman"/>
                <w:sz w:val="18"/>
              </w:rPr>
            </w:pP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spacing w:line="148" w:lineRule="auto" w:before="39"/>
              <w:ind w:left="159" w:right="145"/>
              <w:jc w:val="center"/>
              <w:rPr>
                <w:rFonts w:ascii="Times New Roman"/>
                <w:sz w:val="12"/>
              </w:rPr>
            </w:pPr>
            <w:r>
              <w:rPr>
                <w:rFonts w:ascii="Times New Roman"/>
                <w:spacing w:val="-5"/>
                <w:position w:val="-6"/>
                <w:sz w:val="19"/>
              </w:rPr>
              <w:t>R</w:t>
            </w:r>
            <w:r>
              <w:rPr>
                <w:rFonts w:ascii="Times New Roman"/>
                <w:spacing w:val="-5"/>
                <w:sz w:val="12"/>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3"/>
              <w:ind w:left="143" w:right="146"/>
              <w:jc w:val="center"/>
              <w:rPr>
                <w:rFonts w:ascii="Times New Roman"/>
                <w:sz w:val="19"/>
              </w:rPr>
            </w:pPr>
            <w:r>
              <w:rPr>
                <w:rFonts w:ascii="Times New Roman"/>
                <w:spacing w:val="-2"/>
                <w:sz w:val="19"/>
              </w:rPr>
              <w:t>0.235</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spacing w:before="3"/>
              <w:ind w:left="69" w:right="70"/>
              <w:jc w:val="center"/>
              <w:rPr>
                <w:rFonts w:ascii="Times New Roman"/>
                <w:sz w:val="19"/>
              </w:rPr>
            </w:pPr>
            <w:r>
              <w:rPr>
                <w:rFonts w:ascii="Times New Roman"/>
                <w:spacing w:val="-2"/>
                <w:sz w:val="19"/>
              </w:rPr>
              <w:t>0.537</w:t>
            </w:r>
          </w:p>
        </w:tc>
        <w:tc>
          <w:tcPr>
            <w:tcW w:w="2253" w:type="dxa"/>
            <w:tcBorders>
              <w:top w:val="single" w:sz="4" w:space="0" w:color="000000"/>
              <w:left w:val="single" w:sz="4" w:space="0" w:color="000000"/>
              <w:bottom w:val="single" w:sz="4" w:space="0" w:color="000000"/>
              <w:right w:val="nil"/>
            </w:tcBorders>
          </w:tcPr>
          <w:p>
            <w:pPr>
              <w:pStyle w:val="TableParagraph"/>
              <w:spacing w:before="3"/>
              <w:ind w:left="398" w:right="399"/>
              <w:jc w:val="center"/>
              <w:rPr>
                <w:rFonts w:ascii="Times New Roman"/>
                <w:sz w:val="19"/>
              </w:rPr>
            </w:pPr>
            <w:r>
              <w:rPr>
                <w:rFonts w:ascii="Times New Roman"/>
                <w:spacing w:val="-2"/>
                <w:sz w:val="19"/>
              </w:rPr>
              <w:t>0.181</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1"/>
              <w:jc w:val="center"/>
              <w:rPr>
                <w:rFonts w:ascii="Times New Roman"/>
                <w:sz w:val="19"/>
              </w:rPr>
            </w:pPr>
            <w:r>
              <w:rPr/>
              <mc:AlternateContent>
                <mc:Choice Requires="wps">
                  <w:drawing>
                    <wp:anchor distT="0" distB="0" distL="0" distR="0" allowOverlap="1" layoutInCell="1" locked="0" behindDoc="1" simplePos="0" relativeHeight="477746176">
                      <wp:simplePos x="0" y="0"/>
                      <wp:positionH relativeFrom="column">
                        <wp:posOffset>14630</wp:posOffset>
                      </wp:positionH>
                      <wp:positionV relativeFrom="paragraph">
                        <wp:posOffset>-284871</wp:posOffset>
                      </wp:positionV>
                      <wp:extent cx="721995" cy="72263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721995" cy="722630"/>
                                <a:chExt cx="721995" cy="722630"/>
                              </a:xfrm>
                            </wpg:grpSpPr>
                            <wps:wsp>
                              <wps:cNvPr id="200" name="Graphic 200"/>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152pt;margin-top:-22.430855pt;width:56.85pt;height:56.9pt;mso-position-horizontal-relative:column;mso-position-vertical-relative:paragraph;z-index:-25570304" id="docshapegroup61" coordorigin="23,-449" coordsize="1137,1138">
                      <v:shape style="position:absolute;left:23;top:-449;width:1137;height:1138" id="docshape62" coordorigin="23,-449" coordsize="1137,1138" path="m107,-448l45,-410,23,-365,27,-355,1061,681,1080,689,1085,687,1091,686,1150,634,1158,614,1160,609,121,-441,117,-445,107,-448xe" filled="true" fillcolor="#c0c0c0" stroked="false">
                        <v:path arrowok="t"/>
                        <v:fill opacity="32896f" type="solid"/>
                      </v:shape>
                      <w10:wrap type="none"/>
                    </v:group>
                  </w:pict>
                </mc:Fallback>
              </mc:AlternateContent>
            </w: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0.127</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ind w:left="69" w:right="70"/>
              <w:jc w:val="center"/>
              <w:rPr>
                <w:rFonts w:ascii="Times New Roman"/>
                <w:sz w:val="19"/>
              </w:rPr>
            </w:pPr>
            <w:r>
              <w:rPr>
                <w:rFonts w:ascii="Times New Roman"/>
                <w:spacing w:val="-2"/>
                <w:sz w:val="19"/>
              </w:rPr>
              <w:t>0.508</w:t>
            </w:r>
          </w:p>
        </w:tc>
        <w:tc>
          <w:tcPr>
            <w:tcW w:w="2253" w:type="dxa"/>
            <w:tcBorders>
              <w:top w:val="single" w:sz="4" w:space="0" w:color="000000"/>
              <w:left w:val="single" w:sz="4" w:space="0" w:color="000000"/>
              <w:bottom w:val="single" w:sz="4" w:space="0" w:color="000000"/>
              <w:right w:val="nil"/>
            </w:tcBorders>
          </w:tcPr>
          <w:p>
            <w:pPr>
              <w:pStyle w:val="TableParagraph"/>
              <w:ind w:left="398" w:right="399"/>
              <w:jc w:val="center"/>
              <w:rPr>
                <w:rFonts w:ascii="Times New Roman"/>
                <w:sz w:val="19"/>
              </w:rPr>
            </w:pPr>
            <w:r>
              <w:rPr>
                <w:rFonts w:ascii="Times New Roman"/>
                <w:spacing w:val="-2"/>
                <w:sz w:val="19"/>
              </w:rPr>
              <w:t>0.132</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6"/>
              <w:jc w:val="center"/>
              <w:rPr>
                <w:rFonts w:ascii="Times New Roman"/>
                <w:sz w:val="19"/>
              </w:rPr>
            </w:pPr>
            <w:r>
              <w:rPr>
                <w:rFonts w:ascii="Times New Roman"/>
                <w:spacing w:val="-2"/>
                <w:sz w:val="19"/>
              </w:rPr>
              <w:t>F-statistic</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2.176</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ind w:left="69" w:right="70"/>
              <w:jc w:val="center"/>
              <w:rPr>
                <w:rFonts w:ascii="Times New Roman"/>
                <w:sz w:val="19"/>
              </w:rPr>
            </w:pPr>
            <w:r>
              <w:rPr>
                <w:rFonts w:ascii="Times New Roman"/>
                <w:spacing w:val="-2"/>
                <w:sz w:val="19"/>
              </w:rPr>
              <w:t>2.424</w:t>
            </w:r>
          </w:p>
        </w:tc>
        <w:tc>
          <w:tcPr>
            <w:tcW w:w="2253" w:type="dxa"/>
            <w:tcBorders>
              <w:top w:val="single" w:sz="4" w:space="0" w:color="000000"/>
              <w:left w:val="single" w:sz="4" w:space="0" w:color="000000"/>
              <w:bottom w:val="single" w:sz="4" w:space="0" w:color="000000"/>
              <w:right w:val="nil"/>
            </w:tcBorders>
          </w:tcPr>
          <w:p>
            <w:pPr>
              <w:pStyle w:val="TableParagraph"/>
              <w:ind w:left="398" w:right="399"/>
              <w:jc w:val="center"/>
              <w:rPr>
                <w:rFonts w:ascii="Times New Roman"/>
                <w:sz w:val="19"/>
              </w:rPr>
            </w:pPr>
            <w:r>
              <w:rPr>
                <w:rFonts w:ascii="Times New Roman"/>
                <w:spacing w:val="-2"/>
                <w:sz w:val="19"/>
              </w:rPr>
              <w:t>3.683</w:t>
            </w:r>
          </w:p>
        </w:tc>
      </w:tr>
      <w:tr>
        <w:trPr>
          <w:trHeight w:val="325"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5"/>
              <w:jc w:val="center"/>
              <w:rPr>
                <w:rFonts w:ascii="Times New Roman"/>
                <w:sz w:val="19"/>
              </w:rPr>
            </w:pPr>
            <w:r>
              <w:rPr>
                <w:rFonts w:ascii="Times New Roman"/>
                <w:spacing w:val="-2"/>
                <w:sz w:val="19"/>
              </w:rPr>
              <w:t>Prob(F-stat)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6"/>
              <w:jc w:val="center"/>
              <w:rPr>
                <w:rFonts w:ascii="Times New Roman"/>
                <w:sz w:val="19"/>
              </w:rPr>
            </w:pPr>
            <w:r>
              <w:rPr>
                <w:rFonts w:ascii="Times New Roman"/>
                <w:spacing w:val="-2"/>
                <w:sz w:val="19"/>
              </w:rPr>
              <w:t>0.0022</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ind w:left="69" w:right="70"/>
              <w:jc w:val="center"/>
              <w:rPr>
                <w:rFonts w:ascii="Times New Roman"/>
                <w:sz w:val="19"/>
              </w:rPr>
            </w:pPr>
            <w:r>
              <w:rPr>
                <w:rFonts w:ascii="Times New Roman"/>
                <w:spacing w:val="-2"/>
                <w:sz w:val="19"/>
              </w:rPr>
              <w:t>0.006</w:t>
            </w:r>
          </w:p>
        </w:tc>
        <w:tc>
          <w:tcPr>
            <w:tcW w:w="2253" w:type="dxa"/>
            <w:tcBorders>
              <w:top w:val="single" w:sz="4" w:space="0" w:color="000000"/>
              <w:left w:val="single" w:sz="4" w:space="0" w:color="000000"/>
              <w:bottom w:val="single" w:sz="4" w:space="0" w:color="000000"/>
              <w:right w:val="nil"/>
            </w:tcBorders>
          </w:tcPr>
          <w:p>
            <w:pPr>
              <w:pStyle w:val="TableParagraph"/>
              <w:ind w:left="399" w:right="399"/>
              <w:jc w:val="center"/>
              <w:rPr>
                <w:rFonts w:ascii="Times New Roman"/>
                <w:sz w:val="19"/>
              </w:rPr>
            </w:pPr>
            <w:r>
              <w:rPr>
                <w:rFonts w:ascii="Times New Roman"/>
                <w:spacing w:val="-4"/>
                <w:sz w:val="19"/>
              </w:rPr>
              <w:t>0.00</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2"/>
              <w:jc w:val="center"/>
              <w:rPr>
                <w:rFonts w:ascii="Times New Roman"/>
                <w:sz w:val="19"/>
              </w:rPr>
            </w:pPr>
            <w:r>
              <w:rPr>
                <w:rFonts w:ascii="Times New Roman"/>
                <w:spacing w:val="-2"/>
                <w:sz w:val="19"/>
              </w:rPr>
              <w:t>Durbin-Watson</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143" w:right="144"/>
              <w:jc w:val="center"/>
              <w:rPr>
                <w:rFonts w:ascii="Times New Roman"/>
                <w:sz w:val="19"/>
              </w:rPr>
            </w:pPr>
            <w:r>
              <w:rPr>
                <w:rFonts w:ascii="Times New Roman"/>
                <w:spacing w:val="-4"/>
                <w:sz w:val="19"/>
              </w:rPr>
              <w:t>1.53</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ind w:left="69" w:right="70"/>
              <w:jc w:val="center"/>
              <w:rPr>
                <w:rFonts w:ascii="Times New Roman"/>
                <w:sz w:val="19"/>
              </w:rPr>
            </w:pPr>
            <w:r>
              <w:rPr>
                <w:rFonts w:ascii="Times New Roman"/>
                <w:spacing w:val="-5"/>
                <w:sz w:val="19"/>
              </w:rPr>
              <w:t>1.5</w:t>
            </w:r>
          </w:p>
        </w:tc>
        <w:tc>
          <w:tcPr>
            <w:tcW w:w="2253" w:type="dxa"/>
            <w:tcBorders>
              <w:top w:val="single" w:sz="4" w:space="0" w:color="000000"/>
              <w:left w:val="single" w:sz="4" w:space="0" w:color="000000"/>
              <w:bottom w:val="single" w:sz="4" w:space="0" w:color="000000"/>
              <w:right w:val="nil"/>
            </w:tcBorders>
          </w:tcPr>
          <w:p>
            <w:pPr>
              <w:pStyle w:val="TableParagraph"/>
              <w:ind w:left="399" w:right="399"/>
              <w:jc w:val="center"/>
              <w:rPr>
                <w:rFonts w:ascii="Times New Roman"/>
                <w:sz w:val="19"/>
              </w:rPr>
            </w:pPr>
            <w:r>
              <w:rPr>
                <w:rFonts w:ascii="Times New Roman"/>
                <w:spacing w:val="-4"/>
                <w:sz w:val="19"/>
              </w:rPr>
              <w:t>1.96</w:t>
            </w:r>
          </w:p>
        </w:tc>
      </w:tr>
    </w:tbl>
    <w:p>
      <w:pPr>
        <w:spacing w:before="38"/>
        <w:ind w:left="846" w:right="1358" w:firstLine="0"/>
        <w:jc w:val="center"/>
        <w:rPr>
          <w:sz w:val="19"/>
        </w:rPr>
      </w:pPr>
      <w:r>
        <w:rPr>
          <w:sz w:val="19"/>
        </w:rPr>
        <w:t>Model</w:t>
      </w:r>
      <w:r>
        <w:rPr>
          <w:spacing w:val="-6"/>
          <w:sz w:val="19"/>
        </w:rPr>
        <w:t> </w:t>
      </w:r>
      <w:r>
        <w:rPr>
          <w:spacing w:val="-2"/>
          <w:sz w:val="19"/>
        </w:rPr>
        <w:t>Diagnostics</w:t>
      </w:r>
    </w:p>
    <w:p>
      <w:pPr>
        <w:pStyle w:val="BodyText"/>
        <w:spacing w:before="6" w:after="1"/>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986"/>
        <w:gridCol w:w="1620"/>
        <w:gridCol w:w="3962"/>
      </w:tblGrid>
      <w:tr>
        <w:trPr>
          <w:trHeight w:val="654" w:hRule="atLeast"/>
        </w:trPr>
        <w:tc>
          <w:tcPr>
            <w:tcW w:w="1906" w:type="dxa"/>
            <w:tcBorders>
              <w:left w:val="nil"/>
            </w:tcBorders>
          </w:tcPr>
          <w:p>
            <w:pPr>
              <w:pStyle w:val="TableParagraph"/>
              <w:spacing w:line="152" w:lineRule="exact"/>
              <w:ind w:left="722"/>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right="2"/>
              <w:jc w:val="center"/>
              <w:rPr>
                <w:rFonts w:ascii="Times New Roman"/>
                <w:sz w:val="12"/>
              </w:rPr>
            </w:pPr>
            <w:r>
              <w:rPr>
                <w:rFonts w:ascii="Times New Roman"/>
                <w:spacing w:val="-2"/>
                <w:sz w:val="12"/>
              </w:rPr>
              <w:t>Hetero</w:t>
            </w:r>
          </w:p>
          <w:p>
            <w:pPr>
              <w:pStyle w:val="TableParagraph"/>
              <w:spacing w:line="156" w:lineRule="exact" w:before="99"/>
              <w:ind w:left="619"/>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jc w:val="center"/>
              <w:rPr>
                <w:rFonts w:ascii="Times New Roman"/>
                <w:sz w:val="12"/>
              </w:rPr>
            </w:pPr>
            <w:r>
              <w:rPr>
                <w:rFonts w:ascii="Times New Roman"/>
                <w:spacing w:val="-2"/>
                <w:sz w:val="12"/>
              </w:rPr>
              <w:t>Serial/Corr</w:t>
            </w:r>
          </w:p>
        </w:tc>
        <w:tc>
          <w:tcPr>
            <w:tcW w:w="986" w:type="dxa"/>
          </w:tcPr>
          <w:p>
            <w:pPr>
              <w:pStyle w:val="TableParagraph"/>
              <w:ind w:left="271"/>
              <w:rPr>
                <w:rFonts w:ascii="Times New Roman"/>
                <w:sz w:val="19"/>
              </w:rPr>
            </w:pPr>
            <w:r>
              <w:rPr>
                <w:rFonts w:ascii="Times New Roman"/>
                <w:spacing w:val="-2"/>
                <w:sz w:val="19"/>
              </w:rPr>
              <w:t>0.850</w:t>
            </w:r>
          </w:p>
          <w:p>
            <w:pPr>
              <w:pStyle w:val="TableParagraph"/>
              <w:spacing w:before="108"/>
              <w:ind w:left="271"/>
              <w:rPr>
                <w:rFonts w:ascii="Times New Roman"/>
                <w:sz w:val="19"/>
              </w:rPr>
            </w:pPr>
            <w:r>
              <w:rPr>
                <w:rFonts w:ascii="Times New Roman"/>
                <w:spacing w:val="-2"/>
                <w:sz w:val="19"/>
              </w:rPr>
              <w:t>0.682</w:t>
            </w:r>
          </w:p>
        </w:tc>
        <w:tc>
          <w:tcPr>
            <w:tcW w:w="1620" w:type="dxa"/>
          </w:tcPr>
          <w:p>
            <w:pPr>
              <w:pStyle w:val="TableParagraph"/>
              <w:spacing w:line="152" w:lineRule="exact"/>
              <w:ind w:left="38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0" w:right="13"/>
              <w:jc w:val="center"/>
              <w:rPr>
                <w:rFonts w:ascii="Times New Roman"/>
                <w:sz w:val="12"/>
              </w:rPr>
            </w:pPr>
            <w:r>
              <w:rPr>
                <w:rFonts w:ascii="Times New Roman"/>
                <w:spacing w:val="-2"/>
                <w:sz w:val="12"/>
              </w:rPr>
              <w:t>Ramsey-Reset</w:t>
            </w:r>
          </w:p>
          <w:p>
            <w:pPr>
              <w:pStyle w:val="TableParagraph"/>
              <w:spacing w:line="156" w:lineRule="exact" w:before="99"/>
              <w:ind w:left="50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1" w:right="13"/>
              <w:jc w:val="center"/>
              <w:rPr>
                <w:rFonts w:ascii="Times New Roman"/>
                <w:sz w:val="12"/>
              </w:rPr>
            </w:pPr>
            <w:r>
              <w:rPr>
                <w:rFonts w:ascii="Times New Roman"/>
                <w:spacing w:val="-2"/>
                <w:sz w:val="12"/>
              </w:rPr>
              <w:t>Hausman</w:t>
            </w:r>
          </w:p>
        </w:tc>
        <w:tc>
          <w:tcPr>
            <w:tcW w:w="3962" w:type="dxa"/>
            <w:tcBorders>
              <w:right w:val="nil"/>
            </w:tcBorders>
          </w:tcPr>
          <w:p>
            <w:pPr>
              <w:pStyle w:val="TableParagraph"/>
              <w:ind w:left="2" w:right="4"/>
              <w:jc w:val="center"/>
              <w:rPr>
                <w:rFonts w:ascii="Times New Roman"/>
                <w:sz w:val="19"/>
              </w:rPr>
            </w:pPr>
            <w:r>
              <w:rPr>
                <w:rFonts w:ascii="Times New Roman"/>
                <w:spacing w:val="-2"/>
                <w:sz w:val="19"/>
              </w:rPr>
              <w:t>0.709</w:t>
            </w:r>
          </w:p>
          <w:p>
            <w:pPr>
              <w:pStyle w:val="TableParagraph"/>
              <w:spacing w:before="108"/>
              <w:ind w:right="4"/>
              <w:jc w:val="center"/>
              <w:rPr>
                <w:rFonts w:ascii="Times New Roman"/>
                <w:sz w:val="19"/>
              </w:rPr>
            </w:pPr>
            <w:r>
              <w:rPr>
                <w:rFonts w:ascii="Times New Roman"/>
                <w:spacing w:val="-2"/>
                <w:sz w:val="19"/>
              </w:rPr>
              <w:t>15.89(0.00)</w:t>
            </w:r>
          </w:p>
        </w:tc>
      </w:tr>
    </w:tbl>
    <w:p>
      <w:pPr>
        <w:spacing w:before="0"/>
        <w:ind w:left="940" w:right="0" w:firstLine="0"/>
        <w:jc w:val="left"/>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left"/>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spacing w:after="0"/>
        <w:jc w:val="left"/>
        <w:rPr>
          <w:sz w:val="19"/>
        </w:rPr>
        <w:sectPr>
          <w:type w:val="continuous"/>
          <w:pgSz w:w="11910" w:h="16840"/>
          <w:pgMar w:header="0" w:footer="971" w:top="1400" w:bottom="1160" w:left="500" w:right="0"/>
        </w:sectPr>
      </w:pPr>
    </w:p>
    <w:p>
      <w:pPr>
        <w:pStyle w:val="BodyText"/>
        <w:spacing w:line="475" w:lineRule="auto" w:before="61"/>
        <w:ind w:left="940" w:right="1435"/>
        <w:jc w:val="both"/>
      </w:pPr>
      <w:r>
        <w:rPr/>
        <w:t>Table 4.9 showed the regression results examining the impact of ownership structure on discretionary accruals measurement for financial reporting quality (Appendices 17 to 19). </w:t>
      </w:r>
      <w:r>
        <w:rPr>
          <w:position w:val="2"/>
        </w:rPr>
        <w:t>Again, the fixed effect was selected for the inferences based on the χ</w:t>
      </w:r>
      <w:r>
        <w:rPr>
          <w:position w:val="2"/>
          <w:vertAlign w:val="superscript"/>
        </w:rPr>
        <w:t>2</w:t>
      </w:r>
      <w:r>
        <w:rPr>
          <w:sz w:val="16"/>
          <w:vertAlign w:val="baseline"/>
        </w:rPr>
        <w:t>Hausman</w:t>
      </w:r>
      <w:r>
        <w:rPr>
          <w:spacing w:val="33"/>
          <w:sz w:val="16"/>
          <w:vertAlign w:val="baseline"/>
        </w:rPr>
        <w:t> </w:t>
      </w:r>
      <w:r>
        <w:rPr>
          <w:position w:val="2"/>
          <w:vertAlign w:val="baseline"/>
        </w:rPr>
        <w:t>statistic (15.89) </w:t>
      </w:r>
      <w:r>
        <w:rPr>
          <w:vertAlign w:val="baseline"/>
        </w:rPr>
        <w:t>and</w:t>
      </w:r>
      <w:r>
        <w:rPr>
          <w:spacing w:val="3"/>
          <w:vertAlign w:val="baseline"/>
        </w:rPr>
        <w:t> </w:t>
      </w:r>
      <w:r>
        <w:rPr>
          <w:vertAlign w:val="baseline"/>
        </w:rPr>
        <w:t>p-value</w:t>
      </w:r>
      <w:r>
        <w:rPr>
          <w:spacing w:val="5"/>
          <w:vertAlign w:val="baseline"/>
        </w:rPr>
        <w:t> </w:t>
      </w:r>
      <w:r>
        <w:rPr>
          <w:vertAlign w:val="baseline"/>
        </w:rPr>
        <w:t>(0.000).</w:t>
      </w:r>
      <w:r>
        <w:rPr>
          <w:spacing w:val="3"/>
          <w:vertAlign w:val="baseline"/>
        </w:rPr>
        <w:t> </w:t>
      </w:r>
      <w:r>
        <w:rPr>
          <w:vertAlign w:val="baseline"/>
        </w:rPr>
        <w:t>The</w:t>
      </w:r>
      <w:r>
        <w:rPr>
          <w:spacing w:val="5"/>
          <w:vertAlign w:val="baseline"/>
        </w:rPr>
        <w:t> </w:t>
      </w:r>
      <w:r>
        <w:rPr>
          <w:vertAlign w:val="baseline"/>
        </w:rPr>
        <w:t>R</w:t>
      </w:r>
      <w:r>
        <w:rPr>
          <w:vertAlign w:val="superscript"/>
        </w:rPr>
        <w:t>2</w:t>
      </w:r>
      <w:r>
        <w:rPr>
          <w:spacing w:val="5"/>
          <w:vertAlign w:val="baseline"/>
        </w:rPr>
        <w:t> </w:t>
      </w:r>
      <w:r>
        <w:rPr>
          <w:vertAlign w:val="baseline"/>
        </w:rPr>
        <w:t>and</w:t>
      </w:r>
      <w:r>
        <w:rPr>
          <w:spacing w:val="4"/>
          <w:vertAlign w:val="baseline"/>
        </w:rPr>
        <w:t> </w:t>
      </w:r>
      <w:r>
        <w:rPr>
          <w:vertAlign w:val="baseline"/>
        </w:rPr>
        <w:t>Adj</w:t>
      </w:r>
      <w:r>
        <w:rPr>
          <w:spacing w:val="3"/>
          <w:vertAlign w:val="baseline"/>
        </w:rPr>
        <w:t> </w:t>
      </w:r>
      <w:r>
        <w:rPr>
          <w:vertAlign w:val="baseline"/>
        </w:rPr>
        <w:t>R</w:t>
      </w:r>
      <w:r>
        <w:rPr>
          <w:vertAlign w:val="superscript"/>
        </w:rPr>
        <w:t>2</w:t>
      </w:r>
      <w:r>
        <w:rPr>
          <w:spacing w:val="-16"/>
          <w:vertAlign w:val="baseline"/>
        </w:rPr>
        <w:t> </w:t>
      </w:r>
      <w:r>
        <w:rPr>
          <w:vertAlign w:val="baseline"/>
        </w:rPr>
        <w:t>stood</w:t>
      </w:r>
      <w:r>
        <w:rPr>
          <w:spacing w:val="5"/>
          <w:vertAlign w:val="baseline"/>
        </w:rPr>
        <w:t> </w:t>
      </w:r>
      <w:r>
        <w:rPr>
          <w:vertAlign w:val="baseline"/>
        </w:rPr>
        <w:t>at</w:t>
      </w:r>
      <w:r>
        <w:rPr>
          <w:spacing w:val="5"/>
          <w:vertAlign w:val="baseline"/>
        </w:rPr>
        <w:t> </w:t>
      </w:r>
      <w:r>
        <w:rPr>
          <w:vertAlign w:val="baseline"/>
        </w:rPr>
        <w:t>53.7%</w:t>
      </w:r>
      <w:r>
        <w:rPr>
          <w:spacing w:val="2"/>
          <w:vertAlign w:val="baseline"/>
        </w:rPr>
        <w:t> </w:t>
      </w:r>
      <w:r>
        <w:rPr>
          <w:vertAlign w:val="baseline"/>
        </w:rPr>
        <w:t>and</w:t>
      </w:r>
      <w:r>
        <w:rPr>
          <w:spacing w:val="4"/>
          <w:vertAlign w:val="baseline"/>
        </w:rPr>
        <w:t> </w:t>
      </w:r>
      <w:r>
        <w:rPr>
          <w:vertAlign w:val="baseline"/>
        </w:rPr>
        <w:t>50.8%</w:t>
      </w:r>
      <w:r>
        <w:rPr>
          <w:spacing w:val="5"/>
          <w:vertAlign w:val="baseline"/>
        </w:rPr>
        <w:t> </w:t>
      </w:r>
      <w:r>
        <w:rPr>
          <w:vertAlign w:val="baseline"/>
        </w:rPr>
        <w:t>respectively.</w:t>
      </w:r>
      <w:r>
        <w:rPr>
          <w:spacing w:val="5"/>
          <w:vertAlign w:val="baseline"/>
        </w:rPr>
        <w:t> </w:t>
      </w:r>
      <w:r>
        <w:rPr>
          <w:vertAlign w:val="baseline"/>
        </w:rPr>
        <w:t>The</w:t>
      </w:r>
      <w:r>
        <w:rPr>
          <w:spacing w:val="5"/>
          <w:vertAlign w:val="baseline"/>
        </w:rPr>
        <w:t> </w:t>
      </w:r>
      <w:r>
        <w:rPr>
          <w:vertAlign w:val="baseline"/>
        </w:rPr>
        <w:t>F-stat</w:t>
      </w:r>
      <w:r>
        <w:rPr>
          <w:spacing w:val="3"/>
          <w:vertAlign w:val="baseline"/>
        </w:rPr>
        <w:t> </w:t>
      </w:r>
      <w:r>
        <w:rPr>
          <w:spacing w:val="-5"/>
          <w:vertAlign w:val="baseline"/>
        </w:rPr>
        <w:t>of</w:t>
      </w:r>
    </w:p>
    <w:p>
      <w:pPr>
        <w:pStyle w:val="BodyText"/>
        <w:spacing w:line="480" w:lineRule="auto" w:before="2"/>
        <w:ind w:left="940" w:right="1435"/>
      </w:pPr>
      <w:r>
        <w:rPr/>
        <w:drawing>
          <wp:anchor distT="0" distB="0" distL="0" distR="0" allowOverlap="1" layoutInCell="1" locked="0" behindDoc="1" simplePos="0" relativeHeight="477747200">
            <wp:simplePos x="0" y="0"/>
            <wp:positionH relativeFrom="page">
              <wp:posOffset>1095451</wp:posOffset>
            </wp:positionH>
            <wp:positionV relativeFrom="paragraph">
              <wp:posOffset>411394</wp:posOffset>
            </wp:positionV>
            <wp:extent cx="5106847" cy="5238115"/>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5" cstate="print"/>
                    <a:stretch>
                      <a:fillRect/>
                    </a:stretch>
                  </pic:blipFill>
                  <pic:spPr>
                    <a:xfrm>
                      <a:off x="0" y="0"/>
                      <a:ext cx="5106847" cy="5238115"/>
                    </a:xfrm>
                    <a:prstGeom prst="rect">
                      <a:avLst/>
                    </a:prstGeom>
                  </pic:spPr>
                </pic:pic>
              </a:graphicData>
            </a:graphic>
          </wp:anchor>
        </w:drawing>
      </w:r>
      <w:r>
        <w:rPr/>
        <w:t>2.424</w:t>
      </w:r>
      <w:r>
        <w:rPr>
          <w:spacing w:val="40"/>
        </w:rPr>
        <w:t> </w:t>
      </w:r>
      <w:r>
        <w:rPr/>
        <w:t>(p-value</w:t>
      </w:r>
      <w:r>
        <w:rPr>
          <w:spacing w:val="40"/>
        </w:rPr>
        <w:t> </w:t>
      </w:r>
      <w:r>
        <w:rPr/>
        <w:t>=</w:t>
      </w:r>
      <w:r>
        <w:rPr>
          <w:spacing w:val="40"/>
        </w:rPr>
        <w:t> </w:t>
      </w:r>
      <w:r>
        <w:rPr/>
        <w:t>0.00)</w:t>
      </w:r>
      <w:r>
        <w:rPr>
          <w:spacing w:val="40"/>
        </w:rPr>
        <w:t> </w:t>
      </w:r>
      <w:r>
        <w:rPr/>
        <w:t>which</w:t>
      </w:r>
      <w:r>
        <w:rPr>
          <w:spacing w:val="40"/>
        </w:rPr>
        <w:t> </w:t>
      </w:r>
      <w:r>
        <w:rPr/>
        <w:t>was</w:t>
      </w:r>
      <w:r>
        <w:rPr>
          <w:spacing w:val="40"/>
        </w:rPr>
        <w:t> </w:t>
      </w:r>
      <w:r>
        <w:rPr/>
        <w:t>significant</w:t>
      </w:r>
      <w:r>
        <w:rPr>
          <w:spacing w:val="40"/>
        </w:rPr>
        <w:t> </w:t>
      </w:r>
      <w:r>
        <w:rPr/>
        <w:t>at</w:t>
      </w:r>
      <w:r>
        <w:rPr>
          <w:spacing w:val="40"/>
        </w:rPr>
        <w:t> </w:t>
      </w:r>
      <w:r>
        <w:rPr/>
        <w:t>5%</w:t>
      </w:r>
      <w:r>
        <w:rPr>
          <w:spacing w:val="40"/>
        </w:rPr>
        <w:t> </w:t>
      </w:r>
      <w:r>
        <w:rPr/>
        <w:t>suggested</w:t>
      </w:r>
      <w:r>
        <w:rPr>
          <w:spacing w:val="40"/>
        </w:rPr>
        <w:t> </w:t>
      </w:r>
      <w:r>
        <w:rPr/>
        <w:t>that</w:t>
      </w:r>
      <w:r>
        <w:rPr>
          <w:spacing w:val="40"/>
        </w:rPr>
        <w:t> </w:t>
      </w:r>
      <w:r>
        <w:rPr/>
        <w:t>the</w:t>
      </w:r>
      <w:r>
        <w:rPr>
          <w:spacing w:val="40"/>
        </w:rPr>
        <w:t> </w:t>
      </w:r>
      <w:r>
        <w:rPr/>
        <w:t>hypothesis</w:t>
      </w:r>
      <w:r>
        <w:rPr>
          <w:spacing w:val="40"/>
        </w:rPr>
        <w:t> </w:t>
      </w:r>
      <w:r>
        <w:rPr/>
        <w:t>of</w:t>
      </w:r>
      <w:r>
        <w:rPr>
          <w:spacing w:val="40"/>
        </w:rPr>
        <w:t> </w:t>
      </w:r>
      <w:r>
        <w:rPr/>
        <w:t>a</w:t>
      </w:r>
      <w:r>
        <w:rPr>
          <w:spacing w:val="40"/>
        </w:rPr>
        <w:t> </w:t>
      </w:r>
      <w:r>
        <w:rPr/>
        <w:t>significant linear relationship between the dependent and independent variables could not be rejected.</w:t>
      </w:r>
      <w:r>
        <w:rPr>
          <w:spacing w:val="-9"/>
        </w:rPr>
        <w:t> </w:t>
      </w:r>
      <w:r>
        <w:rPr/>
        <w:t>It</w:t>
      </w:r>
      <w:r>
        <w:rPr>
          <w:spacing w:val="-8"/>
        </w:rPr>
        <w:t> </w:t>
      </w:r>
      <w:r>
        <w:rPr/>
        <w:t>was</w:t>
      </w:r>
      <w:r>
        <w:rPr>
          <w:spacing w:val="-10"/>
        </w:rPr>
        <w:t> </w:t>
      </w:r>
      <w:r>
        <w:rPr/>
        <w:t>also</w:t>
      </w:r>
      <w:r>
        <w:rPr>
          <w:spacing w:val="-10"/>
        </w:rPr>
        <w:t> </w:t>
      </w:r>
      <w:r>
        <w:rPr/>
        <w:t>indicative</w:t>
      </w:r>
      <w:r>
        <w:rPr>
          <w:spacing w:val="-12"/>
        </w:rPr>
        <w:t> </w:t>
      </w:r>
      <w:r>
        <w:rPr/>
        <w:t>of</w:t>
      </w:r>
      <w:r>
        <w:rPr>
          <w:spacing w:val="-11"/>
        </w:rPr>
        <w:t> </w:t>
      </w:r>
      <w:r>
        <w:rPr/>
        <w:t>the</w:t>
      </w:r>
      <w:r>
        <w:rPr>
          <w:spacing w:val="-11"/>
        </w:rPr>
        <w:t> </w:t>
      </w:r>
      <w:r>
        <w:rPr/>
        <w:t>joint</w:t>
      </w:r>
      <w:r>
        <w:rPr>
          <w:spacing w:val="-10"/>
        </w:rPr>
        <w:t> </w:t>
      </w:r>
      <w:r>
        <w:rPr/>
        <w:t>statistical</w:t>
      </w:r>
      <w:r>
        <w:rPr>
          <w:spacing w:val="-10"/>
        </w:rPr>
        <w:t> </w:t>
      </w:r>
      <w:r>
        <w:rPr/>
        <w:t>significance</w:t>
      </w:r>
      <w:r>
        <w:rPr>
          <w:spacing w:val="-12"/>
        </w:rPr>
        <w:t> </w:t>
      </w:r>
      <w:r>
        <w:rPr/>
        <w:t>of</w:t>
      </w:r>
      <w:r>
        <w:rPr>
          <w:spacing w:val="-11"/>
        </w:rPr>
        <w:t> </w:t>
      </w:r>
      <w:r>
        <w:rPr/>
        <w:t>the</w:t>
      </w:r>
      <w:r>
        <w:rPr>
          <w:spacing w:val="-11"/>
        </w:rPr>
        <w:t> </w:t>
      </w:r>
      <w:r>
        <w:rPr/>
        <w:t>model.</w:t>
      </w:r>
      <w:r>
        <w:rPr>
          <w:spacing w:val="-10"/>
        </w:rPr>
        <w:t> </w:t>
      </w:r>
      <w:r>
        <w:rPr/>
        <w:t>The</w:t>
      </w:r>
      <w:r>
        <w:rPr>
          <w:spacing w:val="-12"/>
        </w:rPr>
        <w:t> </w:t>
      </w:r>
      <w:r>
        <w:rPr/>
        <w:t>estimations revealed</w:t>
      </w:r>
      <w:r>
        <w:rPr>
          <w:spacing w:val="30"/>
        </w:rPr>
        <w:t> </w:t>
      </w:r>
      <w:r>
        <w:rPr/>
        <w:t>that</w:t>
      </w:r>
      <w:r>
        <w:rPr>
          <w:spacing w:val="32"/>
        </w:rPr>
        <w:t> </w:t>
      </w:r>
      <w:r>
        <w:rPr/>
        <w:t>INSTOWN</w:t>
      </w:r>
      <w:r>
        <w:rPr>
          <w:spacing w:val="29"/>
        </w:rPr>
        <w:t> </w:t>
      </w:r>
      <w:r>
        <w:rPr/>
        <w:t>had</w:t>
      </w:r>
      <w:r>
        <w:rPr>
          <w:spacing w:val="32"/>
        </w:rPr>
        <w:t> </w:t>
      </w:r>
      <w:r>
        <w:rPr/>
        <w:t>a</w:t>
      </w:r>
      <w:r>
        <w:rPr>
          <w:spacing w:val="29"/>
        </w:rPr>
        <w:t> </w:t>
      </w:r>
      <w:r>
        <w:rPr/>
        <w:t>positive</w:t>
      </w:r>
      <w:r>
        <w:rPr>
          <w:spacing w:val="29"/>
        </w:rPr>
        <w:t> </w:t>
      </w:r>
      <w:r>
        <w:rPr/>
        <w:t>effect</w:t>
      </w:r>
      <w:r>
        <w:rPr>
          <w:spacing w:val="33"/>
        </w:rPr>
        <w:t> </w:t>
      </w:r>
      <w:r>
        <w:rPr/>
        <w:t>on</w:t>
      </w:r>
      <w:r>
        <w:rPr>
          <w:spacing w:val="30"/>
        </w:rPr>
        <w:t> </w:t>
      </w:r>
      <w:r>
        <w:rPr/>
        <w:t>DISACC</w:t>
      </w:r>
      <w:r>
        <w:rPr>
          <w:spacing w:val="34"/>
        </w:rPr>
        <w:t> </w:t>
      </w:r>
      <w:r>
        <w:rPr/>
        <w:t>although</w:t>
      </w:r>
      <w:r>
        <w:rPr>
          <w:spacing w:val="30"/>
        </w:rPr>
        <w:t> </w:t>
      </w:r>
      <w:r>
        <w:rPr/>
        <w:t>not</w:t>
      </w:r>
      <w:r>
        <w:rPr>
          <w:spacing w:val="30"/>
        </w:rPr>
        <w:t> </w:t>
      </w:r>
      <w:r>
        <w:rPr/>
        <w:t>significant</w:t>
      </w:r>
      <w:r>
        <w:rPr>
          <w:spacing w:val="30"/>
        </w:rPr>
        <w:t> </w:t>
      </w:r>
      <w:r>
        <w:rPr/>
        <w:t>at</w:t>
      </w:r>
      <w:r>
        <w:rPr>
          <w:spacing w:val="30"/>
        </w:rPr>
        <w:t> </w:t>
      </w:r>
      <w:r>
        <w:rPr/>
        <w:t>5% (0.0012,</w:t>
      </w:r>
      <w:r>
        <w:rPr>
          <w:spacing w:val="80"/>
        </w:rPr>
        <w:t> </w:t>
      </w:r>
      <w:r>
        <w:rPr/>
        <w:t>p=0.8574)</w:t>
      </w:r>
      <w:r>
        <w:rPr>
          <w:spacing w:val="80"/>
        </w:rPr>
        <w:t> </w:t>
      </w:r>
      <w:r>
        <w:rPr/>
        <w:t>and</w:t>
      </w:r>
      <w:r>
        <w:rPr>
          <w:spacing w:val="80"/>
        </w:rPr>
        <w:t> </w:t>
      </w:r>
      <w:r>
        <w:rPr/>
        <w:t>the</w:t>
      </w:r>
      <w:r>
        <w:rPr>
          <w:spacing w:val="80"/>
        </w:rPr>
        <w:t> </w:t>
      </w:r>
      <w:r>
        <w:rPr/>
        <w:t>interaction</w:t>
      </w:r>
      <w:r>
        <w:rPr>
          <w:spacing w:val="80"/>
        </w:rPr>
        <w:t> </w:t>
      </w:r>
      <w:r>
        <w:rPr/>
        <w:t>Post-IFRS*INSTOWN</w:t>
      </w:r>
      <w:r>
        <w:rPr>
          <w:spacing w:val="80"/>
        </w:rPr>
        <w:t> </w:t>
      </w:r>
      <w:r>
        <w:rPr/>
        <w:t>testing</w:t>
      </w:r>
      <w:r>
        <w:rPr>
          <w:spacing w:val="80"/>
        </w:rPr>
        <w:t> </w:t>
      </w:r>
      <w:r>
        <w:rPr/>
        <w:t>the</w:t>
      </w:r>
      <w:r>
        <w:rPr>
          <w:spacing w:val="80"/>
        </w:rPr>
        <w:t> </w:t>
      </w:r>
      <w:r>
        <w:rPr/>
        <w:t>presence</w:t>
      </w:r>
      <w:r>
        <w:rPr>
          <w:spacing w:val="80"/>
        </w:rPr>
        <w:t> </w:t>
      </w:r>
      <w:r>
        <w:rPr/>
        <w:t>of incremental</w:t>
      </w:r>
      <w:r>
        <w:rPr>
          <w:spacing w:val="69"/>
        </w:rPr>
        <w:t> </w:t>
      </w:r>
      <w:r>
        <w:rPr/>
        <w:t>IFRS</w:t>
      </w:r>
      <w:r>
        <w:rPr>
          <w:spacing w:val="67"/>
        </w:rPr>
        <w:t> </w:t>
      </w:r>
      <w:r>
        <w:rPr/>
        <w:t>adoption</w:t>
      </w:r>
      <w:r>
        <w:rPr>
          <w:spacing w:val="66"/>
        </w:rPr>
        <w:t> </w:t>
      </w:r>
      <w:r>
        <w:rPr/>
        <w:t>effect</w:t>
      </w:r>
      <w:r>
        <w:rPr>
          <w:spacing w:val="66"/>
        </w:rPr>
        <w:t> </w:t>
      </w:r>
      <w:r>
        <w:rPr/>
        <w:t>also</w:t>
      </w:r>
      <w:r>
        <w:rPr>
          <w:spacing w:val="67"/>
        </w:rPr>
        <w:t> </w:t>
      </w:r>
      <w:r>
        <w:rPr/>
        <w:t>did</w:t>
      </w:r>
      <w:r>
        <w:rPr>
          <w:spacing w:val="66"/>
        </w:rPr>
        <w:t> </w:t>
      </w:r>
      <w:r>
        <w:rPr/>
        <w:t>not</w:t>
      </w:r>
      <w:r>
        <w:rPr>
          <w:spacing w:val="69"/>
        </w:rPr>
        <w:t> </w:t>
      </w:r>
      <w:r>
        <w:rPr/>
        <w:t>show</w:t>
      </w:r>
      <w:r>
        <w:rPr>
          <w:spacing w:val="66"/>
        </w:rPr>
        <w:t> </w:t>
      </w:r>
      <w:r>
        <w:rPr/>
        <w:t>that</w:t>
      </w:r>
      <w:r>
        <w:rPr>
          <w:spacing w:val="68"/>
        </w:rPr>
        <w:t> </w:t>
      </w:r>
      <w:r>
        <w:rPr/>
        <w:t>INSTOWN</w:t>
      </w:r>
      <w:r>
        <w:rPr>
          <w:spacing w:val="68"/>
        </w:rPr>
        <w:t> </w:t>
      </w:r>
      <w:r>
        <w:rPr/>
        <w:t>had</w:t>
      </w:r>
      <w:r>
        <w:rPr>
          <w:spacing w:val="71"/>
        </w:rPr>
        <w:t> </w:t>
      </w:r>
      <w:r>
        <w:rPr/>
        <w:t>a</w:t>
      </w:r>
      <w:r>
        <w:rPr>
          <w:spacing w:val="65"/>
        </w:rPr>
        <w:t> </w:t>
      </w:r>
      <w:r>
        <w:rPr/>
        <w:t>significant incremental</w:t>
      </w:r>
      <w:r>
        <w:rPr>
          <w:spacing w:val="71"/>
        </w:rPr>
        <w:t> </w:t>
      </w:r>
      <w:r>
        <w:rPr/>
        <w:t>effect</w:t>
      </w:r>
      <w:r>
        <w:rPr>
          <w:spacing w:val="71"/>
        </w:rPr>
        <w:t> </w:t>
      </w:r>
      <w:r>
        <w:rPr/>
        <w:t>on</w:t>
      </w:r>
      <w:r>
        <w:rPr>
          <w:spacing w:val="73"/>
        </w:rPr>
        <w:t> </w:t>
      </w:r>
      <w:r>
        <w:rPr/>
        <w:t>DISACC</w:t>
      </w:r>
      <w:r>
        <w:rPr>
          <w:spacing w:val="71"/>
        </w:rPr>
        <w:t> </w:t>
      </w:r>
      <w:r>
        <w:rPr/>
        <w:t>resulting</w:t>
      </w:r>
      <w:r>
        <w:rPr>
          <w:spacing w:val="71"/>
        </w:rPr>
        <w:t> </w:t>
      </w:r>
      <w:r>
        <w:rPr/>
        <w:t>from</w:t>
      </w:r>
      <w:r>
        <w:rPr>
          <w:spacing w:val="71"/>
        </w:rPr>
        <w:t> </w:t>
      </w:r>
      <w:r>
        <w:rPr/>
        <w:t>IFRS</w:t>
      </w:r>
      <w:r>
        <w:rPr>
          <w:spacing w:val="71"/>
        </w:rPr>
        <w:t> </w:t>
      </w:r>
      <w:r>
        <w:rPr/>
        <w:t>adoption</w:t>
      </w:r>
      <w:r>
        <w:rPr>
          <w:spacing w:val="71"/>
        </w:rPr>
        <w:t> </w:t>
      </w:r>
      <w:r>
        <w:rPr/>
        <w:t>(0.0007,</w:t>
      </w:r>
      <w:r>
        <w:rPr>
          <w:spacing w:val="71"/>
        </w:rPr>
        <w:t> </w:t>
      </w:r>
      <w:r>
        <w:rPr/>
        <w:t>p=0.9325).</w:t>
      </w:r>
      <w:r>
        <w:rPr>
          <w:spacing w:val="71"/>
        </w:rPr>
        <w:t> </w:t>
      </w:r>
      <w:r>
        <w:rPr/>
        <w:t>The estimations</w:t>
      </w:r>
      <w:r>
        <w:rPr>
          <w:spacing w:val="-1"/>
        </w:rPr>
        <w:t> </w:t>
      </w:r>
      <w:r>
        <w:rPr/>
        <w:t>revealed</w:t>
      </w:r>
      <w:r>
        <w:rPr>
          <w:spacing w:val="-1"/>
        </w:rPr>
        <w:t> </w:t>
      </w:r>
      <w:r>
        <w:rPr/>
        <w:t>that MOWN</w:t>
      </w:r>
      <w:r>
        <w:rPr>
          <w:spacing w:val="-2"/>
        </w:rPr>
        <w:t> </w:t>
      </w:r>
      <w:r>
        <w:rPr/>
        <w:t>had a</w:t>
      </w:r>
      <w:r>
        <w:rPr>
          <w:spacing w:val="-2"/>
        </w:rPr>
        <w:t> </w:t>
      </w:r>
      <w:r>
        <w:rPr/>
        <w:t>positive</w:t>
      </w:r>
      <w:r>
        <w:rPr>
          <w:spacing w:val="-2"/>
        </w:rPr>
        <w:t> </w:t>
      </w:r>
      <w:r>
        <w:rPr/>
        <w:t>effect</w:t>
      </w:r>
      <w:r>
        <w:rPr>
          <w:spacing w:val="-1"/>
        </w:rPr>
        <w:t> </w:t>
      </w:r>
      <w:r>
        <w:rPr/>
        <w:t>on</w:t>
      </w:r>
      <w:r>
        <w:rPr>
          <w:spacing w:val="-1"/>
        </w:rPr>
        <w:t> </w:t>
      </w:r>
      <w:r>
        <w:rPr/>
        <w:t>DISACC</w:t>
      </w:r>
      <w:r>
        <w:rPr>
          <w:spacing w:val="-1"/>
        </w:rPr>
        <w:t> </w:t>
      </w:r>
      <w:r>
        <w:rPr/>
        <w:t>and was significant</w:t>
      </w:r>
      <w:r>
        <w:rPr>
          <w:spacing w:val="-1"/>
        </w:rPr>
        <w:t> </w:t>
      </w:r>
      <w:r>
        <w:rPr/>
        <w:t>at</w:t>
      </w:r>
      <w:r>
        <w:rPr>
          <w:spacing w:val="-1"/>
        </w:rPr>
        <w:t> </w:t>
      </w:r>
      <w:r>
        <w:rPr/>
        <w:t>5% (0.010,</w:t>
      </w:r>
      <w:r>
        <w:rPr>
          <w:spacing w:val="40"/>
        </w:rPr>
        <w:t> </w:t>
      </w:r>
      <w:r>
        <w:rPr/>
        <w:t>p=0.0468).</w:t>
      </w:r>
      <w:r>
        <w:rPr>
          <w:spacing w:val="40"/>
        </w:rPr>
        <w:t> </w:t>
      </w:r>
      <w:r>
        <w:rPr/>
        <w:t>However,</w:t>
      </w:r>
      <w:r>
        <w:rPr>
          <w:spacing w:val="40"/>
        </w:rPr>
        <w:t> </w:t>
      </w:r>
      <w:r>
        <w:rPr/>
        <w:t>the</w:t>
      </w:r>
      <w:r>
        <w:rPr>
          <w:spacing w:val="40"/>
        </w:rPr>
        <w:t> </w:t>
      </w:r>
      <w:r>
        <w:rPr/>
        <w:t>interaction</w:t>
      </w:r>
      <w:r>
        <w:rPr>
          <w:spacing w:val="40"/>
        </w:rPr>
        <w:t> </w:t>
      </w:r>
      <w:r>
        <w:rPr/>
        <w:t>Post-IFRS*MOWN</w:t>
      </w:r>
      <w:r>
        <w:rPr>
          <w:spacing w:val="40"/>
        </w:rPr>
        <w:t> </w:t>
      </w:r>
      <w:r>
        <w:rPr/>
        <w:t>testing</w:t>
      </w:r>
      <w:r>
        <w:rPr>
          <w:spacing w:val="40"/>
        </w:rPr>
        <w:t> </w:t>
      </w:r>
      <w:r>
        <w:rPr/>
        <w:t>the</w:t>
      </w:r>
      <w:r>
        <w:rPr>
          <w:spacing w:val="40"/>
        </w:rPr>
        <w:t> </w:t>
      </w:r>
      <w:r>
        <w:rPr/>
        <w:t>presence</w:t>
      </w:r>
      <w:r>
        <w:rPr>
          <w:spacing w:val="40"/>
        </w:rPr>
        <w:t> </w:t>
      </w:r>
      <w:r>
        <w:rPr/>
        <w:t>of</w:t>
      </w:r>
      <w:r>
        <w:rPr>
          <w:spacing w:val="40"/>
        </w:rPr>
        <w:t> </w:t>
      </w:r>
      <w:r>
        <w:rPr/>
        <w:t>incremental</w:t>
      </w:r>
      <w:r>
        <w:rPr>
          <w:spacing w:val="76"/>
        </w:rPr>
        <w:t> </w:t>
      </w:r>
      <w:r>
        <w:rPr/>
        <w:t>IFRS</w:t>
      </w:r>
      <w:r>
        <w:rPr>
          <w:spacing w:val="74"/>
        </w:rPr>
        <w:t> </w:t>
      </w:r>
      <w:r>
        <w:rPr/>
        <w:t>adoption</w:t>
      </w:r>
      <w:r>
        <w:rPr>
          <w:spacing w:val="73"/>
        </w:rPr>
        <w:t> </w:t>
      </w:r>
      <w:r>
        <w:rPr/>
        <w:t>effect</w:t>
      </w:r>
      <w:r>
        <w:rPr>
          <w:spacing w:val="74"/>
        </w:rPr>
        <w:t> </w:t>
      </w:r>
      <w:r>
        <w:rPr/>
        <w:t>also</w:t>
      </w:r>
      <w:r>
        <w:rPr>
          <w:spacing w:val="74"/>
        </w:rPr>
        <w:t> </w:t>
      </w:r>
      <w:r>
        <w:rPr/>
        <w:t>did</w:t>
      </w:r>
      <w:r>
        <w:rPr>
          <w:spacing w:val="74"/>
        </w:rPr>
        <w:t> </w:t>
      </w:r>
      <w:r>
        <w:rPr/>
        <w:t>not</w:t>
      </w:r>
      <w:r>
        <w:rPr>
          <w:spacing w:val="74"/>
        </w:rPr>
        <w:t> </w:t>
      </w:r>
      <w:r>
        <w:rPr/>
        <w:t>show</w:t>
      </w:r>
      <w:r>
        <w:rPr>
          <w:spacing w:val="73"/>
        </w:rPr>
        <w:t> </w:t>
      </w:r>
      <w:r>
        <w:rPr/>
        <w:t>that</w:t>
      </w:r>
      <w:r>
        <w:rPr>
          <w:spacing w:val="73"/>
        </w:rPr>
        <w:t> </w:t>
      </w:r>
      <w:r>
        <w:rPr/>
        <w:t>MOWN</w:t>
      </w:r>
      <w:r>
        <w:rPr>
          <w:spacing w:val="73"/>
        </w:rPr>
        <w:t> </w:t>
      </w:r>
      <w:r>
        <w:rPr/>
        <w:t>had</w:t>
      </w:r>
      <w:r>
        <w:rPr>
          <w:spacing w:val="75"/>
        </w:rPr>
        <w:t> </w:t>
      </w:r>
      <w:r>
        <w:rPr/>
        <w:t>any</w:t>
      </w:r>
      <w:r>
        <w:rPr>
          <w:spacing w:val="73"/>
        </w:rPr>
        <w:t> </w:t>
      </w:r>
      <w:r>
        <w:rPr/>
        <w:t>significant incremental effect on DISACC resulting from IFRS adoption (0.0018, p=0.7849). Furthermore, the estimations revealed that FOWN had a positive effect on DISACC although not</w:t>
      </w:r>
      <w:r>
        <w:rPr>
          <w:spacing w:val="27"/>
        </w:rPr>
        <w:t> </w:t>
      </w:r>
      <w:r>
        <w:rPr/>
        <w:t>significant</w:t>
      </w:r>
      <w:r>
        <w:rPr>
          <w:spacing w:val="27"/>
        </w:rPr>
        <w:t> </w:t>
      </w:r>
      <w:r>
        <w:rPr/>
        <w:t>at</w:t>
      </w:r>
      <w:r>
        <w:rPr>
          <w:spacing w:val="27"/>
        </w:rPr>
        <w:t> </w:t>
      </w:r>
      <w:r>
        <w:rPr/>
        <w:t>5% (0.0022, p=0.6559) and the interaction Post-IFRS*FOWN testing</w:t>
      </w:r>
      <w:r>
        <w:rPr>
          <w:spacing w:val="27"/>
        </w:rPr>
        <w:t> </w:t>
      </w:r>
      <w:r>
        <w:rPr/>
        <w:t>the presence</w:t>
      </w:r>
      <w:r>
        <w:rPr>
          <w:spacing w:val="-15"/>
        </w:rPr>
        <w:t> </w:t>
      </w:r>
      <w:r>
        <w:rPr/>
        <w:t>of</w:t>
      </w:r>
      <w:r>
        <w:rPr>
          <w:spacing w:val="-15"/>
        </w:rPr>
        <w:t> </w:t>
      </w:r>
      <w:r>
        <w:rPr/>
        <w:t>incremental</w:t>
      </w:r>
      <w:r>
        <w:rPr>
          <w:spacing w:val="-13"/>
        </w:rPr>
        <w:t> </w:t>
      </w:r>
      <w:r>
        <w:rPr/>
        <w:t>IFRS</w:t>
      </w:r>
      <w:r>
        <w:rPr>
          <w:spacing w:val="-15"/>
        </w:rPr>
        <w:t> </w:t>
      </w:r>
      <w:r>
        <w:rPr/>
        <w:t>adoption</w:t>
      </w:r>
      <w:r>
        <w:rPr>
          <w:spacing w:val="-15"/>
        </w:rPr>
        <w:t> </w:t>
      </w:r>
      <w:r>
        <w:rPr/>
        <w:t>effect</w:t>
      </w:r>
      <w:r>
        <w:rPr>
          <w:spacing w:val="-13"/>
        </w:rPr>
        <w:t> </w:t>
      </w:r>
      <w:r>
        <w:rPr/>
        <w:t>also</w:t>
      </w:r>
      <w:r>
        <w:rPr>
          <w:spacing w:val="-12"/>
        </w:rPr>
        <w:t> </w:t>
      </w:r>
      <w:r>
        <w:rPr/>
        <w:t>did</w:t>
      </w:r>
      <w:r>
        <w:rPr>
          <w:spacing w:val="-13"/>
        </w:rPr>
        <w:t> </w:t>
      </w:r>
      <w:r>
        <w:rPr/>
        <w:t>not</w:t>
      </w:r>
      <w:r>
        <w:rPr>
          <w:spacing w:val="-15"/>
        </w:rPr>
        <w:t> </w:t>
      </w:r>
      <w:r>
        <w:rPr/>
        <w:t>show</w:t>
      </w:r>
      <w:r>
        <w:rPr>
          <w:spacing w:val="-15"/>
        </w:rPr>
        <w:t> </w:t>
      </w:r>
      <w:r>
        <w:rPr/>
        <w:t>that</w:t>
      </w:r>
      <w:r>
        <w:rPr>
          <w:spacing w:val="-15"/>
        </w:rPr>
        <w:t> </w:t>
      </w:r>
      <w:r>
        <w:rPr/>
        <w:t>FOWN</w:t>
      </w:r>
      <w:r>
        <w:rPr>
          <w:spacing w:val="-11"/>
        </w:rPr>
        <w:t> </w:t>
      </w:r>
      <w:r>
        <w:rPr/>
        <w:t>had</w:t>
      </w:r>
      <w:r>
        <w:rPr>
          <w:spacing w:val="-15"/>
        </w:rPr>
        <w:t> </w:t>
      </w:r>
      <w:r>
        <w:rPr/>
        <w:t>any</w:t>
      </w:r>
      <w:r>
        <w:rPr>
          <w:spacing w:val="-15"/>
        </w:rPr>
        <w:t> </w:t>
      </w:r>
      <w:r>
        <w:rPr/>
        <w:t>significant incremental</w:t>
      </w:r>
      <w:r>
        <w:rPr>
          <w:spacing w:val="80"/>
        </w:rPr>
        <w:t> </w:t>
      </w:r>
      <w:r>
        <w:rPr/>
        <w:t>effect</w:t>
      </w:r>
      <w:r>
        <w:rPr>
          <w:spacing w:val="80"/>
        </w:rPr>
        <w:t> </w:t>
      </w:r>
      <w:r>
        <w:rPr/>
        <w:t>on</w:t>
      </w:r>
      <w:r>
        <w:rPr>
          <w:spacing w:val="80"/>
        </w:rPr>
        <w:t> </w:t>
      </w:r>
      <w:r>
        <w:rPr/>
        <w:t>DISACC</w:t>
      </w:r>
      <w:r>
        <w:rPr>
          <w:spacing w:val="80"/>
        </w:rPr>
        <w:t> </w:t>
      </w:r>
      <w:r>
        <w:rPr/>
        <w:t>resulting</w:t>
      </w:r>
      <w:r>
        <w:rPr>
          <w:spacing w:val="80"/>
        </w:rPr>
        <w:t> </w:t>
      </w:r>
      <w:r>
        <w:rPr/>
        <w:t>from</w:t>
      </w:r>
      <w:r>
        <w:rPr>
          <w:spacing w:val="80"/>
        </w:rPr>
        <w:t> </w:t>
      </w:r>
      <w:r>
        <w:rPr/>
        <w:t>IFRS</w:t>
      </w:r>
      <w:r>
        <w:rPr>
          <w:spacing w:val="80"/>
        </w:rPr>
        <w:t> </w:t>
      </w:r>
      <w:r>
        <w:rPr/>
        <w:t>adoption</w:t>
      </w:r>
      <w:r>
        <w:rPr>
          <w:spacing w:val="80"/>
        </w:rPr>
        <w:t> </w:t>
      </w:r>
      <w:r>
        <w:rPr/>
        <w:t>(0.008,</w:t>
      </w:r>
      <w:r>
        <w:rPr>
          <w:spacing w:val="80"/>
        </w:rPr>
        <w:t> </w:t>
      </w:r>
      <w:r>
        <w:rPr/>
        <w:t>p=0.1715).</w:t>
      </w:r>
      <w:r>
        <w:rPr>
          <w:spacing w:val="80"/>
        </w:rPr>
        <w:t> </w:t>
      </w:r>
      <w:r>
        <w:rPr/>
        <w:t>The estimations revealed that BLOWN had a positive effect on DISACC although not significant at</w:t>
      </w:r>
      <w:r>
        <w:rPr>
          <w:spacing w:val="30"/>
        </w:rPr>
        <w:t> </w:t>
      </w:r>
      <w:r>
        <w:rPr/>
        <w:t>5%</w:t>
      </w:r>
      <w:r>
        <w:rPr>
          <w:spacing w:val="29"/>
        </w:rPr>
        <w:t> </w:t>
      </w:r>
      <w:r>
        <w:rPr/>
        <w:t>(-0.0034,</w:t>
      </w:r>
      <w:r>
        <w:rPr>
          <w:spacing w:val="30"/>
        </w:rPr>
        <w:t> </w:t>
      </w:r>
      <w:r>
        <w:rPr/>
        <w:t>p=0.5529)</w:t>
      </w:r>
      <w:r>
        <w:rPr>
          <w:spacing w:val="29"/>
        </w:rPr>
        <w:t> </w:t>
      </w:r>
      <w:r>
        <w:rPr/>
        <w:t>and</w:t>
      </w:r>
      <w:r>
        <w:rPr>
          <w:spacing w:val="30"/>
        </w:rPr>
        <w:t> </w:t>
      </w:r>
      <w:r>
        <w:rPr/>
        <w:t>the</w:t>
      </w:r>
      <w:r>
        <w:rPr>
          <w:spacing w:val="29"/>
        </w:rPr>
        <w:t> </w:t>
      </w:r>
      <w:r>
        <w:rPr/>
        <w:t>interaction</w:t>
      </w:r>
      <w:r>
        <w:rPr>
          <w:spacing w:val="30"/>
        </w:rPr>
        <w:t> </w:t>
      </w:r>
      <w:r>
        <w:rPr/>
        <w:t>Post-IFRS*BLOWN</w:t>
      </w:r>
      <w:r>
        <w:rPr>
          <w:spacing w:val="29"/>
        </w:rPr>
        <w:t> </w:t>
      </w:r>
      <w:r>
        <w:rPr/>
        <w:t>testing</w:t>
      </w:r>
      <w:r>
        <w:rPr>
          <w:spacing w:val="31"/>
        </w:rPr>
        <w:t> </w:t>
      </w:r>
      <w:r>
        <w:rPr/>
        <w:t>the</w:t>
      </w:r>
      <w:r>
        <w:rPr>
          <w:spacing w:val="29"/>
        </w:rPr>
        <w:t> </w:t>
      </w:r>
      <w:r>
        <w:rPr/>
        <w:t>presence</w:t>
      </w:r>
      <w:r>
        <w:rPr>
          <w:spacing w:val="29"/>
        </w:rPr>
        <w:t> </w:t>
      </w:r>
      <w:r>
        <w:rPr/>
        <w:t>of incremental</w:t>
      </w:r>
      <w:r>
        <w:rPr>
          <w:spacing w:val="68"/>
        </w:rPr>
        <w:t> </w:t>
      </w:r>
      <w:r>
        <w:rPr/>
        <w:t>IFRS</w:t>
      </w:r>
      <w:r>
        <w:rPr>
          <w:spacing w:val="66"/>
        </w:rPr>
        <w:t> </w:t>
      </w:r>
      <w:r>
        <w:rPr/>
        <w:t>adoption</w:t>
      </w:r>
      <w:r>
        <w:rPr>
          <w:spacing w:val="67"/>
        </w:rPr>
        <w:t> </w:t>
      </w:r>
      <w:r>
        <w:rPr/>
        <w:t>effect</w:t>
      </w:r>
      <w:r>
        <w:rPr>
          <w:spacing w:val="65"/>
        </w:rPr>
        <w:t> </w:t>
      </w:r>
      <w:r>
        <w:rPr/>
        <w:t>also</w:t>
      </w:r>
      <w:r>
        <w:rPr>
          <w:spacing w:val="66"/>
        </w:rPr>
        <w:t> </w:t>
      </w:r>
      <w:r>
        <w:rPr/>
        <w:t>did</w:t>
      </w:r>
      <w:r>
        <w:rPr>
          <w:spacing w:val="65"/>
        </w:rPr>
        <w:t> </w:t>
      </w:r>
      <w:r>
        <w:rPr/>
        <w:t>not</w:t>
      </w:r>
      <w:r>
        <w:rPr>
          <w:spacing w:val="65"/>
        </w:rPr>
        <w:t> </w:t>
      </w:r>
      <w:r>
        <w:rPr/>
        <w:t>show</w:t>
      </w:r>
      <w:r>
        <w:rPr>
          <w:spacing w:val="65"/>
        </w:rPr>
        <w:t> </w:t>
      </w:r>
      <w:r>
        <w:rPr/>
        <w:t>that</w:t>
      </w:r>
      <w:r>
        <w:rPr>
          <w:spacing w:val="65"/>
        </w:rPr>
        <w:t> </w:t>
      </w:r>
      <w:r>
        <w:rPr/>
        <w:t>BLOWN</w:t>
      </w:r>
      <w:r>
        <w:rPr>
          <w:spacing w:val="40"/>
        </w:rPr>
        <w:t> </w:t>
      </w:r>
      <w:r>
        <w:rPr/>
        <w:t>had</w:t>
      </w:r>
      <w:r>
        <w:rPr>
          <w:spacing w:val="68"/>
        </w:rPr>
        <w:t> </w:t>
      </w:r>
      <w:r>
        <w:rPr/>
        <w:t>any</w:t>
      </w:r>
      <w:r>
        <w:rPr>
          <w:spacing w:val="65"/>
        </w:rPr>
        <w:t> </w:t>
      </w:r>
      <w:r>
        <w:rPr/>
        <w:t>significant incremental effect on DISACC resulting from IFRS adoption (-0.00496, p=0.4869).</w:t>
      </w:r>
      <w:r>
        <w:rPr>
          <w:spacing w:val="40"/>
        </w:rPr>
        <w:t> </w:t>
      </w:r>
      <w:r>
        <w:rPr/>
        <w:t>Looking at</w:t>
      </w:r>
      <w:r>
        <w:rPr>
          <w:spacing w:val="75"/>
        </w:rPr>
        <w:t> </w:t>
      </w:r>
      <w:r>
        <w:rPr/>
        <w:t>the</w:t>
      </w:r>
      <w:r>
        <w:rPr>
          <w:spacing w:val="74"/>
        </w:rPr>
        <w:t> </w:t>
      </w:r>
      <w:r>
        <w:rPr/>
        <w:t>control</w:t>
      </w:r>
      <w:r>
        <w:rPr>
          <w:spacing w:val="74"/>
        </w:rPr>
        <w:t> </w:t>
      </w:r>
      <w:r>
        <w:rPr/>
        <w:t>variables,</w:t>
      </w:r>
      <w:r>
        <w:rPr>
          <w:spacing w:val="74"/>
        </w:rPr>
        <w:t> </w:t>
      </w:r>
      <w:r>
        <w:rPr/>
        <w:t>FSIZE</w:t>
      </w:r>
      <w:r>
        <w:rPr>
          <w:spacing w:val="74"/>
        </w:rPr>
        <w:t> </w:t>
      </w:r>
      <w:r>
        <w:rPr/>
        <w:t>AND</w:t>
      </w:r>
      <w:r>
        <w:rPr>
          <w:spacing w:val="76"/>
        </w:rPr>
        <w:t> </w:t>
      </w:r>
      <w:r>
        <w:rPr/>
        <w:t>Fage</w:t>
      </w:r>
      <w:r>
        <w:rPr>
          <w:spacing w:val="73"/>
        </w:rPr>
        <w:t> </w:t>
      </w:r>
      <w:r>
        <w:rPr/>
        <w:t>showed</w:t>
      </w:r>
      <w:r>
        <w:rPr>
          <w:spacing w:val="74"/>
        </w:rPr>
        <w:t> </w:t>
      </w:r>
      <w:r>
        <w:rPr/>
        <w:t>evidence</w:t>
      </w:r>
      <w:r>
        <w:rPr>
          <w:spacing w:val="73"/>
        </w:rPr>
        <w:t> </w:t>
      </w:r>
      <w:r>
        <w:rPr/>
        <w:t>of</w:t>
      </w:r>
      <w:r>
        <w:rPr>
          <w:spacing w:val="75"/>
        </w:rPr>
        <w:t> </w:t>
      </w:r>
      <w:r>
        <w:rPr/>
        <w:t>significant</w:t>
      </w:r>
      <w:r>
        <w:rPr>
          <w:spacing w:val="75"/>
        </w:rPr>
        <w:t> </w:t>
      </w:r>
      <w:r>
        <w:rPr/>
        <w:t>effects</w:t>
      </w:r>
      <w:r>
        <w:rPr>
          <w:spacing w:val="75"/>
        </w:rPr>
        <w:t> </w:t>
      </w:r>
      <w:r>
        <w:rPr/>
        <w:t>on </w:t>
      </w:r>
      <w:r>
        <w:rPr>
          <w:position w:val="2"/>
        </w:rPr>
        <w:t>discretionary</w:t>
      </w:r>
      <w:r>
        <w:rPr>
          <w:spacing w:val="-1"/>
          <w:position w:val="2"/>
        </w:rPr>
        <w:t> </w:t>
      </w:r>
      <w:r>
        <w:rPr>
          <w:position w:val="2"/>
        </w:rPr>
        <w:t>accruals with</w:t>
      </w:r>
      <w:r>
        <w:rPr>
          <w:spacing w:val="1"/>
          <w:position w:val="2"/>
        </w:rPr>
        <w:t> </w:t>
      </w:r>
      <w:r>
        <w:rPr>
          <w:position w:val="2"/>
        </w:rPr>
        <w:t>coefficients of</w:t>
      </w:r>
      <w:r>
        <w:rPr>
          <w:spacing w:val="-1"/>
          <w:position w:val="2"/>
        </w:rPr>
        <w:t> </w:t>
      </w:r>
      <w:r>
        <w:rPr>
          <w:position w:val="2"/>
        </w:rPr>
        <w:t>0.037</w:t>
      </w:r>
      <w:r>
        <w:rPr>
          <w:spacing w:val="1"/>
          <w:position w:val="2"/>
        </w:rPr>
        <w:t> </w:t>
      </w:r>
      <w:r>
        <w:rPr>
          <w:position w:val="2"/>
        </w:rPr>
        <w:t>and</w:t>
      </w:r>
      <w:r>
        <w:rPr>
          <w:spacing w:val="4"/>
          <w:position w:val="2"/>
        </w:rPr>
        <w:t> </w:t>
      </w:r>
      <w:r>
        <w:rPr>
          <w:position w:val="2"/>
        </w:rPr>
        <w:t>-0.2879 respectively.</w:t>
      </w:r>
      <w:r>
        <w:rPr>
          <w:spacing w:val="4"/>
          <w:position w:val="2"/>
        </w:rPr>
        <w:t> </w:t>
      </w:r>
      <w:r>
        <w:rPr>
          <w:position w:val="2"/>
        </w:rPr>
        <w:t>The</w:t>
      </w:r>
      <w:r>
        <w:rPr>
          <w:spacing w:val="-1"/>
          <w:position w:val="2"/>
        </w:rPr>
        <w:t> </w:t>
      </w:r>
      <w:r>
        <w:rPr>
          <w:position w:val="2"/>
        </w:rPr>
        <w:t>χ</w:t>
      </w:r>
      <w:r>
        <w:rPr>
          <w:position w:val="2"/>
          <w:vertAlign w:val="superscript"/>
        </w:rPr>
        <w:t>2</w:t>
      </w:r>
      <w:r>
        <w:rPr>
          <w:sz w:val="16"/>
          <w:vertAlign w:val="baseline"/>
        </w:rPr>
        <w:t>Hetero</w:t>
      </w:r>
      <w:r>
        <w:rPr>
          <w:spacing w:val="22"/>
          <w:sz w:val="16"/>
          <w:vertAlign w:val="baseline"/>
        </w:rPr>
        <w:t> </w:t>
      </w:r>
      <w:r>
        <w:rPr>
          <w:position w:val="2"/>
          <w:vertAlign w:val="baseline"/>
        </w:rPr>
        <w:t>p-</w:t>
      </w:r>
      <w:r>
        <w:rPr>
          <w:spacing w:val="-2"/>
          <w:position w:val="2"/>
          <w:vertAlign w:val="baseline"/>
        </w:rPr>
        <w:t>value</w:t>
      </w:r>
    </w:p>
    <w:p>
      <w:pPr>
        <w:spacing w:after="0" w:line="480" w:lineRule="auto"/>
        <w:sectPr>
          <w:pgSz w:w="11910" w:h="16840"/>
          <w:pgMar w:header="0" w:footer="971" w:top="1360" w:bottom="1160" w:left="500" w:right="0"/>
        </w:sectPr>
      </w:pPr>
    </w:p>
    <w:p>
      <w:pPr>
        <w:pStyle w:val="BodyText"/>
        <w:spacing w:line="463" w:lineRule="auto" w:before="80"/>
        <w:ind w:left="940" w:right="1436"/>
        <w:jc w:val="both"/>
      </w:pPr>
      <w:r>
        <w:rPr>
          <w:position w:val="2"/>
        </w:rPr>
        <w:t>(0.850) implied the homoscedastic behaviour of the errors and the χ</w:t>
      </w:r>
      <w:r>
        <w:rPr>
          <w:position w:val="2"/>
          <w:vertAlign w:val="superscript"/>
        </w:rPr>
        <w:t>2</w:t>
      </w:r>
      <w:r>
        <w:rPr>
          <w:sz w:val="16"/>
          <w:vertAlign w:val="baseline"/>
        </w:rPr>
        <w:t>Serial/Corr </w:t>
      </w:r>
      <w:r>
        <w:rPr>
          <w:position w:val="2"/>
          <w:vertAlign w:val="baseline"/>
        </w:rPr>
        <w:t>p-value (0.682) also revealed the absence of a serial correlation. In addition, χ</w:t>
      </w:r>
      <w:r>
        <w:rPr>
          <w:position w:val="2"/>
          <w:vertAlign w:val="superscript"/>
        </w:rPr>
        <w:t>2</w:t>
      </w:r>
      <w:r>
        <w:rPr>
          <w:sz w:val="16"/>
          <w:vertAlign w:val="baseline"/>
        </w:rPr>
        <w:t>ramsey-reset</w:t>
      </w:r>
      <w:r>
        <w:rPr>
          <w:spacing w:val="28"/>
          <w:sz w:val="16"/>
          <w:vertAlign w:val="baseline"/>
        </w:rPr>
        <w:t> </w:t>
      </w:r>
      <w:r>
        <w:rPr>
          <w:position w:val="2"/>
          <w:vertAlign w:val="baseline"/>
        </w:rPr>
        <w:t>(0.709) revealed that </w:t>
      </w:r>
      <w:r>
        <w:rPr>
          <w:vertAlign w:val="baseline"/>
        </w:rPr>
        <w:t>the series followed a normal distribution.</w:t>
      </w:r>
    </w:p>
    <w:p>
      <w:pPr>
        <w:pStyle w:val="BodyText"/>
        <w:spacing w:line="480" w:lineRule="auto" w:before="19"/>
        <w:ind w:left="940" w:right="1439"/>
        <w:jc w:val="both"/>
      </w:pPr>
      <w:r>
        <w:rPr/>
        <w:drawing>
          <wp:anchor distT="0" distB="0" distL="0" distR="0" allowOverlap="1" layoutInCell="1" locked="0" behindDoc="1" simplePos="0" relativeHeight="477747712">
            <wp:simplePos x="0" y="0"/>
            <wp:positionH relativeFrom="page">
              <wp:posOffset>1095451</wp:posOffset>
            </wp:positionH>
            <wp:positionV relativeFrom="paragraph">
              <wp:posOffset>772601</wp:posOffset>
            </wp:positionV>
            <wp:extent cx="5106847" cy="5238115"/>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5" cstate="print"/>
                    <a:stretch>
                      <a:fillRect/>
                    </a:stretch>
                  </pic:blipFill>
                  <pic:spPr>
                    <a:xfrm>
                      <a:off x="0" y="0"/>
                      <a:ext cx="5106847" cy="5238115"/>
                    </a:xfrm>
                    <a:prstGeom prst="rect">
                      <a:avLst/>
                    </a:prstGeom>
                  </pic:spPr>
                </pic:pic>
              </a:graphicData>
            </a:graphic>
          </wp:anchor>
        </w:drawing>
      </w:r>
      <w:r>
        <w:rPr/>
        <w:t>The difference in difference estimations revealed that the D-I-D estimates which reflected an incremental change in DACC captured the IFRS adoption effect for the treatment group periods. As earlier indicated, If IFRS led to less DACC, we expected a negative coefficient. On the contrary, the D-I-D coefficient was positive and significant (0.924, p=0.0155) and hence, it suggested that IFRS was possibly resulting in increased absolute discretionary accruals and, as such, mandatory adoption of IFRS did significantly affect financial reporting quality at least as measured by absolute</w:t>
      </w:r>
      <w:r>
        <w:rPr>
          <w:spacing w:val="-1"/>
        </w:rPr>
        <w:t> </w:t>
      </w:r>
      <w:r>
        <w:rPr/>
        <w:t>discretionary</w:t>
      </w:r>
      <w:r>
        <w:rPr>
          <w:spacing w:val="-1"/>
        </w:rPr>
        <w:t> </w:t>
      </w:r>
      <w:r>
        <w:rPr/>
        <w:t>accruals but not in the</w:t>
      </w:r>
      <w:r>
        <w:rPr>
          <w:spacing w:val="-1"/>
        </w:rPr>
        <w:t> </w:t>
      </w:r>
      <w:r>
        <w:rPr/>
        <w:t>expected</w:t>
      </w:r>
      <w:r>
        <w:rPr>
          <w:spacing w:val="-1"/>
        </w:rPr>
        <w:t> </w:t>
      </w:r>
      <w:r>
        <w:rPr/>
        <w:t>manner of declining absolute discretionary accruals.</w:t>
      </w:r>
    </w:p>
    <w:p>
      <w:pPr>
        <w:spacing w:after="0" w:line="480" w:lineRule="auto"/>
        <w:jc w:val="both"/>
        <w:sectPr>
          <w:pgSz w:w="11910" w:h="16840"/>
          <w:pgMar w:header="0" w:footer="971" w:top="1340" w:bottom="1160" w:left="500" w:right="0"/>
        </w:sectPr>
      </w:pPr>
    </w:p>
    <w:p>
      <w:pPr>
        <w:spacing w:before="61"/>
        <w:ind w:left="2073" w:right="0" w:firstLine="0"/>
        <w:jc w:val="left"/>
        <w:rPr>
          <w:sz w:val="24"/>
        </w:rPr>
      </w:pPr>
      <w:r>
        <w:rPr>
          <w:b/>
          <w:sz w:val="24"/>
        </w:rPr>
        <w:t>Table</w:t>
      </w:r>
      <w:r>
        <w:rPr>
          <w:b/>
          <w:spacing w:val="-1"/>
          <w:sz w:val="24"/>
        </w:rPr>
        <w:t> </w:t>
      </w:r>
      <w:r>
        <w:rPr>
          <w:b/>
          <w:sz w:val="24"/>
        </w:rPr>
        <w:t>4.10:</w:t>
      </w:r>
      <w:r>
        <w:rPr>
          <w:b/>
          <w:spacing w:val="57"/>
          <w:sz w:val="24"/>
        </w:rPr>
        <w:t> </w:t>
      </w:r>
      <w:r>
        <w:rPr>
          <w:sz w:val="24"/>
        </w:rPr>
        <w:t>VREL and</w:t>
      </w:r>
      <w:r>
        <w:rPr>
          <w:spacing w:val="-1"/>
          <w:sz w:val="24"/>
        </w:rPr>
        <w:t> </w:t>
      </w:r>
      <w:r>
        <w:rPr>
          <w:sz w:val="24"/>
        </w:rPr>
        <w:t>Board</w:t>
      </w:r>
      <w:r>
        <w:rPr>
          <w:spacing w:val="-1"/>
          <w:sz w:val="24"/>
        </w:rPr>
        <w:t> </w:t>
      </w:r>
      <w:r>
        <w:rPr>
          <w:sz w:val="24"/>
        </w:rPr>
        <w:t>Structure</w:t>
      </w:r>
      <w:r>
        <w:rPr>
          <w:spacing w:val="-3"/>
          <w:sz w:val="24"/>
        </w:rPr>
        <w:t> </w:t>
      </w:r>
      <w:r>
        <w:rPr>
          <w:sz w:val="24"/>
        </w:rPr>
        <w:t>Regression </w:t>
      </w:r>
      <w:r>
        <w:rPr>
          <w:spacing w:val="-2"/>
          <w:sz w:val="24"/>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634"/>
        <w:gridCol w:w="1260"/>
        <w:gridCol w:w="1620"/>
        <w:gridCol w:w="1711"/>
        <w:gridCol w:w="2249"/>
      </w:tblGrid>
      <w:tr>
        <w:trPr>
          <w:trHeight w:val="328" w:hRule="atLeast"/>
        </w:trPr>
        <w:tc>
          <w:tcPr>
            <w:tcW w:w="1634" w:type="dxa"/>
            <w:tcBorders>
              <w:left w:val="nil"/>
              <w:bottom w:val="single" w:sz="4" w:space="0" w:color="000000"/>
            </w:tcBorders>
          </w:tcPr>
          <w:p>
            <w:pPr>
              <w:pStyle w:val="TableParagraph"/>
              <w:rPr>
                <w:rFonts w:ascii="Times New Roman"/>
                <w:sz w:val="18"/>
              </w:rPr>
            </w:pPr>
          </w:p>
        </w:tc>
        <w:tc>
          <w:tcPr>
            <w:tcW w:w="1260" w:type="dxa"/>
            <w:tcBorders>
              <w:bottom w:val="single" w:sz="4" w:space="0" w:color="000000"/>
            </w:tcBorders>
          </w:tcPr>
          <w:p>
            <w:pPr>
              <w:pStyle w:val="TableParagraph"/>
              <w:ind w:left="103"/>
              <w:rPr>
                <w:rFonts w:ascii="Times New Roman"/>
                <w:sz w:val="20"/>
              </w:rPr>
            </w:pPr>
            <w:r>
              <w:rPr>
                <w:rFonts w:ascii="Times New Roman"/>
                <w:sz w:val="20"/>
              </w:rPr>
              <w:t>Aprori</w:t>
            </w:r>
            <w:r>
              <w:rPr>
                <w:rFonts w:ascii="Times New Roman"/>
                <w:spacing w:val="-5"/>
                <w:sz w:val="20"/>
              </w:rPr>
              <w:t> </w:t>
            </w:r>
            <w:r>
              <w:rPr>
                <w:rFonts w:ascii="Times New Roman"/>
                <w:spacing w:val="-4"/>
                <w:sz w:val="20"/>
              </w:rPr>
              <w:t>sign</w:t>
            </w:r>
          </w:p>
        </w:tc>
        <w:tc>
          <w:tcPr>
            <w:tcW w:w="5580" w:type="dxa"/>
            <w:gridSpan w:val="3"/>
            <w:tcBorders>
              <w:bottom w:val="single" w:sz="4" w:space="0" w:color="000000"/>
              <w:right w:val="nil"/>
            </w:tcBorders>
          </w:tcPr>
          <w:p>
            <w:pPr>
              <w:pStyle w:val="TableParagraph"/>
              <w:ind w:left="1697"/>
              <w:rPr>
                <w:rFonts w:ascii="Times New Roman"/>
                <w:sz w:val="20"/>
              </w:rPr>
            </w:pPr>
            <w:r>
              <w:rPr>
                <w:rFonts w:ascii="Times New Roman"/>
                <w:sz w:val="20"/>
              </w:rPr>
              <w:t>Dependent</w:t>
            </w:r>
            <w:r>
              <w:rPr>
                <w:rFonts w:ascii="Times New Roman"/>
                <w:spacing w:val="-6"/>
                <w:sz w:val="20"/>
              </w:rPr>
              <w:t> </w:t>
            </w:r>
            <w:r>
              <w:rPr>
                <w:rFonts w:ascii="Times New Roman"/>
                <w:sz w:val="20"/>
              </w:rPr>
              <w:t>Variable</w:t>
            </w:r>
            <w:r>
              <w:rPr>
                <w:rFonts w:ascii="Times New Roman"/>
                <w:spacing w:val="-5"/>
                <w:sz w:val="20"/>
              </w:rPr>
              <w:t> </w:t>
            </w:r>
            <w:r>
              <w:rPr>
                <w:rFonts w:ascii="Times New Roman"/>
                <w:spacing w:val="-4"/>
                <w:sz w:val="20"/>
              </w:rPr>
              <w:t>VREL</w:t>
            </w:r>
          </w:p>
        </w:tc>
      </w:tr>
      <w:tr>
        <w:trPr>
          <w:trHeight w:val="460" w:hRule="atLeast"/>
        </w:trPr>
        <w:tc>
          <w:tcPr>
            <w:tcW w:w="1634" w:type="dxa"/>
            <w:tcBorders>
              <w:top w:val="single" w:sz="4" w:space="0" w:color="000000"/>
              <w:left w:val="nil"/>
            </w:tcBorders>
          </w:tcPr>
          <w:p>
            <w:pPr>
              <w:pStyle w:val="TableParagraph"/>
              <w:rPr>
                <w:rFonts w:ascii="Times New Roman"/>
                <w:sz w:val="18"/>
              </w:rPr>
            </w:pPr>
          </w:p>
        </w:tc>
        <w:tc>
          <w:tcPr>
            <w:tcW w:w="1260" w:type="dxa"/>
            <w:tcBorders>
              <w:top w:val="single" w:sz="4" w:space="0" w:color="000000"/>
            </w:tcBorders>
          </w:tcPr>
          <w:p>
            <w:pPr>
              <w:pStyle w:val="TableParagraph"/>
              <w:rPr>
                <w:rFonts w:ascii="Times New Roman"/>
                <w:sz w:val="18"/>
              </w:rPr>
            </w:pPr>
          </w:p>
        </w:tc>
        <w:tc>
          <w:tcPr>
            <w:tcW w:w="1620" w:type="dxa"/>
            <w:tcBorders>
              <w:top w:val="single" w:sz="4" w:space="0" w:color="000000"/>
              <w:right w:val="single" w:sz="4" w:space="0" w:color="000000"/>
            </w:tcBorders>
          </w:tcPr>
          <w:p>
            <w:pPr>
              <w:pStyle w:val="TableParagraph"/>
              <w:spacing w:line="230" w:lineRule="atLeast"/>
              <w:ind w:left="432" w:right="279" w:hanging="147"/>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1711" w:type="dxa"/>
            <w:tcBorders>
              <w:top w:val="single" w:sz="4" w:space="0" w:color="000000"/>
              <w:left w:val="single" w:sz="4" w:space="0" w:color="000000"/>
              <w:right w:val="single" w:sz="4" w:space="0" w:color="000000"/>
            </w:tcBorders>
          </w:tcPr>
          <w:p>
            <w:pPr>
              <w:pStyle w:val="TableParagraph"/>
              <w:spacing w:line="230" w:lineRule="atLeast"/>
              <w:ind w:left="478" w:right="215" w:hanging="260"/>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2249" w:type="dxa"/>
            <w:tcBorders>
              <w:top w:val="single" w:sz="4" w:space="0" w:color="000000"/>
              <w:left w:val="single" w:sz="4" w:space="0" w:color="000000"/>
              <w:right w:val="nil"/>
            </w:tcBorders>
          </w:tcPr>
          <w:p>
            <w:pPr>
              <w:pStyle w:val="TableParagraph"/>
              <w:spacing w:line="230" w:lineRule="atLeast"/>
              <w:ind w:left="745" w:right="124" w:hanging="630"/>
              <w:rPr>
                <w:rFonts w:ascii="Times New Roman"/>
                <w:sz w:val="20"/>
              </w:rPr>
            </w:pPr>
            <w:r>
              <w:rPr>
                <w:rFonts w:ascii="Times New Roman"/>
                <w:spacing w:val="-2"/>
                <w:sz w:val="20"/>
              </w:rPr>
              <w:t>Difference-in-Difference estimates</w:t>
            </w:r>
          </w:p>
        </w:tc>
      </w:tr>
      <w:tr>
        <w:trPr>
          <w:trHeight w:val="278" w:hRule="atLeast"/>
        </w:trPr>
        <w:tc>
          <w:tcPr>
            <w:tcW w:w="1634" w:type="dxa"/>
            <w:tcBorders>
              <w:left w:val="nil"/>
              <w:bottom w:val="nil"/>
            </w:tcBorders>
          </w:tcPr>
          <w:p>
            <w:pPr>
              <w:pStyle w:val="TableParagraph"/>
              <w:ind w:left="162" w:right="144"/>
              <w:jc w:val="center"/>
              <w:rPr>
                <w:rFonts w:ascii="Times New Roman"/>
                <w:sz w:val="19"/>
              </w:rPr>
            </w:pPr>
            <w:r>
              <w:rPr>
                <w:rFonts w:ascii="Times New Roman"/>
                <w:spacing w:val="-10"/>
                <w:sz w:val="19"/>
              </w:rPr>
              <w:t>C</w:t>
            </w:r>
          </w:p>
        </w:tc>
        <w:tc>
          <w:tcPr>
            <w:tcW w:w="1260" w:type="dxa"/>
            <w:vMerge w:val="restart"/>
            <w:tcBorders>
              <w:bottom w:val="single" w:sz="4" w:space="0" w:color="000000"/>
            </w:tcBorders>
          </w:tcPr>
          <w:p>
            <w:pPr>
              <w:pStyle w:val="TableParagraph"/>
              <w:rPr>
                <w:rFonts w:ascii="Times New Roman"/>
                <w:sz w:val="18"/>
              </w:rPr>
            </w:pPr>
          </w:p>
        </w:tc>
        <w:tc>
          <w:tcPr>
            <w:tcW w:w="1620" w:type="dxa"/>
            <w:tcBorders>
              <w:bottom w:val="nil"/>
              <w:right w:val="single" w:sz="4" w:space="0" w:color="000000"/>
            </w:tcBorders>
          </w:tcPr>
          <w:p>
            <w:pPr>
              <w:pStyle w:val="TableParagraph"/>
              <w:ind w:left="143" w:right="143"/>
              <w:jc w:val="center"/>
              <w:rPr>
                <w:rFonts w:ascii="Times New Roman"/>
                <w:sz w:val="19"/>
              </w:rPr>
            </w:pPr>
            <w:r>
              <w:rPr>
                <w:rFonts w:ascii="Times New Roman"/>
                <w:spacing w:val="-2"/>
                <w:sz w:val="19"/>
              </w:rPr>
              <w:t>0.3285***</w:t>
            </w:r>
          </w:p>
        </w:tc>
        <w:tc>
          <w:tcPr>
            <w:tcW w:w="1711" w:type="dxa"/>
            <w:tcBorders>
              <w:left w:val="single" w:sz="4" w:space="0" w:color="000000"/>
              <w:bottom w:val="nil"/>
              <w:right w:val="single" w:sz="4" w:space="0" w:color="000000"/>
            </w:tcBorders>
          </w:tcPr>
          <w:p>
            <w:pPr>
              <w:pStyle w:val="TableParagraph"/>
              <w:ind w:left="3" w:right="9"/>
              <w:jc w:val="center"/>
              <w:rPr>
                <w:rFonts w:ascii="Times New Roman"/>
                <w:sz w:val="20"/>
              </w:rPr>
            </w:pPr>
            <w:r>
              <w:rPr>
                <w:rFonts w:ascii="Times New Roman"/>
                <w:spacing w:val="-2"/>
                <w:sz w:val="20"/>
              </w:rPr>
              <w:t>-2.172759</w:t>
            </w:r>
          </w:p>
        </w:tc>
        <w:tc>
          <w:tcPr>
            <w:tcW w:w="2249" w:type="dxa"/>
            <w:tcBorders>
              <w:left w:val="single" w:sz="4" w:space="0" w:color="000000"/>
              <w:bottom w:val="nil"/>
              <w:right w:val="nil"/>
            </w:tcBorders>
          </w:tcPr>
          <w:p>
            <w:pPr>
              <w:pStyle w:val="TableParagraph"/>
              <w:spacing w:before="2"/>
              <w:ind w:left="3" w:right="15"/>
              <w:jc w:val="center"/>
              <w:rPr>
                <w:rFonts w:ascii="Times New Roman"/>
                <w:sz w:val="18"/>
              </w:rPr>
            </w:pPr>
            <w:r>
              <w:rPr>
                <w:rFonts w:ascii="Times New Roman"/>
                <w:spacing w:val="-2"/>
                <w:sz w:val="18"/>
              </w:rPr>
              <w:t>21.19209</w:t>
            </w:r>
          </w:p>
        </w:tc>
      </w:tr>
      <w:tr>
        <w:trPr>
          <w:trHeight w:val="362" w:hRule="atLeast"/>
        </w:trPr>
        <w:tc>
          <w:tcPr>
            <w:tcW w:w="1634" w:type="dxa"/>
            <w:tcBorders>
              <w:top w:val="nil"/>
              <w:left w:val="nil"/>
              <w:bottom w:val="nil"/>
            </w:tcBorders>
          </w:tcPr>
          <w:p>
            <w:pPr>
              <w:pStyle w:val="TableParagraph"/>
              <w:rPr>
                <w:rFonts w:ascii="Times New Roman"/>
                <w:sz w:val="18"/>
              </w:rPr>
            </w:pPr>
          </w:p>
        </w:tc>
        <w:tc>
          <w:tcPr>
            <w:tcW w:w="1260" w:type="dxa"/>
            <w:vMerge/>
            <w:tcBorders>
              <w:top w:val="nil"/>
              <w:bottom w:val="single" w:sz="4" w:space="0" w:color="000000"/>
            </w:tcBorders>
          </w:tcPr>
          <w:p>
            <w:pPr>
              <w:rPr>
                <w:sz w:val="2"/>
                <w:szCs w:val="2"/>
              </w:rPr>
            </w:pPr>
          </w:p>
        </w:tc>
        <w:tc>
          <w:tcPr>
            <w:tcW w:w="1620" w:type="dxa"/>
            <w:tcBorders>
              <w:top w:val="nil"/>
              <w:bottom w:val="nil"/>
              <w:right w:val="single" w:sz="4" w:space="0" w:color="000000"/>
            </w:tcBorders>
          </w:tcPr>
          <w:p>
            <w:pPr>
              <w:pStyle w:val="TableParagraph"/>
              <w:spacing w:before="40"/>
              <w:ind w:left="143" w:right="142"/>
              <w:jc w:val="center"/>
              <w:rPr>
                <w:rFonts w:ascii="Times New Roman"/>
                <w:sz w:val="19"/>
              </w:rPr>
            </w:pPr>
            <w:r>
              <w:rPr>
                <w:rFonts w:ascii="Times New Roman"/>
                <w:spacing w:val="-2"/>
                <w:sz w:val="19"/>
              </w:rPr>
              <w:t>(0.0882)</w:t>
            </w:r>
          </w:p>
        </w:tc>
        <w:tc>
          <w:tcPr>
            <w:tcW w:w="1711" w:type="dxa"/>
            <w:tcBorders>
              <w:top w:val="nil"/>
              <w:left w:val="single" w:sz="4" w:space="0" w:color="000000"/>
              <w:bottom w:val="nil"/>
              <w:right w:val="single" w:sz="4" w:space="0" w:color="000000"/>
            </w:tcBorders>
          </w:tcPr>
          <w:p>
            <w:pPr>
              <w:pStyle w:val="TableParagraph"/>
              <w:spacing w:before="57"/>
              <w:ind w:left="3" w:right="9"/>
              <w:jc w:val="center"/>
              <w:rPr>
                <w:rFonts w:ascii="Times New Roman"/>
                <w:sz w:val="20"/>
              </w:rPr>
            </w:pPr>
            <w:r>
              <w:rPr>
                <w:rFonts w:ascii="Times New Roman"/>
                <w:spacing w:val="-2"/>
                <w:sz w:val="20"/>
              </w:rPr>
              <w:t>(15.8486)</w:t>
            </w:r>
          </w:p>
        </w:tc>
        <w:tc>
          <w:tcPr>
            <w:tcW w:w="2249" w:type="dxa"/>
            <w:tcBorders>
              <w:top w:val="nil"/>
              <w:left w:val="single" w:sz="4" w:space="0" w:color="000000"/>
              <w:bottom w:val="nil"/>
              <w:right w:val="nil"/>
            </w:tcBorders>
          </w:tcPr>
          <w:p>
            <w:pPr>
              <w:pStyle w:val="TableParagraph"/>
              <w:spacing w:line="190" w:lineRule="exact" w:before="152"/>
              <w:ind w:left="1" w:right="15"/>
              <w:jc w:val="center"/>
              <w:rPr>
                <w:rFonts w:ascii="Times New Roman"/>
                <w:sz w:val="18"/>
              </w:rPr>
            </w:pPr>
            <w:r>
              <w:rPr>
                <w:rFonts w:ascii="Times New Roman"/>
                <w:spacing w:val="-2"/>
                <w:sz w:val="18"/>
              </w:rPr>
              <w:t>(98.5628)</w:t>
            </w:r>
          </w:p>
        </w:tc>
      </w:tr>
      <w:tr>
        <w:trPr>
          <w:trHeight w:val="452"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vMerge/>
            <w:tcBorders>
              <w:top w:val="nil"/>
              <w:bottom w:val="single" w:sz="4" w:space="0" w:color="000000"/>
            </w:tcBorders>
          </w:tcPr>
          <w:p>
            <w:pPr>
              <w:rPr>
                <w:sz w:val="2"/>
                <w:szCs w:val="2"/>
              </w:rPr>
            </w:pPr>
          </w:p>
        </w:tc>
        <w:tc>
          <w:tcPr>
            <w:tcW w:w="1620" w:type="dxa"/>
            <w:tcBorders>
              <w:top w:val="nil"/>
              <w:bottom w:val="single" w:sz="4" w:space="0" w:color="000000"/>
              <w:right w:val="single" w:sz="4" w:space="0" w:color="000000"/>
            </w:tcBorders>
          </w:tcPr>
          <w:p>
            <w:pPr>
              <w:pStyle w:val="TableParagraph"/>
              <w:spacing w:line="213" w:lineRule="exact"/>
              <w:ind w:left="143" w:right="143"/>
              <w:jc w:val="center"/>
              <w:rPr>
                <w:rFonts w:ascii="Times New Roman"/>
                <w:sz w:val="19"/>
              </w:rPr>
            </w:pPr>
            <w:r>
              <w:rPr>
                <w:rFonts w:ascii="Times New Roman"/>
                <w:spacing w:val="-2"/>
                <w:sz w:val="19"/>
              </w:rPr>
              <w:t>{0.0003}</w:t>
            </w:r>
          </w:p>
        </w:tc>
        <w:tc>
          <w:tcPr>
            <w:tcW w:w="1711" w:type="dxa"/>
            <w:tcBorders>
              <w:top w:val="nil"/>
              <w:left w:val="single" w:sz="4" w:space="0" w:color="000000"/>
              <w:bottom w:val="single" w:sz="4" w:space="0" w:color="000000"/>
              <w:right w:val="single" w:sz="4" w:space="0" w:color="000000"/>
            </w:tcBorders>
          </w:tcPr>
          <w:p>
            <w:pPr>
              <w:pStyle w:val="TableParagraph"/>
              <w:spacing w:before="30"/>
              <w:ind w:left="9" w:right="9"/>
              <w:jc w:val="center"/>
              <w:rPr>
                <w:rFonts w:ascii="Times New Roman"/>
                <w:sz w:val="20"/>
              </w:rPr>
            </w:pPr>
            <w:r>
              <w:rPr>
                <w:rFonts w:ascii="Times New Roman"/>
                <w:spacing w:val="-2"/>
                <w:sz w:val="20"/>
              </w:rPr>
              <w:t>{0.8911}</w:t>
            </w:r>
          </w:p>
        </w:tc>
        <w:tc>
          <w:tcPr>
            <w:tcW w:w="2249" w:type="dxa"/>
            <w:tcBorders>
              <w:top w:val="nil"/>
              <w:left w:val="single" w:sz="4" w:space="0" w:color="000000"/>
              <w:right w:val="nil"/>
            </w:tcBorders>
          </w:tcPr>
          <w:p>
            <w:pPr>
              <w:pStyle w:val="TableParagraph"/>
              <w:spacing w:before="7"/>
              <w:rPr>
                <w:rFonts w:ascii="Times New Roman"/>
                <w:sz w:val="18"/>
              </w:rPr>
            </w:pPr>
          </w:p>
          <w:p>
            <w:pPr>
              <w:pStyle w:val="TableParagraph"/>
              <w:ind w:left="11" w:right="15"/>
              <w:jc w:val="center"/>
              <w:rPr>
                <w:rFonts w:ascii="Times New Roman"/>
                <w:sz w:val="18"/>
              </w:rPr>
            </w:pPr>
            <w:r>
              <w:rPr>
                <w:rFonts w:ascii="Times New Roman"/>
                <w:spacing w:val="-2"/>
                <w:sz w:val="18"/>
              </w:rPr>
              <w:t>{0.8300}</w:t>
            </w:r>
          </w:p>
        </w:tc>
      </w:tr>
      <w:tr>
        <w:trPr>
          <w:trHeight w:val="272" w:hRule="atLeast"/>
        </w:trPr>
        <w:tc>
          <w:tcPr>
            <w:tcW w:w="1634" w:type="dxa"/>
            <w:tcBorders>
              <w:top w:val="single" w:sz="4" w:space="0" w:color="000000"/>
              <w:left w:val="nil"/>
              <w:bottom w:val="nil"/>
            </w:tcBorders>
          </w:tcPr>
          <w:p>
            <w:pPr>
              <w:pStyle w:val="TableParagraph"/>
              <w:ind w:left="162" w:right="147"/>
              <w:jc w:val="center"/>
              <w:rPr>
                <w:rFonts w:ascii="Times New Roman"/>
                <w:sz w:val="19"/>
              </w:rPr>
            </w:pPr>
            <w:r>
              <w:rPr/>
              <mc:AlternateContent>
                <mc:Choice Requires="wps">
                  <w:drawing>
                    <wp:anchor distT="0" distB="0" distL="0" distR="0" allowOverlap="1" layoutInCell="1" locked="0" behindDoc="1" simplePos="0" relativeHeight="477748224">
                      <wp:simplePos x="0" y="0"/>
                      <wp:positionH relativeFrom="column">
                        <wp:posOffset>14630</wp:posOffset>
                      </wp:positionH>
                      <wp:positionV relativeFrom="paragraph">
                        <wp:posOffset>403087</wp:posOffset>
                      </wp:positionV>
                      <wp:extent cx="5107305" cy="5238115"/>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5107305" cy="5238115"/>
                                <a:chExt cx="5107305" cy="5238115"/>
                              </a:xfrm>
                            </wpg:grpSpPr>
                            <pic:pic>
                              <pic:nvPicPr>
                                <pic:cNvPr id="204" name="Image 204"/>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1.152pt;margin-top:31.739155pt;width:402.15pt;height:412.45pt;mso-position-horizontal-relative:column;mso-position-vertical-relative:paragraph;z-index:-25568256" id="docshapegroup63" coordorigin="23,635" coordsize="8043,8249">
                      <v:shape style="position:absolute;left:23;top:634;width:8043;height:8249" type="#_x0000_t75" id="docshape64" stroked="false">
                        <v:imagedata r:id="rId5" o:title=""/>
                      </v:shape>
                      <w10:wrap type="none"/>
                    </v:group>
                  </w:pict>
                </mc:Fallback>
              </mc:AlternateContent>
            </w:r>
            <w:r>
              <w:rPr>
                <w:rFonts w:ascii="Times New Roman"/>
                <w:spacing w:val="-2"/>
                <w:sz w:val="19"/>
              </w:rPr>
              <w:t>T-periods</w:t>
            </w:r>
          </w:p>
        </w:tc>
        <w:tc>
          <w:tcPr>
            <w:tcW w:w="1260" w:type="dxa"/>
            <w:tcBorders>
              <w:top w:val="single" w:sz="4" w:space="0" w:color="000000"/>
              <w:bottom w:val="nil"/>
            </w:tcBorders>
          </w:tcPr>
          <w:p>
            <w:pPr>
              <w:pStyle w:val="TableParagraph"/>
              <w:rPr>
                <w:rFonts w:ascii="Times New Roman"/>
                <w:sz w:val="18"/>
              </w:rPr>
            </w:pPr>
          </w:p>
        </w:tc>
        <w:tc>
          <w:tcPr>
            <w:tcW w:w="1620" w:type="dxa"/>
            <w:vMerge w:val="restart"/>
            <w:tcBorders>
              <w:top w:val="single" w:sz="4" w:space="0" w:color="000000"/>
              <w:bottom w:val="single" w:sz="4" w:space="0" w:color="000000"/>
              <w:right w:val="single" w:sz="4" w:space="0" w:color="000000"/>
            </w:tcBorders>
          </w:tcPr>
          <w:p>
            <w:pPr>
              <w:pStyle w:val="TableParagraph"/>
              <w:rPr>
                <w:rFonts w:ascii="Times New Roman"/>
                <w:sz w:val="18"/>
              </w:rPr>
            </w:pPr>
          </w:p>
        </w:tc>
        <w:tc>
          <w:tcPr>
            <w:tcW w:w="171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249" w:type="dxa"/>
            <w:tcBorders>
              <w:left w:val="single" w:sz="4" w:space="0" w:color="000000"/>
              <w:bottom w:val="nil"/>
              <w:right w:val="nil"/>
            </w:tcBorders>
          </w:tcPr>
          <w:p>
            <w:pPr>
              <w:pStyle w:val="TableParagraph"/>
              <w:spacing w:before="2"/>
              <w:ind w:left="3" w:right="15"/>
              <w:jc w:val="center"/>
              <w:rPr>
                <w:rFonts w:ascii="Times New Roman"/>
                <w:sz w:val="18"/>
              </w:rPr>
            </w:pPr>
            <w:r>
              <w:rPr>
                <w:rFonts w:ascii="Times New Roman"/>
                <w:spacing w:val="-2"/>
                <w:sz w:val="18"/>
              </w:rPr>
              <w:t>0.827271</w:t>
            </w:r>
          </w:p>
        </w:tc>
      </w:tr>
      <w:tr>
        <w:trPr>
          <w:trHeight w:val="479"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tcBorders>
          </w:tcPr>
          <w:p>
            <w:pPr>
              <w:pStyle w:val="TableParagraph"/>
              <w:spacing w:before="46"/>
              <w:ind w:left="170" w:right="170"/>
              <w:jc w:val="center"/>
              <w:rPr>
                <w:rFonts w:ascii="Times New Roman"/>
                <w:sz w:val="19"/>
              </w:rPr>
            </w:pPr>
            <w:r>
              <w:rPr>
                <w:rFonts w:ascii="Times New Roman"/>
                <w:spacing w:val="-10"/>
                <w:sz w:val="19"/>
              </w:rPr>
              <w:t>+</w:t>
            </w:r>
          </w:p>
        </w:tc>
        <w:tc>
          <w:tcPr>
            <w:tcW w:w="1620" w:type="dxa"/>
            <w:vMerge/>
            <w:tcBorders>
              <w:top w:val="nil"/>
              <w:bottom w:val="single" w:sz="4" w:space="0" w:color="000000"/>
              <w:right w:val="single" w:sz="4" w:space="0" w:color="000000"/>
            </w:tcBorders>
          </w:tcPr>
          <w:p>
            <w:pPr>
              <w:rPr>
                <w:sz w:val="2"/>
                <w:szCs w:val="2"/>
              </w:rPr>
            </w:pPr>
          </w:p>
        </w:tc>
        <w:tc>
          <w:tcPr>
            <w:tcW w:w="1711" w:type="dxa"/>
            <w:vMerge/>
            <w:tcBorders>
              <w:top w:val="nil"/>
              <w:left w:val="single" w:sz="4" w:space="0" w:color="000000"/>
              <w:bottom w:val="single" w:sz="4" w:space="0" w:color="000000"/>
              <w:right w:val="single" w:sz="4" w:space="0" w:color="000000"/>
            </w:tcBorders>
          </w:tcPr>
          <w:p>
            <w:pPr>
              <w:rPr>
                <w:sz w:val="2"/>
                <w:szCs w:val="2"/>
              </w:rPr>
            </w:pPr>
          </w:p>
        </w:tc>
        <w:tc>
          <w:tcPr>
            <w:tcW w:w="2249" w:type="dxa"/>
            <w:tcBorders>
              <w:top w:val="nil"/>
              <w:left w:val="single" w:sz="4" w:space="0" w:color="000000"/>
              <w:bottom w:val="nil"/>
              <w:right w:val="nil"/>
            </w:tcBorders>
          </w:tcPr>
          <w:p>
            <w:pPr>
              <w:pStyle w:val="TableParagraph"/>
              <w:spacing w:before="158"/>
              <w:ind w:left="1" w:right="15"/>
              <w:jc w:val="center"/>
              <w:rPr>
                <w:rFonts w:ascii="Times New Roman"/>
                <w:sz w:val="18"/>
              </w:rPr>
            </w:pPr>
            <w:r>
              <w:rPr>
                <w:rFonts w:ascii="Times New Roman"/>
                <w:spacing w:val="-2"/>
                <w:sz w:val="18"/>
              </w:rPr>
              <w:t>(97.223)</w:t>
            </w:r>
          </w:p>
        </w:tc>
      </w:tr>
      <w:tr>
        <w:trPr>
          <w:trHeight w:val="343"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tcBorders>
              <w:top w:val="nil"/>
            </w:tcBorders>
          </w:tcPr>
          <w:p>
            <w:pPr>
              <w:pStyle w:val="TableParagraph"/>
              <w:rPr>
                <w:rFonts w:ascii="Times New Roman"/>
                <w:sz w:val="18"/>
              </w:rPr>
            </w:pPr>
          </w:p>
        </w:tc>
        <w:tc>
          <w:tcPr>
            <w:tcW w:w="1620" w:type="dxa"/>
            <w:vMerge/>
            <w:tcBorders>
              <w:top w:val="nil"/>
              <w:bottom w:val="single" w:sz="4" w:space="0" w:color="000000"/>
              <w:right w:val="single" w:sz="4" w:space="0" w:color="000000"/>
            </w:tcBorders>
          </w:tcPr>
          <w:p>
            <w:pPr>
              <w:rPr>
                <w:sz w:val="2"/>
                <w:szCs w:val="2"/>
              </w:rPr>
            </w:pPr>
          </w:p>
        </w:tc>
        <w:tc>
          <w:tcPr>
            <w:tcW w:w="1711" w:type="dxa"/>
            <w:vMerge/>
            <w:tcBorders>
              <w:top w:val="nil"/>
              <w:left w:val="single" w:sz="4" w:space="0" w:color="000000"/>
              <w:bottom w:val="single" w:sz="4" w:space="0" w:color="000000"/>
              <w:right w:val="single" w:sz="4" w:space="0" w:color="000000"/>
            </w:tcBorders>
          </w:tcPr>
          <w:p>
            <w:pPr>
              <w:rPr>
                <w:sz w:val="2"/>
                <w:szCs w:val="2"/>
              </w:rPr>
            </w:pPr>
          </w:p>
        </w:tc>
        <w:tc>
          <w:tcPr>
            <w:tcW w:w="2249" w:type="dxa"/>
            <w:tcBorders>
              <w:top w:val="nil"/>
              <w:left w:val="single" w:sz="4" w:space="0" w:color="000000"/>
              <w:right w:val="nil"/>
            </w:tcBorders>
          </w:tcPr>
          <w:p>
            <w:pPr>
              <w:pStyle w:val="TableParagraph"/>
              <w:spacing w:before="106"/>
              <w:ind w:left="11" w:right="15"/>
              <w:jc w:val="center"/>
              <w:rPr>
                <w:rFonts w:ascii="Times New Roman"/>
                <w:sz w:val="18"/>
              </w:rPr>
            </w:pPr>
            <w:r>
              <w:rPr>
                <w:rFonts w:ascii="Times New Roman"/>
                <w:spacing w:val="-2"/>
                <w:sz w:val="18"/>
              </w:rPr>
              <w:t>{0.9932}</w:t>
            </w:r>
          </w:p>
        </w:tc>
      </w:tr>
      <w:tr>
        <w:trPr>
          <w:trHeight w:val="283" w:hRule="atLeast"/>
        </w:trPr>
        <w:tc>
          <w:tcPr>
            <w:tcW w:w="1634" w:type="dxa"/>
            <w:tcBorders>
              <w:top w:val="single" w:sz="4" w:space="0" w:color="000000"/>
              <w:left w:val="nil"/>
              <w:bottom w:val="nil"/>
            </w:tcBorders>
          </w:tcPr>
          <w:p>
            <w:pPr>
              <w:pStyle w:val="TableParagraph"/>
              <w:ind w:left="162" w:right="143"/>
              <w:jc w:val="center"/>
              <w:rPr>
                <w:rFonts w:ascii="Times New Roman"/>
                <w:sz w:val="19"/>
              </w:rPr>
            </w:pPr>
            <w:r>
              <w:rPr>
                <w:rFonts w:ascii="Times New Roman"/>
                <w:spacing w:val="-4"/>
                <w:sz w:val="19"/>
              </w:rPr>
              <w:t>IFRS</w:t>
            </w:r>
          </w:p>
        </w:tc>
        <w:tc>
          <w:tcPr>
            <w:tcW w:w="1260" w:type="dxa"/>
            <w:tcBorders>
              <w:bottom w:val="nil"/>
              <w:right w:val="single" w:sz="4" w:space="0" w:color="000000"/>
            </w:tcBorders>
          </w:tcPr>
          <w:p>
            <w:pPr>
              <w:pStyle w:val="TableParagraph"/>
              <w:rPr>
                <w:rFonts w:ascii="Times New Roman"/>
                <w:sz w:val="18"/>
              </w:rPr>
            </w:pPr>
          </w:p>
        </w:tc>
        <w:tc>
          <w:tcPr>
            <w:tcW w:w="1620" w:type="dxa"/>
            <w:tcBorders>
              <w:top w:val="single" w:sz="4" w:space="0" w:color="000000"/>
              <w:left w:val="single" w:sz="4" w:space="0" w:color="000000"/>
              <w:bottom w:val="nil"/>
              <w:right w:val="single" w:sz="4" w:space="0" w:color="000000"/>
            </w:tcBorders>
          </w:tcPr>
          <w:p>
            <w:pPr>
              <w:pStyle w:val="TableParagraph"/>
              <w:spacing w:before="2"/>
              <w:ind w:left="143" w:right="150"/>
              <w:jc w:val="center"/>
              <w:rPr>
                <w:rFonts w:ascii="Times New Roman"/>
                <w:sz w:val="18"/>
              </w:rPr>
            </w:pPr>
            <w:r>
              <w:rPr>
                <w:rFonts w:ascii="Times New Roman"/>
                <w:spacing w:val="-2"/>
                <w:sz w:val="18"/>
              </w:rPr>
              <w:t>20.5352</w:t>
            </w:r>
          </w:p>
        </w:tc>
        <w:tc>
          <w:tcPr>
            <w:tcW w:w="1711" w:type="dxa"/>
            <w:tcBorders>
              <w:top w:val="single" w:sz="4" w:space="0" w:color="000000"/>
              <w:left w:val="single" w:sz="4" w:space="0" w:color="000000"/>
              <w:bottom w:val="nil"/>
            </w:tcBorders>
          </w:tcPr>
          <w:p>
            <w:pPr>
              <w:pStyle w:val="TableParagraph"/>
              <w:spacing w:before="1"/>
              <w:ind w:right="9"/>
              <w:jc w:val="center"/>
              <w:rPr>
                <w:rFonts w:ascii="Times New Roman"/>
                <w:sz w:val="20"/>
              </w:rPr>
            </w:pPr>
            <w:r>
              <w:rPr>
                <w:rFonts w:ascii="Times New Roman"/>
                <w:spacing w:val="-2"/>
                <w:sz w:val="20"/>
              </w:rPr>
              <w:t>44.5981</w:t>
            </w:r>
          </w:p>
        </w:tc>
        <w:tc>
          <w:tcPr>
            <w:tcW w:w="2249" w:type="dxa"/>
            <w:tcBorders>
              <w:bottom w:val="nil"/>
              <w:right w:val="nil"/>
            </w:tcBorders>
          </w:tcPr>
          <w:p>
            <w:pPr>
              <w:pStyle w:val="TableParagraph"/>
              <w:spacing w:before="2"/>
              <w:ind w:right="15"/>
              <w:jc w:val="center"/>
              <w:rPr>
                <w:rFonts w:ascii="Times New Roman"/>
                <w:sz w:val="18"/>
              </w:rPr>
            </w:pPr>
            <w:r>
              <w:rPr>
                <w:rFonts w:ascii="Times New Roman"/>
                <w:sz w:val="18"/>
              </w:rPr>
              <w:t>-</w:t>
            </w:r>
            <w:r>
              <w:rPr>
                <w:rFonts w:ascii="Times New Roman"/>
                <w:spacing w:val="-2"/>
                <w:sz w:val="18"/>
              </w:rPr>
              <w:t>8.661362</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4"/>
              <w:ind w:left="170"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156"/>
              <w:ind w:left="143" w:right="149"/>
              <w:jc w:val="center"/>
              <w:rPr>
                <w:rFonts w:ascii="Times New Roman"/>
                <w:sz w:val="18"/>
              </w:rPr>
            </w:pPr>
            <w:r>
              <w:rPr>
                <w:rFonts w:ascii="Times New Roman"/>
                <w:spacing w:val="-2"/>
                <w:sz w:val="18"/>
              </w:rPr>
              <w:t>(7.2013)</w:t>
            </w:r>
          </w:p>
        </w:tc>
        <w:tc>
          <w:tcPr>
            <w:tcW w:w="1711" w:type="dxa"/>
            <w:tcBorders>
              <w:top w:val="nil"/>
              <w:left w:val="single" w:sz="4" w:space="0" w:color="000000"/>
              <w:bottom w:val="nil"/>
            </w:tcBorders>
          </w:tcPr>
          <w:p>
            <w:pPr>
              <w:pStyle w:val="TableParagraph"/>
              <w:spacing w:before="181"/>
              <w:ind w:left="3" w:right="9"/>
              <w:jc w:val="center"/>
              <w:rPr>
                <w:rFonts w:ascii="Times New Roman"/>
                <w:sz w:val="20"/>
              </w:rPr>
            </w:pPr>
            <w:r>
              <w:rPr>
                <w:rFonts w:ascii="Times New Roman"/>
                <w:spacing w:val="-2"/>
                <w:sz w:val="20"/>
              </w:rPr>
              <w:t>(11.6607)</w:t>
            </w:r>
          </w:p>
        </w:tc>
        <w:tc>
          <w:tcPr>
            <w:tcW w:w="2249" w:type="dxa"/>
            <w:tcBorders>
              <w:top w:val="nil"/>
              <w:bottom w:val="nil"/>
              <w:right w:val="nil"/>
            </w:tcBorders>
          </w:tcPr>
          <w:p>
            <w:pPr>
              <w:pStyle w:val="TableParagraph"/>
              <w:spacing w:before="156"/>
              <w:ind w:left="1" w:right="15"/>
              <w:jc w:val="center"/>
              <w:rPr>
                <w:rFonts w:ascii="Times New Roman"/>
                <w:sz w:val="18"/>
              </w:rPr>
            </w:pPr>
            <w:r>
              <w:rPr>
                <w:rFonts w:ascii="Times New Roman"/>
                <w:spacing w:val="-2"/>
                <w:sz w:val="18"/>
              </w:rPr>
              <w:t>(97.257)</w:t>
            </w:r>
          </w:p>
        </w:tc>
      </w:tr>
      <w:tr>
        <w:trPr>
          <w:trHeight w:val="404"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bottom w:val="single" w:sz="4" w:space="0" w:color="000000"/>
              <w:right w:val="single" w:sz="4" w:space="0" w:color="000000"/>
            </w:tcBorders>
          </w:tcPr>
          <w:p>
            <w:pPr>
              <w:pStyle w:val="TableParagraph"/>
              <w:spacing w:before="87"/>
              <w:ind w:left="143" w:right="142"/>
              <w:jc w:val="center"/>
              <w:rPr>
                <w:rFonts w:ascii="Times New Roman"/>
                <w:sz w:val="18"/>
              </w:rPr>
            </w:pPr>
            <w:r>
              <w:rPr>
                <w:rFonts w:ascii="Times New Roman"/>
                <w:spacing w:val="-2"/>
                <w:sz w:val="18"/>
              </w:rPr>
              <w:t>{0.0049}</w:t>
            </w:r>
          </w:p>
        </w:tc>
        <w:tc>
          <w:tcPr>
            <w:tcW w:w="1711" w:type="dxa"/>
            <w:tcBorders>
              <w:top w:val="nil"/>
              <w:left w:val="single" w:sz="4" w:space="0" w:color="000000"/>
              <w:bottom w:val="single" w:sz="4" w:space="0" w:color="000000"/>
            </w:tcBorders>
          </w:tcPr>
          <w:p>
            <w:pPr>
              <w:pStyle w:val="TableParagraph"/>
              <w:spacing w:before="140"/>
              <w:ind w:left="9" w:right="9"/>
              <w:jc w:val="center"/>
              <w:rPr>
                <w:rFonts w:ascii="Times New Roman"/>
                <w:sz w:val="20"/>
              </w:rPr>
            </w:pPr>
            <w:r>
              <w:rPr>
                <w:rFonts w:ascii="Times New Roman"/>
                <w:spacing w:val="-2"/>
                <w:sz w:val="20"/>
              </w:rPr>
              <w:t>{0.0002}</w:t>
            </w:r>
          </w:p>
        </w:tc>
        <w:tc>
          <w:tcPr>
            <w:tcW w:w="2249" w:type="dxa"/>
            <w:tcBorders>
              <w:top w:val="nil"/>
              <w:right w:val="nil"/>
            </w:tcBorders>
          </w:tcPr>
          <w:p>
            <w:pPr>
              <w:pStyle w:val="TableParagraph"/>
              <w:spacing w:before="87"/>
              <w:ind w:left="11" w:right="15"/>
              <w:jc w:val="center"/>
              <w:rPr>
                <w:rFonts w:ascii="Times New Roman"/>
                <w:sz w:val="18"/>
              </w:rPr>
            </w:pPr>
            <w:r>
              <w:rPr>
                <w:rFonts w:ascii="Times New Roman"/>
                <w:spacing w:val="-2"/>
                <w:sz w:val="18"/>
              </w:rPr>
              <w:t>{0.9291}</w:t>
            </w:r>
          </w:p>
        </w:tc>
      </w:tr>
      <w:tr>
        <w:trPr>
          <w:trHeight w:val="272" w:hRule="atLeast"/>
        </w:trPr>
        <w:tc>
          <w:tcPr>
            <w:tcW w:w="1634" w:type="dxa"/>
            <w:tcBorders>
              <w:top w:val="single" w:sz="4" w:space="0" w:color="000000"/>
              <w:left w:val="nil"/>
              <w:bottom w:val="nil"/>
            </w:tcBorders>
          </w:tcPr>
          <w:p>
            <w:pPr>
              <w:pStyle w:val="TableParagraph"/>
              <w:ind w:left="162" w:right="145"/>
              <w:jc w:val="center"/>
              <w:rPr>
                <w:rFonts w:ascii="Times New Roman"/>
                <w:sz w:val="19"/>
              </w:rPr>
            </w:pPr>
            <w:r>
              <w:rPr>
                <w:rFonts w:ascii="Times New Roman"/>
                <w:spacing w:val="-5"/>
                <w:sz w:val="19"/>
              </w:rPr>
              <w:t>DID</w:t>
            </w:r>
          </w:p>
        </w:tc>
        <w:tc>
          <w:tcPr>
            <w:tcW w:w="1260" w:type="dxa"/>
            <w:tcBorders>
              <w:bottom w:val="nil"/>
              <w:right w:val="single" w:sz="4" w:space="0" w:color="000000"/>
            </w:tcBorders>
          </w:tcPr>
          <w:p>
            <w:pPr>
              <w:pStyle w:val="TableParagraph"/>
              <w:rPr>
                <w:rFonts w:ascii="Times New Roman"/>
                <w:sz w:val="18"/>
              </w:rPr>
            </w:pPr>
          </w:p>
        </w:tc>
        <w:tc>
          <w:tcPr>
            <w:tcW w:w="162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1711"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2249" w:type="dxa"/>
            <w:tcBorders>
              <w:left w:val="single" w:sz="4" w:space="0" w:color="000000"/>
              <w:bottom w:val="nil"/>
              <w:right w:val="nil"/>
            </w:tcBorders>
          </w:tcPr>
          <w:p>
            <w:pPr>
              <w:pStyle w:val="TableParagraph"/>
              <w:spacing w:before="2"/>
              <w:ind w:right="15"/>
              <w:jc w:val="center"/>
              <w:rPr>
                <w:rFonts w:ascii="Times New Roman"/>
                <w:sz w:val="18"/>
              </w:rPr>
            </w:pPr>
            <w:r>
              <w:rPr>
                <w:rFonts w:ascii="Times New Roman"/>
                <w:sz w:val="18"/>
              </w:rPr>
              <w:t>-</w:t>
            </w:r>
            <w:r>
              <w:rPr>
                <w:rFonts w:ascii="Times New Roman"/>
                <w:spacing w:val="-2"/>
                <w:sz w:val="18"/>
              </w:rPr>
              <w:t>7.085269</w:t>
            </w:r>
          </w:p>
        </w:tc>
      </w:tr>
      <w:tr>
        <w:trPr>
          <w:trHeight w:val="478"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6"/>
              <w:ind w:left="170" w:right="170"/>
              <w:jc w:val="center"/>
              <w:rPr>
                <w:rFonts w:ascii="Times New Roman"/>
                <w:sz w:val="19"/>
              </w:rPr>
            </w:pPr>
            <w:r>
              <w:rPr>
                <w:rFonts w:ascii="Times New Roman"/>
                <w:spacing w:val="-10"/>
                <w:sz w:val="19"/>
              </w:rPr>
              <w:t>+</w:t>
            </w: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11" w:type="dxa"/>
            <w:vMerge/>
            <w:tcBorders>
              <w:top w:val="nil"/>
              <w:left w:val="single" w:sz="4" w:space="0" w:color="000000"/>
              <w:bottom w:val="single" w:sz="4" w:space="0" w:color="000000"/>
              <w:right w:val="single" w:sz="4" w:space="0" w:color="000000"/>
            </w:tcBorders>
          </w:tcPr>
          <w:p>
            <w:pPr>
              <w:rPr>
                <w:sz w:val="2"/>
                <w:szCs w:val="2"/>
              </w:rPr>
            </w:pPr>
          </w:p>
        </w:tc>
        <w:tc>
          <w:tcPr>
            <w:tcW w:w="2249" w:type="dxa"/>
            <w:tcBorders>
              <w:top w:val="nil"/>
              <w:left w:val="single" w:sz="4" w:space="0" w:color="000000"/>
              <w:bottom w:val="nil"/>
              <w:right w:val="nil"/>
            </w:tcBorders>
          </w:tcPr>
          <w:p>
            <w:pPr>
              <w:pStyle w:val="TableParagraph"/>
              <w:spacing w:before="158"/>
              <w:ind w:left="1" w:right="15"/>
              <w:jc w:val="center"/>
              <w:rPr>
                <w:rFonts w:ascii="Times New Roman"/>
                <w:sz w:val="18"/>
              </w:rPr>
            </w:pPr>
            <w:r>
              <w:rPr>
                <w:rFonts w:ascii="Times New Roman"/>
                <w:spacing w:val="-2"/>
                <w:sz w:val="18"/>
              </w:rPr>
              <w:t>(101.114)</w:t>
            </w:r>
          </w:p>
        </w:tc>
      </w:tr>
      <w:tr>
        <w:trPr>
          <w:trHeight w:val="342"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11" w:type="dxa"/>
            <w:vMerge/>
            <w:tcBorders>
              <w:top w:val="nil"/>
              <w:left w:val="single" w:sz="4" w:space="0" w:color="000000"/>
              <w:bottom w:val="single" w:sz="4" w:space="0" w:color="000000"/>
              <w:right w:val="single" w:sz="4" w:space="0" w:color="000000"/>
            </w:tcBorders>
          </w:tcPr>
          <w:p>
            <w:pPr>
              <w:rPr>
                <w:sz w:val="2"/>
                <w:szCs w:val="2"/>
              </w:rPr>
            </w:pPr>
          </w:p>
        </w:tc>
        <w:tc>
          <w:tcPr>
            <w:tcW w:w="2249" w:type="dxa"/>
            <w:tcBorders>
              <w:top w:val="nil"/>
              <w:left w:val="single" w:sz="4" w:space="0" w:color="000000"/>
              <w:right w:val="nil"/>
            </w:tcBorders>
          </w:tcPr>
          <w:p>
            <w:pPr>
              <w:pStyle w:val="TableParagraph"/>
              <w:spacing w:before="105"/>
              <w:ind w:left="11" w:right="15"/>
              <w:jc w:val="center"/>
              <w:rPr>
                <w:rFonts w:ascii="Times New Roman"/>
                <w:sz w:val="18"/>
              </w:rPr>
            </w:pPr>
            <w:r>
              <w:rPr>
                <w:rFonts w:ascii="Times New Roman"/>
                <w:spacing w:val="-2"/>
                <w:sz w:val="18"/>
              </w:rPr>
              <w:t>{0.9442}</w:t>
            </w:r>
          </w:p>
        </w:tc>
      </w:tr>
      <w:tr>
        <w:trPr>
          <w:trHeight w:val="284" w:hRule="atLeast"/>
        </w:trPr>
        <w:tc>
          <w:tcPr>
            <w:tcW w:w="1634" w:type="dxa"/>
            <w:tcBorders>
              <w:top w:val="single" w:sz="4" w:space="0" w:color="000000"/>
              <w:left w:val="nil"/>
              <w:bottom w:val="nil"/>
            </w:tcBorders>
          </w:tcPr>
          <w:p>
            <w:pPr>
              <w:pStyle w:val="TableParagraph"/>
              <w:spacing w:before="2"/>
              <w:ind w:left="162" w:right="145"/>
              <w:jc w:val="center"/>
              <w:rPr>
                <w:rFonts w:ascii="Times New Roman"/>
                <w:sz w:val="19"/>
              </w:rPr>
            </w:pPr>
            <w:r>
              <w:rPr>
                <w:rFonts w:ascii="Times New Roman"/>
                <w:spacing w:val="-5"/>
                <w:sz w:val="19"/>
              </w:rPr>
              <w:t>BDS</w:t>
            </w:r>
          </w:p>
        </w:tc>
        <w:tc>
          <w:tcPr>
            <w:tcW w:w="1260" w:type="dxa"/>
            <w:tcBorders>
              <w:bottom w:val="nil"/>
            </w:tcBorders>
          </w:tcPr>
          <w:p>
            <w:pPr>
              <w:pStyle w:val="TableParagraph"/>
              <w:rPr>
                <w:rFonts w:ascii="Times New Roman"/>
                <w:sz w:val="18"/>
              </w:rPr>
            </w:pPr>
          </w:p>
        </w:tc>
        <w:tc>
          <w:tcPr>
            <w:tcW w:w="1620" w:type="dxa"/>
            <w:tcBorders>
              <w:top w:val="single" w:sz="4" w:space="0" w:color="000000"/>
              <w:bottom w:val="nil"/>
            </w:tcBorders>
          </w:tcPr>
          <w:p>
            <w:pPr>
              <w:pStyle w:val="TableParagraph"/>
              <w:spacing w:before="4"/>
              <w:ind w:left="143" w:right="148"/>
              <w:jc w:val="center"/>
              <w:rPr>
                <w:rFonts w:ascii="Times New Roman"/>
                <w:sz w:val="18"/>
              </w:rPr>
            </w:pPr>
            <w:r>
              <w:rPr>
                <w:rFonts w:ascii="Times New Roman"/>
                <w:spacing w:val="-2"/>
                <w:sz w:val="18"/>
              </w:rPr>
              <w:t>0.360708</w:t>
            </w:r>
          </w:p>
        </w:tc>
        <w:tc>
          <w:tcPr>
            <w:tcW w:w="1711" w:type="dxa"/>
            <w:tcBorders>
              <w:top w:val="single" w:sz="4" w:space="0" w:color="000000"/>
              <w:bottom w:val="nil"/>
              <w:right w:val="single" w:sz="4" w:space="0" w:color="7E7E7E"/>
            </w:tcBorders>
          </w:tcPr>
          <w:p>
            <w:pPr>
              <w:pStyle w:val="TableParagraph"/>
              <w:spacing w:before="2"/>
              <w:ind w:right="9"/>
              <w:jc w:val="center"/>
              <w:rPr>
                <w:rFonts w:ascii="Times New Roman"/>
                <w:sz w:val="20"/>
              </w:rPr>
            </w:pPr>
            <w:r>
              <w:rPr>
                <w:rFonts w:ascii="Times New Roman"/>
                <w:spacing w:val="-2"/>
                <w:sz w:val="20"/>
              </w:rPr>
              <w:t>0.7823</w:t>
            </w:r>
          </w:p>
        </w:tc>
        <w:tc>
          <w:tcPr>
            <w:tcW w:w="2249" w:type="dxa"/>
            <w:tcBorders>
              <w:left w:val="single" w:sz="4" w:space="0" w:color="7E7E7E"/>
              <w:bottom w:val="nil"/>
              <w:right w:val="nil"/>
            </w:tcBorders>
          </w:tcPr>
          <w:p>
            <w:pPr>
              <w:pStyle w:val="TableParagraph"/>
              <w:spacing w:before="4"/>
              <w:ind w:right="15"/>
              <w:jc w:val="center"/>
              <w:rPr>
                <w:rFonts w:ascii="Times New Roman"/>
                <w:sz w:val="18"/>
              </w:rPr>
            </w:pPr>
            <w:r>
              <w:rPr>
                <w:rFonts w:ascii="Times New Roman"/>
                <w:sz w:val="18"/>
              </w:rPr>
              <w:t>-</w:t>
            </w:r>
            <w:r>
              <w:rPr>
                <w:rFonts w:ascii="Times New Roman"/>
                <w:spacing w:val="-2"/>
                <w:sz w:val="18"/>
              </w:rPr>
              <w:t>0.943288</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tcBorders>
          </w:tcPr>
          <w:p>
            <w:pPr>
              <w:pStyle w:val="TableParagraph"/>
              <w:spacing w:before="44"/>
              <w:ind w:left="170" w:right="170"/>
              <w:jc w:val="center"/>
              <w:rPr>
                <w:rFonts w:ascii="Times New Roman"/>
                <w:sz w:val="19"/>
              </w:rPr>
            </w:pPr>
            <w:r>
              <w:rPr>
                <w:rFonts w:ascii="Times New Roman"/>
                <w:spacing w:val="-10"/>
                <w:sz w:val="19"/>
              </w:rPr>
              <w:t>+</w:t>
            </w:r>
          </w:p>
        </w:tc>
        <w:tc>
          <w:tcPr>
            <w:tcW w:w="1620" w:type="dxa"/>
            <w:tcBorders>
              <w:top w:val="nil"/>
              <w:bottom w:val="nil"/>
            </w:tcBorders>
          </w:tcPr>
          <w:p>
            <w:pPr>
              <w:pStyle w:val="TableParagraph"/>
              <w:spacing w:before="156"/>
              <w:ind w:left="143" w:right="149"/>
              <w:jc w:val="center"/>
              <w:rPr>
                <w:rFonts w:ascii="Times New Roman"/>
                <w:sz w:val="18"/>
              </w:rPr>
            </w:pPr>
            <w:r>
              <w:rPr>
                <w:rFonts w:ascii="Times New Roman"/>
                <w:spacing w:val="-2"/>
                <w:sz w:val="18"/>
              </w:rPr>
              <w:t>(0.2354)</w:t>
            </w:r>
          </w:p>
        </w:tc>
        <w:tc>
          <w:tcPr>
            <w:tcW w:w="1711" w:type="dxa"/>
            <w:tcBorders>
              <w:top w:val="nil"/>
              <w:bottom w:val="nil"/>
              <w:right w:val="single" w:sz="4" w:space="0" w:color="7E7E7E"/>
            </w:tcBorders>
          </w:tcPr>
          <w:p>
            <w:pPr>
              <w:pStyle w:val="TableParagraph"/>
              <w:spacing w:before="181"/>
              <w:ind w:right="9"/>
              <w:jc w:val="center"/>
              <w:rPr>
                <w:rFonts w:ascii="Times New Roman"/>
                <w:sz w:val="20"/>
              </w:rPr>
            </w:pPr>
            <w:r>
              <w:rPr>
                <w:rFonts w:ascii="Times New Roman"/>
                <w:spacing w:val="-2"/>
                <w:sz w:val="20"/>
              </w:rPr>
              <w:t>(0.2943)</w:t>
            </w:r>
          </w:p>
        </w:tc>
        <w:tc>
          <w:tcPr>
            <w:tcW w:w="2249" w:type="dxa"/>
            <w:tcBorders>
              <w:top w:val="nil"/>
              <w:left w:val="single" w:sz="4" w:space="0" w:color="7E7E7E"/>
              <w:bottom w:val="nil"/>
              <w:right w:val="nil"/>
            </w:tcBorders>
          </w:tcPr>
          <w:p>
            <w:pPr>
              <w:pStyle w:val="TableParagraph"/>
              <w:spacing w:before="156"/>
              <w:ind w:left="1" w:right="15"/>
              <w:jc w:val="center"/>
              <w:rPr>
                <w:rFonts w:ascii="Times New Roman"/>
                <w:sz w:val="18"/>
              </w:rPr>
            </w:pPr>
            <w:r>
              <w:rPr>
                <w:rFonts w:ascii="Times New Roman"/>
                <w:spacing w:val="-2"/>
                <w:sz w:val="18"/>
              </w:rPr>
              <w:t>(0.26919)</w:t>
            </w:r>
          </w:p>
        </w:tc>
      </w:tr>
      <w:tr>
        <w:trPr>
          <w:trHeight w:val="404" w:hRule="atLeast"/>
        </w:trPr>
        <w:tc>
          <w:tcPr>
            <w:tcW w:w="1634" w:type="dxa"/>
            <w:tcBorders>
              <w:top w:val="nil"/>
              <w:left w:val="nil"/>
            </w:tcBorders>
          </w:tcPr>
          <w:p>
            <w:pPr>
              <w:pStyle w:val="TableParagraph"/>
              <w:rPr>
                <w:rFonts w:ascii="Times New Roman"/>
                <w:sz w:val="18"/>
              </w:rPr>
            </w:pPr>
          </w:p>
        </w:tc>
        <w:tc>
          <w:tcPr>
            <w:tcW w:w="1260" w:type="dxa"/>
            <w:tcBorders>
              <w:top w:val="nil"/>
            </w:tcBorders>
          </w:tcPr>
          <w:p>
            <w:pPr>
              <w:pStyle w:val="TableParagraph"/>
              <w:rPr>
                <w:rFonts w:ascii="Times New Roman"/>
                <w:sz w:val="18"/>
              </w:rPr>
            </w:pPr>
          </w:p>
        </w:tc>
        <w:tc>
          <w:tcPr>
            <w:tcW w:w="1620" w:type="dxa"/>
            <w:tcBorders>
              <w:top w:val="nil"/>
            </w:tcBorders>
          </w:tcPr>
          <w:p>
            <w:pPr>
              <w:pStyle w:val="TableParagraph"/>
              <w:spacing w:before="87"/>
              <w:ind w:left="143" w:right="142"/>
              <w:jc w:val="center"/>
              <w:rPr>
                <w:rFonts w:ascii="Times New Roman"/>
                <w:sz w:val="18"/>
              </w:rPr>
            </w:pPr>
            <w:r>
              <w:rPr>
                <w:rFonts w:ascii="Times New Roman"/>
                <w:spacing w:val="-2"/>
                <w:sz w:val="18"/>
              </w:rPr>
              <w:t>{0.1273}</w:t>
            </w:r>
          </w:p>
        </w:tc>
        <w:tc>
          <w:tcPr>
            <w:tcW w:w="1711" w:type="dxa"/>
            <w:tcBorders>
              <w:top w:val="nil"/>
              <w:right w:val="single" w:sz="4" w:space="0" w:color="7E7E7E"/>
            </w:tcBorders>
          </w:tcPr>
          <w:p>
            <w:pPr>
              <w:pStyle w:val="TableParagraph"/>
              <w:spacing w:before="140"/>
              <w:ind w:left="9" w:right="9"/>
              <w:jc w:val="center"/>
              <w:rPr>
                <w:rFonts w:ascii="Times New Roman"/>
                <w:sz w:val="20"/>
              </w:rPr>
            </w:pPr>
            <w:r>
              <w:rPr>
                <w:rFonts w:ascii="Times New Roman"/>
                <w:spacing w:val="-2"/>
                <w:sz w:val="20"/>
              </w:rPr>
              <w:t>{0.0085}</w:t>
            </w:r>
          </w:p>
        </w:tc>
        <w:tc>
          <w:tcPr>
            <w:tcW w:w="2249" w:type="dxa"/>
            <w:tcBorders>
              <w:top w:val="nil"/>
              <w:left w:val="single" w:sz="4" w:space="0" w:color="7E7E7E"/>
              <w:right w:val="nil"/>
            </w:tcBorders>
          </w:tcPr>
          <w:p>
            <w:pPr>
              <w:pStyle w:val="TableParagraph"/>
              <w:spacing w:before="87"/>
              <w:ind w:left="11" w:right="15"/>
              <w:jc w:val="center"/>
              <w:rPr>
                <w:rFonts w:ascii="Times New Roman"/>
                <w:sz w:val="18"/>
              </w:rPr>
            </w:pPr>
            <w:r>
              <w:rPr>
                <w:rFonts w:ascii="Times New Roman"/>
                <w:spacing w:val="-2"/>
                <w:sz w:val="18"/>
              </w:rPr>
              <w:t>{0.0006}</w:t>
            </w:r>
          </w:p>
        </w:tc>
      </w:tr>
      <w:tr>
        <w:trPr>
          <w:trHeight w:val="283" w:hRule="atLeast"/>
        </w:trPr>
        <w:tc>
          <w:tcPr>
            <w:tcW w:w="1634" w:type="dxa"/>
            <w:tcBorders>
              <w:left w:val="nil"/>
              <w:bottom w:val="nil"/>
            </w:tcBorders>
          </w:tcPr>
          <w:p>
            <w:pPr>
              <w:pStyle w:val="TableParagraph"/>
              <w:ind w:left="162" w:right="145"/>
              <w:jc w:val="center"/>
              <w:rPr>
                <w:rFonts w:ascii="Times New Roman"/>
                <w:sz w:val="19"/>
              </w:rPr>
            </w:pPr>
            <w:r>
              <w:rPr>
                <w:rFonts w:ascii="Times New Roman"/>
                <w:spacing w:val="-2"/>
                <w:sz w:val="19"/>
              </w:rPr>
              <w:t>BDIND</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2"/>
              <w:ind w:left="143" w:right="148"/>
              <w:jc w:val="center"/>
              <w:rPr>
                <w:rFonts w:ascii="Times New Roman"/>
                <w:sz w:val="18"/>
              </w:rPr>
            </w:pPr>
            <w:r>
              <w:rPr>
                <w:rFonts w:ascii="Times New Roman"/>
                <w:spacing w:val="-2"/>
                <w:sz w:val="18"/>
              </w:rPr>
              <w:t>11.30071*</w:t>
            </w:r>
          </w:p>
        </w:tc>
        <w:tc>
          <w:tcPr>
            <w:tcW w:w="1711" w:type="dxa"/>
            <w:tcBorders>
              <w:bottom w:val="nil"/>
              <w:right w:val="single" w:sz="4" w:space="0" w:color="000000"/>
            </w:tcBorders>
          </w:tcPr>
          <w:p>
            <w:pPr>
              <w:pStyle w:val="TableParagraph"/>
              <w:ind w:right="9"/>
              <w:jc w:val="center"/>
              <w:rPr>
                <w:rFonts w:ascii="Times New Roman"/>
                <w:sz w:val="20"/>
              </w:rPr>
            </w:pPr>
            <w:r>
              <w:rPr>
                <w:rFonts w:ascii="Times New Roman"/>
                <w:spacing w:val="-2"/>
                <w:sz w:val="20"/>
              </w:rPr>
              <w:t>6.9292</w:t>
            </w:r>
          </w:p>
        </w:tc>
        <w:tc>
          <w:tcPr>
            <w:tcW w:w="2249" w:type="dxa"/>
            <w:tcBorders>
              <w:left w:val="single" w:sz="4" w:space="0" w:color="000000"/>
              <w:bottom w:val="nil"/>
              <w:right w:val="nil"/>
            </w:tcBorders>
          </w:tcPr>
          <w:p>
            <w:pPr>
              <w:pStyle w:val="TableParagraph"/>
              <w:spacing w:before="2"/>
              <w:ind w:right="15"/>
              <w:jc w:val="center"/>
              <w:rPr>
                <w:rFonts w:ascii="Times New Roman"/>
                <w:sz w:val="18"/>
              </w:rPr>
            </w:pPr>
            <w:r>
              <w:rPr>
                <w:rFonts w:ascii="Times New Roman"/>
                <w:sz w:val="18"/>
              </w:rPr>
              <w:t>-</w:t>
            </w:r>
            <w:r>
              <w:rPr>
                <w:rFonts w:ascii="Times New Roman"/>
                <w:spacing w:val="-2"/>
                <w:sz w:val="18"/>
              </w:rPr>
              <w:t>11.50232</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5"/>
              <w:ind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57"/>
              <w:ind w:left="143" w:right="149"/>
              <w:jc w:val="center"/>
              <w:rPr>
                <w:rFonts w:ascii="Times New Roman"/>
                <w:sz w:val="18"/>
              </w:rPr>
            </w:pPr>
            <w:r>
              <w:rPr>
                <w:rFonts w:ascii="Times New Roman"/>
                <w:spacing w:val="-2"/>
                <w:sz w:val="18"/>
              </w:rPr>
              <w:t>(6.0232)</w:t>
            </w:r>
          </w:p>
        </w:tc>
        <w:tc>
          <w:tcPr>
            <w:tcW w:w="1711" w:type="dxa"/>
            <w:tcBorders>
              <w:top w:val="nil"/>
              <w:bottom w:val="nil"/>
              <w:right w:val="single" w:sz="4" w:space="0" w:color="000000"/>
            </w:tcBorders>
          </w:tcPr>
          <w:p>
            <w:pPr>
              <w:pStyle w:val="TableParagraph"/>
              <w:spacing w:before="182"/>
              <w:ind w:right="9"/>
              <w:jc w:val="center"/>
              <w:rPr>
                <w:rFonts w:ascii="Times New Roman"/>
                <w:sz w:val="20"/>
              </w:rPr>
            </w:pPr>
            <w:r>
              <w:rPr>
                <w:rFonts w:ascii="Times New Roman"/>
                <w:spacing w:val="-2"/>
                <w:sz w:val="20"/>
              </w:rPr>
              <w:t>(8.5032)</w:t>
            </w:r>
          </w:p>
        </w:tc>
        <w:tc>
          <w:tcPr>
            <w:tcW w:w="2249" w:type="dxa"/>
            <w:tcBorders>
              <w:top w:val="nil"/>
              <w:left w:val="single" w:sz="4" w:space="0" w:color="000000"/>
              <w:bottom w:val="nil"/>
              <w:right w:val="nil"/>
            </w:tcBorders>
          </w:tcPr>
          <w:p>
            <w:pPr>
              <w:pStyle w:val="TableParagraph"/>
              <w:spacing w:before="157"/>
              <w:ind w:left="4" w:right="15"/>
              <w:jc w:val="center"/>
              <w:rPr>
                <w:rFonts w:ascii="Times New Roman"/>
                <w:sz w:val="18"/>
              </w:rPr>
            </w:pPr>
            <w:r>
              <w:rPr>
                <w:rFonts w:ascii="Times New Roman"/>
                <w:spacing w:val="-2"/>
                <w:sz w:val="18"/>
              </w:rPr>
              <w:t>(5.692)</w:t>
            </w:r>
          </w:p>
        </w:tc>
      </w:tr>
      <w:tr>
        <w:trPr>
          <w:trHeight w:val="402" w:hRule="atLeast"/>
        </w:trPr>
        <w:tc>
          <w:tcPr>
            <w:tcW w:w="1634" w:type="dxa"/>
            <w:tcBorders>
              <w:top w:val="nil"/>
              <w:left w:val="nil"/>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tcBorders>
          </w:tcPr>
          <w:p>
            <w:pPr>
              <w:pStyle w:val="TableParagraph"/>
              <w:spacing w:before="86"/>
              <w:ind w:left="143" w:right="142"/>
              <w:jc w:val="center"/>
              <w:rPr>
                <w:rFonts w:ascii="Times New Roman"/>
                <w:sz w:val="18"/>
              </w:rPr>
            </w:pPr>
            <w:r>
              <w:rPr>
                <w:rFonts w:ascii="Times New Roman"/>
                <w:spacing w:val="-2"/>
                <w:sz w:val="18"/>
              </w:rPr>
              <w:t>{0.0623}</w:t>
            </w:r>
          </w:p>
        </w:tc>
        <w:tc>
          <w:tcPr>
            <w:tcW w:w="1711" w:type="dxa"/>
            <w:tcBorders>
              <w:top w:val="nil"/>
              <w:right w:val="single" w:sz="4" w:space="0" w:color="000000"/>
            </w:tcBorders>
          </w:tcPr>
          <w:p>
            <w:pPr>
              <w:pStyle w:val="TableParagraph"/>
              <w:spacing w:before="139"/>
              <w:ind w:left="9" w:right="9"/>
              <w:jc w:val="center"/>
              <w:rPr>
                <w:rFonts w:ascii="Times New Roman"/>
                <w:sz w:val="20"/>
              </w:rPr>
            </w:pPr>
            <w:r>
              <w:rPr>
                <w:rFonts w:ascii="Times New Roman"/>
                <w:spacing w:val="-2"/>
                <w:sz w:val="20"/>
              </w:rPr>
              <w:t>{0.4162}</w:t>
            </w:r>
          </w:p>
        </w:tc>
        <w:tc>
          <w:tcPr>
            <w:tcW w:w="2249" w:type="dxa"/>
            <w:tcBorders>
              <w:top w:val="nil"/>
              <w:left w:val="single" w:sz="4" w:space="0" w:color="000000"/>
              <w:right w:val="nil"/>
            </w:tcBorders>
          </w:tcPr>
          <w:p>
            <w:pPr>
              <w:pStyle w:val="TableParagraph"/>
              <w:spacing w:before="86"/>
              <w:ind w:left="11" w:right="15"/>
              <w:jc w:val="center"/>
              <w:rPr>
                <w:rFonts w:ascii="Times New Roman"/>
                <w:sz w:val="18"/>
              </w:rPr>
            </w:pPr>
            <w:r>
              <w:rPr>
                <w:rFonts w:ascii="Times New Roman"/>
                <w:spacing w:val="-2"/>
                <w:sz w:val="18"/>
              </w:rPr>
              <w:t>{0.0448}</w:t>
            </w:r>
          </w:p>
        </w:tc>
      </w:tr>
      <w:tr>
        <w:trPr>
          <w:trHeight w:val="284" w:hRule="atLeast"/>
        </w:trPr>
        <w:tc>
          <w:tcPr>
            <w:tcW w:w="1634" w:type="dxa"/>
            <w:tcBorders>
              <w:left w:val="nil"/>
              <w:bottom w:val="nil"/>
            </w:tcBorders>
          </w:tcPr>
          <w:p>
            <w:pPr>
              <w:pStyle w:val="TableParagraph"/>
              <w:spacing w:before="2"/>
              <w:ind w:left="162" w:right="145"/>
              <w:jc w:val="center"/>
              <w:rPr>
                <w:rFonts w:ascii="Times New Roman"/>
                <w:sz w:val="19"/>
              </w:rPr>
            </w:pPr>
            <w:r>
              <w:rPr>
                <w:rFonts w:ascii="Times New Roman"/>
                <w:spacing w:val="-2"/>
                <w:sz w:val="19"/>
              </w:rPr>
              <w:t>BFEXP</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4"/>
              <w:ind w:left="143" w:right="150"/>
              <w:jc w:val="center"/>
              <w:rPr>
                <w:rFonts w:ascii="Times New Roman"/>
                <w:sz w:val="18"/>
              </w:rPr>
            </w:pPr>
            <w:r>
              <w:rPr>
                <w:rFonts w:ascii="Times New Roman"/>
                <w:sz w:val="18"/>
              </w:rPr>
              <w:t>-</w:t>
            </w:r>
            <w:r>
              <w:rPr>
                <w:rFonts w:ascii="Times New Roman"/>
                <w:spacing w:val="-2"/>
                <w:sz w:val="18"/>
              </w:rPr>
              <w:t>7.524777</w:t>
            </w:r>
          </w:p>
        </w:tc>
        <w:tc>
          <w:tcPr>
            <w:tcW w:w="1711" w:type="dxa"/>
            <w:tcBorders>
              <w:bottom w:val="nil"/>
              <w:right w:val="single" w:sz="4" w:space="0" w:color="7E7E7E"/>
            </w:tcBorders>
          </w:tcPr>
          <w:p>
            <w:pPr>
              <w:pStyle w:val="TableParagraph"/>
              <w:spacing w:before="2"/>
              <w:ind w:right="9"/>
              <w:jc w:val="center"/>
              <w:rPr>
                <w:rFonts w:ascii="Times New Roman"/>
                <w:sz w:val="20"/>
              </w:rPr>
            </w:pPr>
            <w:r>
              <w:rPr>
                <w:rFonts w:ascii="Times New Roman"/>
                <w:spacing w:val="-2"/>
                <w:sz w:val="20"/>
              </w:rPr>
              <w:t>-14.736</w:t>
            </w:r>
          </w:p>
        </w:tc>
        <w:tc>
          <w:tcPr>
            <w:tcW w:w="2249" w:type="dxa"/>
            <w:tcBorders>
              <w:left w:val="single" w:sz="4" w:space="0" w:color="7E7E7E"/>
              <w:bottom w:val="nil"/>
              <w:right w:val="nil"/>
            </w:tcBorders>
          </w:tcPr>
          <w:p>
            <w:pPr>
              <w:pStyle w:val="TableParagraph"/>
              <w:spacing w:before="4"/>
              <w:ind w:right="15"/>
              <w:jc w:val="center"/>
              <w:rPr>
                <w:rFonts w:ascii="Times New Roman"/>
                <w:sz w:val="18"/>
              </w:rPr>
            </w:pPr>
            <w:r>
              <w:rPr>
                <w:rFonts w:ascii="Times New Roman"/>
                <w:spacing w:val="-2"/>
                <w:sz w:val="18"/>
              </w:rPr>
              <w:t>8.1701</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4"/>
              <w:ind w:left="170"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56"/>
              <w:ind w:left="143" w:right="149"/>
              <w:jc w:val="center"/>
              <w:rPr>
                <w:rFonts w:ascii="Times New Roman"/>
                <w:sz w:val="18"/>
              </w:rPr>
            </w:pPr>
            <w:r>
              <w:rPr>
                <w:rFonts w:ascii="Times New Roman"/>
                <w:spacing w:val="-2"/>
                <w:sz w:val="18"/>
              </w:rPr>
              <w:t>(3.41642)</w:t>
            </w:r>
          </w:p>
        </w:tc>
        <w:tc>
          <w:tcPr>
            <w:tcW w:w="1711" w:type="dxa"/>
            <w:tcBorders>
              <w:top w:val="nil"/>
              <w:bottom w:val="nil"/>
              <w:right w:val="single" w:sz="4" w:space="0" w:color="7E7E7E"/>
            </w:tcBorders>
          </w:tcPr>
          <w:p>
            <w:pPr>
              <w:pStyle w:val="TableParagraph"/>
              <w:spacing w:before="181"/>
              <w:ind w:right="9"/>
              <w:jc w:val="center"/>
              <w:rPr>
                <w:rFonts w:ascii="Times New Roman"/>
                <w:sz w:val="20"/>
              </w:rPr>
            </w:pPr>
            <w:r>
              <w:rPr>
                <w:rFonts w:ascii="Times New Roman"/>
                <w:spacing w:val="-2"/>
                <w:sz w:val="20"/>
              </w:rPr>
              <w:t>(7.4787)</w:t>
            </w:r>
          </w:p>
        </w:tc>
        <w:tc>
          <w:tcPr>
            <w:tcW w:w="2249" w:type="dxa"/>
            <w:tcBorders>
              <w:top w:val="nil"/>
              <w:left w:val="single" w:sz="4" w:space="0" w:color="7E7E7E"/>
              <w:bottom w:val="nil"/>
              <w:right w:val="nil"/>
            </w:tcBorders>
          </w:tcPr>
          <w:p>
            <w:pPr>
              <w:pStyle w:val="TableParagraph"/>
              <w:spacing w:before="156"/>
              <w:ind w:left="1" w:right="15"/>
              <w:jc w:val="center"/>
              <w:rPr>
                <w:rFonts w:ascii="Times New Roman"/>
                <w:sz w:val="18"/>
              </w:rPr>
            </w:pPr>
            <w:r>
              <w:rPr>
                <w:rFonts w:ascii="Times New Roman"/>
                <w:spacing w:val="-2"/>
                <w:sz w:val="18"/>
              </w:rPr>
              <w:t>(6.7768)</w:t>
            </w:r>
          </w:p>
        </w:tc>
      </w:tr>
      <w:tr>
        <w:trPr>
          <w:trHeight w:val="404" w:hRule="atLeast"/>
        </w:trPr>
        <w:tc>
          <w:tcPr>
            <w:tcW w:w="1634" w:type="dxa"/>
            <w:tcBorders>
              <w:top w:val="nil"/>
              <w:left w:val="nil"/>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tcBorders>
          </w:tcPr>
          <w:p>
            <w:pPr>
              <w:pStyle w:val="TableParagraph"/>
              <w:spacing w:before="87"/>
              <w:ind w:left="143" w:right="142"/>
              <w:jc w:val="center"/>
              <w:rPr>
                <w:rFonts w:ascii="Times New Roman"/>
                <w:sz w:val="18"/>
              </w:rPr>
            </w:pPr>
            <w:r>
              <w:rPr>
                <w:rFonts w:ascii="Times New Roman"/>
                <w:spacing w:val="-2"/>
                <w:sz w:val="18"/>
              </w:rPr>
              <w:t>{0.0290}</w:t>
            </w:r>
          </w:p>
        </w:tc>
        <w:tc>
          <w:tcPr>
            <w:tcW w:w="1711" w:type="dxa"/>
            <w:tcBorders>
              <w:top w:val="nil"/>
              <w:right w:val="single" w:sz="4" w:space="0" w:color="7E7E7E"/>
            </w:tcBorders>
          </w:tcPr>
          <w:p>
            <w:pPr>
              <w:pStyle w:val="TableParagraph"/>
              <w:spacing w:before="140"/>
              <w:ind w:left="9" w:right="9"/>
              <w:jc w:val="center"/>
              <w:rPr>
                <w:rFonts w:ascii="Times New Roman"/>
                <w:sz w:val="20"/>
              </w:rPr>
            </w:pPr>
            <w:r>
              <w:rPr>
                <w:rFonts w:ascii="Times New Roman"/>
                <w:spacing w:val="-2"/>
                <w:sz w:val="20"/>
              </w:rPr>
              <w:t>{0.0503}</w:t>
            </w:r>
          </w:p>
        </w:tc>
        <w:tc>
          <w:tcPr>
            <w:tcW w:w="2249" w:type="dxa"/>
            <w:tcBorders>
              <w:top w:val="nil"/>
              <w:left w:val="single" w:sz="4" w:space="0" w:color="7E7E7E"/>
              <w:right w:val="nil"/>
            </w:tcBorders>
          </w:tcPr>
          <w:p>
            <w:pPr>
              <w:pStyle w:val="TableParagraph"/>
              <w:spacing w:before="87"/>
              <w:ind w:left="11" w:right="15"/>
              <w:jc w:val="center"/>
              <w:rPr>
                <w:rFonts w:ascii="Times New Roman"/>
                <w:sz w:val="18"/>
              </w:rPr>
            </w:pPr>
            <w:r>
              <w:rPr>
                <w:rFonts w:ascii="Times New Roman"/>
                <w:spacing w:val="-2"/>
                <w:sz w:val="18"/>
              </w:rPr>
              <w:t>{0.2295}</w:t>
            </w:r>
          </w:p>
        </w:tc>
      </w:tr>
      <w:tr>
        <w:trPr>
          <w:trHeight w:val="283" w:hRule="atLeast"/>
        </w:trPr>
        <w:tc>
          <w:tcPr>
            <w:tcW w:w="1634" w:type="dxa"/>
            <w:tcBorders>
              <w:left w:val="nil"/>
              <w:bottom w:val="nil"/>
            </w:tcBorders>
          </w:tcPr>
          <w:p>
            <w:pPr>
              <w:pStyle w:val="TableParagraph"/>
              <w:ind w:left="162" w:right="145"/>
              <w:jc w:val="center"/>
              <w:rPr>
                <w:rFonts w:ascii="Times New Roman"/>
                <w:sz w:val="19"/>
              </w:rPr>
            </w:pPr>
            <w:r>
              <w:rPr>
                <w:rFonts w:ascii="Times New Roman"/>
                <w:spacing w:val="-4"/>
                <w:sz w:val="19"/>
              </w:rPr>
              <w:t>FAGE</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2"/>
              <w:ind w:left="143" w:right="150"/>
              <w:jc w:val="center"/>
              <w:rPr>
                <w:rFonts w:ascii="Times New Roman"/>
                <w:sz w:val="18"/>
              </w:rPr>
            </w:pPr>
            <w:r>
              <w:rPr>
                <w:rFonts w:ascii="Times New Roman"/>
                <w:sz w:val="18"/>
              </w:rPr>
              <w:t>-</w:t>
            </w:r>
            <w:r>
              <w:rPr>
                <w:rFonts w:ascii="Times New Roman"/>
                <w:spacing w:val="-2"/>
                <w:sz w:val="18"/>
              </w:rPr>
              <w:t>0.4191**</w:t>
            </w:r>
          </w:p>
        </w:tc>
        <w:tc>
          <w:tcPr>
            <w:tcW w:w="1711" w:type="dxa"/>
            <w:tcBorders>
              <w:bottom w:val="nil"/>
              <w:right w:val="single" w:sz="4" w:space="0" w:color="7E7E7E"/>
            </w:tcBorders>
          </w:tcPr>
          <w:p>
            <w:pPr>
              <w:pStyle w:val="TableParagraph"/>
              <w:ind w:right="9"/>
              <w:jc w:val="center"/>
              <w:rPr>
                <w:rFonts w:ascii="Times New Roman"/>
                <w:sz w:val="20"/>
              </w:rPr>
            </w:pPr>
            <w:r>
              <w:rPr>
                <w:rFonts w:ascii="Times New Roman"/>
                <w:spacing w:val="-2"/>
                <w:sz w:val="20"/>
              </w:rPr>
              <w:t>-0.2002</w:t>
            </w:r>
          </w:p>
        </w:tc>
        <w:tc>
          <w:tcPr>
            <w:tcW w:w="2249" w:type="dxa"/>
            <w:tcBorders>
              <w:left w:val="single" w:sz="4" w:space="0" w:color="7E7E7E"/>
              <w:bottom w:val="nil"/>
              <w:right w:val="nil"/>
            </w:tcBorders>
          </w:tcPr>
          <w:p>
            <w:pPr>
              <w:pStyle w:val="TableParagraph"/>
              <w:spacing w:before="2"/>
              <w:ind w:right="15"/>
              <w:jc w:val="center"/>
              <w:rPr>
                <w:rFonts w:ascii="Times New Roman"/>
                <w:sz w:val="18"/>
              </w:rPr>
            </w:pPr>
            <w:r>
              <w:rPr>
                <w:rFonts w:ascii="Times New Roman"/>
                <w:sz w:val="18"/>
              </w:rPr>
              <w:t>-</w:t>
            </w:r>
            <w:r>
              <w:rPr>
                <w:rFonts w:ascii="Times New Roman"/>
                <w:spacing w:val="-2"/>
                <w:sz w:val="18"/>
              </w:rPr>
              <w:t>0.064623</w:t>
            </w:r>
          </w:p>
        </w:tc>
      </w:tr>
      <w:tr>
        <w:trPr>
          <w:trHeight w:val="504"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5"/>
              <w:ind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55"/>
              <w:ind w:left="143" w:right="149"/>
              <w:jc w:val="center"/>
              <w:rPr>
                <w:rFonts w:ascii="Times New Roman"/>
                <w:sz w:val="18"/>
              </w:rPr>
            </w:pPr>
            <w:r>
              <w:rPr>
                <w:rFonts w:ascii="Times New Roman"/>
                <w:spacing w:val="-2"/>
                <w:sz w:val="18"/>
              </w:rPr>
              <w:t>(0.19444)</w:t>
            </w:r>
          </w:p>
        </w:tc>
        <w:tc>
          <w:tcPr>
            <w:tcW w:w="1711" w:type="dxa"/>
            <w:tcBorders>
              <w:top w:val="nil"/>
              <w:bottom w:val="nil"/>
              <w:right w:val="single" w:sz="4" w:space="0" w:color="7E7E7E"/>
            </w:tcBorders>
          </w:tcPr>
          <w:p>
            <w:pPr>
              <w:pStyle w:val="TableParagraph"/>
              <w:spacing w:before="180"/>
              <w:ind w:right="9"/>
              <w:jc w:val="center"/>
              <w:rPr>
                <w:rFonts w:ascii="Times New Roman"/>
                <w:sz w:val="20"/>
              </w:rPr>
            </w:pPr>
            <w:r>
              <w:rPr>
                <w:rFonts w:ascii="Times New Roman"/>
                <w:spacing w:val="-2"/>
                <w:sz w:val="20"/>
              </w:rPr>
              <w:t>(0.1414)</w:t>
            </w:r>
          </w:p>
        </w:tc>
        <w:tc>
          <w:tcPr>
            <w:tcW w:w="2249" w:type="dxa"/>
            <w:tcBorders>
              <w:top w:val="nil"/>
              <w:left w:val="single" w:sz="4" w:space="0" w:color="7E7E7E"/>
              <w:bottom w:val="nil"/>
              <w:right w:val="nil"/>
            </w:tcBorders>
          </w:tcPr>
          <w:p>
            <w:pPr>
              <w:pStyle w:val="TableParagraph"/>
              <w:spacing w:before="155"/>
              <w:ind w:left="1" w:right="15"/>
              <w:jc w:val="center"/>
              <w:rPr>
                <w:rFonts w:ascii="Times New Roman"/>
                <w:sz w:val="18"/>
              </w:rPr>
            </w:pPr>
            <w:r>
              <w:rPr>
                <w:rFonts w:ascii="Times New Roman"/>
                <w:spacing w:val="-2"/>
                <w:sz w:val="18"/>
              </w:rPr>
              <w:t>(0.13697)</w:t>
            </w:r>
          </w:p>
        </w:tc>
      </w:tr>
      <w:tr>
        <w:trPr>
          <w:trHeight w:val="404" w:hRule="atLeast"/>
        </w:trPr>
        <w:tc>
          <w:tcPr>
            <w:tcW w:w="1634" w:type="dxa"/>
            <w:tcBorders>
              <w:top w:val="nil"/>
              <w:left w:val="nil"/>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tcBorders>
          </w:tcPr>
          <w:p>
            <w:pPr>
              <w:pStyle w:val="TableParagraph"/>
              <w:spacing w:before="87"/>
              <w:ind w:left="143" w:right="142"/>
              <w:jc w:val="center"/>
              <w:rPr>
                <w:rFonts w:ascii="Times New Roman"/>
                <w:sz w:val="18"/>
              </w:rPr>
            </w:pPr>
            <w:r>
              <w:rPr>
                <w:rFonts w:ascii="Times New Roman"/>
                <w:spacing w:val="-2"/>
                <w:sz w:val="18"/>
              </w:rPr>
              <w:t>{0.0325}</w:t>
            </w:r>
          </w:p>
        </w:tc>
        <w:tc>
          <w:tcPr>
            <w:tcW w:w="1711" w:type="dxa"/>
            <w:tcBorders>
              <w:top w:val="nil"/>
              <w:right w:val="single" w:sz="4" w:space="0" w:color="7E7E7E"/>
            </w:tcBorders>
          </w:tcPr>
          <w:p>
            <w:pPr>
              <w:pStyle w:val="TableParagraph"/>
              <w:spacing w:before="141"/>
              <w:ind w:left="9" w:right="9"/>
              <w:jc w:val="center"/>
              <w:rPr>
                <w:rFonts w:ascii="Times New Roman"/>
                <w:sz w:val="20"/>
              </w:rPr>
            </w:pPr>
            <w:r>
              <w:rPr>
                <w:rFonts w:ascii="Times New Roman"/>
                <w:spacing w:val="-2"/>
                <w:sz w:val="20"/>
              </w:rPr>
              <w:t>{0.1586}</w:t>
            </w:r>
          </w:p>
        </w:tc>
        <w:tc>
          <w:tcPr>
            <w:tcW w:w="2249" w:type="dxa"/>
            <w:tcBorders>
              <w:top w:val="nil"/>
              <w:left w:val="single" w:sz="4" w:space="0" w:color="7E7E7E"/>
              <w:right w:val="nil"/>
            </w:tcBorders>
          </w:tcPr>
          <w:p>
            <w:pPr>
              <w:pStyle w:val="TableParagraph"/>
              <w:spacing w:before="87"/>
              <w:ind w:left="11" w:right="15"/>
              <w:jc w:val="center"/>
              <w:rPr>
                <w:rFonts w:ascii="Times New Roman"/>
                <w:sz w:val="18"/>
              </w:rPr>
            </w:pPr>
            <w:r>
              <w:rPr>
                <w:rFonts w:ascii="Times New Roman"/>
                <w:spacing w:val="-2"/>
                <w:sz w:val="18"/>
              </w:rPr>
              <w:t>{0.6376}</w:t>
            </w:r>
          </w:p>
        </w:tc>
      </w:tr>
      <w:tr>
        <w:trPr>
          <w:trHeight w:val="283" w:hRule="atLeast"/>
        </w:trPr>
        <w:tc>
          <w:tcPr>
            <w:tcW w:w="1634" w:type="dxa"/>
            <w:tcBorders>
              <w:left w:val="nil"/>
              <w:bottom w:val="nil"/>
            </w:tcBorders>
          </w:tcPr>
          <w:p>
            <w:pPr>
              <w:pStyle w:val="TableParagraph"/>
              <w:ind w:left="162" w:right="145"/>
              <w:jc w:val="center"/>
              <w:rPr>
                <w:rFonts w:ascii="Times New Roman"/>
                <w:sz w:val="19"/>
              </w:rPr>
            </w:pPr>
            <w:r>
              <w:rPr>
                <w:rFonts w:ascii="Times New Roman"/>
                <w:spacing w:val="-2"/>
                <w:sz w:val="19"/>
              </w:rPr>
              <w:t>FSIZE</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2"/>
              <w:ind w:left="143" w:right="148"/>
              <w:jc w:val="center"/>
              <w:rPr>
                <w:rFonts w:ascii="Times New Roman"/>
                <w:sz w:val="18"/>
              </w:rPr>
            </w:pPr>
            <w:r>
              <w:rPr>
                <w:rFonts w:ascii="Times New Roman"/>
                <w:spacing w:val="-2"/>
                <w:sz w:val="18"/>
              </w:rPr>
              <w:t>1.239782</w:t>
            </w:r>
          </w:p>
        </w:tc>
        <w:tc>
          <w:tcPr>
            <w:tcW w:w="1711" w:type="dxa"/>
            <w:tcBorders>
              <w:bottom w:val="nil"/>
              <w:right w:val="single" w:sz="4" w:space="0" w:color="7E7E7E"/>
            </w:tcBorders>
          </w:tcPr>
          <w:p>
            <w:pPr>
              <w:pStyle w:val="TableParagraph"/>
              <w:ind w:right="9"/>
              <w:jc w:val="center"/>
              <w:rPr>
                <w:rFonts w:ascii="Times New Roman"/>
                <w:sz w:val="20"/>
              </w:rPr>
            </w:pPr>
            <w:r>
              <w:rPr>
                <w:rFonts w:ascii="Times New Roman"/>
                <w:spacing w:val="-2"/>
                <w:sz w:val="20"/>
              </w:rPr>
              <w:t>1.4113</w:t>
            </w:r>
          </w:p>
        </w:tc>
        <w:tc>
          <w:tcPr>
            <w:tcW w:w="2249" w:type="dxa"/>
            <w:tcBorders>
              <w:left w:val="single" w:sz="4" w:space="0" w:color="7E7E7E"/>
              <w:bottom w:val="nil"/>
              <w:right w:val="nil"/>
            </w:tcBorders>
          </w:tcPr>
          <w:p>
            <w:pPr>
              <w:pStyle w:val="TableParagraph"/>
              <w:spacing w:before="2"/>
              <w:ind w:left="3" w:right="15"/>
              <w:jc w:val="center"/>
              <w:rPr>
                <w:rFonts w:ascii="Times New Roman"/>
                <w:sz w:val="18"/>
              </w:rPr>
            </w:pPr>
            <w:r>
              <w:rPr>
                <w:rFonts w:ascii="Times New Roman"/>
                <w:spacing w:val="-2"/>
                <w:sz w:val="18"/>
              </w:rPr>
              <w:t>1.056596</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5"/>
              <w:ind w:left="170"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57"/>
              <w:ind w:left="143" w:right="149"/>
              <w:jc w:val="center"/>
              <w:rPr>
                <w:rFonts w:ascii="Times New Roman"/>
                <w:sz w:val="18"/>
              </w:rPr>
            </w:pPr>
            <w:r>
              <w:rPr>
                <w:rFonts w:ascii="Times New Roman"/>
                <w:spacing w:val="-2"/>
                <w:sz w:val="18"/>
              </w:rPr>
              <w:t>(0.8971)</w:t>
            </w:r>
          </w:p>
        </w:tc>
        <w:tc>
          <w:tcPr>
            <w:tcW w:w="1711" w:type="dxa"/>
            <w:tcBorders>
              <w:top w:val="nil"/>
              <w:bottom w:val="nil"/>
              <w:right w:val="single" w:sz="4" w:space="0" w:color="7E7E7E"/>
            </w:tcBorders>
          </w:tcPr>
          <w:p>
            <w:pPr>
              <w:pStyle w:val="TableParagraph"/>
              <w:spacing w:before="182"/>
              <w:ind w:right="9"/>
              <w:jc w:val="center"/>
              <w:rPr>
                <w:rFonts w:ascii="Times New Roman"/>
                <w:sz w:val="20"/>
              </w:rPr>
            </w:pPr>
            <w:r>
              <w:rPr>
                <w:rFonts w:ascii="Times New Roman"/>
                <w:spacing w:val="-2"/>
                <w:sz w:val="20"/>
              </w:rPr>
              <w:t>(1.7133)</w:t>
            </w:r>
          </w:p>
        </w:tc>
        <w:tc>
          <w:tcPr>
            <w:tcW w:w="2249" w:type="dxa"/>
            <w:tcBorders>
              <w:top w:val="nil"/>
              <w:left w:val="single" w:sz="4" w:space="0" w:color="7E7E7E"/>
              <w:bottom w:val="nil"/>
              <w:right w:val="nil"/>
            </w:tcBorders>
          </w:tcPr>
          <w:p>
            <w:pPr>
              <w:pStyle w:val="TableParagraph"/>
              <w:spacing w:before="157"/>
              <w:ind w:left="1" w:right="15"/>
              <w:jc w:val="center"/>
              <w:rPr>
                <w:rFonts w:ascii="Times New Roman"/>
                <w:sz w:val="18"/>
              </w:rPr>
            </w:pPr>
            <w:r>
              <w:rPr>
                <w:rFonts w:ascii="Times New Roman"/>
                <w:spacing w:val="-2"/>
                <w:sz w:val="18"/>
              </w:rPr>
              <w:t>(1.80447)</w:t>
            </w:r>
          </w:p>
        </w:tc>
      </w:tr>
      <w:tr>
        <w:trPr>
          <w:trHeight w:val="405" w:hRule="atLeast"/>
        </w:trPr>
        <w:tc>
          <w:tcPr>
            <w:tcW w:w="1634" w:type="dxa"/>
            <w:tcBorders>
              <w:top w:val="nil"/>
              <w:left w:val="nil"/>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tcBorders>
          </w:tcPr>
          <w:p>
            <w:pPr>
              <w:pStyle w:val="TableParagraph"/>
              <w:spacing w:before="86"/>
              <w:ind w:left="143" w:right="142"/>
              <w:jc w:val="center"/>
              <w:rPr>
                <w:rFonts w:ascii="Times New Roman"/>
                <w:sz w:val="18"/>
              </w:rPr>
            </w:pPr>
            <w:r>
              <w:rPr>
                <w:rFonts w:ascii="Times New Roman"/>
                <w:spacing w:val="-2"/>
                <w:sz w:val="18"/>
              </w:rPr>
              <w:t>{0.1688}</w:t>
            </w:r>
          </w:p>
        </w:tc>
        <w:tc>
          <w:tcPr>
            <w:tcW w:w="1711" w:type="dxa"/>
            <w:tcBorders>
              <w:top w:val="nil"/>
              <w:right w:val="single" w:sz="4" w:space="0" w:color="7E7E7E"/>
            </w:tcBorders>
          </w:tcPr>
          <w:p>
            <w:pPr>
              <w:pStyle w:val="TableParagraph"/>
              <w:spacing w:before="139"/>
              <w:ind w:left="9" w:right="9"/>
              <w:jc w:val="center"/>
              <w:rPr>
                <w:rFonts w:ascii="Times New Roman"/>
                <w:sz w:val="20"/>
              </w:rPr>
            </w:pPr>
            <w:r>
              <w:rPr>
                <w:rFonts w:ascii="Times New Roman"/>
                <w:spacing w:val="-2"/>
                <w:sz w:val="20"/>
              </w:rPr>
              <w:t>{0.4112}</w:t>
            </w:r>
          </w:p>
        </w:tc>
        <w:tc>
          <w:tcPr>
            <w:tcW w:w="2249" w:type="dxa"/>
            <w:tcBorders>
              <w:top w:val="nil"/>
              <w:left w:val="single" w:sz="4" w:space="0" w:color="7E7E7E"/>
              <w:right w:val="nil"/>
            </w:tcBorders>
          </w:tcPr>
          <w:p>
            <w:pPr>
              <w:pStyle w:val="TableParagraph"/>
              <w:spacing w:before="86"/>
              <w:ind w:left="11" w:right="15"/>
              <w:jc w:val="center"/>
              <w:rPr>
                <w:rFonts w:ascii="Times New Roman"/>
                <w:sz w:val="18"/>
              </w:rPr>
            </w:pPr>
            <w:r>
              <w:rPr>
                <w:rFonts w:ascii="Times New Roman"/>
                <w:spacing w:val="-2"/>
                <w:sz w:val="18"/>
              </w:rPr>
              <w:t>{0.5589}</w:t>
            </w:r>
          </w:p>
        </w:tc>
      </w:tr>
      <w:tr>
        <w:trPr>
          <w:trHeight w:val="282" w:hRule="atLeast"/>
        </w:trPr>
        <w:tc>
          <w:tcPr>
            <w:tcW w:w="1634" w:type="dxa"/>
            <w:tcBorders>
              <w:left w:val="nil"/>
              <w:bottom w:val="nil"/>
            </w:tcBorders>
          </w:tcPr>
          <w:p>
            <w:pPr>
              <w:pStyle w:val="TableParagraph"/>
              <w:ind w:left="162" w:right="148"/>
              <w:jc w:val="center"/>
              <w:rPr>
                <w:rFonts w:ascii="Times New Roman"/>
                <w:sz w:val="19"/>
              </w:rPr>
            </w:pPr>
            <w:r>
              <w:rPr>
                <w:rFonts w:ascii="Times New Roman"/>
                <w:spacing w:val="-5"/>
                <w:sz w:val="19"/>
              </w:rPr>
              <w:t>LEV</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2"/>
              <w:ind w:left="143" w:right="150"/>
              <w:jc w:val="center"/>
              <w:rPr>
                <w:rFonts w:ascii="Times New Roman"/>
                <w:sz w:val="18"/>
              </w:rPr>
            </w:pPr>
            <w:r>
              <w:rPr>
                <w:rFonts w:ascii="Times New Roman"/>
                <w:spacing w:val="-2"/>
                <w:sz w:val="18"/>
              </w:rPr>
              <w:t>0.0257</w:t>
            </w:r>
          </w:p>
        </w:tc>
        <w:tc>
          <w:tcPr>
            <w:tcW w:w="1711" w:type="dxa"/>
            <w:tcBorders>
              <w:bottom w:val="nil"/>
              <w:right w:val="single" w:sz="4" w:space="0" w:color="7E7E7E"/>
            </w:tcBorders>
          </w:tcPr>
          <w:p>
            <w:pPr>
              <w:pStyle w:val="TableParagraph"/>
              <w:ind w:right="9"/>
              <w:jc w:val="center"/>
              <w:rPr>
                <w:rFonts w:ascii="Times New Roman"/>
                <w:sz w:val="20"/>
              </w:rPr>
            </w:pPr>
            <w:r>
              <w:rPr>
                <w:rFonts w:ascii="Times New Roman"/>
                <w:spacing w:val="-2"/>
                <w:sz w:val="20"/>
              </w:rPr>
              <w:t>-0.7989</w:t>
            </w:r>
          </w:p>
        </w:tc>
        <w:tc>
          <w:tcPr>
            <w:tcW w:w="2249" w:type="dxa"/>
            <w:tcBorders>
              <w:left w:val="single" w:sz="4" w:space="0" w:color="7E7E7E"/>
              <w:bottom w:val="nil"/>
              <w:right w:val="nil"/>
            </w:tcBorders>
          </w:tcPr>
          <w:p>
            <w:pPr>
              <w:pStyle w:val="TableParagraph"/>
              <w:spacing w:before="2"/>
              <w:ind w:right="15"/>
              <w:jc w:val="center"/>
              <w:rPr>
                <w:rFonts w:ascii="Times New Roman"/>
                <w:sz w:val="18"/>
              </w:rPr>
            </w:pPr>
            <w:r>
              <w:rPr>
                <w:rFonts w:ascii="Times New Roman"/>
                <w:sz w:val="18"/>
              </w:rPr>
              <w:t>-</w:t>
            </w:r>
            <w:r>
              <w:rPr>
                <w:rFonts w:ascii="Times New Roman"/>
                <w:spacing w:val="-2"/>
                <w:sz w:val="18"/>
              </w:rPr>
              <w:t>0.044543</w:t>
            </w:r>
          </w:p>
        </w:tc>
      </w:tr>
      <w:tr>
        <w:trPr>
          <w:trHeight w:val="505" w:hRule="atLeast"/>
        </w:trPr>
        <w:tc>
          <w:tcPr>
            <w:tcW w:w="1634" w:type="dxa"/>
            <w:tcBorders>
              <w:top w:val="nil"/>
              <w:left w:val="nil"/>
              <w:bottom w:val="nil"/>
            </w:tcBorders>
          </w:tcPr>
          <w:p>
            <w:pPr>
              <w:pStyle w:val="TableParagraph"/>
              <w:rPr>
                <w:rFonts w:ascii="Times New Roman"/>
                <w:sz w:val="18"/>
              </w:rPr>
            </w:pPr>
          </w:p>
        </w:tc>
        <w:tc>
          <w:tcPr>
            <w:tcW w:w="1260" w:type="dxa"/>
            <w:tcBorders>
              <w:top w:val="nil"/>
              <w:bottom w:val="nil"/>
              <w:right w:val="single" w:sz="4" w:space="0" w:color="000000"/>
            </w:tcBorders>
          </w:tcPr>
          <w:p>
            <w:pPr>
              <w:pStyle w:val="TableParagraph"/>
              <w:spacing w:before="44"/>
              <w:ind w:left="170" w:right="170"/>
              <w:jc w:val="center"/>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56"/>
              <w:ind w:left="143" w:right="149"/>
              <w:jc w:val="center"/>
              <w:rPr>
                <w:rFonts w:ascii="Times New Roman"/>
                <w:sz w:val="18"/>
              </w:rPr>
            </w:pPr>
            <w:r>
              <w:rPr>
                <w:rFonts w:ascii="Times New Roman"/>
                <w:spacing w:val="-2"/>
                <w:sz w:val="18"/>
              </w:rPr>
              <w:t>(0.4328)</w:t>
            </w:r>
          </w:p>
        </w:tc>
        <w:tc>
          <w:tcPr>
            <w:tcW w:w="1711" w:type="dxa"/>
            <w:tcBorders>
              <w:top w:val="nil"/>
              <w:bottom w:val="nil"/>
              <w:right w:val="single" w:sz="4" w:space="0" w:color="7E7E7E"/>
            </w:tcBorders>
          </w:tcPr>
          <w:p>
            <w:pPr>
              <w:pStyle w:val="TableParagraph"/>
              <w:spacing w:before="181"/>
              <w:ind w:right="9"/>
              <w:jc w:val="center"/>
              <w:rPr>
                <w:rFonts w:ascii="Times New Roman"/>
                <w:sz w:val="20"/>
              </w:rPr>
            </w:pPr>
            <w:r>
              <w:rPr>
                <w:rFonts w:ascii="Times New Roman"/>
                <w:spacing w:val="-2"/>
                <w:sz w:val="20"/>
              </w:rPr>
              <w:t>(0.7791)</w:t>
            </w:r>
          </w:p>
        </w:tc>
        <w:tc>
          <w:tcPr>
            <w:tcW w:w="2249" w:type="dxa"/>
            <w:tcBorders>
              <w:top w:val="nil"/>
              <w:left w:val="single" w:sz="4" w:space="0" w:color="7E7E7E"/>
              <w:bottom w:val="nil"/>
              <w:right w:val="nil"/>
            </w:tcBorders>
          </w:tcPr>
          <w:p>
            <w:pPr>
              <w:pStyle w:val="TableParagraph"/>
              <w:spacing w:before="156"/>
              <w:ind w:left="1" w:right="15"/>
              <w:jc w:val="center"/>
              <w:rPr>
                <w:rFonts w:ascii="Times New Roman"/>
                <w:sz w:val="18"/>
              </w:rPr>
            </w:pPr>
            <w:r>
              <w:rPr>
                <w:rFonts w:ascii="Times New Roman"/>
                <w:spacing w:val="-2"/>
                <w:sz w:val="18"/>
              </w:rPr>
              <w:t>(1.0444)</w:t>
            </w:r>
          </w:p>
        </w:tc>
      </w:tr>
      <w:tr>
        <w:trPr>
          <w:trHeight w:val="404"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tcBorders>
          </w:tcPr>
          <w:p>
            <w:pPr>
              <w:pStyle w:val="TableParagraph"/>
              <w:spacing w:before="87"/>
              <w:ind w:left="143" w:right="142"/>
              <w:jc w:val="center"/>
              <w:rPr>
                <w:rFonts w:ascii="Times New Roman"/>
                <w:sz w:val="18"/>
              </w:rPr>
            </w:pPr>
            <w:r>
              <w:rPr>
                <w:rFonts w:ascii="Times New Roman"/>
                <w:spacing w:val="-2"/>
                <w:sz w:val="18"/>
              </w:rPr>
              <w:t>{0.9528}</w:t>
            </w:r>
          </w:p>
        </w:tc>
        <w:tc>
          <w:tcPr>
            <w:tcW w:w="1711" w:type="dxa"/>
            <w:tcBorders>
              <w:top w:val="nil"/>
              <w:right w:val="single" w:sz="4" w:space="0" w:color="7E7E7E"/>
            </w:tcBorders>
          </w:tcPr>
          <w:p>
            <w:pPr>
              <w:pStyle w:val="TableParagraph"/>
              <w:spacing w:before="140"/>
              <w:ind w:left="9" w:right="9"/>
              <w:jc w:val="center"/>
              <w:rPr>
                <w:rFonts w:ascii="Times New Roman"/>
                <w:sz w:val="20"/>
              </w:rPr>
            </w:pPr>
            <w:r>
              <w:rPr>
                <w:rFonts w:ascii="Times New Roman"/>
                <w:spacing w:val="-2"/>
                <w:sz w:val="20"/>
              </w:rPr>
              <w:t>{0.3065}</w:t>
            </w:r>
          </w:p>
        </w:tc>
        <w:tc>
          <w:tcPr>
            <w:tcW w:w="2249" w:type="dxa"/>
            <w:tcBorders>
              <w:top w:val="nil"/>
              <w:left w:val="single" w:sz="4" w:space="0" w:color="7E7E7E"/>
              <w:right w:val="nil"/>
            </w:tcBorders>
          </w:tcPr>
          <w:p>
            <w:pPr>
              <w:pStyle w:val="TableParagraph"/>
              <w:spacing w:before="87"/>
              <w:ind w:left="11" w:right="15"/>
              <w:jc w:val="center"/>
              <w:rPr>
                <w:rFonts w:ascii="Times New Roman"/>
                <w:sz w:val="18"/>
              </w:rPr>
            </w:pPr>
            <w:r>
              <w:rPr>
                <w:rFonts w:ascii="Times New Roman"/>
                <w:spacing w:val="-2"/>
                <w:sz w:val="18"/>
              </w:rPr>
              <w:t>{0.9660}</w:t>
            </w:r>
          </w:p>
        </w:tc>
      </w:tr>
      <w:tr>
        <w:trPr>
          <w:trHeight w:val="278" w:hRule="atLeast"/>
        </w:trPr>
        <w:tc>
          <w:tcPr>
            <w:tcW w:w="1634" w:type="dxa"/>
            <w:tcBorders>
              <w:top w:val="single" w:sz="4" w:space="0" w:color="000000"/>
              <w:left w:val="nil"/>
              <w:bottom w:val="nil"/>
            </w:tcBorders>
          </w:tcPr>
          <w:p>
            <w:pPr>
              <w:pStyle w:val="TableParagraph"/>
              <w:ind w:left="162" w:right="143"/>
              <w:jc w:val="center"/>
              <w:rPr>
                <w:rFonts w:ascii="Times New Roman"/>
                <w:sz w:val="19"/>
              </w:rPr>
            </w:pPr>
            <w:r>
              <w:rPr>
                <w:rFonts w:ascii="Times New Roman"/>
                <w:spacing w:val="-2"/>
                <w:sz w:val="19"/>
              </w:rPr>
              <w:t>BDS*IFRS</w:t>
            </w:r>
          </w:p>
        </w:tc>
        <w:tc>
          <w:tcPr>
            <w:tcW w:w="1260" w:type="dxa"/>
            <w:tcBorders>
              <w:bottom w:val="nil"/>
              <w:right w:val="single" w:sz="4" w:space="0" w:color="000000"/>
            </w:tcBorders>
          </w:tcPr>
          <w:p>
            <w:pPr>
              <w:pStyle w:val="TableParagraph"/>
              <w:rPr>
                <w:rFonts w:ascii="Times New Roman"/>
                <w:sz w:val="18"/>
              </w:rPr>
            </w:pPr>
          </w:p>
        </w:tc>
        <w:tc>
          <w:tcPr>
            <w:tcW w:w="1620" w:type="dxa"/>
            <w:tcBorders>
              <w:left w:val="single" w:sz="4" w:space="0" w:color="000000"/>
              <w:bottom w:val="nil"/>
            </w:tcBorders>
          </w:tcPr>
          <w:p>
            <w:pPr>
              <w:pStyle w:val="TableParagraph"/>
              <w:spacing w:before="2"/>
              <w:ind w:left="143" w:right="150"/>
              <w:jc w:val="center"/>
              <w:rPr>
                <w:rFonts w:ascii="Times New Roman"/>
                <w:sz w:val="18"/>
              </w:rPr>
            </w:pPr>
            <w:r>
              <w:rPr>
                <w:rFonts w:ascii="Times New Roman"/>
                <w:sz w:val="18"/>
              </w:rPr>
              <w:t>-</w:t>
            </w:r>
            <w:r>
              <w:rPr>
                <w:rFonts w:ascii="Times New Roman"/>
                <w:spacing w:val="-2"/>
                <w:sz w:val="18"/>
              </w:rPr>
              <w:t>0.4814**</w:t>
            </w:r>
          </w:p>
        </w:tc>
        <w:tc>
          <w:tcPr>
            <w:tcW w:w="1711" w:type="dxa"/>
            <w:tcBorders>
              <w:bottom w:val="nil"/>
              <w:right w:val="single" w:sz="4" w:space="0" w:color="000000"/>
            </w:tcBorders>
          </w:tcPr>
          <w:p>
            <w:pPr>
              <w:pStyle w:val="TableParagraph"/>
              <w:ind w:left="3" w:right="9"/>
              <w:jc w:val="center"/>
              <w:rPr>
                <w:rFonts w:ascii="Times New Roman"/>
                <w:sz w:val="20"/>
              </w:rPr>
            </w:pPr>
            <w:r>
              <w:rPr>
                <w:rFonts w:ascii="Times New Roman"/>
                <w:spacing w:val="-2"/>
                <w:sz w:val="20"/>
              </w:rPr>
              <w:t>-1.416690</w:t>
            </w:r>
          </w:p>
        </w:tc>
        <w:tc>
          <w:tcPr>
            <w:tcW w:w="2249" w:type="dxa"/>
            <w:vMerge w:val="restart"/>
            <w:tcBorders>
              <w:left w:val="single" w:sz="4" w:space="0" w:color="000000"/>
              <w:bottom w:val="single" w:sz="4" w:space="0" w:color="000000"/>
              <w:right w:val="nil"/>
            </w:tcBorders>
          </w:tcPr>
          <w:p>
            <w:pPr>
              <w:pStyle w:val="TableParagraph"/>
              <w:rPr>
                <w:rFonts w:ascii="Times New Roman"/>
                <w:sz w:val="18"/>
              </w:rPr>
            </w:pPr>
          </w:p>
        </w:tc>
      </w:tr>
      <w:tr>
        <w:trPr>
          <w:trHeight w:val="640" w:hRule="atLeast"/>
        </w:trPr>
        <w:tc>
          <w:tcPr>
            <w:tcW w:w="1634" w:type="dxa"/>
            <w:tcBorders>
              <w:top w:val="nil"/>
              <w:left w:val="nil"/>
              <w:bottom w:val="single" w:sz="4" w:space="0" w:color="000000"/>
            </w:tcBorders>
          </w:tcPr>
          <w:p>
            <w:pPr>
              <w:pStyle w:val="TableParagraph"/>
              <w:rPr>
                <w:rFonts w:ascii="Times New Roman"/>
                <w:sz w:val="18"/>
              </w:rPr>
            </w:pPr>
          </w:p>
        </w:tc>
        <w:tc>
          <w:tcPr>
            <w:tcW w:w="1260" w:type="dxa"/>
            <w:tcBorders>
              <w:top w:val="nil"/>
              <w:bottom w:val="single" w:sz="4" w:space="0" w:color="000000"/>
              <w:right w:val="single" w:sz="4" w:space="0" w:color="000000"/>
            </w:tcBorders>
          </w:tcPr>
          <w:p>
            <w:pPr>
              <w:pStyle w:val="TableParagraph"/>
              <w:spacing w:before="40"/>
              <w:ind w:left="170" w:right="170"/>
              <w:jc w:val="center"/>
              <w:rPr>
                <w:rFonts w:ascii="Times New Roman"/>
                <w:sz w:val="19"/>
              </w:rPr>
            </w:pPr>
            <w:r>
              <w:rPr>
                <w:rFonts w:ascii="Times New Roman"/>
                <w:spacing w:val="-10"/>
                <w:sz w:val="19"/>
              </w:rPr>
              <w:t>-</w:t>
            </w:r>
          </w:p>
        </w:tc>
        <w:tc>
          <w:tcPr>
            <w:tcW w:w="1620" w:type="dxa"/>
            <w:tcBorders>
              <w:top w:val="nil"/>
              <w:left w:val="single" w:sz="4" w:space="0" w:color="000000"/>
            </w:tcBorders>
          </w:tcPr>
          <w:p>
            <w:pPr>
              <w:pStyle w:val="TableParagraph"/>
              <w:spacing w:before="152"/>
              <w:ind w:left="143" w:right="149"/>
              <w:jc w:val="center"/>
              <w:rPr>
                <w:rFonts w:ascii="Times New Roman"/>
                <w:sz w:val="18"/>
              </w:rPr>
            </w:pPr>
            <w:r>
              <w:rPr>
                <w:rFonts w:ascii="Times New Roman"/>
                <w:spacing w:val="-2"/>
                <w:sz w:val="18"/>
              </w:rPr>
              <w:t>(0.2422)</w:t>
            </w:r>
          </w:p>
        </w:tc>
        <w:tc>
          <w:tcPr>
            <w:tcW w:w="1711" w:type="dxa"/>
            <w:tcBorders>
              <w:top w:val="nil"/>
              <w:right w:val="single" w:sz="4" w:space="0" w:color="000000"/>
            </w:tcBorders>
          </w:tcPr>
          <w:p>
            <w:pPr>
              <w:pStyle w:val="TableParagraph"/>
              <w:spacing w:before="177"/>
              <w:ind w:right="9"/>
              <w:jc w:val="center"/>
              <w:rPr>
                <w:rFonts w:ascii="Times New Roman"/>
                <w:sz w:val="20"/>
              </w:rPr>
            </w:pPr>
            <w:r>
              <w:rPr>
                <w:rFonts w:ascii="Times New Roman"/>
                <w:spacing w:val="-2"/>
                <w:sz w:val="20"/>
              </w:rPr>
              <w:t>(0.4085)</w:t>
            </w:r>
          </w:p>
        </w:tc>
        <w:tc>
          <w:tcPr>
            <w:tcW w:w="2249" w:type="dxa"/>
            <w:vMerge/>
            <w:tcBorders>
              <w:top w:val="nil"/>
              <w:left w:val="single" w:sz="4" w:space="0" w:color="000000"/>
              <w:bottom w:val="single" w:sz="4" w:space="0" w:color="000000"/>
              <w:right w:val="nil"/>
            </w:tcBorders>
          </w:tcPr>
          <w:p>
            <w:pPr>
              <w:rPr>
                <w:sz w:val="2"/>
                <w:szCs w:val="2"/>
              </w:rPr>
            </w:pPr>
          </w:p>
        </w:tc>
      </w:tr>
    </w:tbl>
    <w:p>
      <w:pPr>
        <w:spacing w:after="0"/>
        <w:rPr>
          <w:sz w:val="2"/>
          <w:szCs w:val="2"/>
        </w:rPr>
        <w:sectPr>
          <w:pgSz w:w="11910" w:h="16840"/>
          <w:pgMar w:header="0" w:footer="971" w:top="1360" w:bottom="1160" w:left="500" w:right="0"/>
        </w:sect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60"/>
        <w:gridCol w:w="1620"/>
        <w:gridCol w:w="1711"/>
        <w:gridCol w:w="2249"/>
      </w:tblGrid>
      <w:tr>
        <w:trPr>
          <w:trHeight w:val="799" w:hRule="atLeast"/>
        </w:trPr>
        <w:tc>
          <w:tcPr>
            <w:tcW w:w="1634" w:type="dxa"/>
            <w:tcBorders>
              <w:left w:val="nil"/>
              <w:right w:val="single" w:sz="4" w:space="0" w:color="BEBEBE"/>
            </w:tcBorders>
          </w:tcPr>
          <w:p>
            <w:pPr>
              <w:pStyle w:val="TableParagraph"/>
              <w:rPr>
                <w:rFonts w:ascii="Times New Roman"/>
                <w:sz w:val="22"/>
              </w:rPr>
            </w:pPr>
          </w:p>
        </w:tc>
        <w:tc>
          <w:tcPr>
            <w:tcW w:w="1260" w:type="dxa"/>
            <w:tcBorders>
              <w:top w:val="single" w:sz="4" w:space="0" w:color="BEBEBE"/>
              <w:left w:val="single" w:sz="4" w:space="0" w:color="BEBEBE"/>
            </w:tcBorders>
          </w:tcPr>
          <w:p>
            <w:pPr>
              <w:pStyle w:val="TableParagraph"/>
              <w:rPr>
                <w:rFonts w:ascii="Times New Roman"/>
                <w:sz w:val="22"/>
              </w:rPr>
            </w:pPr>
          </w:p>
        </w:tc>
        <w:tc>
          <w:tcPr>
            <w:tcW w:w="1620" w:type="dxa"/>
            <w:tcBorders>
              <w:top w:val="single" w:sz="4" w:space="0" w:color="BEBEBE"/>
              <w:bottom w:val="single" w:sz="4" w:space="0" w:color="BEBEBE"/>
              <w:right w:val="single" w:sz="4" w:space="0" w:color="BEBEBE"/>
            </w:tcBorders>
          </w:tcPr>
          <w:p>
            <w:pPr>
              <w:pStyle w:val="TableParagraph"/>
              <w:ind w:left="143" w:right="142"/>
              <w:jc w:val="center"/>
              <w:rPr>
                <w:rFonts w:ascii="Times New Roman"/>
                <w:sz w:val="18"/>
              </w:rPr>
            </w:pPr>
            <w:r>
              <w:rPr>
                <w:rFonts w:ascii="Times New Roman"/>
                <w:spacing w:val="-2"/>
                <w:sz w:val="18"/>
              </w:rPr>
              <w:t>{0.0485}</w:t>
            </w:r>
          </w:p>
        </w:tc>
        <w:tc>
          <w:tcPr>
            <w:tcW w:w="1711" w:type="dxa"/>
            <w:tcBorders>
              <w:top w:val="single" w:sz="4" w:space="0" w:color="BEBEBE"/>
              <w:left w:val="single" w:sz="4" w:space="0" w:color="BEBEBE"/>
              <w:bottom w:val="single" w:sz="4" w:space="0" w:color="BEBEBE"/>
            </w:tcBorders>
          </w:tcPr>
          <w:p>
            <w:pPr>
              <w:pStyle w:val="TableParagraph"/>
              <w:ind w:left="9" w:right="9"/>
              <w:jc w:val="center"/>
              <w:rPr>
                <w:rFonts w:ascii="Times New Roman"/>
                <w:sz w:val="20"/>
              </w:rPr>
            </w:pPr>
            <w:r>
              <w:rPr>
                <w:rFonts w:ascii="Times New Roman"/>
                <w:spacing w:val="-2"/>
                <w:sz w:val="20"/>
              </w:rPr>
              <w:t>{0.0007}</w:t>
            </w:r>
          </w:p>
        </w:tc>
        <w:tc>
          <w:tcPr>
            <w:tcW w:w="2249" w:type="dxa"/>
            <w:tcBorders>
              <w:top w:val="single" w:sz="4" w:space="0" w:color="BEBEBE"/>
              <w:right w:val="nil"/>
            </w:tcBorders>
          </w:tcPr>
          <w:p>
            <w:pPr>
              <w:pStyle w:val="TableParagraph"/>
              <w:rPr>
                <w:rFonts w:ascii="Times New Roman"/>
                <w:sz w:val="22"/>
              </w:rPr>
            </w:pPr>
          </w:p>
        </w:tc>
      </w:tr>
      <w:tr>
        <w:trPr>
          <w:trHeight w:val="277" w:hRule="atLeast"/>
        </w:trPr>
        <w:tc>
          <w:tcPr>
            <w:tcW w:w="1634" w:type="dxa"/>
            <w:tcBorders>
              <w:left w:val="nil"/>
              <w:bottom w:val="nil"/>
              <w:right w:val="single" w:sz="4" w:space="0" w:color="BEBEBE"/>
            </w:tcBorders>
          </w:tcPr>
          <w:p>
            <w:pPr>
              <w:pStyle w:val="TableParagraph"/>
              <w:ind w:left="162" w:right="148"/>
              <w:jc w:val="center"/>
              <w:rPr>
                <w:rFonts w:ascii="Times New Roman"/>
                <w:sz w:val="19"/>
              </w:rPr>
            </w:pPr>
            <w:r>
              <w:rPr>
                <w:rFonts w:ascii="Times New Roman"/>
                <w:spacing w:val="-2"/>
                <w:sz w:val="19"/>
              </w:rPr>
              <w:t>BDIND*IFRS</w:t>
            </w:r>
          </w:p>
        </w:tc>
        <w:tc>
          <w:tcPr>
            <w:tcW w:w="1260" w:type="dxa"/>
            <w:tcBorders>
              <w:left w:val="single" w:sz="4" w:space="0" w:color="BEBEBE"/>
              <w:bottom w:val="nil"/>
            </w:tcBorders>
          </w:tcPr>
          <w:p>
            <w:pPr>
              <w:pStyle w:val="TableParagraph"/>
              <w:rPr>
                <w:rFonts w:ascii="Times New Roman"/>
                <w:sz w:val="20"/>
              </w:rPr>
            </w:pPr>
          </w:p>
        </w:tc>
        <w:tc>
          <w:tcPr>
            <w:tcW w:w="1620" w:type="dxa"/>
            <w:tcBorders>
              <w:top w:val="single" w:sz="4" w:space="0" w:color="BEBEBE"/>
              <w:bottom w:val="nil"/>
              <w:right w:val="single" w:sz="4" w:space="0" w:color="BEBEBE"/>
            </w:tcBorders>
          </w:tcPr>
          <w:p>
            <w:pPr>
              <w:pStyle w:val="TableParagraph"/>
              <w:spacing w:before="2"/>
              <w:ind w:left="143" w:right="153"/>
              <w:jc w:val="center"/>
              <w:rPr>
                <w:rFonts w:ascii="Times New Roman"/>
                <w:sz w:val="18"/>
              </w:rPr>
            </w:pPr>
            <w:r>
              <w:rPr>
                <w:rFonts w:ascii="Times New Roman"/>
                <w:sz w:val="18"/>
              </w:rPr>
              <w:t>-</w:t>
            </w:r>
            <w:r>
              <w:rPr>
                <w:rFonts w:ascii="Times New Roman"/>
                <w:spacing w:val="-2"/>
                <w:sz w:val="18"/>
              </w:rPr>
              <w:t>26.338***</w:t>
            </w:r>
          </w:p>
        </w:tc>
        <w:tc>
          <w:tcPr>
            <w:tcW w:w="1711" w:type="dxa"/>
            <w:tcBorders>
              <w:top w:val="single" w:sz="4" w:space="0" w:color="BEBEBE"/>
              <w:left w:val="single" w:sz="4" w:space="0" w:color="BEBEBE"/>
              <w:bottom w:val="nil"/>
            </w:tcBorders>
          </w:tcPr>
          <w:p>
            <w:pPr>
              <w:pStyle w:val="TableParagraph"/>
              <w:ind w:left="3" w:right="9"/>
              <w:jc w:val="center"/>
              <w:rPr>
                <w:rFonts w:ascii="Times New Roman"/>
                <w:sz w:val="20"/>
              </w:rPr>
            </w:pPr>
            <w:r>
              <w:rPr>
                <w:rFonts w:ascii="Times New Roman"/>
                <w:spacing w:val="-2"/>
                <w:sz w:val="20"/>
              </w:rPr>
              <w:t>-35.16197</w:t>
            </w:r>
          </w:p>
        </w:tc>
        <w:tc>
          <w:tcPr>
            <w:tcW w:w="2249" w:type="dxa"/>
            <w:vMerge w:val="restart"/>
            <w:tcBorders>
              <w:right w:val="nil"/>
            </w:tcBorders>
          </w:tcPr>
          <w:p>
            <w:pPr>
              <w:pStyle w:val="TableParagraph"/>
              <w:rPr>
                <w:rFonts w:ascii="Times New Roman"/>
                <w:sz w:val="22"/>
              </w:rPr>
            </w:pPr>
          </w:p>
        </w:tc>
      </w:tr>
      <w:tr>
        <w:trPr>
          <w:trHeight w:val="495" w:hRule="atLeast"/>
        </w:trPr>
        <w:tc>
          <w:tcPr>
            <w:tcW w:w="1634" w:type="dxa"/>
            <w:tcBorders>
              <w:top w:val="nil"/>
              <w:left w:val="nil"/>
              <w:bottom w:val="nil"/>
              <w:right w:val="single" w:sz="4" w:space="0" w:color="BEBEBE"/>
            </w:tcBorders>
          </w:tcPr>
          <w:p>
            <w:pPr>
              <w:pStyle w:val="TableParagraph"/>
              <w:rPr>
                <w:rFonts w:ascii="Times New Roman"/>
                <w:sz w:val="22"/>
              </w:rPr>
            </w:pPr>
          </w:p>
        </w:tc>
        <w:tc>
          <w:tcPr>
            <w:tcW w:w="1260" w:type="dxa"/>
            <w:tcBorders>
              <w:top w:val="nil"/>
              <w:left w:val="single" w:sz="4" w:space="0" w:color="BEBEBE"/>
              <w:bottom w:val="nil"/>
            </w:tcBorders>
          </w:tcPr>
          <w:p>
            <w:pPr>
              <w:pStyle w:val="TableParagraph"/>
              <w:spacing w:before="39"/>
              <w:ind w:left="170" w:right="170"/>
              <w:jc w:val="center"/>
              <w:rPr>
                <w:rFonts w:ascii="Times New Roman"/>
                <w:sz w:val="19"/>
              </w:rPr>
            </w:pPr>
            <w:r>
              <w:rPr>
                <w:rFonts w:ascii="Times New Roman"/>
                <w:spacing w:val="-10"/>
                <w:sz w:val="19"/>
              </w:rPr>
              <w:t>-</w:t>
            </w:r>
          </w:p>
        </w:tc>
        <w:tc>
          <w:tcPr>
            <w:tcW w:w="1620" w:type="dxa"/>
            <w:tcBorders>
              <w:top w:val="nil"/>
              <w:bottom w:val="nil"/>
              <w:right w:val="single" w:sz="4" w:space="0" w:color="BEBEBE"/>
            </w:tcBorders>
          </w:tcPr>
          <w:p>
            <w:pPr>
              <w:pStyle w:val="TableParagraph"/>
              <w:spacing w:before="151"/>
              <w:ind w:left="143" w:right="149"/>
              <w:jc w:val="center"/>
              <w:rPr>
                <w:rFonts w:ascii="Times New Roman"/>
                <w:sz w:val="18"/>
              </w:rPr>
            </w:pPr>
            <w:r>
              <w:rPr>
                <w:rFonts w:ascii="Times New Roman"/>
                <w:spacing w:val="-2"/>
                <w:sz w:val="18"/>
              </w:rPr>
              <w:t>(7.5461)</w:t>
            </w:r>
          </w:p>
        </w:tc>
        <w:tc>
          <w:tcPr>
            <w:tcW w:w="1711" w:type="dxa"/>
            <w:tcBorders>
              <w:top w:val="nil"/>
              <w:left w:val="single" w:sz="4" w:space="0" w:color="BEBEBE"/>
              <w:bottom w:val="nil"/>
            </w:tcBorders>
          </w:tcPr>
          <w:p>
            <w:pPr>
              <w:pStyle w:val="TableParagraph"/>
              <w:spacing w:before="176"/>
              <w:ind w:left="3" w:right="9"/>
              <w:jc w:val="center"/>
              <w:rPr>
                <w:rFonts w:ascii="Times New Roman"/>
                <w:sz w:val="20"/>
              </w:rPr>
            </w:pPr>
            <w:r>
              <w:rPr>
                <w:rFonts w:ascii="Times New Roman"/>
                <w:spacing w:val="-2"/>
                <w:sz w:val="20"/>
              </w:rPr>
              <w:t>(11.1181)</w:t>
            </w:r>
          </w:p>
        </w:tc>
        <w:tc>
          <w:tcPr>
            <w:tcW w:w="2249" w:type="dxa"/>
            <w:vMerge/>
            <w:tcBorders>
              <w:top w:val="nil"/>
              <w:right w:val="nil"/>
            </w:tcBorders>
          </w:tcPr>
          <w:p>
            <w:pPr>
              <w:rPr>
                <w:sz w:val="2"/>
                <w:szCs w:val="2"/>
              </w:rPr>
            </w:pPr>
          </w:p>
        </w:tc>
      </w:tr>
      <w:tr>
        <w:trPr>
          <w:trHeight w:val="399" w:hRule="atLeast"/>
        </w:trPr>
        <w:tc>
          <w:tcPr>
            <w:tcW w:w="1634" w:type="dxa"/>
            <w:tcBorders>
              <w:top w:val="nil"/>
              <w:left w:val="nil"/>
              <w:right w:val="single" w:sz="4" w:space="0" w:color="BEBEBE"/>
            </w:tcBorders>
          </w:tcPr>
          <w:p>
            <w:pPr>
              <w:pStyle w:val="TableParagraph"/>
              <w:rPr>
                <w:rFonts w:ascii="Times New Roman"/>
                <w:sz w:val="22"/>
              </w:rPr>
            </w:pPr>
          </w:p>
        </w:tc>
        <w:tc>
          <w:tcPr>
            <w:tcW w:w="1260" w:type="dxa"/>
            <w:tcBorders>
              <w:top w:val="nil"/>
              <w:left w:val="single" w:sz="4" w:space="0" w:color="BEBEBE"/>
            </w:tcBorders>
          </w:tcPr>
          <w:p>
            <w:pPr>
              <w:pStyle w:val="TableParagraph"/>
              <w:rPr>
                <w:rFonts w:ascii="Times New Roman"/>
                <w:sz w:val="22"/>
              </w:rPr>
            </w:pPr>
          </w:p>
        </w:tc>
        <w:tc>
          <w:tcPr>
            <w:tcW w:w="1620" w:type="dxa"/>
            <w:tcBorders>
              <w:top w:val="nil"/>
              <w:bottom w:val="single" w:sz="4" w:space="0" w:color="BEBEBE"/>
              <w:right w:val="single" w:sz="4" w:space="0" w:color="BEBEBE"/>
            </w:tcBorders>
          </w:tcPr>
          <w:p>
            <w:pPr>
              <w:pStyle w:val="TableParagraph"/>
              <w:spacing w:before="82"/>
              <w:ind w:left="143" w:right="142"/>
              <w:jc w:val="center"/>
              <w:rPr>
                <w:rFonts w:ascii="Times New Roman"/>
                <w:sz w:val="18"/>
              </w:rPr>
            </w:pPr>
            <w:r>
              <w:rPr>
                <w:rFonts w:ascii="Times New Roman"/>
                <w:spacing w:val="-2"/>
                <w:sz w:val="18"/>
              </w:rPr>
              <w:t>{0.0006}</w:t>
            </w:r>
          </w:p>
        </w:tc>
        <w:tc>
          <w:tcPr>
            <w:tcW w:w="1711" w:type="dxa"/>
            <w:tcBorders>
              <w:top w:val="nil"/>
              <w:left w:val="single" w:sz="4" w:space="0" w:color="BEBEBE"/>
              <w:bottom w:val="single" w:sz="4" w:space="0" w:color="BEBEBE"/>
            </w:tcBorders>
          </w:tcPr>
          <w:p>
            <w:pPr>
              <w:pStyle w:val="TableParagraph"/>
              <w:spacing w:before="135"/>
              <w:ind w:left="9" w:right="9"/>
              <w:jc w:val="center"/>
              <w:rPr>
                <w:rFonts w:ascii="Times New Roman"/>
                <w:sz w:val="20"/>
              </w:rPr>
            </w:pPr>
            <w:r>
              <w:rPr>
                <w:rFonts w:ascii="Times New Roman"/>
                <w:spacing w:val="-2"/>
                <w:sz w:val="20"/>
              </w:rPr>
              <w:t>{0.0018}</w:t>
            </w:r>
          </w:p>
        </w:tc>
        <w:tc>
          <w:tcPr>
            <w:tcW w:w="2249" w:type="dxa"/>
            <w:vMerge/>
            <w:tcBorders>
              <w:top w:val="nil"/>
              <w:right w:val="nil"/>
            </w:tcBorders>
          </w:tcPr>
          <w:p>
            <w:pPr>
              <w:rPr>
                <w:sz w:val="2"/>
                <w:szCs w:val="2"/>
              </w:rPr>
            </w:pPr>
          </w:p>
        </w:tc>
      </w:tr>
      <w:tr>
        <w:trPr>
          <w:trHeight w:val="334" w:hRule="atLeast"/>
        </w:trPr>
        <w:tc>
          <w:tcPr>
            <w:tcW w:w="1634" w:type="dxa"/>
            <w:tcBorders>
              <w:left w:val="nil"/>
              <w:bottom w:val="nil"/>
              <w:right w:val="single" w:sz="4" w:space="0" w:color="BEBEBE"/>
            </w:tcBorders>
          </w:tcPr>
          <w:p>
            <w:pPr>
              <w:pStyle w:val="TableParagraph"/>
              <w:ind w:left="162" w:right="143"/>
              <w:jc w:val="center"/>
              <w:rPr>
                <w:rFonts w:ascii="Times New Roman"/>
                <w:sz w:val="19"/>
              </w:rPr>
            </w:pPr>
            <w:r>
              <w:rPr>
                <w:rFonts w:ascii="Times New Roman"/>
                <w:spacing w:val="-2"/>
                <w:sz w:val="19"/>
              </w:rPr>
              <w:t>BFEXP*IFRS</w:t>
            </w:r>
          </w:p>
        </w:tc>
        <w:tc>
          <w:tcPr>
            <w:tcW w:w="1260" w:type="dxa"/>
            <w:vMerge w:val="restart"/>
            <w:tcBorders>
              <w:left w:val="single" w:sz="4" w:space="0" w:color="BEBEBE"/>
            </w:tcBorders>
          </w:tcPr>
          <w:p>
            <w:pPr>
              <w:pStyle w:val="TableParagraph"/>
              <w:rPr>
                <w:rFonts w:ascii="Times New Roman"/>
                <w:sz w:val="22"/>
              </w:rPr>
            </w:pPr>
          </w:p>
        </w:tc>
        <w:tc>
          <w:tcPr>
            <w:tcW w:w="1620" w:type="dxa"/>
            <w:tcBorders>
              <w:top w:val="single" w:sz="4" w:space="0" w:color="BEBEBE"/>
              <w:bottom w:val="nil"/>
              <w:right w:val="single" w:sz="4" w:space="0" w:color="BEBEBE"/>
            </w:tcBorders>
          </w:tcPr>
          <w:p>
            <w:pPr>
              <w:pStyle w:val="TableParagraph"/>
              <w:spacing w:before="2"/>
              <w:ind w:left="143" w:right="150"/>
              <w:jc w:val="center"/>
              <w:rPr>
                <w:rFonts w:ascii="Times New Roman"/>
                <w:sz w:val="18"/>
              </w:rPr>
            </w:pPr>
            <w:r>
              <w:rPr>
                <w:rFonts w:ascii="Times New Roman"/>
                <w:spacing w:val="-2"/>
                <w:sz w:val="18"/>
              </w:rPr>
              <w:t>3.4723</w:t>
            </w:r>
          </w:p>
        </w:tc>
        <w:tc>
          <w:tcPr>
            <w:tcW w:w="1711" w:type="dxa"/>
            <w:tcBorders>
              <w:top w:val="single" w:sz="4" w:space="0" w:color="BEBEBE"/>
              <w:left w:val="single" w:sz="4" w:space="0" w:color="BEBEBE"/>
              <w:bottom w:val="nil"/>
            </w:tcBorders>
          </w:tcPr>
          <w:p>
            <w:pPr>
              <w:pStyle w:val="TableParagraph"/>
              <w:ind w:right="9"/>
              <w:jc w:val="center"/>
              <w:rPr>
                <w:rFonts w:ascii="Times New Roman"/>
                <w:sz w:val="20"/>
              </w:rPr>
            </w:pPr>
            <w:r>
              <w:rPr>
                <w:rFonts w:ascii="Times New Roman"/>
                <w:spacing w:val="-2"/>
                <w:sz w:val="20"/>
              </w:rPr>
              <w:t>-8.1807</w:t>
            </w:r>
          </w:p>
        </w:tc>
        <w:tc>
          <w:tcPr>
            <w:tcW w:w="2249" w:type="dxa"/>
            <w:vMerge w:val="restart"/>
            <w:tcBorders>
              <w:right w:val="nil"/>
            </w:tcBorders>
          </w:tcPr>
          <w:p>
            <w:pPr>
              <w:pStyle w:val="TableParagraph"/>
              <w:rPr>
                <w:rFonts w:ascii="Times New Roman"/>
                <w:sz w:val="22"/>
              </w:rPr>
            </w:pPr>
          </w:p>
        </w:tc>
      </w:tr>
      <w:tr>
        <w:trPr>
          <w:trHeight w:val="440" w:hRule="atLeast"/>
        </w:trPr>
        <w:tc>
          <w:tcPr>
            <w:tcW w:w="1634" w:type="dxa"/>
            <w:tcBorders>
              <w:top w:val="nil"/>
              <w:left w:val="nil"/>
              <w:bottom w:val="nil"/>
              <w:right w:val="single" w:sz="4" w:space="0" w:color="BEBEBE"/>
            </w:tcBorders>
          </w:tcPr>
          <w:p>
            <w:pPr>
              <w:pStyle w:val="TableParagraph"/>
              <w:rPr>
                <w:rFonts w:ascii="Times New Roman"/>
                <w:sz w:val="22"/>
              </w:rPr>
            </w:pPr>
          </w:p>
        </w:tc>
        <w:tc>
          <w:tcPr>
            <w:tcW w:w="1260" w:type="dxa"/>
            <w:vMerge/>
            <w:tcBorders>
              <w:top w:val="nil"/>
              <w:left w:val="single" w:sz="4" w:space="0" w:color="BEBEBE"/>
            </w:tcBorders>
          </w:tcPr>
          <w:p>
            <w:pPr>
              <w:rPr>
                <w:sz w:val="2"/>
                <w:szCs w:val="2"/>
              </w:rPr>
            </w:pPr>
          </w:p>
        </w:tc>
        <w:tc>
          <w:tcPr>
            <w:tcW w:w="1620" w:type="dxa"/>
            <w:tcBorders>
              <w:top w:val="nil"/>
              <w:bottom w:val="nil"/>
              <w:right w:val="single" w:sz="4" w:space="0" w:color="BEBEBE"/>
            </w:tcBorders>
          </w:tcPr>
          <w:p>
            <w:pPr>
              <w:pStyle w:val="TableParagraph"/>
              <w:spacing w:before="97"/>
              <w:ind w:left="143" w:right="149"/>
              <w:jc w:val="center"/>
              <w:rPr>
                <w:rFonts w:ascii="Times New Roman"/>
                <w:sz w:val="18"/>
              </w:rPr>
            </w:pPr>
            <w:r>
              <w:rPr>
                <w:rFonts w:ascii="Times New Roman"/>
                <w:spacing w:val="-2"/>
                <w:sz w:val="18"/>
              </w:rPr>
              <w:t>(6.3451)</w:t>
            </w:r>
          </w:p>
        </w:tc>
        <w:tc>
          <w:tcPr>
            <w:tcW w:w="1711" w:type="dxa"/>
            <w:tcBorders>
              <w:top w:val="nil"/>
              <w:left w:val="single" w:sz="4" w:space="0" w:color="BEBEBE"/>
              <w:bottom w:val="nil"/>
            </w:tcBorders>
          </w:tcPr>
          <w:p>
            <w:pPr>
              <w:pStyle w:val="TableParagraph"/>
              <w:spacing w:before="121"/>
              <w:ind w:left="3" w:right="9"/>
              <w:jc w:val="center"/>
              <w:rPr>
                <w:rFonts w:ascii="Times New Roman"/>
                <w:sz w:val="20"/>
              </w:rPr>
            </w:pPr>
            <w:r>
              <w:rPr>
                <w:rFonts w:ascii="Times New Roman"/>
                <w:spacing w:val="-2"/>
                <w:sz w:val="20"/>
              </w:rPr>
              <w:t>(12.1722)</w:t>
            </w:r>
          </w:p>
        </w:tc>
        <w:tc>
          <w:tcPr>
            <w:tcW w:w="2249" w:type="dxa"/>
            <w:vMerge/>
            <w:tcBorders>
              <w:top w:val="nil"/>
              <w:right w:val="nil"/>
            </w:tcBorders>
          </w:tcPr>
          <w:p>
            <w:pPr>
              <w:rPr>
                <w:sz w:val="2"/>
                <w:szCs w:val="2"/>
              </w:rPr>
            </w:pPr>
          </w:p>
        </w:tc>
      </w:tr>
      <w:tr>
        <w:trPr>
          <w:trHeight w:val="400" w:hRule="atLeast"/>
        </w:trPr>
        <w:tc>
          <w:tcPr>
            <w:tcW w:w="1634" w:type="dxa"/>
            <w:tcBorders>
              <w:top w:val="nil"/>
              <w:left w:val="nil"/>
              <w:right w:val="single" w:sz="4" w:space="0" w:color="BEBEBE"/>
            </w:tcBorders>
          </w:tcPr>
          <w:p>
            <w:pPr>
              <w:pStyle w:val="TableParagraph"/>
              <w:rPr>
                <w:rFonts w:ascii="Times New Roman"/>
                <w:sz w:val="22"/>
              </w:rPr>
            </w:pPr>
          </w:p>
        </w:tc>
        <w:tc>
          <w:tcPr>
            <w:tcW w:w="1260" w:type="dxa"/>
            <w:vMerge/>
            <w:tcBorders>
              <w:top w:val="nil"/>
              <w:left w:val="single" w:sz="4" w:space="0" w:color="BEBEBE"/>
            </w:tcBorders>
          </w:tcPr>
          <w:p>
            <w:pPr>
              <w:rPr>
                <w:sz w:val="2"/>
                <w:szCs w:val="2"/>
              </w:rPr>
            </w:pPr>
          </w:p>
        </w:tc>
        <w:tc>
          <w:tcPr>
            <w:tcW w:w="1620" w:type="dxa"/>
            <w:tcBorders>
              <w:top w:val="nil"/>
              <w:right w:val="single" w:sz="4" w:space="0" w:color="BEBEBE"/>
            </w:tcBorders>
          </w:tcPr>
          <w:p>
            <w:pPr>
              <w:pStyle w:val="TableParagraph"/>
              <w:spacing w:before="81"/>
              <w:ind w:left="143" w:right="142"/>
              <w:jc w:val="center"/>
              <w:rPr>
                <w:rFonts w:ascii="Times New Roman"/>
                <w:sz w:val="18"/>
              </w:rPr>
            </w:pPr>
            <w:r>
              <w:rPr>
                <w:rFonts w:ascii="Times New Roman"/>
                <w:spacing w:val="-2"/>
                <w:sz w:val="18"/>
              </w:rPr>
              <w:t>{0.5849}</w:t>
            </w:r>
          </w:p>
        </w:tc>
        <w:tc>
          <w:tcPr>
            <w:tcW w:w="1711" w:type="dxa"/>
            <w:tcBorders>
              <w:top w:val="nil"/>
              <w:left w:val="single" w:sz="4" w:space="0" w:color="BEBEBE"/>
            </w:tcBorders>
          </w:tcPr>
          <w:p>
            <w:pPr>
              <w:pStyle w:val="TableParagraph"/>
              <w:spacing w:before="134"/>
              <w:ind w:left="8" w:right="9"/>
              <w:jc w:val="center"/>
              <w:rPr>
                <w:rFonts w:ascii="Times New Roman"/>
                <w:sz w:val="20"/>
              </w:rPr>
            </w:pPr>
            <w:r>
              <w:rPr>
                <w:rFonts w:ascii="Times New Roman"/>
                <w:spacing w:val="-2"/>
                <w:sz w:val="20"/>
              </w:rPr>
              <w:t>(0.5024)</w:t>
            </w:r>
          </w:p>
        </w:tc>
        <w:tc>
          <w:tcPr>
            <w:tcW w:w="2249" w:type="dxa"/>
            <w:vMerge/>
            <w:tcBorders>
              <w:top w:val="nil"/>
              <w:right w:val="nil"/>
            </w:tcBorders>
          </w:tcPr>
          <w:p>
            <w:pPr>
              <w:rPr>
                <w:sz w:val="2"/>
                <w:szCs w:val="2"/>
              </w:rPr>
            </w:pPr>
          </w:p>
        </w:tc>
      </w:tr>
      <w:tr>
        <w:trPr>
          <w:trHeight w:val="326" w:hRule="atLeast"/>
        </w:trPr>
        <w:tc>
          <w:tcPr>
            <w:tcW w:w="6225" w:type="dxa"/>
            <w:gridSpan w:val="4"/>
            <w:tcBorders>
              <w:left w:val="nil"/>
            </w:tcBorders>
          </w:tcPr>
          <w:p>
            <w:pPr>
              <w:pStyle w:val="TableParagraph"/>
              <w:ind w:left="12"/>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2249" w:type="dxa"/>
            <w:tcBorders>
              <w:right w:val="nil"/>
            </w:tcBorders>
          </w:tcPr>
          <w:p>
            <w:pPr>
              <w:pStyle w:val="TableParagraph"/>
              <w:rPr>
                <w:rFonts w:ascii="Times New Roman"/>
                <w:sz w:val="22"/>
              </w:rPr>
            </w:pPr>
          </w:p>
        </w:tc>
      </w:tr>
      <w:tr>
        <w:trPr>
          <w:trHeight w:val="328" w:hRule="atLeast"/>
        </w:trPr>
        <w:tc>
          <w:tcPr>
            <w:tcW w:w="1634" w:type="dxa"/>
            <w:tcBorders>
              <w:left w:val="nil"/>
            </w:tcBorders>
          </w:tcPr>
          <w:p>
            <w:pPr>
              <w:pStyle w:val="TableParagraph"/>
              <w:spacing w:line="144" w:lineRule="auto" w:before="37"/>
              <w:ind w:left="162" w:right="145"/>
              <w:jc w:val="center"/>
              <w:rPr>
                <w:rFonts w:ascii="Times New Roman"/>
                <w:sz w:val="12"/>
              </w:rPr>
            </w:pPr>
            <w:r>
              <w:rPr>
                <w:rFonts w:ascii="Times New Roman"/>
                <w:spacing w:val="-5"/>
                <w:position w:val="-6"/>
                <w:sz w:val="19"/>
              </w:rPr>
              <w:t>R</w:t>
            </w:r>
            <w:r>
              <w:rPr>
                <w:rFonts w:ascii="Times New Roman"/>
                <w:spacing w:val="-5"/>
                <w:sz w:val="12"/>
              </w:rPr>
              <w:t>2</w:t>
            </w:r>
          </w:p>
        </w:tc>
        <w:tc>
          <w:tcPr>
            <w:tcW w:w="1260" w:type="dxa"/>
          </w:tcPr>
          <w:p>
            <w:pPr>
              <w:pStyle w:val="TableParagraph"/>
              <w:rPr>
                <w:rFonts w:ascii="Times New Roman"/>
                <w:sz w:val="22"/>
              </w:rPr>
            </w:pPr>
          </w:p>
        </w:tc>
        <w:tc>
          <w:tcPr>
            <w:tcW w:w="1620" w:type="dxa"/>
            <w:tcBorders>
              <w:bottom w:val="single" w:sz="4" w:space="0" w:color="BEBEBE"/>
            </w:tcBorders>
          </w:tcPr>
          <w:p>
            <w:pPr>
              <w:pStyle w:val="TableParagraph"/>
              <w:spacing w:line="207" w:lineRule="exact"/>
              <w:ind w:left="143" w:right="141"/>
              <w:jc w:val="center"/>
              <w:rPr>
                <w:rFonts w:ascii="Times New Roman"/>
                <w:sz w:val="18"/>
              </w:rPr>
            </w:pPr>
            <w:r>
              <w:rPr>
                <w:rFonts w:ascii="Times New Roman"/>
                <w:spacing w:val="-2"/>
                <w:sz w:val="18"/>
              </w:rPr>
              <w:t>0.617</w:t>
            </w:r>
          </w:p>
        </w:tc>
        <w:tc>
          <w:tcPr>
            <w:tcW w:w="1711" w:type="dxa"/>
            <w:tcBorders>
              <w:right w:val="single" w:sz="4" w:space="0" w:color="BEBEBE"/>
            </w:tcBorders>
          </w:tcPr>
          <w:p>
            <w:pPr>
              <w:pStyle w:val="TableParagraph"/>
              <w:ind w:left="9" w:right="9"/>
              <w:jc w:val="center"/>
              <w:rPr>
                <w:rFonts w:ascii="Times New Roman"/>
                <w:sz w:val="19"/>
              </w:rPr>
            </w:pPr>
            <w:r>
              <w:rPr>
                <w:rFonts w:ascii="Times New Roman"/>
                <w:spacing w:val="-2"/>
                <w:sz w:val="19"/>
              </w:rPr>
              <w:t>0.157</w:t>
            </w:r>
          </w:p>
        </w:tc>
        <w:tc>
          <w:tcPr>
            <w:tcW w:w="2249" w:type="dxa"/>
            <w:tcBorders>
              <w:left w:val="single" w:sz="4" w:space="0" w:color="BEBEBE"/>
              <w:bottom w:val="single" w:sz="4" w:space="0" w:color="BEBEBE"/>
              <w:right w:val="nil"/>
            </w:tcBorders>
          </w:tcPr>
          <w:p>
            <w:pPr>
              <w:pStyle w:val="TableParagraph"/>
              <w:spacing w:line="207" w:lineRule="exact"/>
              <w:ind w:left="10" w:right="15"/>
              <w:jc w:val="center"/>
              <w:rPr>
                <w:rFonts w:ascii="Times New Roman"/>
                <w:sz w:val="18"/>
              </w:rPr>
            </w:pPr>
            <w:r>
              <w:rPr/>
              <mc:AlternateContent>
                <mc:Choice Requires="wps">
                  <w:drawing>
                    <wp:anchor distT="0" distB="0" distL="0" distR="0" allowOverlap="1" layoutInCell="1" locked="0" behindDoc="1" simplePos="0" relativeHeight="477749760">
                      <wp:simplePos x="0" y="0"/>
                      <wp:positionH relativeFrom="column">
                        <wp:posOffset>15373</wp:posOffset>
                      </wp:positionH>
                      <wp:positionV relativeFrom="paragraph">
                        <wp:posOffset>-450722</wp:posOffset>
                      </wp:positionV>
                      <wp:extent cx="1152525" cy="1292860"/>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1152525" cy="1292860"/>
                                <a:chExt cx="1152525" cy="1292860"/>
                              </a:xfrm>
                            </wpg:grpSpPr>
                            <wps:wsp>
                              <wps:cNvPr id="206" name="Graphic 206"/>
                              <wps:cNvSpPr/>
                              <wps:spPr>
                                <a:xfrm>
                                  <a:off x="-5" y="0"/>
                                  <a:ext cx="1152525" cy="1292860"/>
                                </a:xfrm>
                                <a:custGeom>
                                  <a:avLst/>
                                  <a:gdLst/>
                                  <a:ahLst/>
                                  <a:cxnLst/>
                                  <a:rect l="l" t="t" r="r" b="b"/>
                                  <a:pathLst>
                                    <a:path w="1152525" h="1292860">
                                      <a:moveTo>
                                        <a:pt x="712470" y="1238885"/>
                                      </a:moveTo>
                                      <a:lnTo>
                                        <a:pt x="711454" y="1235837"/>
                                      </a:lnTo>
                                      <a:lnTo>
                                        <a:pt x="710311" y="1232789"/>
                                      </a:lnTo>
                                      <a:lnTo>
                                        <a:pt x="708025" y="1229741"/>
                                      </a:lnTo>
                                      <a:lnTo>
                                        <a:pt x="461772" y="983488"/>
                                      </a:lnTo>
                                      <a:lnTo>
                                        <a:pt x="511556" y="933704"/>
                                      </a:lnTo>
                                      <a:lnTo>
                                        <a:pt x="530212" y="913079"/>
                                      </a:lnTo>
                                      <a:lnTo>
                                        <a:pt x="532650" y="909701"/>
                                      </a:lnTo>
                                      <a:lnTo>
                                        <a:pt x="545553" y="891921"/>
                                      </a:lnTo>
                                      <a:lnTo>
                                        <a:pt x="566039" y="847852"/>
                                      </a:lnTo>
                                      <a:lnTo>
                                        <a:pt x="573900" y="802767"/>
                                      </a:lnTo>
                                      <a:lnTo>
                                        <a:pt x="573976" y="778319"/>
                                      </a:lnTo>
                                      <a:lnTo>
                                        <a:pt x="570992" y="753999"/>
                                      </a:lnTo>
                                      <a:lnTo>
                                        <a:pt x="556806" y="704456"/>
                                      </a:lnTo>
                                      <a:lnTo>
                                        <a:pt x="532257" y="653669"/>
                                      </a:lnTo>
                                      <a:lnTo>
                                        <a:pt x="497052" y="602348"/>
                                      </a:lnTo>
                                      <a:lnTo>
                                        <a:pt x="477596" y="579158"/>
                                      </a:lnTo>
                                      <a:lnTo>
                                        <a:pt x="477596" y="774280"/>
                                      </a:lnTo>
                                      <a:lnTo>
                                        <a:pt x="476694" y="788733"/>
                                      </a:lnTo>
                                      <a:lnTo>
                                        <a:pt x="462089" y="830376"/>
                                      </a:lnTo>
                                      <a:lnTo>
                                        <a:pt x="387985" y="909701"/>
                                      </a:lnTo>
                                      <a:lnTo>
                                        <a:pt x="116586" y="638429"/>
                                      </a:lnTo>
                                      <a:lnTo>
                                        <a:pt x="170573" y="584441"/>
                                      </a:lnTo>
                                      <a:lnTo>
                                        <a:pt x="205105" y="557403"/>
                                      </a:lnTo>
                                      <a:lnTo>
                                        <a:pt x="252730" y="544068"/>
                                      </a:lnTo>
                                      <a:lnTo>
                                        <a:pt x="267449" y="544715"/>
                                      </a:lnTo>
                                      <a:lnTo>
                                        <a:pt x="318770" y="560705"/>
                                      </a:lnTo>
                                      <a:lnTo>
                                        <a:pt x="357073" y="584454"/>
                                      </a:lnTo>
                                      <a:lnTo>
                                        <a:pt x="397637" y="619887"/>
                                      </a:lnTo>
                                      <a:lnTo>
                                        <a:pt x="425259" y="650608"/>
                                      </a:lnTo>
                                      <a:lnTo>
                                        <a:pt x="447548" y="681990"/>
                                      </a:lnTo>
                                      <a:lnTo>
                                        <a:pt x="469811" y="729234"/>
                                      </a:lnTo>
                                      <a:lnTo>
                                        <a:pt x="477596" y="774280"/>
                                      </a:lnTo>
                                      <a:lnTo>
                                        <a:pt x="477596" y="579158"/>
                                      </a:lnTo>
                                      <a:lnTo>
                                        <a:pt x="475615" y="576795"/>
                                      </a:lnTo>
                                      <a:lnTo>
                                        <a:pt x="451485" y="551307"/>
                                      </a:lnTo>
                                      <a:lnTo>
                                        <a:pt x="443915" y="544068"/>
                                      </a:lnTo>
                                      <a:lnTo>
                                        <a:pt x="432346" y="532993"/>
                                      </a:lnTo>
                                      <a:lnTo>
                                        <a:pt x="394042" y="501472"/>
                                      </a:lnTo>
                                      <a:lnTo>
                                        <a:pt x="355625" y="476669"/>
                                      </a:lnTo>
                                      <a:lnTo>
                                        <a:pt x="317906" y="459130"/>
                                      </a:lnTo>
                                      <a:lnTo>
                                        <a:pt x="280962" y="447548"/>
                                      </a:lnTo>
                                      <a:lnTo>
                                        <a:pt x="227457" y="442849"/>
                                      </a:lnTo>
                                      <a:lnTo>
                                        <a:pt x="210566" y="444538"/>
                                      </a:lnTo>
                                      <a:lnTo>
                                        <a:pt x="168656" y="456692"/>
                                      </a:lnTo>
                                      <a:lnTo>
                                        <a:pt x="130048" y="479679"/>
                                      </a:lnTo>
                                      <a:lnTo>
                                        <a:pt x="101092" y="505460"/>
                                      </a:lnTo>
                                      <a:lnTo>
                                        <a:pt x="7239" y="599313"/>
                                      </a:lnTo>
                                      <a:lnTo>
                                        <a:pt x="0" y="616623"/>
                                      </a:lnTo>
                                      <a:lnTo>
                                        <a:pt x="127" y="624205"/>
                                      </a:lnTo>
                                      <a:lnTo>
                                        <a:pt x="22860" y="661035"/>
                                      </a:lnTo>
                                      <a:lnTo>
                                        <a:pt x="647192" y="1285367"/>
                                      </a:lnTo>
                                      <a:lnTo>
                                        <a:pt x="649732" y="1288034"/>
                                      </a:lnTo>
                                      <a:lnTo>
                                        <a:pt x="652780" y="1290193"/>
                                      </a:lnTo>
                                      <a:lnTo>
                                        <a:pt x="658876" y="1292479"/>
                                      </a:lnTo>
                                      <a:lnTo>
                                        <a:pt x="661924" y="1292606"/>
                                      </a:lnTo>
                                      <a:lnTo>
                                        <a:pt x="665353" y="1291336"/>
                                      </a:lnTo>
                                      <a:lnTo>
                                        <a:pt x="669290" y="1290574"/>
                                      </a:lnTo>
                                      <a:lnTo>
                                        <a:pt x="703072" y="1261999"/>
                                      </a:lnTo>
                                      <a:lnTo>
                                        <a:pt x="711327" y="1245235"/>
                                      </a:lnTo>
                                      <a:lnTo>
                                        <a:pt x="712343" y="1242187"/>
                                      </a:lnTo>
                                      <a:lnTo>
                                        <a:pt x="712470" y="1238885"/>
                                      </a:lnTo>
                                      <a:close/>
                                    </a:path>
                                    <a:path w="1152525" h="1292860">
                                      <a:moveTo>
                                        <a:pt x="1152271" y="802259"/>
                                      </a:moveTo>
                                      <a:lnTo>
                                        <a:pt x="1152144" y="799211"/>
                                      </a:lnTo>
                                      <a:lnTo>
                                        <a:pt x="1149985" y="793115"/>
                                      </a:lnTo>
                                      <a:lnTo>
                                        <a:pt x="1147699" y="790067"/>
                                      </a:lnTo>
                                      <a:lnTo>
                                        <a:pt x="895604" y="538099"/>
                                      </a:lnTo>
                                      <a:lnTo>
                                        <a:pt x="848474" y="446278"/>
                                      </a:lnTo>
                                      <a:lnTo>
                                        <a:pt x="708456" y="170192"/>
                                      </a:lnTo>
                                      <a:lnTo>
                                        <a:pt x="637921" y="32385"/>
                                      </a:lnTo>
                                      <a:lnTo>
                                        <a:pt x="607568" y="0"/>
                                      </a:lnTo>
                                      <a:lnTo>
                                        <a:pt x="602488" y="1905"/>
                                      </a:lnTo>
                                      <a:lnTo>
                                        <a:pt x="570992" y="29210"/>
                                      </a:lnTo>
                                      <a:lnTo>
                                        <a:pt x="556133" y="57658"/>
                                      </a:lnTo>
                                      <a:lnTo>
                                        <a:pt x="557657" y="61341"/>
                                      </a:lnTo>
                                      <a:lnTo>
                                        <a:pt x="558927" y="65278"/>
                                      </a:lnTo>
                                      <a:lnTo>
                                        <a:pt x="560578" y="68961"/>
                                      </a:lnTo>
                                      <a:lnTo>
                                        <a:pt x="563626" y="73279"/>
                                      </a:lnTo>
                                      <a:lnTo>
                                        <a:pt x="586181" y="116001"/>
                                      </a:lnTo>
                                      <a:lnTo>
                                        <a:pt x="653173" y="244411"/>
                                      </a:lnTo>
                                      <a:lnTo>
                                        <a:pt x="698119" y="329819"/>
                                      </a:lnTo>
                                      <a:lnTo>
                                        <a:pt x="761060" y="442645"/>
                                      </a:lnTo>
                                      <a:lnTo>
                                        <a:pt x="782955" y="480314"/>
                                      </a:lnTo>
                                      <a:lnTo>
                                        <a:pt x="782320" y="480949"/>
                                      </a:lnTo>
                                      <a:lnTo>
                                        <a:pt x="629285" y="395605"/>
                                      </a:lnTo>
                                      <a:lnTo>
                                        <a:pt x="586803" y="373176"/>
                                      </a:lnTo>
                                      <a:lnTo>
                                        <a:pt x="374015" y="261747"/>
                                      </a:lnTo>
                                      <a:lnTo>
                                        <a:pt x="369316" y="259080"/>
                                      </a:lnTo>
                                      <a:lnTo>
                                        <a:pt x="365379" y="257937"/>
                                      </a:lnTo>
                                      <a:lnTo>
                                        <a:pt x="361823" y="256286"/>
                                      </a:lnTo>
                                      <a:lnTo>
                                        <a:pt x="358267" y="255524"/>
                                      </a:lnTo>
                                      <a:lnTo>
                                        <a:pt x="313309" y="286893"/>
                                      </a:lnTo>
                                      <a:lnTo>
                                        <a:pt x="298704" y="307721"/>
                                      </a:lnTo>
                                      <a:lnTo>
                                        <a:pt x="300736" y="316357"/>
                                      </a:lnTo>
                                      <a:lnTo>
                                        <a:pt x="331724" y="338582"/>
                                      </a:lnTo>
                                      <a:lnTo>
                                        <a:pt x="423494" y="385762"/>
                                      </a:lnTo>
                                      <a:lnTo>
                                        <a:pt x="699604" y="525754"/>
                                      </a:lnTo>
                                      <a:lnTo>
                                        <a:pt x="837438" y="596265"/>
                                      </a:lnTo>
                                      <a:lnTo>
                                        <a:pt x="1089406" y="848360"/>
                                      </a:lnTo>
                                      <a:lnTo>
                                        <a:pt x="1092454" y="850646"/>
                                      </a:lnTo>
                                      <a:lnTo>
                                        <a:pt x="1095502" y="851789"/>
                                      </a:lnTo>
                                      <a:lnTo>
                                        <a:pt x="1098169" y="853186"/>
                                      </a:lnTo>
                                      <a:lnTo>
                                        <a:pt x="1101471" y="853059"/>
                                      </a:lnTo>
                                      <a:lnTo>
                                        <a:pt x="1104900" y="851662"/>
                                      </a:lnTo>
                                      <a:lnTo>
                                        <a:pt x="1108964" y="850900"/>
                                      </a:lnTo>
                                      <a:lnTo>
                                        <a:pt x="1142365" y="822706"/>
                                      </a:lnTo>
                                      <a:lnTo>
                                        <a:pt x="1151001" y="805561"/>
                                      </a:lnTo>
                                      <a:lnTo>
                                        <a:pt x="115227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10479pt;margin-top:-35.489994pt;width:90.75pt;height:101.8pt;mso-position-horizontal-relative:column;mso-position-vertical-relative:paragraph;z-index:-25566720" id="docshapegroup65" coordorigin="24,-710" coordsize="1815,2036">
                      <v:shape style="position:absolute;left:24;top:-710;width:1815;height:2036" id="docshape66" coordorigin="24,-710" coordsize="1815,2036" path="m1146,1241l1145,1236,1143,1232,1139,1227,751,839,830,761,859,728,863,723,883,695,902,661,916,625,924,590,928,554,928,516,923,478,914,439,901,400,884,360,862,320,837,279,807,239,776,202,776,510,775,532,771,554,763,576,752,598,737,619,718,640,635,723,208,296,293,211,305,199,318,188,332,178,347,168,363,160,381,153,401,149,422,147,445,148,471,153,497,161,526,173,556,190,587,211,618,236,650,266,673,291,694,315,712,339,729,364,743,389,755,414,764,439,771,462,775,486,776,510,776,202,773,199,735,158,723,147,705,130,675,103,645,80,614,59,584,41,554,26,525,13,496,3,467,-5,438,-10,410,-12,382,-12,356,-10,332,-5,310,1,290,9,272,19,256,28,242,37,229,46,217,55,206,65,195,75,183,86,36,234,30,242,26,251,24,261,24,273,28,286,35,300,45,315,60,331,1043,1314,1047,1319,1052,1322,1062,1326,1067,1326,1072,1324,1078,1323,1092,1315,1099,1310,1107,1304,1125,1286,1131,1278,1136,1271,1141,1263,1143,1257,1144,1251,1146,1246,1146,1241xm1839,554l1839,549,1835,539,1832,534,1435,138,1360,-7,1140,-442,1029,-659,1012,-688,1007,-695,1001,-703,994,-707,981,-710,973,-707,964,-702,958,-696,942,-682,923,-664,916,-655,906,-642,903,-635,901,-630,900,-624,900,-619,902,-613,904,-607,907,-601,912,-594,947,-527,1053,-325,1124,-190,1223,-13,1257,47,1256,48,1015,-87,948,-122,613,-298,606,-302,600,-304,594,-306,588,-307,577,-305,571,-303,564,-300,540,-280,518,-258,509,-248,497,-232,495,-225,498,-212,502,-206,517,-194,525,-189,547,-177,691,-102,1126,118,1343,229,1740,626,1745,630,1749,632,1754,634,1759,634,1764,631,1771,630,1784,623,1791,618,1799,612,1816,594,1823,586,1828,579,1832,572,1836,565,1837,559,1839,554xe" filled="true" fillcolor="#c0c0c0" stroked="false">
                        <v:path arrowok="t"/>
                        <v:fill opacity="32896f" type="solid"/>
                      </v:shape>
                      <w10:wrap type="none"/>
                    </v:group>
                  </w:pict>
                </mc:Fallback>
              </mc:AlternateContent>
            </w:r>
            <w:r>
              <w:rPr>
                <w:rFonts w:ascii="Times New Roman"/>
                <w:spacing w:val="-2"/>
                <w:sz w:val="18"/>
              </w:rPr>
              <w:t>0.5597</w:t>
            </w:r>
          </w:p>
        </w:tc>
      </w:tr>
      <w:tr>
        <w:trPr>
          <w:trHeight w:val="328" w:hRule="atLeast"/>
        </w:trPr>
        <w:tc>
          <w:tcPr>
            <w:tcW w:w="1634" w:type="dxa"/>
            <w:tcBorders>
              <w:left w:val="nil"/>
            </w:tcBorders>
          </w:tcPr>
          <w:p>
            <w:pPr>
              <w:pStyle w:val="TableParagraph"/>
              <w:ind w:left="162" w:right="140"/>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1260" w:type="dxa"/>
          </w:tcPr>
          <w:p>
            <w:pPr>
              <w:pStyle w:val="TableParagraph"/>
              <w:rPr>
                <w:rFonts w:ascii="Times New Roman"/>
                <w:sz w:val="22"/>
              </w:rPr>
            </w:pPr>
          </w:p>
        </w:tc>
        <w:tc>
          <w:tcPr>
            <w:tcW w:w="1620" w:type="dxa"/>
            <w:tcBorders>
              <w:top w:val="single" w:sz="4" w:space="0" w:color="BEBEBE"/>
              <w:bottom w:val="single" w:sz="4" w:space="0" w:color="BEBEBE"/>
            </w:tcBorders>
          </w:tcPr>
          <w:p>
            <w:pPr>
              <w:pStyle w:val="TableParagraph"/>
              <w:spacing w:line="207" w:lineRule="exact"/>
              <w:ind w:left="143" w:right="141"/>
              <w:jc w:val="center"/>
              <w:rPr>
                <w:rFonts w:ascii="Times New Roman"/>
                <w:sz w:val="18"/>
              </w:rPr>
            </w:pPr>
            <w:r>
              <w:rPr>
                <w:rFonts w:ascii="Times New Roman"/>
                <w:spacing w:val="-2"/>
                <w:sz w:val="18"/>
              </w:rPr>
              <w:t>0.568</w:t>
            </w:r>
          </w:p>
        </w:tc>
        <w:tc>
          <w:tcPr>
            <w:tcW w:w="1711" w:type="dxa"/>
            <w:tcBorders>
              <w:right w:val="single" w:sz="4" w:space="0" w:color="BEBEBE"/>
            </w:tcBorders>
          </w:tcPr>
          <w:p>
            <w:pPr>
              <w:pStyle w:val="TableParagraph"/>
              <w:ind w:left="9" w:right="9"/>
              <w:jc w:val="center"/>
              <w:rPr>
                <w:rFonts w:ascii="Times New Roman"/>
                <w:sz w:val="19"/>
              </w:rPr>
            </w:pPr>
            <w:r>
              <w:rPr>
                <w:rFonts w:ascii="Times New Roman"/>
                <w:spacing w:val="-2"/>
                <w:sz w:val="19"/>
              </w:rPr>
              <w:t>0.111</w:t>
            </w:r>
          </w:p>
        </w:tc>
        <w:tc>
          <w:tcPr>
            <w:tcW w:w="2249" w:type="dxa"/>
            <w:tcBorders>
              <w:top w:val="single" w:sz="4" w:space="0" w:color="BEBEBE"/>
              <w:left w:val="single" w:sz="4" w:space="0" w:color="BEBEBE"/>
              <w:bottom w:val="single" w:sz="4" w:space="0" w:color="BEBEBE"/>
              <w:right w:val="nil"/>
            </w:tcBorders>
          </w:tcPr>
          <w:p>
            <w:pPr>
              <w:pStyle w:val="TableParagraph"/>
              <w:spacing w:line="207" w:lineRule="exact"/>
              <w:ind w:left="10" w:right="15"/>
              <w:jc w:val="center"/>
              <w:rPr>
                <w:rFonts w:ascii="Times New Roman"/>
                <w:sz w:val="18"/>
              </w:rPr>
            </w:pPr>
            <w:r>
              <w:rPr>
                <w:rFonts w:ascii="Times New Roman"/>
                <w:spacing w:val="-2"/>
                <w:sz w:val="18"/>
              </w:rPr>
              <w:t>0.5332</w:t>
            </w:r>
          </w:p>
        </w:tc>
      </w:tr>
      <w:tr>
        <w:trPr>
          <w:trHeight w:val="326" w:hRule="atLeast"/>
        </w:trPr>
        <w:tc>
          <w:tcPr>
            <w:tcW w:w="1634" w:type="dxa"/>
            <w:tcBorders>
              <w:left w:val="nil"/>
            </w:tcBorders>
          </w:tcPr>
          <w:p>
            <w:pPr>
              <w:pStyle w:val="TableParagraph"/>
              <w:ind w:left="162" w:right="146"/>
              <w:jc w:val="center"/>
              <w:rPr>
                <w:rFonts w:ascii="Times New Roman"/>
                <w:sz w:val="19"/>
              </w:rPr>
            </w:pPr>
            <w:r>
              <w:rPr>
                <w:rFonts w:ascii="Times New Roman"/>
                <w:spacing w:val="-2"/>
                <w:sz w:val="19"/>
              </w:rPr>
              <w:t>F-statistic</w:t>
            </w:r>
          </w:p>
        </w:tc>
        <w:tc>
          <w:tcPr>
            <w:tcW w:w="1260" w:type="dxa"/>
          </w:tcPr>
          <w:p>
            <w:pPr>
              <w:pStyle w:val="TableParagraph"/>
              <w:rPr>
                <w:rFonts w:ascii="Times New Roman"/>
                <w:sz w:val="22"/>
              </w:rPr>
            </w:pPr>
          </w:p>
        </w:tc>
        <w:tc>
          <w:tcPr>
            <w:tcW w:w="1620" w:type="dxa"/>
            <w:tcBorders>
              <w:top w:val="single" w:sz="4" w:space="0" w:color="BEBEBE"/>
              <w:bottom w:val="single" w:sz="4" w:space="0" w:color="BEBEBE"/>
            </w:tcBorders>
          </w:tcPr>
          <w:p>
            <w:pPr>
              <w:pStyle w:val="TableParagraph"/>
              <w:spacing w:line="207" w:lineRule="exact"/>
              <w:ind w:left="143" w:right="143"/>
              <w:jc w:val="center"/>
              <w:rPr>
                <w:rFonts w:ascii="Times New Roman"/>
                <w:sz w:val="18"/>
              </w:rPr>
            </w:pPr>
            <w:r>
              <w:rPr>
                <w:rFonts w:ascii="Times New Roman"/>
                <w:spacing w:val="-2"/>
                <w:sz w:val="18"/>
              </w:rPr>
              <w:t>12.606</w:t>
            </w:r>
          </w:p>
        </w:tc>
        <w:tc>
          <w:tcPr>
            <w:tcW w:w="1711" w:type="dxa"/>
            <w:tcBorders>
              <w:right w:val="single" w:sz="4" w:space="0" w:color="BEBEBE"/>
            </w:tcBorders>
          </w:tcPr>
          <w:p>
            <w:pPr>
              <w:pStyle w:val="TableParagraph"/>
              <w:ind w:left="9" w:right="9"/>
              <w:jc w:val="center"/>
              <w:rPr>
                <w:rFonts w:ascii="Times New Roman"/>
                <w:sz w:val="19"/>
              </w:rPr>
            </w:pPr>
            <w:r>
              <w:rPr>
                <w:rFonts w:ascii="Times New Roman"/>
                <w:spacing w:val="-2"/>
                <w:sz w:val="19"/>
              </w:rPr>
              <w:t>3.4365</w:t>
            </w:r>
          </w:p>
        </w:tc>
        <w:tc>
          <w:tcPr>
            <w:tcW w:w="2249" w:type="dxa"/>
            <w:tcBorders>
              <w:top w:val="single" w:sz="4" w:space="0" w:color="BEBEBE"/>
              <w:left w:val="single" w:sz="4" w:space="0" w:color="BEBEBE"/>
              <w:bottom w:val="single" w:sz="4" w:space="0" w:color="BEBEBE"/>
              <w:right w:val="nil"/>
            </w:tcBorders>
          </w:tcPr>
          <w:p>
            <w:pPr>
              <w:pStyle w:val="TableParagraph"/>
              <w:spacing w:line="207" w:lineRule="exact"/>
              <w:ind w:left="10" w:right="15"/>
              <w:jc w:val="center"/>
              <w:rPr>
                <w:rFonts w:ascii="Times New Roman"/>
                <w:sz w:val="18"/>
              </w:rPr>
            </w:pPr>
            <w:r>
              <w:rPr>
                <w:rFonts w:ascii="Times New Roman"/>
                <w:spacing w:val="-2"/>
                <w:sz w:val="18"/>
              </w:rPr>
              <w:t>21.148</w:t>
            </w:r>
          </w:p>
        </w:tc>
      </w:tr>
      <w:tr>
        <w:trPr>
          <w:trHeight w:val="328" w:hRule="atLeast"/>
        </w:trPr>
        <w:tc>
          <w:tcPr>
            <w:tcW w:w="1634" w:type="dxa"/>
            <w:tcBorders>
              <w:left w:val="nil"/>
            </w:tcBorders>
          </w:tcPr>
          <w:p>
            <w:pPr>
              <w:pStyle w:val="TableParagraph"/>
              <w:spacing w:before="2"/>
              <w:ind w:left="162" w:right="145"/>
              <w:jc w:val="center"/>
              <w:rPr>
                <w:rFonts w:ascii="Times New Roman"/>
                <w:sz w:val="19"/>
              </w:rPr>
            </w:pPr>
            <w:r>
              <w:rPr>
                <w:rFonts w:ascii="Times New Roman"/>
                <w:spacing w:val="-2"/>
                <w:sz w:val="19"/>
              </w:rPr>
              <w:t>Prob(F-stat)</w:t>
            </w:r>
          </w:p>
        </w:tc>
        <w:tc>
          <w:tcPr>
            <w:tcW w:w="1260" w:type="dxa"/>
          </w:tcPr>
          <w:p>
            <w:pPr>
              <w:pStyle w:val="TableParagraph"/>
              <w:rPr>
                <w:rFonts w:ascii="Times New Roman"/>
                <w:sz w:val="22"/>
              </w:rPr>
            </w:pPr>
          </w:p>
        </w:tc>
        <w:tc>
          <w:tcPr>
            <w:tcW w:w="1620" w:type="dxa"/>
            <w:tcBorders>
              <w:top w:val="single" w:sz="4" w:space="0" w:color="BEBEBE"/>
            </w:tcBorders>
          </w:tcPr>
          <w:p>
            <w:pPr>
              <w:pStyle w:val="TableParagraph"/>
              <w:spacing w:before="2"/>
              <w:ind w:left="143" w:right="143"/>
              <w:jc w:val="center"/>
              <w:rPr>
                <w:rFonts w:ascii="Times New Roman"/>
                <w:sz w:val="18"/>
              </w:rPr>
            </w:pPr>
            <w:r>
              <w:rPr>
                <w:rFonts w:ascii="Times New Roman"/>
                <w:spacing w:val="-2"/>
                <w:sz w:val="18"/>
              </w:rPr>
              <w:t>0.0000</w:t>
            </w:r>
          </w:p>
        </w:tc>
        <w:tc>
          <w:tcPr>
            <w:tcW w:w="1711" w:type="dxa"/>
            <w:tcBorders>
              <w:right w:val="single" w:sz="4" w:space="0" w:color="BEBEBE"/>
            </w:tcBorders>
          </w:tcPr>
          <w:p>
            <w:pPr>
              <w:pStyle w:val="TableParagraph"/>
              <w:spacing w:before="2"/>
              <w:ind w:left="9" w:right="9"/>
              <w:jc w:val="center"/>
              <w:rPr>
                <w:rFonts w:ascii="Times New Roman"/>
                <w:sz w:val="19"/>
              </w:rPr>
            </w:pPr>
            <w:r>
              <w:rPr>
                <w:rFonts w:ascii="Times New Roman"/>
                <w:spacing w:val="-2"/>
                <w:sz w:val="19"/>
              </w:rPr>
              <w:t>0.000</w:t>
            </w:r>
          </w:p>
        </w:tc>
        <w:tc>
          <w:tcPr>
            <w:tcW w:w="2249" w:type="dxa"/>
            <w:tcBorders>
              <w:top w:val="single" w:sz="4" w:space="0" w:color="BEBEBE"/>
              <w:left w:val="single" w:sz="4" w:space="0" w:color="BEBEBE"/>
              <w:right w:val="nil"/>
            </w:tcBorders>
          </w:tcPr>
          <w:p>
            <w:pPr>
              <w:pStyle w:val="TableParagraph"/>
              <w:spacing w:before="2"/>
              <w:ind w:left="12" w:right="15"/>
              <w:jc w:val="center"/>
              <w:rPr>
                <w:rFonts w:ascii="Times New Roman"/>
                <w:sz w:val="18"/>
              </w:rPr>
            </w:pPr>
            <w:r>
              <w:rPr>
                <w:rFonts w:ascii="Times New Roman"/>
                <w:spacing w:val="-2"/>
                <w:sz w:val="18"/>
              </w:rPr>
              <w:t>0.000</w:t>
            </w:r>
          </w:p>
        </w:tc>
      </w:tr>
      <w:tr>
        <w:trPr>
          <w:trHeight w:val="328" w:hRule="atLeast"/>
        </w:trPr>
        <w:tc>
          <w:tcPr>
            <w:tcW w:w="1634" w:type="dxa"/>
            <w:tcBorders>
              <w:left w:val="nil"/>
            </w:tcBorders>
          </w:tcPr>
          <w:p>
            <w:pPr>
              <w:pStyle w:val="TableParagraph"/>
              <w:ind w:left="162" w:right="142"/>
              <w:jc w:val="center"/>
              <w:rPr>
                <w:rFonts w:ascii="Times New Roman"/>
                <w:sz w:val="19"/>
              </w:rPr>
            </w:pPr>
            <w:r>
              <w:rPr>
                <w:rFonts w:ascii="Times New Roman"/>
                <w:spacing w:val="-2"/>
                <w:sz w:val="19"/>
              </w:rPr>
              <w:t>Durbin-Watson</w:t>
            </w:r>
          </w:p>
        </w:tc>
        <w:tc>
          <w:tcPr>
            <w:tcW w:w="1260" w:type="dxa"/>
          </w:tcPr>
          <w:p>
            <w:pPr>
              <w:pStyle w:val="TableParagraph"/>
              <w:rPr>
                <w:rFonts w:ascii="Times New Roman"/>
                <w:sz w:val="22"/>
              </w:rPr>
            </w:pPr>
          </w:p>
        </w:tc>
        <w:tc>
          <w:tcPr>
            <w:tcW w:w="1620" w:type="dxa"/>
          </w:tcPr>
          <w:p>
            <w:pPr>
              <w:pStyle w:val="TableParagraph"/>
              <w:ind w:left="143" w:right="141"/>
              <w:jc w:val="center"/>
              <w:rPr>
                <w:rFonts w:ascii="Times New Roman"/>
                <w:sz w:val="19"/>
              </w:rPr>
            </w:pPr>
            <w:r>
              <w:rPr>
                <w:rFonts w:ascii="Times New Roman"/>
                <w:spacing w:val="-4"/>
                <w:sz w:val="19"/>
              </w:rPr>
              <w:t>1.20</w:t>
            </w:r>
          </w:p>
        </w:tc>
        <w:tc>
          <w:tcPr>
            <w:tcW w:w="1711" w:type="dxa"/>
          </w:tcPr>
          <w:p>
            <w:pPr>
              <w:pStyle w:val="TableParagraph"/>
              <w:ind w:left="9" w:right="9"/>
              <w:jc w:val="center"/>
              <w:rPr>
                <w:rFonts w:ascii="Times New Roman"/>
                <w:sz w:val="19"/>
              </w:rPr>
            </w:pPr>
            <w:r>
              <w:rPr>
                <w:rFonts w:ascii="Times New Roman"/>
                <w:spacing w:val="-2"/>
                <w:sz w:val="19"/>
              </w:rPr>
              <w:t>0.958</w:t>
            </w:r>
          </w:p>
        </w:tc>
        <w:tc>
          <w:tcPr>
            <w:tcW w:w="2249" w:type="dxa"/>
            <w:tcBorders>
              <w:right w:val="nil"/>
            </w:tcBorders>
          </w:tcPr>
          <w:p>
            <w:pPr>
              <w:pStyle w:val="TableParagraph"/>
              <w:ind w:left="12" w:right="15"/>
              <w:jc w:val="center"/>
              <w:rPr>
                <w:rFonts w:ascii="Times New Roman"/>
                <w:sz w:val="19"/>
              </w:rPr>
            </w:pPr>
            <w:r>
              <w:rPr>
                <w:rFonts w:ascii="Times New Roman"/>
                <w:spacing w:val="-5"/>
                <w:sz w:val="19"/>
              </w:rPr>
              <w:t>1.8</w:t>
            </w:r>
          </w:p>
        </w:tc>
      </w:tr>
    </w:tbl>
    <w:p>
      <w:pPr>
        <w:spacing w:before="26"/>
        <w:ind w:left="846" w:right="1358" w:firstLine="0"/>
        <w:jc w:val="center"/>
        <w:rPr>
          <w:sz w:val="19"/>
        </w:rPr>
      </w:pPr>
      <w:r>
        <w:rPr/>
        <mc:AlternateContent>
          <mc:Choice Requires="wps">
            <w:drawing>
              <wp:anchor distT="0" distB="0" distL="0" distR="0" allowOverlap="1" layoutInCell="1" locked="0" behindDoc="1" simplePos="0" relativeHeight="477749248">
                <wp:simplePos x="0" y="0"/>
                <wp:positionH relativeFrom="page">
                  <wp:posOffset>1269060</wp:posOffset>
                </wp:positionH>
                <wp:positionV relativeFrom="paragraph">
                  <wp:posOffset>-678497</wp:posOffset>
                </wp:positionV>
                <wp:extent cx="4226560" cy="414782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4226560" cy="4147820"/>
                          <a:chExt cx="4226560" cy="4147820"/>
                        </a:xfrm>
                      </wpg:grpSpPr>
                      <wps:wsp>
                        <wps:cNvPr id="208" name="Graphic 208"/>
                        <wps:cNvSpPr/>
                        <wps:spPr>
                          <a:xfrm>
                            <a:off x="0" y="2866516"/>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09" name="Image 209"/>
                          <pic:cNvPicPr/>
                        </pic:nvPicPr>
                        <pic:blipFill>
                          <a:blip r:embed="rId9" cstate="print"/>
                          <a:stretch>
                            <a:fillRect/>
                          </a:stretch>
                        </pic:blipFill>
                        <pic:spPr>
                          <a:xfrm>
                            <a:off x="1248333" y="2914586"/>
                            <a:ext cx="221995" cy="221614"/>
                          </a:xfrm>
                          <a:prstGeom prst="rect">
                            <a:avLst/>
                          </a:prstGeom>
                        </pic:spPr>
                      </pic:pic>
                      <wps:wsp>
                        <wps:cNvPr id="210" name="Graphic 210"/>
                        <wps:cNvSpPr/>
                        <wps:spPr>
                          <a:xfrm>
                            <a:off x="1117777" y="0"/>
                            <a:ext cx="3108960" cy="3118485"/>
                          </a:xfrm>
                          <a:custGeom>
                            <a:avLst/>
                            <a:gdLst/>
                            <a:ahLst/>
                            <a:cxnLst/>
                            <a:rect l="l" t="t" r="r" b="b"/>
                            <a:pathLst>
                              <a:path w="3108960" h="3118485">
                                <a:moveTo>
                                  <a:pt x="721741" y="3067367"/>
                                </a:moveTo>
                                <a:lnTo>
                                  <a:pt x="721487" y="3064446"/>
                                </a:lnTo>
                                <a:lnTo>
                                  <a:pt x="719328" y="3058350"/>
                                </a:lnTo>
                                <a:lnTo>
                                  <a:pt x="717042" y="3055302"/>
                                </a:lnTo>
                                <a:lnTo>
                                  <a:pt x="714375" y="3052762"/>
                                </a:lnTo>
                                <a:lnTo>
                                  <a:pt x="62357" y="2400744"/>
                                </a:lnTo>
                                <a:lnTo>
                                  <a:pt x="59436" y="2398458"/>
                                </a:lnTo>
                                <a:lnTo>
                                  <a:pt x="53213" y="2396172"/>
                                </a:lnTo>
                                <a:lnTo>
                                  <a:pt x="50292" y="2396045"/>
                                </a:lnTo>
                                <a:lnTo>
                                  <a:pt x="46355" y="2396807"/>
                                </a:lnTo>
                                <a:lnTo>
                                  <a:pt x="13970" y="2420810"/>
                                </a:lnTo>
                                <a:lnTo>
                                  <a:pt x="0" y="2449385"/>
                                </a:lnTo>
                                <a:lnTo>
                                  <a:pt x="2286" y="2455608"/>
                                </a:lnTo>
                                <a:lnTo>
                                  <a:pt x="658749" y="3113595"/>
                                </a:lnTo>
                                <a:lnTo>
                                  <a:pt x="670941" y="3118167"/>
                                </a:lnTo>
                                <a:lnTo>
                                  <a:pt x="674243" y="3116897"/>
                                </a:lnTo>
                                <a:lnTo>
                                  <a:pt x="678307" y="3116135"/>
                                </a:lnTo>
                                <a:lnTo>
                                  <a:pt x="712089" y="3087687"/>
                                </a:lnTo>
                                <a:lnTo>
                                  <a:pt x="720344" y="3070796"/>
                                </a:lnTo>
                                <a:lnTo>
                                  <a:pt x="721741" y="3067367"/>
                                </a:lnTo>
                                <a:close/>
                              </a:path>
                              <a:path w="3108960" h="3118485">
                                <a:moveTo>
                                  <a:pt x="896239" y="2889694"/>
                                </a:moveTo>
                                <a:lnTo>
                                  <a:pt x="645541" y="2634297"/>
                                </a:lnTo>
                                <a:lnTo>
                                  <a:pt x="695325" y="2584513"/>
                                </a:lnTo>
                                <a:lnTo>
                                  <a:pt x="729310" y="2542794"/>
                                </a:lnTo>
                                <a:lnTo>
                                  <a:pt x="749681" y="2498788"/>
                                </a:lnTo>
                                <a:lnTo>
                                  <a:pt x="757631" y="2453576"/>
                                </a:lnTo>
                                <a:lnTo>
                                  <a:pt x="757694" y="2429103"/>
                                </a:lnTo>
                                <a:lnTo>
                                  <a:pt x="754634" y="2404808"/>
                                </a:lnTo>
                                <a:lnTo>
                                  <a:pt x="740511" y="2355253"/>
                                </a:lnTo>
                                <a:lnTo>
                                  <a:pt x="716026" y="2304351"/>
                                </a:lnTo>
                                <a:lnTo>
                                  <a:pt x="680796" y="2253170"/>
                                </a:lnTo>
                                <a:lnTo>
                                  <a:pt x="661314" y="2229840"/>
                                </a:lnTo>
                                <a:lnTo>
                                  <a:pt x="661314" y="2425090"/>
                                </a:lnTo>
                                <a:lnTo>
                                  <a:pt x="660438" y="2439543"/>
                                </a:lnTo>
                                <a:lnTo>
                                  <a:pt x="645807" y="2481199"/>
                                </a:lnTo>
                                <a:lnTo>
                                  <a:pt x="571754" y="2560510"/>
                                </a:lnTo>
                                <a:lnTo>
                                  <a:pt x="300482" y="2289111"/>
                                </a:lnTo>
                                <a:lnTo>
                                  <a:pt x="354330" y="2235390"/>
                                </a:lnTo>
                                <a:lnTo>
                                  <a:pt x="388747" y="2208212"/>
                                </a:lnTo>
                                <a:lnTo>
                                  <a:pt x="436499" y="2195004"/>
                                </a:lnTo>
                                <a:lnTo>
                                  <a:pt x="451167" y="2195626"/>
                                </a:lnTo>
                                <a:lnTo>
                                  <a:pt x="502412" y="2211514"/>
                                </a:lnTo>
                                <a:lnTo>
                                  <a:pt x="540804" y="2235200"/>
                                </a:lnTo>
                                <a:lnTo>
                                  <a:pt x="581406" y="2270696"/>
                                </a:lnTo>
                                <a:lnTo>
                                  <a:pt x="609015" y="2301608"/>
                                </a:lnTo>
                                <a:lnTo>
                                  <a:pt x="631190" y="2332799"/>
                                </a:lnTo>
                                <a:lnTo>
                                  <a:pt x="653580" y="2380043"/>
                                </a:lnTo>
                                <a:lnTo>
                                  <a:pt x="661314" y="2425090"/>
                                </a:lnTo>
                                <a:lnTo>
                                  <a:pt x="661314" y="2229840"/>
                                </a:lnTo>
                                <a:lnTo>
                                  <a:pt x="659422" y="2227567"/>
                                </a:lnTo>
                                <a:lnTo>
                                  <a:pt x="635381" y="2201989"/>
                                </a:lnTo>
                                <a:lnTo>
                                  <a:pt x="628015" y="2195004"/>
                                </a:lnTo>
                                <a:lnTo>
                                  <a:pt x="616153" y="2183752"/>
                                </a:lnTo>
                                <a:lnTo>
                                  <a:pt x="577710" y="2152269"/>
                                </a:lnTo>
                                <a:lnTo>
                                  <a:pt x="539343" y="2127542"/>
                                </a:lnTo>
                                <a:lnTo>
                                  <a:pt x="501675" y="2110016"/>
                                </a:lnTo>
                                <a:lnTo>
                                  <a:pt x="464718" y="2098421"/>
                                </a:lnTo>
                                <a:lnTo>
                                  <a:pt x="428688" y="2093747"/>
                                </a:lnTo>
                                <a:lnTo>
                                  <a:pt x="411099" y="2093785"/>
                                </a:lnTo>
                                <a:lnTo>
                                  <a:pt x="365036" y="2102383"/>
                                </a:lnTo>
                                <a:lnTo>
                                  <a:pt x="321881" y="2125103"/>
                                </a:lnTo>
                                <a:lnTo>
                                  <a:pt x="291896" y="2149424"/>
                                </a:lnTo>
                                <a:lnTo>
                                  <a:pt x="190881" y="2250249"/>
                                </a:lnTo>
                                <a:lnTo>
                                  <a:pt x="183692" y="2267458"/>
                                </a:lnTo>
                                <a:lnTo>
                                  <a:pt x="183896" y="2274887"/>
                                </a:lnTo>
                                <a:lnTo>
                                  <a:pt x="206629" y="2311844"/>
                                </a:lnTo>
                                <a:lnTo>
                                  <a:pt x="830961" y="2936176"/>
                                </a:lnTo>
                                <a:lnTo>
                                  <a:pt x="833501" y="2938843"/>
                                </a:lnTo>
                                <a:lnTo>
                                  <a:pt x="836549" y="2941129"/>
                                </a:lnTo>
                                <a:lnTo>
                                  <a:pt x="839597" y="2942272"/>
                                </a:lnTo>
                                <a:lnTo>
                                  <a:pt x="842772" y="2943161"/>
                                </a:lnTo>
                                <a:lnTo>
                                  <a:pt x="845693" y="2943415"/>
                                </a:lnTo>
                                <a:lnTo>
                                  <a:pt x="848995" y="2942145"/>
                                </a:lnTo>
                                <a:lnTo>
                                  <a:pt x="853059" y="2941383"/>
                                </a:lnTo>
                                <a:lnTo>
                                  <a:pt x="886828" y="2912808"/>
                                </a:lnTo>
                                <a:lnTo>
                                  <a:pt x="895096" y="2896044"/>
                                </a:lnTo>
                                <a:lnTo>
                                  <a:pt x="896112" y="2892996"/>
                                </a:lnTo>
                                <a:lnTo>
                                  <a:pt x="896239" y="2889694"/>
                                </a:lnTo>
                                <a:close/>
                              </a:path>
                              <a:path w="3108960" h="3118485">
                                <a:moveTo>
                                  <a:pt x="1336294" y="2452687"/>
                                </a:moveTo>
                                <a:lnTo>
                                  <a:pt x="1336167" y="2449766"/>
                                </a:lnTo>
                                <a:lnTo>
                                  <a:pt x="1334008" y="2443543"/>
                                </a:lnTo>
                                <a:lnTo>
                                  <a:pt x="1331722" y="2440622"/>
                                </a:lnTo>
                                <a:lnTo>
                                  <a:pt x="742442" y="1851342"/>
                                </a:lnTo>
                                <a:lnTo>
                                  <a:pt x="867410" y="1726374"/>
                                </a:lnTo>
                                <a:lnTo>
                                  <a:pt x="868540" y="1724215"/>
                                </a:lnTo>
                                <a:lnTo>
                                  <a:pt x="868667" y="1720913"/>
                                </a:lnTo>
                                <a:lnTo>
                                  <a:pt x="868426" y="1717865"/>
                                </a:lnTo>
                                <a:lnTo>
                                  <a:pt x="867778" y="1714436"/>
                                </a:lnTo>
                                <a:lnTo>
                                  <a:pt x="865632" y="1710372"/>
                                </a:lnTo>
                                <a:lnTo>
                                  <a:pt x="863981" y="1706689"/>
                                </a:lnTo>
                                <a:lnTo>
                                  <a:pt x="832739" y="1672145"/>
                                </a:lnTo>
                                <a:lnTo>
                                  <a:pt x="799465" y="1648904"/>
                                </a:lnTo>
                                <a:lnTo>
                                  <a:pt x="793242" y="1648904"/>
                                </a:lnTo>
                                <a:lnTo>
                                  <a:pt x="791083" y="1650047"/>
                                </a:lnTo>
                                <a:lnTo>
                                  <a:pt x="482854" y="1958276"/>
                                </a:lnTo>
                                <a:lnTo>
                                  <a:pt x="481711" y="1960435"/>
                                </a:lnTo>
                                <a:lnTo>
                                  <a:pt x="481965" y="1963356"/>
                                </a:lnTo>
                                <a:lnTo>
                                  <a:pt x="481711" y="1966658"/>
                                </a:lnTo>
                                <a:lnTo>
                                  <a:pt x="482854" y="1969706"/>
                                </a:lnTo>
                                <a:lnTo>
                                  <a:pt x="487045" y="1977961"/>
                                </a:lnTo>
                                <a:lnTo>
                                  <a:pt x="490601" y="1982914"/>
                                </a:lnTo>
                                <a:lnTo>
                                  <a:pt x="495046" y="1987867"/>
                                </a:lnTo>
                                <a:lnTo>
                                  <a:pt x="499491" y="1993836"/>
                                </a:lnTo>
                                <a:lnTo>
                                  <a:pt x="504952" y="1999932"/>
                                </a:lnTo>
                                <a:lnTo>
                                  <a:pt x="518541" y="2013521"/>
                                </a:lnTo>
                                <a:lnTo>
                                  <a:pt x="524637" y="2018982"/>
                                </a:lnTo>
                                <a:lnTo>
                                  <a:pt x="529971" y="2022919"/>
                                </a:lnTo>
                                <a:lnTo>
                                  <a:pt x="535051" y="2027364"/>
                                </a:lnTo>
                                <a:lnTo>
                                  <a:pt x="539877" y="2030793"/>
                                </a:lnTo>
                                <a:lnTo>
                                  <a:pt x="547751" y="2034476"/>
                                </a:lnTo>
                                <a:lnTo>
                                  <a:pt x="550799" y="2035619"/>
                                </a:lnTo>
                                <a:lnTo>
                                  <a:pt x="554101" y="2035492"/>
                                </a:lnTo>
                                <a:lnTo>
                                  <a:pt x="557022" y="2035746"/>
                                </a:lnTo>
                                <a:lnTo>
                                  <a:pt x="559181" y="2034476"/>
                                </a:lnTo>
                                <a:lnTo>
                                  <a:pt x="684149" y="1909508"/>
                                </a:lnTo>
                                <a:lnTo>
                                  <a:pt x="1273556" y="2498788"/>
                                </a:lnTo>
                                <a:lnTo>
                                  <a:pt x="1276477" y="2501074"/>
                                </a:lnTo>
                                <a:lnTo>
                                  <a:pt x="1282700" y="2503233"/>
                                </a:lnTo>
                                <a:lnTo>
                                  <a:pt x="1285494" y="2503487"/>
                                </a:lnTo>
                                <a:lnTo>
                                  <a:pt x="1289050" y="2502217"/>
                                </a:lnTo>
                                <a:lnTo>
                                  <a:pt x="1292987" y="2501455"/>
                                </a:lnTo>
                                <a:lnTo>
                                  <a:pt x="1326769" y="2472880"/>
                                </a:lnTo>
                                <a:lnTo>
                                  <a:pt x="1335024" y="2456116"/>
                                </a:lnTo>
                                <a:lnTo>
                                  <a:pt x="1336294" y="2452687"/>
                                </a:lnTo>
                                <a:close/>
                              </a:path>
                              <a:path w="3108960" h="3118485">
                                <a:moveTo>
                                  <a:pt x="1674368" y="2114740"/>
                                </a:moveTo>
                                <a:lnTo>
                                  <a:pt x="1674241" y="2111692"/>
                                </a:lnTo>
                                <a:lnTo>
                                  <a:pt x="1671955" y="2105596"/>
                                </a:lnTo>
                                <a:lnTo>
                                  <a:pt x="1669796" y="2102548"/>
                                </a:lnTo>
                                <a:lnTo>
                                  <a:pt x="1080389" y="1513268"/>
                                </a:lnTo>
                                <a:lnTo>
                                  <a:pt x="1205357" y="1388300"/>
                                </a:lnTo>
                                <a:lnTo>
                                  <a:pt x="1206627" y="1386141"/>
                                </a:lnTo>
                                <a:lnTo>
                                  <a:pt x="1206754" y="1382839"/>
                                </a:lnTo>
                                <a:lnTo>
                                  <a:pt x="1205738" y="1376489"/>
                                </a:lnTo>
                                <a:lnTo>
                                  <a:pt x="1202055" y="1368742"/>
                                </a:lnTo>
                                <a:lnTo>
                                  <a:pt x="1198626" y="1363789"/>
                                </a:lnTo>
                                <a:lnTo>
                                  <a:pt x="1194054" y="1358836"/>
                                </a:lnTo>
                                <a:lnTo>
                                  <a:pt x="1184402" y="1347660"/>
                                </a:lnTo>
                                <a:lnTo>
                                  <a:pt x="1177544" y="1340929"/>
                                </a:lnTo>
                                <a:lnTo>
                                  <a:pt x="1170813" y="1334071"/>
                                </a:lnTo>
                                <a:lnTo>
                                  <a:pt x="1154049" y="1319339"/>
                                </a:lnTo>
                                <a:lnTo>
                                  <a:pt x="1149223" y="1315910"/>
                                </a:lnTo>
                                <a:lnTo>
                                  <a:pt x="1140968" y="1311592"/>
                                </a:lnTo>
                                <a:lnTo>
                                  <a:pt x="1137412" y="1310957"/>
                                </a:lnTo>
                                <a:lnTo>
                                  <a:pt x="1134491" y="1310703"/>
                                </a:lnTo>
                                <a:lnTo>
                                  <a:pt x="1131316" y="1310830"/>
                                </a:lnTo>
                                <a:lnTo>
                                  <a:pt x="1129030" y="1312100"/>
                                </a:lnTo>
                                <a:lnTo>
                                  <a:pt x="820928" y="1620202"/>
                                </a:lnTo>
                                <a:lnTo>
                                  <a:pt x="819658" y="1622488"/>
                                </a:lnTo>
                                <a:lnTo>
                                  <a:pt x="819912" y="1625409"/>
                                </a:lnTo>
                                <a:lnTo>
                                  <a:pt x="819785" y="1628584"/>
                                </a:lnTo>
                                <a:lnTo>
                                  <a:pt x="820928" y="1631759"/>
                                </a:lnTo>
                                <a:lnTo>
                                  <a:pt x="825119" y="1640014"/>
                                </a:lnTo>
                                <a:lnTo>
                                  <a:pt x="828548" y="1644840"/>
                                </a:lnTo>
                                <a:lnTo>
                                  <a:pt x="832993" y="1649920"/>
                                </a:lnTo>
                                <a:lnTo>
                                  <a:pt x="837565" y="1655889"/>
                                </a:lnTo>
                                <a:lnTo>
                                  <a:pt x="842899" y="1661985"/>
                                </a:lnTo>
                                <a:lnTo>
                                  <a:pt x="856488" y="1675574"/>
                                </a:lnTo>
                                <a:lnTo>
                                  <a:pt x="862584" y="1680908"/>
                                </a:lnTo>
                                <a:lnTo>
                                  <a:pt x="868045" y="1684972"/>
                                </a:lnTo>
                                <a:lnTo>
                                  <a:pt x="872998" y="1689417"/>
                                </a:lnTo>
                                <a:lnTo>
                                  <a:pt x="877951" y="1692846"/>
                                </a:lnTo>
                                <a:lnTo>
                                  <a:pt x="885698" y="1696529"/>
                                </a:lnTo>
                                <a:lnTo>
                                  <a:pt x="888746" y="1697545"/>
                                </a:lnTo>
                                <a:lnTo>
                                  <a:pt x="892048" y="1697545"/>
                                </a:lnTo>
                                <a:lnTo>
                                  <a:pt x="894969" y="1697799"/>
                                </a:lnTo>
                                <a:lnTo>
                                  <a:pt x="897115" y="1696529"/>
                                </a:lnTo>
                                <a:lnTo>
                                  <a:pt x="1022223" y="1571561"/>
                                </a:lnTo>
                                <a:lnTo>
                                  <a:pt x="1611503" y="2160841"/>
                                </a:lnTo>
                                <a:lnTo>
                                  <a:pt x="1614551" y="2163127"/>
                                </a:lnTo>
                                <a:lnTo>
                                  <a:pt x="1620647" y="2165286"/>
                                </a:lnTo>
                                <a:lnTo>
                                  <a:pt x="1623568" y="2165540"/>
                                </a:lnTo>
                                <a:lnTo>
                                  <a:pt x="1626997" y="2164143"/>
                                </a:lnTo>
                                <a:lnTo>
                                  <a:pt x="1630934" y="2163508"/>
                                </a:lnTo>
                                <a:lnTo>
                                  <a:pt x="1668018" y="2130615"/>
                                </a:lnTo>
                                <a:lnTo>
                                  <a:pt x="1673098" y="2118169"/>
                                </a:lnTo>
                                <a:lnTo>
                                  <a:pt x="1674368" y="2114740"/>
                                </a:lnTo>
                                <a:close/>
                              </a:path>
                              <a:path w="3108960" h="3118485">
                                <a:moveTo>
                                  <a:pt x="2122817" y="1580984"/>
                                </a:moveTo>
                                <a:lnTo>
                                  <a:pt x="2109851" y="1511871"/>
                                </a:lnTo>
                                <a:lnTo>
                                  <a:pt x="2080412" y="1439189"/>
                                </a:lnTo>
                                <a:lnTo>
                                  <a:pt x="2059838" y="1401457"/>
                                </a:lnTo>
                                <a:lnTo>
                                  <a:pt x="2035175" y="1362773"/>
                                </a:lnTo>
                                <a:lnTo>
                                  <a:pt x="2023275" y="1346288"/>
                                </a:lnTo>
                                <a:lnTo>
                                  <a:pt x="2023275" y="1567243"/>
                                </a:lnTo>
                                <a:lnTo>
                                  <a:pt x="2022983" y="1591627"/>
                                </a:lnTo>
                                <a:lnTo>
                                  <a:pt x="2010384" y="1637182"/>
                                </a:lnTo>
                                <a:lnTo>
                                  <a:pt x="1980565" y="1677860"/>
                                </a:lnTo>
                                <a:lnTo>
                                  <a:pt x="1940153" y="1708175"/>
                                </a:lnTo>
                                <a:lnTo>
                                  <a:pt x="1896237" y="1721421"/>
                                </a:lnTo>
                                <a:lnTo>
                                  <a:pt x="1872983" y="1722742"/>
                                </a:lnTo>
                                <a:lnTo>
                                  <a:pt x="1848993" y="1720684"/>
                                </a:lnTo>
                                <a:lnTo>
                                  <a:pt x="1798701" y="1705927"/>
                                </a:lnTo>
                                <a:lnTo>
                                  <a:pt x="1746084" y="1679244"/>
                                </a:lnTo>
                                <a:lnTo>
                                  <a:pt x="1691005" y="1641030"/>
                                </a:lnTo>
                                <a:lnTo>
                                  <a:pt x="1633664" y="1593342"/>
                                </a:lnTo>
                                <a:lnTo>
                                  <a:pt x="1604416" y="1566494"/>
                                </a:lnTo>
                                <a:lnTo>
                                  <a:pt x="1574800" y="1537652"/>
                                </a:lnTo>
                                <a:lnTo>
                                  <a:pt x="1523911" y="1483220"/>
                                </a:lnTo>
                                <a:lnTo>
                                  <a:pt x="1478661" y="1427924"/>
                                </a:lnTo>
                                <a:lnTo>
                                  <a:pt x="1442186" y="1373187"/>
                                </a:lnTo>
                                <a:lnTo>
                                  <a:pt x="1416304" y="1319593"/>
                                </a:lnTo>
                                <a:lnTo>
                                  <a:pt x="1401673" y="1268349"/>
                                </a:lnTo>
                                <a:lnTo>
                                  <a:pt x="1399133" y="1243622"/>
                                </a:lnTo>
                                <a:lnTo>
                                  <a:pt x="1399540" y="1219390"/>
                                </a:lnTo>
                                <a:lnTo>
                                  <a:pt x="1411693" y="1174051"/>
                                </a:lnTo>
                                <a:lnTo>
                                  <a:pt x="1441196" y="1133665"/>
                                </a:lnTo>
                                <a:lnTo>
                                  <a:pt x="1481175" y="1103795"/>
                                </a:lnTo>
                                <a:lnTo>
                                  <a:pt x="1525270" y="1090485"/>
                                </a:lnTo>
                                <a:lnTo>
                                  <a:pt x="1548726" y="1089456"/>
                                </a:lnTo>
                                <a:lnTo>
                                  <a:pt x="1572831" y="1091590"/>
                                </a:lnTo>
                                <a:lnTo>
                                  <a:pt x="1623060" y="1105725"/>
                                </a:lnTo>
                                <a:lnTo>
                                  <a:pt x="1675955" y="1132306"/>
                                </a:lnTo>
                                <a:lnTo>
                                  <a:pt x="1730756" y="1169352"/>
                                </a:lnTo>
                                <a:lnTo>
                                  <a:pt x="1787296" y="1216202"/>
                                </a:lnTo>
                                <a:lnTo>
                                  <a:pt x="1815833" y="1242352"/>
                                </a:lnTo>
                                <a:lnTo>
                                  <a:pt x="1844421" y="1270190"/>
                                </a:lnTo>
                                <a:lnTo>
                                  <a:pt x="1871078" y="1297698"/>
                                </a:lnTo>
                                <a:lnTo>
                                  <a:pt x="1919605" y="1353083"/>
                                </a:lnTo>
                                <a:lnTo>
                                  <a:pt x="1961730" y="1408747"/>
                                </a:lnTo>
                                <a:lnTo>
                                  <a:pt x="1993366" y="1463382"/>
                                </a:lnTo>
                                <a:lnTo>
                                  <a:pt x="2014677" y="1516303"/>
                                </a:lnTo>
                                <a:lnTo>
                                  <a:pt x="2023275" y="1567243"/>
                                </a:lnTo>
                                <a:lnTo>
                                  <a:pt x="2023275" y="1346288"/>
                                </a:lnTo>
                                <a:lnTo>
                                  <a:pt x="1974723" y="1283462"/>
                                </a:lnTo>
                                <a:lnTo>
                                  <a:pt x="1939086" y="1243126"/>
                                </a:lnTo>
                                <a:lnTo>
                                  <a:pt x="1899793" y="1202245"/>
                                </a:lnTo>
                                <a:lnTo>
                                  <a:pt x="1859089" y="1162989"/>
                                </a:lnTo>
                                <a:lnTo>
                                  <a:pt x="1819300" y="1127493"/>
                                </a:lnTo>
                                <a:lnTo>
                                  <a:pt x="1780413" y="1095794"/>
                                </a:lnTo>
                                <a:lnTo>
                                  <a:pt x="1742440" y="1067879"/>
                                </a:lnTo>
                                <a:lnTo>
                                  <a:pt x="1705368" y="1043952"/>
                                </a:lnTo>
                                <a:lnTo>
                                  <a:pt x="1669262" y="1024229"/>
                                </a:lnTo>
                                <a:lnTo>
                                  <a:pt x="1634185" y="1008557"/>
                                </a:lnTo>
                                <a:lnTo>
                                  <a:pt x="1567332" y="989139"/>
                                </a:lnTo>
                                <a:lnTo>
                                  <a:pt x="1535569" y="985888"/>
                                </a:lnTo>
                                <a:lnTo>
                                  <a:pt x="1504772" y="986713"/>
                                </a:lnTo>
                                <a:lnTo>
                                  <a:pt x="1446123" y="1000036"/>
                                </a:lnTo>
                                <a:lnTo>
                                  <a:pt x="1392758" y="1031125"/>
                                </a:lnTo>
                                <a:lnTo>
                                  <a:pt x="1345222" y="1079030"/>
                                </a:lnTo>
                                <a:lnTo>
                                  <a:pt x="1313649" y="1135176"/>
                                </a:lnTo>
                                <a:lnTo>
                                  <a:pt x="1300848" y="1197343"/>
                                </a:lnTo>
                                <a:lnTo>
                                  <a:pt x="1300632" y="1230223"/>
                                </a:lnTo>
                                <a:lnTo>
                                  <a:pt x="1304556" y="1264005"/>
                                </a:lnTo>
                                <a:lnTo>
                                  <a:pt x="1325664" y="1334643"/>
                                </a:lnTo>
                                <a:lnTo>
                                  <a:pt x="1342085" y="1371511"/>
                                </a:lnTo>
                                <a:lnTo>
                                  <a:pt x="1362341" y="1409192"/>
                                </a:lnTo>
                                <a:lnTo>
                                  <a:pt x="1386586" y="1447609"/>
                                </a:lnTo>
                                <a:lnTo>
                                  <a:pt x="1414691" y="1486662"/>
                                </a:lnTo>
                                <a:lnTo>
                                  <a:pt x="1446250" y="1526032"/>
                                </a:lnTo>
                                <a:lnTo>
                                  <a:pt x="1481213" y="1565706"/>
                                </a:lnTo>
                                <a:lnTo>
                                  <a:pt x="1519555" y="1605597"/>
                                </a:lnTo>
                                <a:lnTo>
                                  <a:pt x="1560957" y="1645602"/>
                                </a:lnTo>
                                <a:lnTo>
                                  <a:pt x="1601254" y="1681568"/>
                                </a:lnTo>
                                <a:lnTo>
                                  <a:pt x="1640611" y="1713674"/>
                                </a:lnTo>
                                <a:lnTo>
                                  <a:pt x="1679067" y="1741995"/>
                                </a:lnTo>
                                <a:lnTo>
                                  <a:pt x="1716443" y="1766366"/>
                                </a:lnTo>
                                <a:lnTo>
                                  <a:pt x="1752739" y="1786547"/>
                                </a:lnTo>
                                <a:lnTo>
                                  <a:pt x="1787918" y="1802574"/>
                                </a:lnTo>
                                <a:lnTo>
                                  <a:pt x="1854669" y="1822437"/>
                                </a:lnTo>
                                <a:lnTo>
                                  <a:pt x="1886534" y="1825967"/>
                                </a:lnTo>
                                <a:lnTo>
                                  <a:pt x="1917471" y="1825320"/>
                                </a:lnTo>
                                <a:lnTo>
                                  <a:pt x="1976501" y="1812251"/>
                                </a:lnTo>
                                <a:lnTo>
                                  <a:pt x="2030577" y="1780933"/>
                                </a:lnTo>
                                <a:lnTo>
                                  <a:pt x="2078558" y="1732622"/>
                                </a:lnTo>
                                <a:lnTo>
                                  <a:pt x="2109965" y="1676222"/>
                                </a:lnTo>
                                <a:lnTo>
                                  <a:pt x="2122690" y="1613903"/>
                                </a:lnTo>
                                <a:lnTo>
                                  <a:pt x="2122817" y="1580984"/>
                                </a:lnTo>
                                <a:close/>
                              </a:path>
                              <a:path w="3108960" h="3118485">
                                <a:moveTo>
                                  <a:pt x="2727706" y="992314"/>
                                </a:moveTo>
                                <a:lnTo>
                                  <a:pt x="2723642" y="952436"/>
                                </a:lnTo>
                                <a:lnTo>
                                  <a:pt x="2691765" y="911161"/>
                                </a:lnTo>
                                <a:lnTo>
                                  <a:pt x="2657094" y="881062"/>
                                </a:lnTo>
                                <a:lnTo>
                                  <a:pt x="2650617" y="878014"/>
                                </a:lnTo>
                                <a:lnTo>
                                  <a:pt x="2646553" y="878014"/>
                                </a:lnTo>
                                <a:lnTo>
                                  <a:pt x="2644648" y="878776"/>
                                </a:lnTo>
                                <a:lnTo>
                                  <a:pt x="2639568" y="883856"/>
                                </a:lnTo>
                                <a:lnTo>
                                  <a:pt x="2637790" y="891857"/>
                                </a:lnTo>
                                <a:lnTo>
                                  <a:pt x="2639060" y="904430"/>
                                </a:lnTo>
                                <a:lnTo>
                                  <a:pt x="2639618" y="914222"/>
                                </a:lnTo>
                                <a:lnTo>
                                  <a:pt x="2637447" y="962075"/>
                                </a:lnTo>
                                <a:lnTo>
                                  <a:pt x="2627503" y="1004633"/>
                                </a:lnTo>
                                <a:lnTo>
                                  <a:pt x="2603690" y="1047229"/>
                                </a:lnTo>
                                <a:lnTo>
                                  <a:pt x="2575547" y="1074420"/>
                                </a:lnTo>
                                <a:lnTo>
                                  <a:pt x="2539123" y="1093660"/>
                                </a:lnTo>
                                <a:lnTo>
                                  <a:pt x="2497709" y="1101178"/>
                                </a:lnTo>
                                <a:lnTo>
                                  <a:pt x="2475433" y="1100607"/>
                                </a:lnTo>
                                <a:lnTo>
                                  <a:pt x="2427478" y="1089723"/>
                                </a:lnTo>
                                <a:lnTo>
                                  <a:pt x="2375408" y="1067422"/>
                                </a:lnTo>
                                <a:lnTo>
                                  <a:pt x="2319147" y="1032827"/>
                                </a:lnTo>
                                <a:lnTo>
                                  <a:pt x="2259279" y="986701"/>
                                </a:lnTo>
                                <a:lnTo>
                                  <a:pt x="2228253" y="959180"/>
                                </a:lnTo>
                                <a:lnTo>
                                  <a:pt x="2196465" y="928560"/>
                                </a:lnTo>
                                <a:lnTo>
                                  <a:pt x="2165464" y="896378"/>
                                </a:lnTo>
                                <a:lnTo>
                                  <a:pt x="2137537" y="864882"/>
                                </a:lnTo>
                                <a:lnTo>
                                  <a:pt x="2112556" y="833945"/>
                                </a:lnTo>
                                <a:lnTo>
                                  <a:pt x="2071306" y="774280"/>
                                </a:lnTo>
                                <a:lnTo>
                                  <a:pt x="2041906" y="718616"/>
                                </a:lnTo>
                                <a:lnTo>
                                  <a:pt x="2023503" y="666800"/>
                                </a:lnTo>
                                <a:lnTo>
                                  <a:pt x="2017572" y="619569"/>
                                </a:lnTo>
                                <a:lnTo>
                                  <a:pt x="2018919" y="597852"/>
                                </a:lnTo>
                                <a:lnTo>
                                  <a:pt x="2030768" y="559142"/>
                                </a:lnTo>
                                <a:lnTo>
                                  <a:pt x="2054733" y="526618"/>
                                </a:lnTo>
                                <a:lnTo>
                                  <a:pt x="2096084" y="496074"/>
                                </a:lnTo>
                                <a:lnTo>
                                  <a:pt x="2139340" y="483450"/>
                                </a:lnTo>
                                <a:lnTo>
                                  <a:pt x="2178354" y="479933"/>
                                </a:lnTo>
                                <a:lnTo>
                                  <a:pt x="2200376" y="480250"/>
                                </a:lnTo>
                                <a:lnTo>
                                  <a:pt x="2210181" y="480898"/>
                                </a:lnTo>
                                <a:lnTo>
                                  <a:pt x="2222754" y="482028"/>
                                </a:lnTo>
                                <a:lnTo>
                                  <a:pt x="2230755" y="481266"/>
                                </a:lnTo>
                                <a:lnTo>
                                  <a:pt x="2235454" y="476440"/>
                                </a:lnTo>
                                <a:lnTo>
                                  <a:pt x="2236089" y="473773"/>
                                </a:lnTo>
                                <a:lnTo>
                                  <a:pt x="2235962" y="470852"/>
                                </a:lnTo>
                                <a:lnTo>
                                  <a:pt x="2211578" y="434403"/>
                                </a:lnTo>
                                <a:lnTo>
                                  <a:pt x="2183257" y="407352"/>
                                </a:lnTo>
                                <a:lnTo>
                                  <a:pt x="2178939" y="404431"/>
                                </a:lnTo>
                                <a:lnTo>
                                  <a:pt x="2175002" y="401002"/>
                                </a:lnTo>
                                <a:lnTo>
                                  <a:pt x="2133054" y="388454"/>
                                </a:lnTo>
                                <a:lnTo>
                                  <a:pt x="2113153" y="388683"/>
                                </a:lnTo>
                                <a:lnTo>
                                  <a:pt x="2066671" y="396430"/>
                                </a:lnTo>
                                <a:lnTo>
                                  <a:pt x="2019300" y="415480"/>
                                </a:lnTo>
                                <a:lnTo>
                                  <a:pt x="1986838" y="438010"/>
                                </a:lnTo>
                                <a:lnTo>
                                  <a:pt x="1957463" y="469696"/>
                                </a:lnTo>
                                <a:lnTo>
                                  <a:pt x="1930273" y="520814"/>
                                </a:lnTo>
                                <a:lnTo>
                                  <a:pt x="1919427" y="580047"/>
                                </a:lnTo>
                                <a:lnTo>
                                  <a:pt x="1919490" y="611974"/>
                                </a:lnTo>
                                <a:lnTo>
                                  <a:pt x="1931670" y="679894"/>
                                </a:lnTo>
                                <a:lnTo>
                                  <a:pt x="1944090" y="716229"/>
                                </a:lnTo>
                                <a:lnTo>
                                  <a:pt x="1960181" y="753579"/>
                                </a:lnTo>
                                <a:lnTo>
                                  <a:pt x="1980171" y="791895"/>
                                </a:lnTo>
                                <a:lnTo>
                                  <a:pt x="2004314" y="831151"/>
                                </a:lnTo>
                                <a:lnTo>
                                  <a:pt x="2032241" y="871410"/>
                                </a:lnTo>
                                <a:lnTo>
                                  <a:pt x="2064194" y="912266"/>
                                </a:lnTo>
                                <a:lnTo>
                                  <a:pt x="2100135" y="953617"/>
                                </a:lnTo>
                                <a:lnTo>
                                  <a:pt x="2140077" y="995362"/>
                                </a:lnTo>
                                <a:lnTo>
                                  <a:pt x="2180818" y="1034465"/>
                                </a:lnTo>
                                <a:lnTo>
                                  <a:pt x="2220747" y="1069365"/>
                                </a:lnTo>
                                <a:lnTo>
                                  <a:pt x="2259876" y="1100188"/>
                                </a:lnTo>
                                <a:lnTo>
                                  <a:pt x="2298192" y="1127061"/>
                                </a:lnTo>
                                <a:lnTo>
                                  <a:pt x="2335644" y="1150378"/>
                                </a:lnTo>
                                <a:lnTo>
                                  <a:pt x="2372017" y="1169441"/>
                                </a:lnTo>
                                <a:lnTo>
                                  <a:pt x="2407323" y="1184516"/>
                                </a:lnTo>
                                <a:lnTo>
                                  <a:pt x="2474353" y="1203591"/>
                                </a:lnTo>
                                <a:lnTo>
                                  <a:pt x="2505849" y="1207008"/>
                                </a:lnTo>
                                <a:lnTo>
                                  <a:pt x="2536025" y="1206436"/>
                                </a:lnTo>
                                <a:lnTo>
                                  <a:pt x="2592146" y="1194346"/>
                                </a:lnTo>
                                <a:lnTo>
                                  <a:pt x="2641625" y="1166812"/>
                                </a:lnTo>
                                <a:lnTo>
                                  <a:pt x="2675648" y="1134757"/>
                                </a:lnTo>
                                <a:lnTo>
                                  <a:pt x="2702814" y="1094803"/>
                                </a:lnTo>
                                <a:lnTo>
                                  <a:pt x="2718447" y="1053376"/>
                                </a:lnTo>
                                <a:lnTo>
                                  <a:pt x="2726258" y="1015199"/>
                                </a:lnTo>
                                <a:lnTo>
                                  <a:pt x="2727452" y="1003515"/>
                                </a:lnTo>
                                <a:lnTo>
                                  <a:pt x="2727706" y="992314"/>
                                </a:lnTo>
                                <a:close/>
                              </a:path>
                              <a:path w="3108960" h="3118485">
                                <a:moveTo>
                                  <a:pt x="3108731" y="595134"/>
                                </a:moveTo>
                                <a:lnTo>
                                  <a:pt x="3095879" y="525970"/>
                                </a:lnTo>
                                <a:lnTo>
                                  <a:pt x="3082988" y="490093"/>
                                </a:lnTo>
                                <a:lnTo>
                                  <a:pt x="3066351" y="453263"/>
                                </a:lnTo>
                                <a:lnTo>
                                  <a:pt x="3045790" y="415493"/>
                                </a:lnTo>
                                <a:lnTo>
                                  <a:pt x="3021203" y="376745"/>
                                </a:lnTo>
                                <a:lnTo>
                                  <a:pt x="3009176" y="360159"/>
                                </a:lnTo>
                                <a:lnTo>
                                  <a:pt x="3009176" y="581317"/>
                                </a:lnTo>
                                <a:lnTo>
                                  <a:pt x="3008884" y="605726"/>
                                </a:lnTo>
                                <a:lnTo>
                                  <a:pt x="2996336" y="651281"/>
                                </a:lnTo>
                                <a:lnTo>
                                  <a:pt x="2966466" y="691959"/>
                                </a:lnTo>
                                <a:lnTo>
                                  <a:pt x="2926042" y="722337"/>
                                </a:lnTo>
                                <a:lnTo>
                                  <a:pt x="2882011" y="735647"/>
                                </a:lnTo>
                                <a:lnTo>
                                  <a:pt x="2858859" y="736879"/>
                                </a:lnTo>
                                <a:lnTo>
                                  <a:pt x="2834919" y="734745"/>
                                </a:lnTo>
                                <a:lnTo>
                                  <a:pt x="2784602" y="720026"/>
                                </a:lnTo>
                                <a:lnTo>
                                  <a:pt x="2732087" y="693343"/>
                                </a:lnTo>
                                <a:lnTo>
                                  <a:pt x="2676906" y="655129"/>
                                </a:lnTo>
                                <a:lnTo>
                                  <a:pt x="2619565" y="607453"/>
                                </a:lnTo>
                                <a:lnTo>
                                  <a:pt x="2590317" y="580593"/>
                                </a:lnTo>
                                <a:lnTo>
                                  <a:pt x="2560701" y="551751"/>
                                </a:lnTo>
                                <a:lnTo>
                                  <a:pt x="2509812" y="497319"/>
                                </a:lnTo>
                                <a:lnTo>
                                  <a:pt x="2464562" y="442023"/>
                                </a:lnTo>
                                <a:lnTo>
                                  <a:pt x="2428087" y="387286"/>
                                </a:lnTo>
                                <a:lnTo>
                                  <a:pt x="2402205" y="333692"/>
                                </a:lnTo>
                                <a:lnTo>
                                  <a:pt x="2387625" y="282448"/>
                                </a:lnTo>
                                <a:lnTo>
                                  <a:pt x="2385085" y="257683"/>
                                </a:lnTo>
                                <a:lnTo>
                                  <a:pt x="2385441" y="233489"/>
                                </a:lnTo>
                                <a:lnTo>
                                  <a:pt x="2397544" y="188175"/>
                                </a:lnTo>
                                <a:lnTo>
                                  <a:pt x="2427097" y="147891"/>
                                </a:lnTo>
                                <a:lnTo>
                                  <a:pt x="2467038" y="117957"/>
                                </a:lnTo>
                                <a:lnTo>
                                  <a:pt x="2511171" y="104584"/>
                                </a:lnTo>
                                <a:lnTo>
                                  <a:pt x="2534628" y="103606"/>
                                </a:lnTo>
                                <a:lnTo>
                                  <a:pt x="2558732" y="105714"/>
                                </a:lnTo>
                                <a:lnTo>
                                  <a:pt x="2608961" y="119697"/>
                                </a:lnTo>
                                <a:lnTo>
                                  <a:pt x="2661856" y="146392"/>
                                </a:lnTo>
                                <a:lnTo>
                                  <a:pt x="2716657" y="183451"/>
                                </a:lnTo>
                                <a:lnTo>
                                  <a:pt x="2773197" y="230301"/>
                                </a:lnTo>
                                <a:lnTo>
                                  <a:pt x="2801734" y="256451"/>
                                </a:lnTo>
                                <a:lnTo>
                                  <a:pt x="2830322" y="284289"/>
                                </a:lnTo>
                                <a:lnTo>
                                  <a:pt x="2856979" y="311797"/>
                                </a:lnTo>
                                <a:lnTo>
                                  <a:pt x="2905506" y="367182"/>
                                </a:lnTo>
                                <a:lnTo>
                                  <a:pt x="2947632" y="422846"/>
                                </a:lnTo>
                                <a:lnTo>
                                  <a:pt x="2979267" y="477481"/>
                                </a:lnTo>
                                <a:lnTo>
                                  <a:pt x="3000578" y="530352"/>
                                </a:lnTo>
                                <a:lnTo>
                                  <a:pt x="3009176" y="581317"/>
                                </a:lnTo>
                                <a:lnTo>
                                  <a:pt x="3009176" y="360159"/>
                                </a:lnTo>
                                <a:lnTo>
                                  <a:pt x="2960636" y="297548"/>
                                </a:lnTo>
                                <a:lnTo>
                                  <a:pt x="2924987" y="257213"/>
                                </a:lnTo>
                                <a:lnTo>
                                  <a:pt x="2885694" y="216344"/>
                                </a:lnTo>
                                <a:lnTo>
                                  <a:pt x="2844990" y="177088"/>
                                </a:lnTo>
                                <a:lnTo>
                                  <a:pt x="2805201" y="141592"/>
                                </a:lnTo>
                                <a:lnTo>
                                  <a:pt x="2766314" y="109893"/>
                                </a:lnTo>
                                <a:lnTo>
                                  <a:pt x="2728341" y="81978"/>
                                </a:lnTo>
                                <a:lnTo>
                                  <a:pt x="2691244" y="58051"/>
                                </a:lnTo>
                                <a:lnTo>
                                  <a:pt x="2655125" y="38328"/>
                                </a:lnTo>
                                <a:lnTo>
                                  <a:pt x="2620035" y="22656"/>
                                </a:lnTo>
                                <a:lnTo>
                                  <a:pt x="2553220" y="3238"/>
                                </a:lnTo>
                                <a:lnTo>
                                  <a:pt x="2521420" y="0"/>
                                </a:lnTo>
                                <a:lnTo>
                                  <a:pt x="2490622" y="863"/>
                                </a:lnTo>
                                <a:lnTo>
                                  <a:pt x="2432024" y="14249"/>
                                </a:lnTo>
                                <a:lnTo>
                                  <a:pt x="2378659" y="45250"/>
                                </a:lnTo>
                                <a:lnTo>
                                  <a:pt x="2331110" y="93129"/>
                                </a:lnTo>
                                <a:lnTo>
                                  <a:pt x="2299449" y="149275"/>
                                </a:lnTo>
                                <a:lnTo>
                                  <a:pt x="2286685" y="211442"/>
                                </a:lnTo>
                                <a:lnTo>
                                  <a:pt x="2286495" y="244335"/>
                                </a:lnTo>
                                <a:lnTo>
                                  <a:pt x="2290407" y="278155"/>
                                </a:lnTo>
                                <a:lnTo>
                                  <a:pt x="2311438" y="348792"/>
                                </a:lnTo>
                                <a:lnTo>
                                  <a:pt x="2327872" y="385622"/>
                                </a:lnTo>
                                <a:lnTo>
                                  <a:pt x="2348166" y="423291"/>
                                </a:lnTo>
                                <a:lnTo>
                                  <a:pt x="2372487" y="461708"/>
                                </a:lnTo>
                                <a:lnTo>
                                  <a:pt x="2400579" y="500761"/>
                                </a:lnTo>
                                <a:lnTo>
                                  <a:pt x="2432088" y="540131"/>
                                </a:lnTo>
                                <a:lnTo>
                                  <a:pt x="2467013" y="579805"/>
                                </a:lnTo>
                                <a:lnTo>
                                  <a:pt x="2505329" y="619696"/>
                                </a:lnTo>
                                <a:lnTo>
                                  <a:pt x="2546781" y="659701"/>
                                </a:lnTo>
                                <a:lnTo>
                                  <a:pt x="2587129" y="695706"/>
                                </a:lnTo>
                                <a:lnTo>
                                  <a:pt x="2626461" y="727824"/>
                                </a:lnTo>
                                <a:lnTo>
                                  <a:pt x="2664841" y="756094"/>
                                </a:lnTo>
                                <a:lnTo>
                                  <a:pt x="2702293" y="780465"/>
                                </a:lnTo>
                                <a:lnTo>
                                  <a:pt x="2738628" y="800646"/>
                                </a:lnTo>
                                <a:lnTo>
                                  <a:pt x="2773807" y="816686"/>
                                </a:lnTo>
                                <a:lnTo>
                                  <a:pt x="2840571" y="836536"/>
                                </a:lnTo>
                                <a:lnTo>
                                  <a:pt x="2872435" y="840079"/>
                                </a:lnTo>
                                <a:lnTo>
                                  <a:pt x="2903372" y="839470"/>
                                </a:lnTo>
                                <a:lnTo>
                                  <a:pt x="2962402" y="826477"/>
                                </a:lnTo>
                                <a:lnTo>
                                  <a:pt x="3016478" y="795108"/>
                                </a:lnTo>
                                <a:lnTo>
                                  <a:pt x="3064446" y="746721"/>
                                </a:lnTo>
                                <a:lnTo>
                                  <a:pt x="3095815" y="690321"/>
                                </a:lnTo>
                                <a:lnTo>
                                  <a:pt x="3108591" y="628065"/>
                                </a:lnTo>
                                <a:lnTo>
                                  <a:pt x="3108731" y="59513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53.424999pt;width:332.8pt;height:326.6pt;mso-position-horizontal-relative:page;mso-position-vertical-relative:paragraph;z-index:-25567232" id="docshapegroup67" coordorigin="1999,-1068" coordsize="6656,6532">
                <v:shape style="position:absolute;left:1998;top:3445;width:2142;height:2018" id="docshape68" coordorigin="1999,3446" coordsize="2142,2018" path="m3420,5155l3419,5114,3412,5071,3400,5027,3383,4982,3362,4936,3335,4889,3304,4842,3268,4794,3227,4746,3181,4698,2526,4043,2521,4040,2511,4036,2501,4037,2495,4039,2489,4042,2482,4046,2475,4051,2467,4058,2449,4075,2438,4090,2434,4097,2431,4104,2429,4109,2427,4115,2428,4120,2431,4130,2435,4135,3090,4790,3124,4825,3154,4860,3181,4894,3204,4926,3223,4958,3239,4990,3252,5020,3261,5049,3266,5077,3268,5105,3267,5131,3262,5156,3254,5181,3243,5204,3227,5225,3209,5246,3189,5264,3167,5278,3144,5289,3120,5297,3095,5301,3068,5303,3040,5301,3012,5295,2982,5286,2951,5274,2919,5258,2886,5238,2852,5214,2817,5187,2782,5155,2745,5120,2097,4472,2092,4469,2083,4465,2078,4465,2072,4466,2067,4468,2060,4471,2053,4475,2038,4487,2020,4504,2014,4512,2009,4519,2002,4533,2000,4538,1999,4544,1999,4549,2002,4559,2006,4563,2671,5229,2720,5275,2768,5316,2815,5352,2862,5384,2908,5409,2953,5430,2996,5446,3038,5456,3080,5462,3119,5463,3157,5460,3195,5451,3230,5439,3263,5421,3295,5399,3324,5373,3353,5341,3377,5307,3395,5271,3408,5234,3417,5195,3420,5155xm4140,4383l4134,4329,4120,4274,4100,4218,4073,4160,4041,4100,4002,4039,3983,4013,3983,4361,3983,4400,3977,4436,3963,4471,3943,4504,3916,4535,3885,4563,3852,4583,3819,4597,3783,4604,3747,4606,3709,4603,3670,4594,3630,4580,3589,4561,3547,4538,3504,4510,3460,4477,3415,4441,3370,4402,3324,4360,3277,4315,3236,4272,3197,4229,3160,4186,3126,4142,3095,4099,3068,4056,3046,4013,3028,3971,3013,3930,3004,3891,3000,3852,3001,3814,3007,3777,3020,3742,3040,3709,3067,3679,3097,3652,3130,3632,3163,3618,3199,3610,3236,3609,3274,3612,3313,3621,3353,3634,3394,3653,3436,3676,3479,3703,3523,3735,3567,3770,3612,3808,3657,3850,3702,3893,3744,3937,3783,3980,3820,4024,3855,4068,3887,4112,3914,4155,3936,4198,3955,4240,3970,4281,3979,4322,3983,4361,3983,4013,3957,3977,3907,3914,3851,3851,3789,3786,3725,3725,3662,3669,3601,3619,3588,3609,3541,3575,3483,3537,3426,3506,3371,3481,3317,3463,3265,3451,3215,3446,3167,3447,3120,3454,3075,3468,3032,3489,2991,3517,2952,3552,2916,3592,2887,3636,2866,3681,2852,3729,2846,3779,2845,3831,2852,3884,2865,3938,2885,3995,2911,4053,2943,4112,2981,4173,3025,4234,3075,4296,3130,4359,3190,4422,3255,4485,3319,4541,3381,4592,3441,4637,3500,4675,3557,4707,3613,4732,3666,4751,3718,4763,3768,4769,3817,4768,3864,4761,3910,4747,3953,4726,3995,4698,4035,4663,4071,4622,4081,4606,4099,4579,4120,4533,4133,4485,4140,4435,4140,4383xe" filled="true" fillcolor="#c0c0c0" stroked="false">
                  <v:path arrowok="t"/>
                  <v:fill opacity="32896f" type="solid"/>
                </v:shape>
                <v:shape style="position:absolute;left:3964;top:3521;width:350;height:349" type="#_x0000_t75" id="docshape69" stroked="false">
                  <v:imagedata r:id="rId9" o:title=""/>
                </v:shape>
                <v:shape style="position:absolute;left:3758;top:-1069;width:4896;height:4911" id="docshape70" coordorigin="3759,-1069" coordsize="4896,4911" path="m4895,3762l4895,3757,4892,3748,4888,3743,4884,3739,3857,2712,3852,2709,3843,2705,3838,2705,3832,2706,3826,2708,3821,2711,3813,2715,3806,2720,3798,2727,3781,2744,3770,2758,3762,2772,3760,2777,3759,2784,3759,2789,3762,2799,3765,2804,4796,3835,4801,3838,4811,3842,4815,3842,4821,3840,4827,3839,4833,3836,4841,3831,4848,3826,4856,3820,4873,3802,4880,3794,4885,3787,4889,3780,4892,3774,4893,3767,4895,3762xm5170,3482l5169,3477,5167,3472,5163,3468,5159,3464,4775,3080,4854,3002,4883,2969,4887,2964,4907,2936,4926,2902,4939,2867,4948,2831,4952,2795,4952,2757,4947,2719,4938,2680,4925,2641,4908,2601,4886,2560,4861,2520,4831,2480,4800,2443,4800,2751,4799,2773,4795,2795,4787,2817,4776,2839,4761,2860,4742,2881,4659,2964,4232,2536,4317,2452,4329,2440,4342,2429,4356,2419,4371,2409,4387,2401,4405,2394,4425,2390,4446,2388,4469,2389,4494,2394,4521,2402,4550,2414,4580,2431,4610,2451,4642,2477,4674,2507,4697,2532,4718,2556,4736,2580,4753,2605,4767,2630,4779,2655,4788,2680,4795,2703,4799,2727,4800,2751,4800,2443,4797,2439,4759,2399,4748,2388,4729,2370,4699,2344,4669,2321,4638,2300,4608,2282,4578,2267,4549,2254,4520,2244,4491,2236,4462,2231,4434,2229,4406,2229,4380,2231,4356,2236,4334,2242,4314,2250,4296,2260,4280,2269,4266,2278,4253,2287,4241,2296,4230,2306,4218,2316,4207,2327,4059,2475,4054,2483,4050,2492,4048,2502,4048,2514,4052,2527,4059,2541,4069,2556,4084,2572,5067,3555,5071,3560,5076,3563,5081,3565,5086,3566,5091,3567,5096,3565,5102,3564,5109,3560,5116,3556,5123,3551,5131,3545,5149,3527,5155,3519,5160,3512,5165,3504,5167,3499,5168,3492,5170,3487,5170,3482xm5863,2794l5863,2789,5860,2780,5856,2775,4928,1847,5125,1650,5127,1647,5127,1642,5126,1637,5125,1631,5122,1625,5119,1619,5114,1612,5092,1586,5081,1575,5070,1565,5061,1556,5044,1542,5036,1536,5023,1529,5018,1528,5008,1528,5005,1530,4519,2015,4517,2019,4518,2023,4517,2029,4519,2033,4526,2046,4531,2054,4538,2062,4545,2071,4554,2081,4575,2102,4585,2111,4593,2117,4601,2124,4609,2130,4621,2135,4626,2137,4631,2137,4636,2137,4639,2135,4836,1939,5764,2867,5769,2870,5779,2874,5783,2874,5789,2872,5795,2871,5809,2863,5824,2852,5842,2834,5848,2826,5853,2819,5857,2812,5860,2806,5861,2799,5863,2794xm6396,2262l6395,2257,6392,2247,6388,2243,5460,1315,5657,1118,5659,1114,5659,1109,5658,1099,5652,1087,5646,1079,5639,1071,5624,1054,5613,1043,5603,1032,5576,1009,5569,1004,5556,997,5550,996,5545,996,5540,996,5537,998,5052,1483,5050,1487,5050,1491,5050,1496,5052,1501,5058,1514,5064,1522,5071,1530,5078,1539,5086,1549,5108,1570,5117,1579,5126,1585,5134,1592,5141,1597,5154,1603,5158,1605,5164,1605,5168,1605,5172,1603,5369,1406,6297,2334,6301,2338,6311,2341,6316,2342,6321,2340,6327,2339,6341,2331,6348,2326,6356,2319,6374,2302,6386,2287,6392,2273,6394,2267,6396,2262xm7102,1421l7095,1368,7081,1312,7061,1256,7035,1198,7003,1139,6964,1078,6945,1052,6945,1400,6945,1438,6938,1475,6925,1510,6905,1543,6878,1574,6847,1601,6814,1622,6780,1635,6745,1642,6708,1644,6671,1641,6632,1632,6591,1618,6551,1599,6509,1576,6466,1548,6422,1516,6377,1480,6332,1441,6285,1398,6239,1353,6198,1310,6159,1267,6122,1224,6087,1180,6056,1137,6030,1094,6008,1052,5989,1010,5975,969,5966,929,5962,890,5963,852,5969,815,5982,780,6002,748,6028,717,6059,690,6091,670,6125,656,6161,649,6198,647,6236,651,6275,659,6315,673,6356,692,6398,715,6441,742,6484,773,6529,808,6573,847,6618,888,6663,932,6705,975,6745,1019,6782,1062,6817,1106,6848,1150,6875,1193,6898,1236,6917,1278,6932,1319,6941,1360,6945,1400,6945,1052,6919,1015,6869,953,6812,889,6751,825,6687,763,6624,707,6563,657,6549,647,6503,613,6444,576,6388,544,6332,520,6279,501,6227,489,6177,484,6129,485,6081,493,6036,506,5993,527,5952,555,5913,590,5877,631,5849,674,5828,719,5814,767,5807,817,5807,869,5813,922,5826,977,5846,1033,5872,1091,5904,1151,5942,1211,5987,1273,6036,1335,6091,1397,6152,1460,6217,1523,6280,1580,6342,1630,6403,1675,6462,1713,6519,1745,6574,1770,6628,1789,6680,1801,6730,1807,6778,1806,6826,1799,6871,1785,6915,1764,6957,1736,6996,1701,7032,1660,7042,1644,7061,1617,7082,1571,7095,1523,7102,1473,7102,1421xm8054,494l8054,466,8054,455,8052,447,8050,438,8048,431,8043,420,8040,415,8036,409,8014,383,7998,366,7980,350,7957,328,7943,319,7938,316,7933,314,7927,314,7924,315,7916,323,7913,336,7915,356,7916,371,7916,388,7915,406,7914,426,7912,447,7909,468,7903,490,7897,514,7887,537,7875,559,7859,581,7840,601,7815,623,7787,641,7757,654,7726,662,7692,666,7657,665,7620,659,7582,648,7542,632,7500,612,7456,588,7411,558,7364,524,7317,485,7268,442,7218,394,7169,343,7125,294,7086,245,7051,197,7021,151,6995,106,6974,63,6958,22,6945,-18,6938,-57,6936,-93,6938,-127,6945,-159,6957,-188,6973,-215,6995,-239,7016,-259,7038,-275,7060,-287,7083,-296,7106,-302,7128,-307,7149,-311,7170,-313,7189,-313,7224,-312,7239,-311,7259,-309,7272,-311,7279,-318,7280,-322,7280,-327,7279,-331,7277,-336,7270,-350,7258,-366,7242,-384,7213,-413,7197,-427,7190,-432,7184,-437,7173,-444,7161,-449,7153,-452,7141,-455,7130,-456,7118,-457,7087,-456,7069,-455,7050,-453,7032,-449,7013,-444,6995,-439,6976,-432,6957,-423,6939,-414,6921,-404,6904,-392,6888,-379,6872,-364,6841,-329,6817,-290,6799,-248,6787,-203,6782,-155,6782,-105,6788,-52,6801,2,6820,59,6846,118,6877,179,6915,240,6959,304,7010,368,7066,433,7129,499,7193,561,7256,616,7318,664,7378,706,7437,743,7494,773,7550,797,7604,815,7655,827,7705,832,7753,831,7798,825,7841,812,7881,794,7919,769,7954,738,7972,719,7989,698,8003,677,8015,656,8025,633,8033,612,8040,590,8045,569,8049,549,8052,530,8054,512,8054,494xm8654,-131l8648,-185,8634,-240,8614,-297,8588,-355,8555,-414,8517,-475,8498,-501,8498,-153,8497,-115,8491,-78,8477,-43,8457,-10,8430,21,8399,48,8367,69,8333,83,8297,90,8261,92,8223,89,8184,80,8144,65,8103,47,8061,23,8018,-4,7974,-37,7930,-73,7884,-112,7838,-154,7791,-200,7750,-242,7711,-285,7675,-329,7640,-372,7609,-416,7583,-459,7560,-501,7542,-543,7528,-584,7519,-624,7515,-663,7515,-701,7521,-738,7534,-772,7554,-805,7581,-836,7612,-862,7644,-883,7678,-897,7713,-904,7750,-905,7788,-902,7827,-894,7867,-880,7909,-861,7951,-838,7993,-811,8037,-780,8081,-744,8126,-706,8171,-665,8216,-621,8258,-577,8297,-534,8334,-490,8369,-446,8401,-403,8428,-359,8451,-317,8469,-275,8484,-233,8493,-193,8498,-153,8498,-501,8472,-537,8421,-600,8365,-663,8303,-728,8239,-790,8176,-846,8115,-895,8102,-905,8055,-939,7997,-977,7940,-1008,7885,-1033,7831,-1051,7780,-1063,7730,-1069,7681,-1067,7634,-1060,7589,-1046,7546,-1025,7505,-997,7466,-963,7430,-922,7401,-879,7380,-833,7366,-786,7360,-736,7360,-684,7366,-630,7379,-576,7399,-519,7425,-461,7457,-402,7495,-341,7539,-280,7589,-218,7644,-155,7704,-93,7769,-30,7833,27,7895,78,7955,122,8014,161,8072,192,8127,218,8181,236,8232,249,8282,254,8331,253,8378,246,8424,233,8468,212,8509,184,8549,148,8585,107,8595,92,8613,64,8634,19,8647,-30,8654,-79,8654,-131xe" filled="true" fillcolor="#c0c0c0" stroked="false">
                  <v:path arrowok="t"/>
                  <v:fill opacity="32896f" type="solid"/>
                </v:shape>
                <w10:wrap type="none"/>
              </v:group>
            </w:pict>
          </mc:Fallback>
        </mc:AlternateContent>
      </w:r>
      <w:r>
        <w:rPr>
          <w:sz w:val="19"/>
        </w:rPr>
        <w:t>Model</w:t>
      </w:r>
      <w:r>
        <w:rPr>
          <w:spacing w:val="-6"/>
          <w:sz w:val="19"/>
        </w:rPr>
        <w:t> </w:t>
      </w:r>
      <w:r>
        <w:rPr>
          <w:spacing w:val="-2"/>
          <w:sz w:val="19"/>
        </w:rPr>
        <w:t>Diagnostics</w:t>
      </w:r>
    </w:p>
    <w:p>
      <w:pPr>
        <w:pStyle w:val="BodyText"/>
        <w:spacing w:before="6"/>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60"/>
        <w:gridCol w:w="1620"/>
        <w:gridCol w:w="3960"/>
      </w:tblGrid>
      <w:tr>
        <w:trPr>
          <w:trHeight w:val="654" w:hRule="atLeast"/>
        </w:trPr>
        <w:tc>
          <w:tcPr>
            <w:tcW w:w="1634" w:type="dxa"/>
            <w:tcBorders>
              <w:left w:val="nil"/>
            </w:tcBorders>
          </w:tcPr>
          <w:p>
            <w:pPr>
              <w:pStyle w:val="TableParagraph"/>
              <w:spacing w:line="152" w:lineRule="exact"/>
              <w:ind w:left="587"/>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62" w:right="1"/>
              <w:jc w:val="center"/>
              <w:rPr>
                <w:rFonts w:ascii="Times New Roman"/>
                <w:sz w:val="12"/>
              </w:rPr>
            </w:pPr>
            <w:r>
              <w:rPr>
                <w:rFonts w:ascii="Times New Roman"/>
                <w:spacing w:val="-2"/>
                <w:sz w:val="12"/>
              </w:rPr>
              <w:t>Hetero</w:t>
            </w:r>
          </w:p>
          <w:p>
            <w:pPr>
              <w:pStyle w:val="TableParagraph"/>
              <w:spacing w:line="156" w:lineRule="exact" w:before="99"/>
              <w:ind w:left="48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62"/>
              <w:jc w:val="center"/>
              <w:rPr>
                <w:rFonts w:ascii="Times New Roman"/>
                <w:sz w:val="12"/>
              </w:rPr>
            </w:pPr>
            <w:r>
              <w:rPr>
                <w:rFonts w:ascii="Times New Roman"/>
                <w:spacing w:val="-2"/>
                <w:sz w:val="12"/>
              </w:rPr>
              <w:t>Serial/Corr</w:t>
            </w:r>
          </w:p>
        </w:tc>
        <w:tc>
          <w:tcPr>
            <w:tcW w:w="1260" w:type="dxa"/>
          </w:tcPr>
          <w:p>
            <w:pPr>
              <w:pStyle w:val="TableParagraph"/>
              <w:ind w:left="411"/>
              <w:rPr>
                <w:rFonts w:ascii="Times New Roman"/>
                <w:sz w:val="19"/>
              </w:rPr>
            </w:pPr>
            <w:r>
              <w:rPr>
                <w:rFonts w:ascii="Times New Roman"/>
                <w:spacing w:val="-2"/>
                <w:sz w:val="19"/>
              </w:rPr>
              <w:t>0.502</w:t>
            </w:r>
          </w:p>
          <w:p>
            <w:pPr>
              <w:pStyle w:val="TableParagraph"/>
              <w:spacing w:before="108"/>
              <w:ind w:left="411"/>
              <w:rPr>
                <w:rFonts w:ascii="Times New Roman"/>
                <w:sz w:val="19"/>
              </w:rPr>
            </w:pPr>
            <w:r>
              <w:rPr>
                <w:rFonts w:ascii="Times New Roman"/>
                <w:spacing w:val="-2"/>
                <w:sz w:val="19"/>
              </w:rPr>
              <w:t>0.155</w:t>
            </w:r>
          </w:p>
        </w:tc>
        <w:tc>
          <w:tcPr>
            <w:tcW w:w="1620" w:type="dxa"/>
          </w:tcPr>
          <w:p>
            <w:pPr>
              <w:pStyle w:val="TableParagraph"/>
              <w:spacing w:line="152" w:lineRule="exact"/>
              <w:ind w:left="387"/>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6" w:right="13"/>
              <w:jc w:val="center"/>
              <w:rPr>
                <w:rFonts w:ascii="Times New Roman"/>
                <w:sz w:val="12"/>
              </w:rPr>
            </w:pPr>
            <w:r>
              <w:rPr>
                <w:rFonts w:ascii="Times New Roman"/>
                <w:spacing w:val="-2"/>
                <w:sz w:val="12"/>
              </w:rPr>
              <w:t>Ramsey-Reset</w:t>
            </w:r>
          </w:p>
          <w:p>
            <w:pPr>
              <w:pStyle w:val="TableParagraph"/>
              <w:spacing w:line="156" w:lineRule="exact" w:before="99"/>
              <w:ind w:left="507"/>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6" w:right="13"/>
              <w:jc w:val="center"/>
              <w:rPr>
                <w:rFonts w:ascii="Times New Roman"/>
                <w:sz w:val="12"/>
              </w:rPr>
            </w:pPr>
            <w:r>
              <w:rPr>
                <w:rFonts w:ascii="Times New Roman"/>
                <w:spacing w:val="-2"/>
                <w:sz w:val="12"/>
              </w:rPr>
              <w:t>Hausman</w:t>
            </w:r>
          </w:p>
        </w:tc>
        <w:tc>
          <w:tcPr>
            <w:tcW w:w="3960" w:type="dxa"/>
            <w:tcBorders>
              <w:right w:val="nil"/>
            </w:tcBorders>
          </w:tcPr>
          <w:p>
            <w:pPr>
              <w:pStyle w:val="TableParagraph"/>
              <w:ind w:left="1762"/>
              <w:rPr>
                <w:rFonts w:ascii="Times New Roman"/>
                <w:sz w:val="19"/>
              </w:rPr>
            </w:pPr>
            <w:r>
              <w:rPr>
                <w:rFonts w:ascii="Times New Roman"/>
                <w:spacing w:val="-2"/>
                <w:sz w:val="19"/>
              </w:rPr>
              <w:t>0.510</w:t>
            </w:r>
          </w:p>
          <w:p>
            <w:pPr>
              <w:pStyle w:val="TableParagraph"/>
              <w:spacing w:before="108"/>
              <w:ind w:left="1460"/>
              <w:rPr>
                <w:rFonts w:ascii="Times New Roman"/>
                <w:sz w:val="19"/>
              </w:rPr>
            </w:pPr>
            <w:r>
              <w:rPr>
                <w:rFonts w:ascii="Times New Roman"/>
                <w:sz w:val="19"/>
              </w:rPr>
              <w:t>17.52</w:t>
            </w:r>
            <w:r>
              <w:rPr>
                <w:rFonts w:ascii="Times New Roman"/>
                <w:spacing w:val="-6"/>
                <w:sz w:val="19"/>
              </w:rPr>
              <w:t> </w:t>
            </w:r>
            <w:r>
              <w:rPr>
                <w:rFonts w:ascii="Times New Roman"/>
                <w:spacing w:val="-2"/>
                <w:sz w:val="19"/>
              </w:rPr>
              <w:t>(0.000)</w:t>
            </w:r>
          </w:p>
        </w:tc>
      </w:tr>
    </w:tbl>
    <w:p>
      <w:pPr>
        <w:spacing w:before="0"/>
        <w:ind w:left="940" w:right="0" w:firstLine="0"/>
        <w:jc w:val="both"/>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spacing w:line="477" w:lineRule="auto" w:before="199"/>
        <w:ind w:left="940" w:right="1432"/>
        <w:jc w:val="both"/>
      </w:pPr>
      <w:r>
        <w:rPr/>
        <mc:AlternateContent>
          <mc:Choice Requires="wps">
            <w:drawing>
              <wp:anchor distT="0" distB="0" distL="0" distR="0" allowOverlap="1" layoutInCell="1" locked="0" behindDoc="1" simplePos="0" relativeHeight="477748736">
                <wp:simplePos x="0" y="0"/>
                <wp:positionH relativeFrom="page">
                  <wp:posOffset>1095451</wp:posOffset>
                </wp:positionH>
                <wp:positionV relativeFrom="paragraph">
                  <wp:posOffset>2078251</wp:posOffset>
                </wp:positionV>
                <wp:extent cx="721995" cy="72263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163.641861pt;width:56.85pt;height:56.9pt;mso-position-horizontal-relative:page;mso-position-vertical-relative:paragraph;z-index:-25567744" id="docshape71" coordorigin="1725,3273" coordsize="1137,1138" path="m1809,3273l1747,3312,1725,3357,1729,3367,2763,4403,2782,4410,2787,4408,2793,4407,2852,4355,2860,4336,2862,4330,1823,3280,1819,3277,1809,3273xe" filled="true" fillcolor="#c0c0c0" stroked="false">
                <v:path arrowok="t"/>
                <v:fill opacity="32896f" type="solid"/>
                <w10:wrap type="none"/>
              </v:shape>
            </w:pict>
          </mc:Fallback>
        </mc:AlternateContent>
      </w:r>
      <w:r>
        <w:rPr/>
        <w:t>Table 4.10 showed the regression results examining the impact of board structure on value </w:t>
      </w:r>
      <w:r>
        <w:rPr>
          <w:position w:val="2"/>
        </w:rPr>
        <w:t>relevance</w:t>
      </w:r>
      <w:r>
        <w:rPr>
          <w:spacing w:val="-13"/>
          <w:position w:val="2"/>
        </w:rPr>
        <w:t> </w:t>
      </w:r>
      <w:r>
        <w:rPr>
          <w:position w:val="2"/>
        </w:rPr>
        <w:t>measure</w:t>
      </w:r>
      <w:r>
        <w:rPr>
          <w:spacing w:val="-14"/>
          <w:position w:val="2"/>
        </w:rPr>
        <w:t> </w:t>
      </w:r>
      <w:r>
        <w:rPr>
          <w:position w:val="2"/>
        </w:rPr>
        <w:t>for</w:t>
      </w:r>
      <w:r>
        <w:rPr>
          <w:spacing w:val="-13"/>
          <w:position w:val="2"/>
        </w:rPr>
        <w:t> </w:t>
      </w:r>
      <w:r>
        <w:rPr>
          <w:position w:val="2"/>
        </w:rPr>
        <w:t>financial</w:t>
      </w:r>
      <w:r>
        <w:rPr>
          <w:spacing w:val="-12"/>
          <w:position w:val="2"/>
        </w:rPr>
        <w:t> </w:t>
      </w:r>
      <w:r>
        <w:rPr>
          <w:position w:val="2"/>
        </w:rPr>
        <w:t>reporting</w:t>
      </w:r>
      <w:r>
        <w:rPr>
          <w:spacing w:val="-12"/>
          <w:position w:val="2"/>
        </w:rPr>
        <w:t> </w:t>
      </w:r>
      <w:r>
        <w:rPr>
          <w:position w:val="2"/>
        </w:rPr>
        <w:t>quality</w:t>
      </w:r>
      <w:r>
        <w:rPr>
          <w:spacing w:val="-12"/>
          <w:position w:val="2"/>
        </w:rPr>
        <w:t> </w:t>
      </w:r>
      <w:r>
        <w:rPr>
          <w:position w:val="2"/>
        </w:rPr>
        <w:t>(Appendices</w:t>
      </w:r>
      <w:r>
        <w:rPr>
          <w:spacing w:val="-12"/>
          <w:position w:val="2"/>
        </w:rPr>
        <w:t> </w:t>
      </w:r>
      <w:r>
        <w:rPr>
          <w:position w:val="2"/>
        </w:rPr>
        <w:t>20</w:t>
      </w:r>
      <w:r>
        <w:rPr>
          <w:spacing w:val="-12"/>
          <w:position w:val="2"/>
        </w:rPr>
        <w:t> </w:t>
      </w:r>
      <w:r>
        <w:rPr>
          <w:position w:val="2"/>
        </w:rPr>
        <w:t>to</w:t>
      </w:r>
      <w:r>
        <w:rPr>
          <w:spacing w:val="-12"/>
          <w:position w:val="2"/>
        </w:rPr>
        <w:t> </w:t>
      </w:r>
      <w:r>
        <w:rPr>
          <w:position w:val="2"/>
        </w:rPr>
        <w:t>22)..</w:t>
      </w:r>
      <w:r>
        <w:rPr>
          <w:spacing w:val="-13"/>
          <w:position w:val="2"/>
        </w:rPr>
        <w:t> </w:t>
      </w:r>
      <w:r>
        <w:rPr>
          <w:position w:val="2"/>
        </w:rPr>
        <w:t>Based</w:t>
      </w:r>
      <w:r>
        <w:rPr>
          <w:spacing w:val="-12"/>
          <w:position w:val="2"/>
        </w:rPr>
        <w:t> </w:t>
      </w:r>
      <w:r>
        <w:rPr>
          <w:position w:val="2"/>
        </w:rPr>
        <w:t>on</w:t>
      </w:r>
      <w:r>
        <w:rPr>
          <w:spacing w:val="-12"/>
          <w:position w:val="2"/>
        </w:rPr>
        <w:t> </w:t>
      </w:r>
      <w:r>
        <w:rPr>
          <w:position w:val="2"/>
        </w:rPr>
        <w:t>the</w:t>
      </w:r>
      <w:r>
        <w:rPr>
          <w:spacing w:val="-13"/>
          <w:position w:val="2"/>
        </w:rPr>
        <w:t> </w:t>
      </w:r>
      <w:r>
        <w:rPr>
          <w:position w:val="2"/>
        </w:rPr>
        <w:t>χ</w:t>
      </w:r>
      <w:r>
        <w:rPr>
          <w:position w:val="2"/>
          <w:vertAlign w:val="superscript"/>
        </w:rPr>
        <w:t>2</w:t>
      </w:r>
      <w:r>
        <w:rPr>
          <w:sz w:val="16"/>
          <w:vertAlign w:val="baseline"/>
        </w:rPr>
        <w:t>Hausman</w:t>
      </w:r>
      <w:r>
        <w:rPr>
          <w:spacing w:val="40"/>
          <w:sz w:val="16"/>
          <w:vertAlign w:val="baseline"/>
        </w:rPr>
        <w:t> </w:t>
      </w:r>
      <w:r>
        <w:rPr>
          <w:vertAlign w:val="baseline"/>
        </w:rPr>
        <w:t>statistic (17.52) and p-value (0.000) the fixed effects estimation was used. The R</w:t>
      </w:r>
      <w:r>
        <w:rPr>
          <w:vertAlign w:val="superscript"/>
        </w:rPr>
        <w:t>2</w:t>
      </w:r>
      <w:r>
        <w:rPr>
          <w:vertAlign w:val="baseline"/>
        </w:rPr>
        <w:t> and Adj R</w:t>
      </w:r>
      <w:r>
        <w:rPr>
          <w:vertAlign w:val="superscript"/>
        </w:rPr>
        <w:t>2</w:t>
      </w:r>
      <w:r>
        <w:rPr>
          <w:vertAlign w:val="baseline"/>
        </w:rPr>
        <w:t> stood at 61.7% and 56% respectively. The F-stat of 12.606 (p-value = 0.00) which was significant at 1%</w:t>
      </w:r>
      <w:r>
        <w:rPr>
          <w:spacing w:val="-1"/>
          <w:vertAlign w:val="baseline"/>
        </w:rPr>
        <w:t> </w:t>
      </w:r>
      <w:r>
        <w:rPr>
          <w:vertAlign w:val="baseline"/>
        </w:rPr>
        <w:t>suggested that the</w:t>
      </w:r>
      <w:r>
        <w:rPr>
          <w:spacing w:val="-1"/>
          <w:vertAlign w:val="baseline"/>
        </w:rPr>
        <w:t> </w:t>
      </w:r>
      <w:r>
        <w:rPr>
          <w:vertAlign w:val="baseline"/>
        </w:rPr>
        <w:t>hypothesis of</w:t>
      </w:r>
      <w:r>
        <w:rPr>
          <w:spacing w:val="-2"/>
          <w:vertAlign w:val="baseline"/>
        </w:rPr>
        <w:t> </w:t>
      </w:r>
      <w:r>
        <w:rPr>
          <w:vertAlign w:val="baseline"/>
        </w:rPr>
        <w:t>a</w:t>
      </w:r>
      <w:r>
        <w:rPr>
          <w:spacing w:val="-2"/>
          <w:vertAlign w:val="baseline"/>
        </w:rPr>
        <w:t> </w:t>
      </w:r>
      <w:r>
        <w:rPr>
          <w:vertAlign w:val="baseline"/>
        </w:rPr>
        <w:t>significant linear</w:t>
      </w:r>
      <w:r>
        <w:rPr>
          <w:spacing w:val="-1"/>
          <w:vertAlign w:val="baseline"/>
        </w:rPr>
        <w:t> </w:t>
      </w:r>
      <w:r>
        <w:rPr>
          <w:vertAlign w:val="baseline"/>
        </w:rPr>
        <w:t>relationship between the dependent and independent variables could not be rejected. It was also indicative of the joint statistical significance of the model. The estimations revealed that BDS had a positive effect on VREL although not significant at 5% (0.3607, p=0.1273) and the interaction Post- IFRS*BDS, testing the presence of incremental IFRS adoption effect also did not show that board size had a significant incremental effect on VREL resulting from IFRS adoption (- 0.4814, p=0.7260). BDIND had a positive coefficient (11.300) and significant (p=0.0623) at 10% indicating that a higher level of independent boards increased value relevance. The interaction</w:t>
      </w:r>
      <w:r>
        <w:rPr>
          <w:spacing w:val="-7"/>
          <w:vertAlign w:val="baseline"/>
        </w:rPr>
        <w:t> </w:t>
      </w:r>
      <w:r>
        <w:rPr>
          <w:vertAlign w:val="baseline"/>
        </w:rPr>
        <w:t>coefficient;</w:t>
      </w:r>
      <w:r>
        <w:rPr>
          <w:spacing w:val="-4"/>
          <w:vertAlign w:val="baseline"/>
        </w:rPr>
        <w:t> </w:t>
      </w:r>
      <w:r>
        <w:rPr>
          <w:vertAlign w:val="baseline"/>
        </w:rPr>
        <w:t>Post-IFRS*BDIND,</w:t>
      </w:r>
      <w:r>
        <w:rPr>
          <w:spacing w:val="-4"/>
          <w:vertAlign w:val="baseline"/>
        </w:rPr>
        <w:t> </w:t>
      </w:r>
      <w:r>
        <w:rPr>
          <w:vertAlign w:val="baseline"/>
        </w:rPr>
        <w:t>testing</w:t>
      </w:r>
      <w:r>
        <w:rPr>
          <w:spacing w:val="-4"/>
          <w:vertAlign w:val="baseline"/>
        </w:rPr>
        <w:t> </w:t>
      </w:r>
      <w:r>
        <w:rPr>
          <w:vertAlign w:val="baseline"/>
        </w:rPr>
        <w:t>the</w:t>
      </w:r>
      <w:r>
        <w:rPr>
          <w:spacing w:val="-4"/>
          <w:vertAlign w:val="baseline"/>
        </w:rPr>
        <w:t> </w:t>
      </w:r>
      <w:r>
        <w:rPr>
          <w:vertAlign w:val="baseline"/>
        </w:rPr>
        <w:t>presence</w:t>
      </w:r>
      <w:r>
        <w:rPr>
          <w:spacing w:val="-6"/>
          <w:vertAlign w:val="baseline"/>
        </w:rPr>
        <w:t> </w:t>
      </w:r>
      <w:r>
        <w:rPr>
          <w:vertAlign w:val="baseline"/>
        </w:rPr>
        <w:t>of</w:t>
      </w:r>
      <w:r>
        <w:rPr>
          <w:spacing w:val="-5"/>
          <w:vertAlign w:val="baseline"/>
        </w:rPr>
        <w:t> </w:t>
      </w:r>
      <w:r>
        <w:rPr>
          <w:vertAlign w:val="baseline"/>
        </w:rPr>
        <w:t>incremental</w:t>
      </w:r>
      <w:r>
        <w:rPr>
          <w:spacing w:val="-5"/>
          <w:vertAlign w:val="baseline"/>
        </w:rPr>
        <w:t> </w:t>
      </w:r>
      <w:r>
        <w:rPr>
          <w:vertAlign w:val="baseline"/>
        </w:rPr>
        <w:t>IFRS</w:t>
      </w:r>
      <w:r>
        <w:rPr>
          <w:spacing w:val="-3"/>
          <w:vertAlign w:val="baseline"/>
        </w:rPr>
        <w:t> </w:t>
      </w:r>
      <w:r>
        <w:rPr>
          <w:spacing w:val="-2"/>
          <w:vertAlign w:val="baseline"/>
        </w:rPr>
        <w:t>adoption</w:t>
      </w:r>
    </w:p>
    <w:p>
      <w:pPr>
        <w:spacing w:after="0" w:line="477" w:lineRule="auto"/>
        <w:jc w:val="both"/>
        <w:sectPr>
          <w:type w:val="continuous"/>
          <w:pgSz w:w="11910" w:h="16840"/>
          <w:pgMar w:header="0" w:footer="971" w:top="1400" w:bottom="1160" w:left="500" w:right="0"/>
        </w:sectPr>
      </w:pPr>
    </w:p>
    <w:p>
      <w:pPr>
        <w:pStyle w:val="BodyText"/>
        <w:spacing w:line="480" w:lineRule="auto" w:before="61"/>
        <w:ind w:left="940" w:right="1441"/>
        <w:jc w:val="both"/>
      </w:pPr>
      <w:r>
        <w:rPr/>
        <w:t>effect also confirmed that board independence had a significant incremental effect on value relevance although surprisingly negative (-26.338, p=0.000) and significant at 1%.</w:t>
      </w:r>
    </w:p>
    <w:p>
      <w:pPr>
        <w:pStyle w:val="BodyText"/>
        <w:spacing w:line="475" w:lineRule="auto"/>
        <w:ind w:left="940" w:right="1437"/>
        <w:jc w:val="both"/>
      </w:pPr>
      <w:r>
        <w:rPr/>
        <w:drawing>
          <wp:anchor distT="0" distB="0" distL="0" distR="0" allowOverlap="1" layoutInCell="1" locked="0" behindDoc="1" simplePos="0" relativeHeight="477750272">
            <wp:simplePos x="0" y="0"/>
            <wp:positionH relativeFrom="page">
              <wp:posOffset>1095451</wp:posOffset>
            </wp:positionH>
            <wp:positionV relativeFrom="paragraph">
              <wp:posOffset>1111055</wp:posOffset>
            </wp:positionV>
            <wp:extent cx="5106847" cy="5238115"/>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5" cstate="print"/>
                    <a:stretch>
                      <a:fillRect/>
                    </a:stretch>
                  </pic:blipFill>
                  <pic:spPr>
                    <a:xfrm>
                      <a:off x="0" y="0"/>
                      <a:ext cx="5106847" cy="5238115"/>
                    </a:xfrm>
                    <a:prstGeom prst="rect">
                      <a:avLst/>
                    </a:prstGeom>
                  </pic:spPr>
                </pic:pic>
              </a:graphicData>
            </a:graphic>
          </wp:anchor>
        </w:drawing>
      </w:r>
      <w:r>
        <w:rPr/>
        <w:t>A</w:t>
      </w:r>
      <w:r>
        <w:rPr>
          <w:spacing w:val="-15"/>
        </w:rPr>
        <w:t> </w:t>
      </w:r>
      <w:r>
        <w:rPr/>
        <w:t>possible</w:t>
      </w:r>
      <w:r>
        <w:rPr>
          <w:spacing w:val="-15"/>
        </w:rPr>
        <w:t> </w:t>
      </w:r>
      <w:r>
        <w:rPr/>
        <w:t>reason</w:t>
      </w:r>
      <w:r>
        <w:rPr>
          <w:spacing w:val="-15"/>
        </w:rPr>
        <w:t> </w:t>
      </w:r>
      <w:r>
        <w:rPr/>
        <w:t>for</w:t>
      </w:r>
      <w:r>
        <w:rPr>
          <w:spacing w:val="-15"/>
        </w:rPr>
        <w:t> </w:t>
      </w:r>
      <w:r>
        <w:rPr/>
        <w:t>that</w:t>
      </w:r>
      <w:r>
        <w:rPr>
          <w:spacing w:val="-15"/>
        </w:rPr>
        <w:t> </w:t>
      </w:r>
      <w:r>
        <w:rPr/>
        <w:t>outcome</w:t>
      </w:r>
      <w:r>
        <w:rPr>
          <w:spacing w:val="-15"/>
        </w:rPr>
        <w:t> </w:t>
      </w:r>
      <w:r>
        <w:rPr/>
        <w:t>or</w:t>
      </w:r>
      <w:r>
        <w:rPr>
          <w:spacing w:val="-15"/>
        </w:rPr>
        <w:t> </w:t>
      </w:r>
      <w:r>
        <w:rPr/>
        <w:t>switch</w:t>
      </w:r>
      <w:r>
        <w:rPr>
          <w:spacing w:val="-15"/>
        </w:rPr>
        <w:t> </w:t>
      </w:r>
      <w:r>
        <w:rPr/>
        <w:t>in</w:t>
      </w:r>
      <w:r>
        <w:rPr>
          <w:spacing w:val="-15"/>
        </w:rPr>
        <w:t> </w:t>
      </w:r>
      <w:r>
        <w:rPr/>
        <w:t>sign</w:t>
      </w:r>
      <w:r>
        <w:rPr>
          <w:spacing w:val="-15"/>
        </w:rPr>
        <w:t> </w:t>
      </w:r>
      <w:r>
        <w:rPr/>
        <w:t>could</w:t>
      </w:r>
      <w:r>
        <w:rPr>
          <w:spacing w:val="-15"/>
        </w:rPr>
        <w:t> </w:t>
      </w:r>
      <w:r>
        <w:rPr/>
        <w:t>be</w:t>
      </w:r>
      <w:r>
        <w:rPr>
          <w:spacing w:val="-15"/>
        </w:rPr>
        <w:t> </w:t>
      </w:r>
      <w:r>
        <w:rPr/>
        <w:t>due</w:t>
      </w:r>
      <w:r>
        <w:rPr>
          <w:spacing w:val="-15"/>
        </w:rPr>
        <w:t> </w:t>
      </w:r>
      <w:r>
        <w:rPr/>
        <w:t>to</w:t>
      </w:r>
      <w:r>
        <w:rPr>
          <w:spacing w:val="-15"/>
        </w:rPr>
        <w:t> </w:t>
      </w:r>
      <w:r>
        <w:rPr/>
        <w:t>the</w:t>
      </w:r>
      <w:r>
        <w:rPr>
          <w:spacing w:val="-15"/>
        </w:rPr>
        <w:t> </w:t>
      </w:r>
      <w:r>
        <w:rPr/>
        <w:t>fact</w:t>
      </w:r>
      <w:r>
        <w:rPr>
          <w:spacing w:val="-15"/>
        </w:rPr>
        <w:t> </w:t>
      </w:r>
      <w:r>
        <w:rPr/>
        <w:t>that</w:t>
      </w:r>
      <w:r>
        <w:rPr>
          <w:spacing w:val="-15"/>
        </w:rPr>
        <w:t> </w:t>
      </w:r>
      <w:r>
        <w:rPr/>
        <w:t>value</w:t>
      </w:r>
      <w:r>
        <w:rPr>
          <w:spacing w:val="-15"/>
        </w:rPr>
        <w:t> </w:t>
      </w:r>
      <w:r>
        <w:rPr/>
        <w:t>relevance was basically a market-based indicator of reporting quality and hence could have more to do with how the market, especially investors, assessed firms’ corporate reporting usefulness. BFEXP</w:t>
      </w:r>
      <w:r>
        <w:rPr>
          <w:spacing w:val="-11"/>
        </w:rPr>
        <w:t> </w:t>
      </w:r>
      <w:r>
        <w:rPr/>
        <w:t>had</w:t>
      </w:r>
      <w:r>
        <w:rPr>
          <w:spacing w:val="-9"/>
        </w:rPr>
        <w:t> </w:t>
      </w:r>
      <w:r>
        <w:rPr/>
        <w:t>a</w:t>
      </w:r>
      <w:r>
        <w:rPr>
          <w:spacing w:val="-13"/>
        </w:rPr>
        <w:t> </w:t>
      </w:r>
      <w:r>
        <w:rPr/>
        <w:t>negative</w:t>
      </w:r>
      <w:r>
        <w:rPr>
          <w:spacing w:val="-13"/>
        </w:rPr>
        <w:t> </w:t>
      </w:r>
      <w:r>
        <w:rPr/>
        <w:t>effect</w:t>
      </w:r>
      <w:r>
        <w:rPr>
          <w:spacing w:val="-12"/>
        </w:rPr>
        <w:t> </w:t>
      </w:r>
      <w:r>
        <w:rPr/>
        <w:t>on</w:t>
      </w:r>
      <w:r>
        <w:rPr>
          <w:spacing w:val="-12"/>
        </w:rPr>
        <w:t> </w:t>
      </w:r>
      <w:r>
        <w:rPr/>
        <w:t>value</w:t>
      </w:r>
      <w:r>
        <w:rPr>
          <w:spacing w:val="-13"/>
        </w:rPr>
        <w:t> </w:t>
      </w:r>
      <w:r>
        <w:rPr/>
        <w:t>relevance</w:t>
      </w:r>
      <w:r>
        <w:rPr>
          <w:spacing w:val="-11"/>
        </w:rPr>
        <w:t> </w:t>
      </w:r>
      <w:r>
        <w:rPr/>
        <w:t>and</w:t>
      </w:r>
      <w:r>
        <w:rPr>
          <w:spacing w:val="-12"/>
        </w:rPr>
        <w:t> </w:t>
      </w:r>
      <w:r>
        <w:rPr/>
        <w:t>significant</w:t>
      </w:r>
      <w:r>
        <w:rPr>
          <w:spacing w:val="-12"/>
        </w:rPr>
        <w:t> </w:t>
      </w:r>
      <w:r>
        <w:rPr/>
        <w:t>at</w:t>
      </w:r>
      <w:r>
        <w:rPr>
          <w:spacing w:val="-12"/>
        </w:rPr>
        <w:t> </w:t>
      </w:r>
      <w:r>
        <w:rPr/>
        <w:t>5%</w:t>
      </w:r>
      <w:r>
        <w:rPr>
          <w:spacing w:val="-11"/>
        </w:rPr>
        <w:t> </w:t>
      </w:r>
      <w:r>
        <w:rPr/>
        <w:t>(-7.5248,</w:t>
      </w:r>
      <w:r>
        <w:rPr>
          <w:spacing w:val="-12"/>
        </w:rPr>
        <w:t> </w:t>
      </w:r>
      <w:r>
        <w:rPr/>
        <w:t>p=0.0290)</w:t>
      </w:r>
      <w:r>
        <w:rPr>
          <w:spacing w:val="-10"/>
        </w:rPr>
        <w:t> </w:t>
      </w:r>
      <w:r>
        <w:rPr/>
        <w:t>and the interaction; Post-IFRS*BFEXP, testing the presence of incremental IFRS adoption effect also</w:t>
      </w:r>
      <w:r>
        <w:rPr>
          <w:spacing w:val="-3"/>
        </w:rPr>
        <w:t> </w:t>
      </w:r>
      <w:r>
        <w:rPr/>
        <w:t>did</w:t>
      </w:r>
      <w:r>
        <w:rPr>
          <w:spacing w:val="-3"/>
        </w:rPr>
        <w:t> </w:t>
      </w:r>
      <w:r>
        <w:rPr/>
        <w:t>not</w:t>
      </w:r>
      <w:r>
        <w:rPr>
          <w:spacing w:val="-4"/>
        </w:rPr>
        <w:t> </w:t>
      </w:r>
      <w:r>
        <w:rPr/>
        <w:t>show</w:t>
      </w:r>
      <w:r>
        <w:rPr>
          <w:spacing w:val="-3"/>
        </w:rPr>
        <w:t> </w:t>
      </w:r>
      <w:r>
        <w:rPr/>
        <w:t>that</w:t>
      </w:r>
      <w:r>
        <w:rPr>
          <w:spacing w:val="-5"/>
        </w:rPr>
        <w:t> </w:t>
      </w:r>
      <w:r>
        <w:rPr/>
        <w:t>BFEXP</w:t>
      </w:r>
      <w:r>
        <w:rPr>
          <w:spacing w:val="-3"/>
        </w:rPr>
        <w:t> </w:t>
      </w:r>
      <w:r>
        <w:rPr/>
        <w:t>sustained</w:t>
      </w:r>
      <w:r>
        <w:rPr>
          <w:spacing w:val="-3"/>
        </w:rPr>
        <w:t> </w:t>
      </w:r>
      <w:r>
        <w:rPr/>
        <w:t>an</w:t>
      </w:r>
      <w:r>
        <w:rPr>
          <w:spacing w:val="-4"/>
        </w:rPr>
        <w:t> </w:t>
      </w:r>
      <w:r>
        <w:rPr/>
        <w:t>incremental</w:t>
      </w:r>
      <w:r>
        <w:rPr>
          <w:spacing w:val="-3"/>
        </w:rPr>
        <w:t> </w:t>
      </w:r>
      <w:r>
        <w:rPr/>
        <w:t>effect</w:t>
      </w:r>
      <w:r>
        <w:rPr>
          <w:spacing w:val="-3"/>
        </w:rPr>
        <w:t> </w:t>
      </w:r>
      <w:r>
        <w:rPr/>
        <w:t>(3.4723,</w:t>
      </w:r>
      <w:r>
        <w:rPr>
          <w:spacing w:val="-4"/>
        </w:rPr>
        <w:t> </w:t>
      </w:r>
      <w:r>
        <w:rPr/>
        <w:t>p=0.5849).</w:t>
      </w:r>
      <w:r>
        <w:rPr>
          <w:spacing w:val="-3"/>
        </w:rPr>
        <w:t> </w:t>
      </w:r>
      <w:r>
        <w:rPr/>
        <w:t>Looking</w:t>
      </w:r>
      <w:r>
        <w:rPr>
          <w:spacing w:val="-3"/>
        </w:rPr>
        <w:t> </w:t>
      </w:r>
      <w:r>
        <w:rPr/>
        <w:t>at the</w:t>
      </w:r>
      <w:r>
        <w:rPr>
          <w:spacing w:val="-11"/>
        </w:rPr>
        <w:t> </w:t>
      </w:r>
      <w:r>
        <w:rPr/>
        <w:t>control</w:t>
      </w:r>
      <w:r>
        <w:rPr>
          <w:spacing w:val="-10"/>
        </w:rPr>
        <w:t> </w:t>
      </w:r>
      <w:r>
        <w:rPr/>
        <w:t>variables,</w:t>
      </w:r>
      <w:r>
        <w:rPr>
          <w:spacing w:val="-11"/>
        </w:rPr>
        <w:t> </w:t>
      </w:r>
      <w:r>
        <w:rPr/>
        <w:t>only</w:t>
      </w:r>
      <w:r>
        <w:rPr>
          <w:spacing w:val="-11"/>
        </w:rPr>
        <w:t> </w:t>
      </w:r>
      <w:r>
        <w:rPr/>
        <w:t>Fage</w:t>
      </w:r>
      <w:r>
        <w:rPr>
          <w:spacing w:val="-12"/>
        </w:rPr>
        <w:t> </w:t>
      </w:r>
      <w:r>
        <w:rPr/>
        <w:t>showed</w:t>
      </w:r>
      <w:r>
        <w:rPr>
          <w:spacing w:val="-11"/>
        </w:rPr>
        <w:t> </w:t>
      </w:r>
      <w:r>
        <w:rPr/>
        <w:t>evidence</w:t>
      </w:r>
      <w:r>
        <w:rPr>
          <w:spacing w:val="-9"/>
        </w:rPr>
        <w:t> </w:t>
      </w:r>
      <w:r>
        <w:rPr/>
        <w:t>of</w:t>
      </w:r>
      <w:r>
        <w:rPr>
          <w:spacing w:val="-11"/>
        </w:rPr>
        <w:t> </w:t>
      </w:r>
      <w:r>
        <w:rPr/>
        <w:t>significant</w:t>
      </w:r>
      <w:r>
        <w:rPr>
          <w:spacing w:val="-10"/>
        </w:rPr>
        <w:t> </w:t>
      </w:r>
      <w:r>
        <w:rPr/>
        <w:t>effects</w:t>
      </w:r>
      <w:r>
        <w:rPr>
          <w:spacing w:val="-10"/>
        </w:rPr>
        <w:t> </w:t>
      </w:r>
      <w:r>
        <w:rPr/>
        <w:t>on</w:t>
      </w:r>
      <w:r>
        <w:rPr>
          <w:spacing w:val="-11"/>
        </w:rPr>
        <w:t> </w:t>
      </w:r>
      <w:r>
        <w:rPr/>
        <w:t>value</w:t>
      </w:r>
      <w:r>
        <w:rPr>
          <w:spacing w:val="-11"/>
        </w:rPr>
        <w:t> </w:t>
      </w:r>
      <w:r>
        <w:rPr/>
        <w:t>relevance.</w:t>
      </w:r>
      <w:r>
        <w:rPr>
          <w:spacing w:val="-11"/>
        </w:rPr>
        <w:t> </w:t>
      </w:r>
      <w:r>
        <w:rPr/>
        <w:t>The </w:t>
      </w:r>
      <w:r>
        <w:rPr>
          <w:position w:val="2"/>
        </w:rPr>
        <w:t>diagnostics for the estimation revealed that χ</w:t>
      </w:r>
      <w:r>
        <w:rPr>
          <w:position w:val="2"/>
          <w:vertAlign w:val="superscript"/>
        </w:rPr>
        <w:t>2</w:t>
      </w:r>
      <w:r>
        <w:rPr>
          <w:sz w:val="16"/>
          <w:vertAlign w:val="baseline"/>
        </w:rPr>
        <w:t>Hetero</w:t>
      </w:r>
      <w:r>
        <w:rPr>
          <w:spacing w:val="23"/>
          <w:sz w:val="16"/>
          <w:vertAlign w:val="baseline"/>
        </w:rPr>
        <w:t> </w:t>
      </w:r>
      <w:r>
        <w:rPr>
          <w:position w:val="2"/>
          <w:vertAlign w:val="baseline"/>
        </w:rPr>
        <w:t>p-value (0.155) implied the homoscedastic behaviour of the errors and the χ</w:t>
      </w:r>
      <w:r>
        <w:rPr>
          <w:position w:val="2"/>
          <w:vertAlign w:val="superscript"/>
        </w:rPr>
        <w:t>2</w:t>
      </w:r>
      <w:r>
        <w:rPr>
          <w:sz w:val="16"/>
          <w:vertAlign w:val="baseline"/>
        </w:rPr>
        <w:t>Serial/Corr </w:t>
      </w:r>
      <w:r>
        <w:rPr>
          <w:position w:val="2"/>
          <w:vertAlign w:val="baseline"/>
        </w:rPr>
        <w:t>p-value (0.502) also revealed the absence of a serial correlation. In addition, χ</w:t>
      </w:r>
      <w:r>
        <w:rPr>
          <w:position w:val="2"/>
          <w:vertAlign w:val="superscript"/>
        </w:rPr>
        <w:t>2</w:t>
      </w:r>
      <w:r>
        <w:rPr>
          <w:sz w:val="16"/>
          <w:vertAlign w:val="baseline"/>
        </w:rPr>
        <w:t>ramsey-reset</w:t>
      </w:r>
      <w:r>
        <w:rPr>
          <w:spacing w:val="40"/>
          <w:sz w:val="16"/>
          <w:vertAlign w:val="baseline"/>
        </w:rPr>
        <w:t> </w:t>
      </w:r>
      <w:r>
        <w:rPr>
          <w:position w:val="2"/>
          <w:vertAlign w:val="baseline"/>
        </w:rPr>
        <w:t>(0.510) revealed the appropriateness of the model’s </w:t>
      </w:r>
      <w:r>
        <w:rPr>
          <w:vertAlign w:val="baseline"/>
        </w:rPr>
        <w:t>functional specification.</w:t>
      </w:r>
    </w:p>
    <w:p>
      <w:pPr>
        <w:pStyle w:val="BodyText"/>
        <w:spacing w:line="480" w:lineRule="auto" w:before="2"/>
        <w:ind w:left="940" w:right="1434"/>
        <w:jc w:val="both"/>
      </w:pPr>
      <w:r>
        <w:rPr/>
        <w:t>Moving to the difference in difference estimations, the coefficient TG (treatment period) was 0.8272 and insignificant at 5% {0.9921}. The result indicated that there was no significant change in value relevance between the pre-and post-IFRS periods. Again, the study was interested in the D-I-D estimates which reflected an incremental change in DACC which captured</w:t>
      </w:r>
      <w:r>
        <w:rPr>
          <w:spacing w:val="-14"/>
        </w:rPr>
        <w:t> </w:t>
      </w:r>
      <w:r>
        <w:rPr/>
        <w:t>the</w:t>
      </w:r>
      <w:r>
        <w:rPr>
          <w:spacing w:val="-11"/>
        </w:rPr>
        <w:t> </w:t>
      </w:r>
      <w:r>
        <w:rPr/>
        <w:t>IFRS</w:t>
      </w:r>
      <w:r>
        <w:rPr>
          <w:spacing w:val="-12"/>
        </w:rPr>
        <w:t> </w:t>
      </w:r>
      <w:r>
        <w:rPr/>
        <w:t>adoption</w:t>
      </w:r>
      <w:r>
        <w:rPr>
          <w:spacing w:val="-13"/>
        </w:rPr>
        <w:t> </w:t>
      </w:r>
      <w:r>
        <w:rPr/>
        <w:t>effect.</w:t>
      </w:r>
      <w:r>
        <w:rPr>
          <w:spacing w:val="-10"/>
        </w:rPr>
        <w:t> </w:t>
      </w:r>
      <w:r>
        <w:rPr/>
        <w:t>If</w:t>
      </w:r>
      <w:r>
        <w:rPr>
          <w:spacing w:val="-10"/>
        </w:rPr>
        <w:t> </w:t>
      </w:r>
      <w:r>
        <w:rPr/>
        <w:t>IFRS</w:t>
      </w:r>
      <w:r>
        <w:rPr>
          <w:spacing w:val="-12"/>
        </w:rPr>
        <w:t> </w:t>
      </w:r>
      <w:r>
        <w:rPr/>
        <w:t>led</w:t>
      </w:r>
      <w:r>
        <w:rPr>
          <w:spacing w:val="-13"/>
        </w:rPr>
        <w:t> </w:t>
      </w:r>
      <w:r>
        <w:rPr/>
        <w:t>to</w:t>
      </w:r>
      <w:r>
        <w:rPr>
          <w:spacing w:val="-12"/>
        </w:rPr>
        <w:t> </w:t>
      </w:r>
      <w:r>
        <w:rPr/>
        <w:t>a</w:t>
      </w:r>
      <w:r>
        <w:rPr>
          <w:spacing w:val="-15"/>
        </w:rPr>
        <w:t> </w:t>
      </w:r>
      <w:r>
        <w:rPr/>
        <w:t>less</w:t>
      </w:r>
      <w:r>
        <w:rPr>
          <w:spacing w:val="-13"/>
        </w:rPr>
        <w:t> </w:t>
      </w:r>
      <w:r>
        <w:rPr/>
        <w:t>value</w:t>
      </w:r>
      <w:r>
        <w:rPr>
          <w:spacing w:val="-14"/>
        </w:rPr>
        <w:t> </w:t>
      </w:r>
      <w:r>
        <w:rPr/>
        <w:t>relevance,</w:t>
      </w:r>
      <w:r>
        <w:rPr>
          <w:spacing w:val="-13"/>
        </w:rPr>
        <w:t> </w:t>
      </w:r>
      <w:r>
        <w:rPr/>
        <w:t>we</w:t>
      </w:r>
      <w:r>
        <w:rPr>
          <w:spacing w:val="-15"/>
        </w:rPr>
        <w:t> </w:t>
      </w:r>
      <w:r>
        <w:rPr/>
        <w:t>expected</w:t>
      </w:r>
      <w:r>
        <w:rPr>
          <w:spacing w:val="-13"/>
        </w:rPr>
        <w:t> </w:t>
      </w:r>
      <w:r>
        <w:rPr/>
        <w:t>a</w:t>
      </w:r>
      <w:r>
        <w:rPr>
          <w:spacing w:val="-14"/>
        </w:rPr>
        <w:t> </w:t>
      </w:r>
      <w:r>
        <w:rPr/>
        <w:t>negative coefficient.</w:t>
      </w:r>
      <w:r>
        <w:rPr>
          <w:spacing w:val="-7"/>
        </w:rPr>
        <w:t> </w:t>
      </w:r>
      <w:r>
        <w:rPr/>
        <w:t>From</w:t>
      </w:r>
      <w:r>
        <w:rPr>
          <w:spacing w:val="-8"/>
        </w:rPr>
        <w:t> </w:t>
      </w:r>
      <w:r>
        <w:rPr/>
        <w:t>the</w:t>
      </w:r>
      <w:r>
        <w:rPr>
          <w:spacing w:val="-8"/>
        </w:rPr>
        <w:t> </w:t>
      </w:r>
      <w:r>
        <w:rPr/>
        <w:t>results,</w:t>
      </w:r>
      <w:r>
        <w:rPr>
          <w:spacing w:val="-7"/>
        </w:rPr>
        <w:t> </w:t>
      </w:r>
      <w:r>
        <w:rPr/>
        <w:t>the</w:t>
      </w:r>
      <w:r>
        <w:rPr>
          <w:spacing w:val="-8"/>
        </w:rPr>
        <w:t> </w:t>
      </w:r>
      <w:r>
        <w:rPr/>
        <w:t>D-I-D</w:t>
      </w:r>
      <w:r>
        <w:rPr>
          <w:spacing w:val="-5"/>
        </w:rPr>
        <w:t> </w:t>
      </w:r>
      <w:r>
        <w:rPr/>
        <w:t>coefficient</w:t>
      </w:r>
      <w:r>
        <w:rPr>
          <w:spacing w:val="-6"/>
        </w:rPr>
        <w:t> </w:t>
      </w:r>
      <w:r>
        <w:rPr/>
        <w:t>was</w:t>
      </w:r>
      <w:r>
        <w:rPr>
          <w:spacing w:val="-7"/>
        </w:rPr>
        <w:t> </w:t>
      </w:r>
      <w:r>
        <w:rPr/>
        <w:t>not</w:t>
      </w:r>
      <w:r>
        <w:rPr>
          <w:spacing w:val="-7"/>
        </w:rPr>
        <w:t> </w:t>
      </w:r>
      <w:r>
        <w:rPr/>
        <w:t>negative</w:t>
      </w:r>
      <w:r>
        <w:rPr>
          <w:spacing w:val="-5"/>
        </w:rPr>
        <w:t> </w:t>
      </w:r>
      <w:r>
        <w:rPr/>
        <w:t>although</w:t>
      </w:r>
      <w:r>
        <w:rPr>
          <w:spacing w:val="-7"/>
        </w:rPr>
        <w:t> </w:t>
      </w:r>
      <w:r>
        <w:rPr/>
        <w:t>not</w:t>
      </w:r>
      <w:r>
        <w:rPr>
          <w:spacing w:val="-7"/>
        </w:rPr>
        <w:t> </w:t>
      </w:r>
      <w:r>
        <w:rPr/>
        <w:t>significant</w:t>
      </w:r>
      <w:r>
        <w:rPr>
          <w:spacing w:val="-7"/>
        </w:rPr>
        <w:t> </w:t>
      </w:r>
      <w:r>
        <w:rPr/>
        <w:t>(- 7.0853, p=0.9442) and hence, it suggested that the change in value relevance was not incrementally different thus suggesting that the mandatory adoption of IFRS did not significantly affect the value relevance dimension of financial reporting quality. The results suggested</w:t>
      </w:r>
      <w:r>
        <w:rPr>
          <w:spacing w:val="-6"/>
        </w:rPr>
        <w:t> </w:t>
      </w:r>
      <w:r>
        <w:rPr/>
        <w:t>that</w:t>
      </w:r>
      <w:r>
        <w:rPr>
          <w:spacing w:val="-6"/>
        </w:rPr>
        <w:t> </w:t>
      </w:r>
      <w:r>
        <w:rPr/>
        <w:t>the</w:t>
      </w:r>
      <w:r>
        <w:rPr>
          <w:spacing w:val="-6"/>
        </w:rPr>
        <w:t> </w:t>
      </w:r>
      <w:r>
        <w:rPr/>
        <w:t>post</w:t>
      </w:r>
      <w:r>
        <w:rPr>
          <w:spacing w:val="-5"/>
        </w:rPr>
        <w:t> </w:t>
      </w:r>
      <w:r>
        <w:rPr/>
        <w:t>IFRS</w:t>
      </w:r>
      <w:r>
        <w:rPr>
          <w:spacing w:val="-5"/>
        </w:rPr>
        <w:t> </w:t>
      </w:r>
      <w:r>
        <w:rPr/>
        <w:t>period</w:t>
      </w:r>
      <w:r>
        <w:rPr>
          <w:spacing w:val="-6"/>
        </w:rPr>
        <w:t> </w:t>
      </w:r>
      <w:r>
        <w:rPr/>
        <w:t>solely</w:t>
      </w:r>
      <w:r>
        <w:rPr>
          <w:spacing w:val="-6"/>
        </w:rPr>
        <w:t> </w:t>
      </w:r>
      <w:r>
        <w:rPr/>
        <w:t>did</w:t>
      </w:r>
      <w:r>
        <w:rPr>
          <w:spacing w:val="-6"/>
        </w:rPr>
        <w:t> </w:t>
      </w:r>
      <w:r>
        <w:rPr/>
        <w:t>not</w:t>
      </w:r>
      <w:r>
        <w:rPr>
          <w:spacing w:val="-8"/>
        </w:rPr>
        <w:t> </w:t>
      </w:r>
      <w:r>
        <w:rPr/>
        <w:t>account</w:t>
      </w:r>
      <w:r>
        <w:rPr>
          <w:spacing w:val="-5"/>
        </w:rPr>
        <w:t> </w:t>
      </w:r>
      <w:r>
        <w:rPr/>
        <w:t>for</w:t>
      </w:r>
      <w:r>
        <w:rPr>
          <w:spacing w:val="-7"/>
        </w:rPr>
        <w:t> </w:t>
      </w:r>
      <w:r>
        <w:rPr/>
        <w:t>any</w:t>
      </w:r>
      <w:r>
        <w:rPr>
          <w:spacing w:val="-6"/>
        </w:rPr>
        <w:t> </w:t>
      </w:r>
      <w:r>
        <w:rPr/>
        <w:t>significant</w:t>
      </w:r>
      <w:r>
        <w:rPr>
          <w:spacing w:val="-5"/>
        </w:rPr>
        <w:t> </w:t>
      </w:r>
      <w:r>
        <w:rPr/>
        <w:t>changes</w:t>
      </w:r>
      <w:r>
        <w:rPr>
          <w:spacing w:val="-6"/>
        </w:rPr>
        <w:t> </w:t>
      </w:r>
      <w:r>
        <w:rPr/>
        <w:t>in</w:t>
      </w:r>
      <w:r>
        <w:rPr>
          <w:spacing w:val="-5"/>
        </w:rPr>
        <w:t> </w:t>
      </w:r>
      <w:r>
        <w:rPr/>
        <w:t>value relevance</w:t>
      </w:r>
      <w:r>
        <w:rPr>
          <w:spacing w:val="-4"/>
        </w:rPr>
        <w:t> </w:t>
      </w:r>
      <w:r>
        <w:rPr/>
        <w:t>but</w:t>
      </w:r>
      <w:r>
        <w:rPr>
          <w:spacing w:val="-3"/>
        </w:rPr>
        <w:t> </w:t>
      </w:r>
      <w:r>
        <w:rPr/>
        <w:t>contemporaneous</w:t>
      </w:r>
      <w:r>
        <w:rPr>
          <w:spacing w:val="-3"/>
        </w:rPr>
        <w:t> </w:t>
      </w:r>
      <w:r>
        <w:rPr/>
        <w:t>factors</w:t>
      </w:r>
      <w:r>
        <w:rPr>
          <w:spacing w:val="-1"/>
        </w:rPr>
        <w:t> </w:t>
      </w:r>
      <w:r>
        <w:rPr/>
        <w:t>could</w:t>
      </w:r>
      <w:r>
        <w:rPr>
          <w:spacing w:val="-3"/>
        </w:rPr>
        <w:t> </w:t>
      </w:r>
      <w:r>
        <w:rPr/>
        <w:t>thus</w:t>
      </w:r>
      <w:r>
        <w:rPr>
          <w:spacing w:val="-1"/>
        </w:rPr>
        <w:t> </w:t>
      </w:r>
      <w:r>
        <w:rPr/>
        <w:t>account</w:t>
      </w:r>
      <w:r>
        <w:rPr>
          <w:spacing w:val="-3"/>
        </w:rPr>
        <w:t> </w:t>
      </w:r>
      <w:r>
        <w:rPr/>
        <w:t>for</w:t>
      </w:r>
      <w:r>
        <w:rPr>
          <w:spacing w:val="-3"/>
        </w:rPr>
        <w:t> </w:t>
      </w:r>
      <w:r>
        <w:rPr/>
        <w:t>any</w:t>
      </w:r>
      <w:r>
        <w:rPr>
          <w:spacing w:val="-3"/>
        </w:rPr>
        <w:t> </w:t>
      </w:r>
      <w:r>
        <w:rPr/>
        <w:t>observed</w:t>
      </w:r>
      <w:r>
        <w:rPr>
          <w:spacing w:val="-3"/>
        </w:rPr>
        <w:t> </w:t>
      </w:r>
      <w:r>
        <w:rPr/>
        <w:t>effect,</w:t>
      </w:r>
      <w:r>
        <w:rPr>
          <w:spacing w:val="-3"/>
        </w:rPr>
        <w:t> </w:t>
      </w:r>
      <w:r>
        <w:rPr/>
        <w:t>and</w:t>
      </w:r>
      <w:r>
        <w:rPr>
          <w:spacing w:val="-3"/>
        </w:rPr>
        <w:t> </w:t>
      </w:r>
      <w:r>
        <w:rPr/>
        <w:t>in</w:t>
      </w:r>
      <w:r>
        <w:rPr>
          <w:spacing w:val="-3"/>
        </w:rPr>
        <w:t> </w:t>
      </w:r>
      <w:r>
        <w:rPr/>
        <w:t>that </w:t>
      </w:r>
      <w:r>
        <w:rPr>
          <w:spacing w:val="-2"/>
        </w:rPr>
        <w:t>regard.</w:t>
      </w:r>
    </w:p>
    <w:p>
      <w:pPr>
        <w:spacing w:after="0" w:line="480" w:lineRule="auto"/>
        <w:jc w:val="both"/>
        <w:sectPr>
          <w:pgSz w:w="11910" w:h="16840"/>
          <w:pgMar w:header="0" w:footer="971" w:top="1360" w:bottom="1160" w:left="500" w:right="0"/>
        </w:sectPr>
      </w:pPr>
    </w:p>
    <w:p>
      <w:pPr>
        <w:pStyle w:val="BodyText"/>
        <w:spacing w:before="61"/>
        <w:ind w:left="2073"/>
      </w:pPr>
      <w:r>
        <w:rPr>
          <w:b/>
        </w:rPr>
        <w:t>Table</w:t>
      </w:r>
      <w:r>
        <w:rPr>
          <w:b/>
          <w:spacing w:val="-1"/>
        </w:rPr>
        <w:t> </w:t>
      </w:r>
      <w:r>
        <w:rPr>
          <w:b/>
        </w:rPr>
        <w:t>4.11</w:t>
      </w:r>
      <w:r>
        <w:rPr>
          <w:b/>
          <w:spacing w:val="-1"/>
        </w:rPr>
        <w:t> </w:t>
      </w:r>
      <w:r>
        <w:rPr/>
        <w:t>VREL</w:t>
      </w:r>
      <w:r>
        <w:rPr>
          <w:spacing w:val="-1"/>
        </w:rPr>
        <w:t> </w:t>
      </w:r>
      <w:r>
        <w:rPr/>
        <w:t>and Ownership</w:t>
      </w:r>
      <w:r>
        <w:rPr>
          <w:spacing w:val="-1"/>
        </w:rPr>
        <w:t> </w:t>
      </w:r>
      <w:r>
        <w:rPr/>
        <w:t>Structure</w:t>
      </w:r>
      <w:r>
        <w:rPr>
          <w:spacing w:val="-3"/>
        </w:rPr>
        <w:t> </w:t>
      </w:r>
      <w:r>
        <w:rPr/>
        <w:t>Regression </w:t>
      </w:r>
      <w:r>
        <w:rPr>
          <w:spacing w:val="-2"/>
        </w:rPr>
        <w:t>Result</w:t>
      </w: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708"/>
        <w:gridCol w:w="2253"/>
      </w:tblGrid>
      <w:tr>
        <w:trPr>
          <w:trHeight w:val="460" w:hRule="atLeast"/>
        </w:trPr>
        <w:tc>
          <w:tcPr>
            <w:tcW w:w="1906" w:type="dxa"/>
            <w:tcBorders>
              <w:left w:val="nil"/>
              <w:bottom w:val="single" w:sz="4" w:space="0" w:color="000000"/>
            </w:tcBorders>
          </w:tcPr>
          <w:p>
            <w:pPr>
              <w:pStyle w:val="TableParagraph"/>
              <w:rPr>
                <w:rFonts w:ascii="Times New Roman"/>
                <w:sz w:val="20"/>
              </w:rPr>
            </w:pPr>
          </w:p>
        </w:tc>
        <w:tc>
          <w:tcPr>
            <w:tcW w:w="986" w:type="dxa"/>
            <w:tcBorders>
              <w:bottom w:val="single" w:sz="4" w:space="0" w:color="000000"/>
            </w:tcBorders>
          </w:tcPr>
          <w:p>
            <w:pPr>
              <w:pStyle w:val="TableParagraph"/>
              <w:spacing w:line="230" w:lineRule="atLeast"/>
              <w:ind w:left="100" w:right="334"/>
              <w:rPr>
                <w:rFonts w:ascii="Times New Roman"/>
                <w:sz w:val="20"/>
              </w:rPr>
            </w:pPr>
            <w:r>
              <w:rPr>
                <w:rFonts w:ascii="Times New Roman"/>
                <w:spacing w:val="-2"/>
                <w:sz w:val="20"/>
              </w:rPr>
              <w:t>Aprori </w:t>
            </w:r>
            <w:r>
              <w:rPr>
                <w:rFonts w:ascii="Times New Roman"/>
                <w:spacing w:val="-4"/>
                <w:sz w:val="20"/>
              </w:rPr>
              <w:t>sign</w:t>
            </w:r>
          </w:p>
        </w:tc>
        <w:tc>
          <w:tcPr>
            <w:tcW w:w="5581" w:type="dxa"/>
            <w:gridSpan w:val="3"/>
            <w:tcBorders>
              <w:bottom w:val="single" w:sz="4" w:space="0" w:color="000000"/>
              <w:right w:val="nil"/>
            </w:tcBorders>
          </w:tcPr>
          <w:p>
            <w:pPr>
              <w:pStyle w:val="TableParagraph"/>
              <w:ind w:left="1697"/>
              <w:rPr>
                <w:rFonts w:ascii="Times New Roman"/>
                <w:sz w:val="20"/>
              </w:rPr>
            </w:pPr>
            <w:r>
              <w:rPr>
                <w:rFonts w:ascii="Times New Roman"/>
                <w:sz w:val="20"/>
              </w:rPr>
              <w:t>Dependent</w:t>
            </w:r>
            <w:r>
              <w:rPr>
                <w:rFonts w:ascii="Times New Roman"/>
                <w:spacing w:val="-6"/>
                <w:sz w:val="20"/>
              </w:rPr>
              <w:t> </w:t>
            </w:r>
            <w:r>
              <w:rPr>
                <w:rFonts w:ascii="Times New Roman"/>
                <w:sz w:val="20"/>
              </w:rPr>
              <w:t>Variable</w:t>
            </w:r>
            <w:r>
              <w:rPr>
                <w:rFonts w:ascii="Times New Roman"/>
                <w:spacing w:val="-5"/>
                <w:sz w:val="20"/>
              </w:rPr>
              <w:t> </w:t>
            </w:r>
            <w:r>
              <w:rPr>
                <w:rFonts w:ascii="Times New Roman"/>
                <w:spacing w:val="-4"/>
                <w:sz w:val="20"/>
              </w:rPr>
              <w:t>VREL</w:t>
            </w:r>
          </w:p>
        </w:tc>
      </w:tr>
      <w:tr>
        <w:trPr>
          <w:trHeight w:val="460" w:hRule="atLeast"/>
        </w:trPr>
        <w:tc>
          <w:tcPr>
            <w:tcW w:w="1906" w:type="dxa"/>
            <w:tcBorders>
              <w:top w:val="single" w:sz="4" w:space="0" w:color="000000"/>
              <w:left w:val="nil"/>
            </w:tcBorders>
          </w:tcPr>
          <w:p>
            <w:pPr>
              <w:pStyle w:val="TableParagraph"/>
              <w:rPr>
                <w:rFonts w:ascii="Times New Roman"/>
                <w:sz w:val="20"/>
              </w:rPr>
            </w:pPr>
          </w:p>
        </w:tc>
        <w:tc>
          <w:tcPr>
            <w:tcW w:w="986" w:type="dxa"/>
            <w:tcBorders>
              <w:top w:val="single" w:sz="4" w:space="0" w:color="000000"/>
            </w:tcBorders>
          </w:tcPr>
          <w:p>
            <w:pPr>
              <w:pStyle w:val="TableParagraph"/>
              <w:rPr>
                <w:rFonts w:ascii="Times New Roman"/>
                <w:sz w:val="20"/>
              </w:rPr>
            </w:pPr>
          </w:p>
        </w:tc>
        <w:tc>
          <w:tcPr>
            <w:tcW w:w="1620" w:type="dxa"/>
            <w:tcBorders>
              <w:top w:val="single" w:sz="4" w:space="0" w:color="000000"/>
              <w:right w:val="single" w:sz="4" w:space="0" w:color="000000"/>
            </w:tcBorders>
          </w:tcPr>
          <w:p>
            <w:pPr>
              <w:pStyle w:val="TableParagraph"/>
              <w:spacing w:line="230" w:lineRule="atLeast"/>
              <w:ind w:left="429" w:right="282" w:hanging="147"/>
              <w:rPr>
                <w:rFonts w:ascii="Times New Roman"/>
                <w:sz w:val="20"/>
              </w:rPr>
            </w:pPr>
            <w:r>
              <w:rPr>
                <w:rFonts w:ascii="Times New Roman"/>
                <w:sz w:val="20"/>
              </w:rPr>
              <w:t>Fixed</w:t>
            </w:r>
            <w:r>
              <w:rPr>
                <w:rFonts w:ascii="Times New Roman"/>
                <w:spacing w:val="-13"/>
                <w:sz w:val="20"/>
              </w:rPr>
              <w:t> </w:t>
            </w:r>
            <w:r>
              <w:rPr>
                <w:rFonts w:ascii="Times New Roman"/>
                <w:sz w:val="20"/>
              </w:rPr>
              <w:t>effects </w:t>
            </w:r>
            <w:r>
              <w:rPr>
                <w:rFonts w:ascii="Times New Roman"/>
                <w:spacing w:val="-2"/>
                <w:sz w:val="20"/>
              </w:rPr>
              <w:t>estimates</w:t>
            </w:r>
          </w:p>
        </w:tc>
        <w:tc>
          <w:tcPr>
            <w:tcW w:w="1708" w:type="dxa"/>
            <w:tcBorders>
              <w:top w:val="single" w:sz="4" w:space="0" w:color="000000"/>
              <w:left w:val="single" w:sz="4" w:space="0" w:color="000000"/>
              <w:right w:val="single" w:sz="4" w:space="0" w:color="000000"/>
            </w:tcBorders>
          </w:tcPr>
          <w:p>
            <w:pPr>
              <w:pStyle w:val="TableParagraph"/>
              <w:spacing w:line="230" w:lineRule="atLeast"/>
              <w:ind w:left="475" w:right="215" w:hanging="260"/>
              <w:rPr>
                <w:rFonts w:ascii="Times New Roman"/>
                <w:sz w:val="20"/>
              </w:rPr>
            </w:pPr>
            <w:r>
              <w:rPr>
                <w:rFonts w:ascii="Times New Roman"/>
                <w:sz w:val="20"/>
              </w:rPr>
              <w:t>Random</w:t>
            </w:r>
            <w:r>
              <w:rPr>
                <w:rFonts w:ascii="Times New Roman"/>
                <w:spacing w:val="-13"/>
                <w:sz w:val="20"/>
              </w:rPr>
              <w:t> </w:t>
            </w:r>
            <w:r>
              <w:rPr>
                <w:rFonts w:ascii="Times New Roman"/>
                <w:sz w:val="20"/>
              </w:rPr>
              <w:t>effects </w:t>
            </w:r>
            <w:r>
              <w:rPr>
                <w:rFonts w:ascii="Times New Roman"/>
                <w:spacing w:val="-2"/>
                <w:sz w:val="20"/>
              </w:rPr>
              <w:t>estimates</w:t>
            </w:r>
          </w:p>
        </w:tc>
        <w:tc>
          <w:tcPr>
            <w:tcW w:w="2253" w:type="dxa"/>
            <w:tcBorders>
              <w:top w:val="single" w:sz="4" w:space="0" w:color="000000"/>
              <w:left w:val="single" w:sz="4" w:space="0" w:color="000000"/>
              <w:right w:val="nil"/>
            </w:tcBorders>
          </w:tcPr>
          <w:p>
            <w:pPr>
              <w:pStyle w:val="TableParagraph"/>
              <w:spacing w:line="230" w:lineRule="atLeast"/>
              <w:ind w:left="750" w:hanging="630"/>
              <w:rPr>
                <w:rFonts w:ascii="Times New Roman"/>
                <w:sz w:val="20"/>
              </w:rPr>
            </w:pPr>
            <w:r>
              <w:rPr>
                <w:rFonts w:ascii="Times New Roman"/>
                <w:spacing w:val="-2"/>
                <w:sz w:val="20"/>
              </w:rPr>
              <w:t>Difference-in-Difference estimates</w:t>
            </w:r>
          </w:p>
        </w:tc>
      </w:tr>
      <w:tr>
        <w:trPr>
          <w:trHeight w:val="287" w:hRule="atLeast"/>
        </w:trPr>
        <w:tc>
          <w:tcPr>
            <w:tcW w:w="1906" w:type="dxa"/>
            <w:tcBorders>
              <w:left w:val="nil"/>
              <w:bottom w:val="nil"/>
            </w:tcBorders>
          </w:tcPr>
          <w:p>
            <w:pPr>
              <w:pStyle w:val="TableParagraph"/>
              <w:ind w:left="159" w:right="144"/>
              <w:jc w:val="center"/>
              <w:rPr>
                <w:rFonts w:ascii="Times New Roman"/>
                <w:sz w:val="19"/>
              </w:rPr>
            </w:pPr>
            <w:r>
              <w:rPr>
                <w:rFonts w:ascii="Times New Roman"/>
                <w:spacing w:val="-10"/>
                <w:sz w:val="19"/>
              </w:rPr>
              <w:t>C</w:t>
            </w:r>
          </w:p>
        </w:tc>
        <w:tc>
          <w:tcPr>
            <w:tcW w:w="986" w:type="dxa"/>
            <w:vMerge w:val="restart"/>
            <w:tcBorders>
              <w:bottom w:val="single" w:sz="4" w:space="0" w:color="000000"/>
            </w:tcBorders>
          </w:tcPr>
          <w:p>
            <w:pPr>
              <w:pStyle w:val="TableParagraph"/>
              <w:rPr>
                <w:rFonts w:ascii="Times New Roman"/>
                <w:sz w:val="20"/>
              </w:rPr>
            </w:pPr>
          </w:p>
        </w:tc>
        <w:tc>
          <w:tcPr>
            <w:tcW w:w="1620" w:type="dxa"/>
            <w:tcBorders>
              <w:bottom w:val="nil"/>
            </w:tcBorders>
          </w:tcPr>
          <w:p>
            <w:pPr>
              <w:pStyle w:val="TableParagraph"/>
              <w:ind w:left="143" w:right="153"/>
              <w:jc w:val="center"/>
              <w:rPr>
                <w:rFonts w:ascii="Times New Roman"/>
                <w:sz w:val="20"/>
              </w:rPr>
            </w:pPr>
            <w:r>
              <w:rPr>
                <w:rFonts w:ascii="Times New Roman"/>
                <w:spacing w:val="-2"/>
                <w:sz w:val="20"/>
              </w:rPr>
              <w:t>1.1822</w:t>
            </w:r>
          </w:p>
        </w:tc>
        <w:tc>
          <w:tcPr>
            <w:tcW w:w="1708" w:type="dxa"/>
            <w:tcBorders>
              <w:bottom w:val="nil"/>
              <w:right w:val="single" w:sz="4" w:space="0" w:color="000000"/>
            </w:tcBorders>
          </w:tcPr>
          <w:p>
            <w:pPr>
              <w:pStyle w:val="TableParagraph"/>
              <w:ind w:left="68" w:right="70"/>
              <w:jc w:val="center"/>
              <w:rPr>
                <w:rFonts w:ascii="Times New Roman"/>
                <w:sz w:val="20"/>
              </w:rPr>
            </w:pPr>
            <w:r>
              <w:rPr>
                <w:rFonts w:ascii="Times New Roman"/>
                <w:spacing w:val="-2"/>
                <w:sz w:val="20"/>
              </w:rPr>
              <w:t>0.2936***</w:t>
            </w:r>
          </w:p>
        </w:tc>
        <w:tc>
          <w:tcPr>
            <w:tcW w:w="2253" w:type="dxa"/>
            <w:tcBorders>
              <w:left w:val="single" w:sz="4" w:space="0" w:color="000000"/>
              <w:bottom w:val="nil"/>
              <w:right w:val="nil"/>
            </w:tcBorders>
          </w:tcPr>
          <w:p>
            <w:pPr>
              <w:pStyle w:val="TableParagraph"/>
              <w:ind w:left="392" w:right="399"/>
              <w:jc w:val="center"/>
              <w:rPr>
                <w:rFonts w:ascii="Times New Roman"/>
                <w:sz w:val="20"/>
              </w:rPr>
            </w:pPr>
            <w:r>
              <w:rPr>
                <w:rFonts w:ascii="Times New Roman"/>
                <w:spacing w:val="-2"/>
                <w:sz w:val="20"/>
              </w:rPr>
              <w:t>14.6746</w:t>
            </w:r>
          </w:p>
        </w:tc>
      </w:tr>
      <w:tr>
        <w:trPr>
          <w:trHeight w:val="395"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tcBorders>
          </w:tcPr>
          <w:p>
            <w:pPr>
              <w:rPr>
                <w:sz w:val="2"/>
                <w:szCs w:val="2"/>
              </w:rPr>
            </w:pPr>
          </w:p>
        </w:tc>
        <w:tc>
          <w:tcPr>
            <w:tcW w:w="1620" w:type="dxa"/>
            <w:tcBorders>
              <w:top w:val="nil"/>
              <w:bottom w:val="nil"/>
            </w:tcBorders>
          </w:tcPr>
          <w:p>
            <w:pPr>
              <w:pStyle w:val="TableParagraph"/>
              <w:spacing w:before="48"/>
              <w:ind w:left="143" w:right="156"/>
              <w:jc w:val="center"/>
              <w:rPr>
                <w:rFonts w:ascii="Times New Roman"/>
                <w:sz w:val="20"/>
              </w:rPr>
            </w:pPr>
            <w:r>
              <w:rPr>
                <w:rFonts w:ascii="Times New Roman"/>
                <w:spacing w:val="-2"/>
                <w:sz w:val="20"/>
              </w:rPr>
              <w:t>(9.86339)</w:t>
            </w:r>
          </w:p>
        </w:tc>
        <w:tc>
          <w:tcPr>
            <w:tcW w:w="1708" w:type="dxa"/>
            <w:tcBorders>
              <w:top w:val="nil"/>
              <w:bottom w:val="nil"/>
              <w:right w:val="single" w:sz="4" w:space="0" w:color="000000"/>
            </w:tcBorders>
          </w:tcPr>
          <w:p>
            <w:pPr>
              <w:pStyle w:val="TableParagraph"/>
              <w:spacing w:before="48"/>
              <w:ind w:left="68" w:right="70"/>
              <w:jc w:val="center"/>
              <w:rPr>
                <w:rFonts w:ascii="Times New Roman"/>
                <w:sz w:val="20"/>
              </w:rPr>
            </w:pPr>
            <w:r>
              <w:rPr>
                <w:rFonts w:ascii="Times New Roman"/>
                <w:spacing w:val="-2"/>
                <w:sz w:val="20"/>
              </w:rPr>
              <w:t>(0.0608)</w:t>
            </w:r>
          </w:p>
        </w:tc>
        <w:tc>
          <w:tcPr>
            <w:tcW w:w="2253" w:type="dxa"/>
            <w:tcBorders>
              <w:top w:val="nil"/>
              <w:left w:val="single" w:sz="4" w:space="0" w:color="000000"/>
              <w:bottom w:val="nil"/>
              <w:right w:val="nil"/>
            </w:tcBorders>
          </w:tcPr>
          <w:p>
            <w:pPr>
              <w:pStyle w:val="TableParagraph"/>
              <w:spacing w:line="207" w:lineRule="exact" w:before="168"/>
              <w:ind w:left="390" w:right="399"/>
              <w:jc w:val="center"/>
              <w:rPr>
                <w:rFonts w:ascii="Times New Roman"/>
                <w:sz w:val="20"/>
              </w:rPr>
            </w:pPr>
            <w:r>
              <w:rPr>
                <w:rFonts w:ascii="Times New Roman"/>
                <w:spacing w:val="-2"/>
                <w:sz w:val="20"/>
              </w:rPr>
              <w:t>(105.213)</w:t>
            </w:r>
          </w:p>
        </w:tc>
      </w:tr>
      <w:tr>
        <w:trPr>
          <w:trHeight w:val="221" w:hRule="atLeast"/>
        </w:trPr>
        <w:tc>
          <w:tcPr>
            <w:tcW w:w="1906" w:type="dxa"/>
            <w:tcBorders>
              <w:top w:val="nil"/>
              <w:left w:val="nil"/>
              <w:bottom w:val="nil"/>
            </w:tcBorders>
          </w:tcPr>
          <w:p>
            <w:pPr>
              <w:pStyle w:val="TableParagraph"/>
              <w:rPr>
                <w:rFonts w:ascii="Times New Roman"/>
                <w:sz w:val="14"/>
              </w:rPr>
            </w:pPr>
          </w:p>
        </w:tc>
        <w:tc>
          <w:tcPr>
            <w:tcW w:w="986" w:type="dxa"/>
            <w:vMerge/>
            <w:tcBorders>
              <w:top w:val="nil"/>
              <w:bottom w:val="single" w:sz="4" w:space="0" w:color="000000"/>
            </w:tcBorders>
          </w:tcPr>
          <w:p>
            <w:pPr>
              <w:rPr>
                <w:sz w:val="2"/>
                <w:szCs w:val="2"/>
              </w:rPr>
            </w:pPr>
          </w:p>
        </w:tc>
        <w:tc>
          <w:tcPr>
            <w:tcW w:w="1620" w:type="dxa"/>
            <w:tcBorders>
              <w:top w:val="nil"/>
              <w:bottom w:val="nil"/>
            </w:tcBorders>
          </w:tcPr>
          <w:p>
            <w:pPr>
              <w:pStyle w:val="TableParagraph"/>
              <w:spacing w:line="202" w:lineRule="exact"/>
              <w:ind w:left="143" w:right="143"/>
              <w:jc w:val="center"/>
              <w:rPr>
                <w:rFonts w:ascii="Times New Roman"/>
                <w:sz w:val="20"/>
              </w:rPr>
            </w:pPr>
            <w:r>
              <w:rPr>
                <w:rFonts w:ascii="Times New Roman"/>
                <w:spacing w:val="-2"/>
                <w:sz w:val="20"/>
              </w:rPr>
              <w:t>{0.9047}</w:t>
            </w:r>
          </w:p>
        </w:tc>
        <w:tc>
          <w:tcPr>
            <w:tcW w:w="1708" w:type="dxa"/>
            <w:tcBorders>
              <w:top w:val="nil"/>
              <w:bottom w:val="nil"/>
              <w:right w:val="single" w:sz="4" w:space="0" w:color="000000"/>
            </w:tcBorders>
          </w:tcPr>
          <w:p>
            <w:pPr>
              <w:pStyle w:val="TableParagraph"/>
              <w:spacing w:line="202" w:lineRule="exact"/>
              <w:ind w:left="69" w:right="70"/>
              <w:jc w:val="center"/>
              <w:rPr>
                <w:rFonts w:ascii="Times New Roman"/>
                <w:sz w:val="20"/>
              </w:rPr>
            </w:pPr>
            <w:r>
              <w:rPr>
                <w:rFonts w:ascii="Times New Roman"/>
                <w:spacing w:val="-2"/>
                <w:sz w:val="20"/>
              </w:rPr>
              <w:t>{0.000}</w:t>
            </w:r>
          </w:p>
        </w:tc>
        <w:tc>
          <w:tcPr>
            <w:tcW w:w="2253" w:type="dxa"/>
            <w:tcBorders>
              <w:top w:val="nil"/>
              <w:left w:val="single" w:sz="4" w:space="0" w:color="000000"/>
              <w:bottom w:val="nil"/>
              <w:right w:val="nil"/>
            </w:tcBorders>
          </w:tcPr>
          <w:p>
            <w:pPr>
              <w:pStyle w:val="TableParagraph"/>
              <w:rPr>
                <w:rFonts w:ascii="Times New Roman"/>
                <w:sz w:val="14"/>
              </w:rPr>
            </w:pPr>
          </w:p>
        </w:tc>
      </w:tr>
      <w:tr>
        <w:trPr>
          <w:trHeight w:val="257"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vMerge/>
            <w:tcBorders>
              <w:top w:val="nil"/>
              <w:bottom w:val="single" w:sz="4" w:space="0" w:color="000000"/>
            </w:tcBorders>
          </w:tcPr>
          <w:p>
            <w:pPr>
              <w:rPr>
                <w:sz w:val="2"/>
                <w:szCs w:val="2"/>
              </w:rPr>
            </w:pPr>
          </w:p>
        </w:tc>
        <w:tc>
          <w:tcPr>
            <w:tcW w:w="1620" w:type="dxa"/>
            <w:tcBorders>
              <w:top w:val="nil"/>
              <w:bottom w:val="single" w:sz="4" w:space="0" w:color="000000"/>
            </w:tcBorders>
          </w:tcPr>
          <w:p>
            <w:pPr>
              <w:pStyle w:val="TableParagraph"/>
              <w:rPr>
                <w:rFonts w:ascii="Times New Roman"/>
                <w:sz w:val="18"/>
              </w:rPr>
            </w:pPr>
          </w:p>
        </w:tc>
        <w:tc>
          <w:tcPr>
            <w:tcW w:w="1708" w:type="dxa"/>
            <w:tcBorders>
              <w:top w:val="nil"/>
              <w:bottom w:val="single" w:sz="4" w:space="0" w:color="000000"/>
              <w:right w:val="single" w:sz="4" w:space="0" w:color="000000"/>
            </w:tcBorders>
          </w:tcPr>
          <w:p>
            <w:pPr>
              <w:pStyle w:val="TableParagraph"/>
              <w:rPr>
                <w:rFonts w:ascii="Times New Roman"/>
                <w:sz w:val="18"/>
              </w:rPr>
            </w:pPr>
          </w:p>
        </w:tc>
        <w:tc>
          <w:tcPr>
            <w:tcW w:w="2253" w:type="dxa"/>
            <w:tcBorders>
              <w:top w:val="nil"/>
              <w:left w:val="single" w:sz="4" w:space="0" w:color="000000"/>
              <w:right w:val="nil"/>
            </w:tcBorders>
          </w:tcPr>
          <w:p>
            <w:pPr>
              <w:pStyle w:val="TableParagraph"/>
              <w:spacing w:line="224" w:lineRule="exact"/>
              <w:ind w:left="400" w:right="399"/>
              <w:jc w:val="center"/>
              <w:rPr>
                <w:rFonts w:ascii="Times New Roman"/>
                <w:sz w:val="20"/>
              </w:rPr>
            </w:pPr>
            <w:r>
              <w:rPr>
                <w:rFonts w:ascii="Times New Roman"/>
                <w:spacing w:val="-2"/>
                <w:sz w:val="20"/>
              </w:rPr>
              <w:t>{0.8892}</w:t>
            </w:r>
          </w:p>
        </w:tc>
      </w:tr>
      <w:tr>
        <w:trPr>
          <w:trHeight w:val="279" w:hRule="atLeast"/>
        </w:trPr>
        <w:tc>
          <w:tcPr>
            <w:tcW w:w="1906" w:type="dxa"/>
            <w:tcBorders>
              <w:top w:val="single" w:sz="4" w:space="0" w:color="000000"/>
              <w:left w:val="nil"/>
              <w:bottom w:val="nil"/>
            </w:tcBorders>
          </w:tcPr>
          <w:p>
            <w:pPr>
              <w:pStyle w:val="TableParagraph"/>
              <w:spacing w:before="2"/>
              <w:ind w:left="159" w:right="147"/>
              <w:jc w:val="center"/>
              <w:rPr>
                <w:rFonts w:ascii="Times New Roman"/>
                <w:sz w:val="19"/>
              </w:rPr>
            </w:pPr>
            <w:r>
              <w:rPr/>
              <mc:AlternateContent>
                <mc:Choice Requires="wps">
                  <w:drawing>
                    <wp:anchor distT="0" distB="0" distL="0" distR="0" allowOverlap="1" layoutInCell="1" locked="0" behindDoc="1" simplePos="0" relativeHeight="477750784">
                      <wp:simplePos x="0" y="0"/>
                      <wp:positionH relativeFrom="column">
                        <wp:posOffset>14630</wp:posOffset>
                      </wp:positionH>
                      <wp:positionV relativeFrom="paragraph">
                        <wp:posOffset>268721</wp:posOffset>
                      </wp:positionV>
                      <wp:extent cx="5107305" cy="5238115"/>
                      <wp:effectExtent l="0" t="0" r="0" b="0"/>
                      <wp:wrapNone/>
                      <wp:docPr id="213" name="Group 213"/>
                      <wp:cNvGraphicFramePr>
                        <a:graphicFrameLocks/>
                      </wp:cNvGraphicFramePr>
                      <a:graphic>
                        <a:graphicData uri="http://schemas.microsoft.com/office/word/2010/wordprocessingGroup">
                          <wpg:wgp>
                            <wpg:cNvPr id="213" name="Group 213"/>
                            <wpg:cNvGrpSpPr/>
                            <wpg:grpSpPr>
                              <a:xfrm>
                                <a:off x="0" y="0"/>
                                <a:ext cx="5107305" cy="5238115"/>
                                <a:chExt cx="5107305" cy="5238115"/>
                              </a:xfrm>
                            </wpg:grpSpPr>
                            <pic:pic>
                              <pic:nvPicPr>
                                <pic:cNvPr id="214" name="Image 214"/>
                                <pic:cNvPicPr/>
                              </pic:nvPicPr>
                              <pic:blipFill>
                                <a:blip r:embed="rId5" cstate="print"/>
                                <a:stretch>
                                  <a:fillRect/>
                                </a:stretch>
                              </pic:blipFill>
                              <pic:spPr>
                                <a:xfrm>
                                  <a:off x="0" y="0"/>
                                  <a:ext cx="5106847" cy="5238115"/>
                                </a:xfrm>
                                <a:prstGeom prst="rect">
                                  <a:avLst/>
                                </a:prstGeom>
                              </pic:spPr>
                            </pic:pic>
                          </wpg:wgp>
                        </a:graphicData>
                      </a:graphic>
                    </wp:anchor>
                  </w:drawing>
                </mc:Choice>
                <mc:Fallback>
                  <w:pict>
                    <v:group style="position:absolute;margin-left:1.152pt;margin-top:21.159163pt;width:402.15pt;height:412.45pt;mso-position-horizontal-relative:column;mso-position-vertical-relative:paragraph;z-index:-25565696" id="docshapegroup72" coordorigin="23,423" coordsize="8043,8249">
                      <v:shape style="position:absolute;left:23;top:423;width:8043;height:8249" type="#_x0000_t75" id="docshape73" stroked="false">
                        <v:imagedata r:id="rId5" o:title=""/>
                      </v:shape>
                      <w10:wrap type="none"/>
                    </v:group>
                  </w:pict>
                </mc:Fallback>
              </mc:AlternateContent>
            </w:r>
            <w:r>
              <w:rPr>
                <w:rFonts w:ascii="Times New Roman"/>
                <w:spacing w:val="-2"/>
                <w:sz w:val="19"/>
              </w:rPr>
              <w:t>T-periods</w:t>
            </w:r>
          </w:p>
        </w:tc>
        <w:tc>
          <w:tcPr>
            <w:tcW w:w="986" w:type="dxa"/>
            <w:tcBorders>
              <w:top w:val="single" w:sz="4" w:space="0" w:color="000000"/>
              <w:bottom w:val="nil"/>
            </w:tcBorders>
          </w:tcPr>
          <w:p>
            <w:pPr>
              <w:pStyle w:val="TableParagraph"/>
              <w:rPr>
                <w:rFonts w:ascii="Times New Roman"/>
                <w:sz w:val="20"/>
              </w:rPr>
            </w:pPr>
          </w:p>
        </w:tc>
        <w:tc>
          <w:tcPr>
            <w:tcW w:w="1620"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70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53" w:type="dxa"/>
            <w:tcBorders>
              <w:left w:val="single" w:sz="4" w:space="0" w:color="000000"/>
              <w:bottom w:val="nil"/>
              <w:right w:val="nil"/>
            </w:tcBorders>
          </w:tcPr>
          <w:p>
            <w:pPr>
              <w:pStyle w:val="TableParagraph"/>
              <w:spacing w:before="2"/>
              <w:ind w:left="393" w:right="399"/>
              <w:jc w:val="center"/>
              <w:rPr>
                <w:rFonts w:ascii="Times New Roman"/>
                <w:sz w:val="20"/>
              </w:rPr>
            </w:pPr>
            <w:r>
              <w:rPr>
                <w:rFonts w:ascii="Times New Roman"/>
                <w:spacing w:val="-2"/>
                <w:sz w:val="20"/>
              </w:rPr>
              <w:t>-1.4266</w:t>
            </w:r>
          </w:p>
        </w:tc>
      </w:tr>
      <w:tr>
        <w:trPr>
          <w:trHeight w:val="52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tcBorders>
          </w:tcPr>
          <w:p>
            <w:pPr>
              <w:pStyle w:val="TableParagraph"/>
              <w:spacing w:before="39"/>
              <w:ind w:left="431"/>
              <w:rPr>
                <w:rFonts w:ascii="Times New Roman"/>
                <w:sz w:val="19"/>
              </w:rPr>
            </w:pPr>
            <w:r>
              <w:rPr>
                <w:rFonts w:ascii="Times New Roman"/>
                <w:spacing w:val="-10"/>
                <w:sz w:val="19"/>
              </w:rPr>
              <w:t>+</w:t>
            </w:r>
          </w:p>
        </w:tc>
        <w:tc>
          <w:tcPr>
            <w:tcW w:w="1620" w:type="dxa"/>
            <w:vMerge/>
            <w:tcBorders>
              <w:top w:val="nil"/>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nil"/>
              <w:right w:val="nil"/>
            </w:tcBorders>
          </w:tcPr>
          <w:p>
            <w:pPr>
              <w:pStyle w:val="TableParagraph"/>
              <w:spacing w:before="176"/>
              <w:ind w:left="392" w:right="399"/>
              <w:jc w:val="center"/>
              <w:rPr>
                <w:rFonts w:ascii="Times New Roman"/>
                <w:sz w:val="20"/>
              </w:rPr>
            </w:pPr>
            <w:r>
              <w:rPr>
                <w:rFonts w:ascii="Times New Roman"/>
                <w:spacing w:val="-2"/>
                <w:sz w:val="20"/>
              </w:rPr>
              <w:t>(103.95)</w:t>
            </w:r>
          </w:p>
        </w:tc>
      </w:tr>
      <w:tr>
        <w:trPr>
          <w:trHeight w:val="371"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tcBorders>
          </w:tcPr>
          <w:p>
            <w:pPr>
              <w:pStyle w:val="TableParagraph"/>
              <w:rPr>
                <w:rFonts w:ascii="Times New Roman"/>
                <w:sz w:val="20"/>
              </w:rPr>
            </w:pPr>
          </w:p>
        </w:tc>
        <w:tc>
          <w:tcPr>
            <w:tcW w:w="1620" w:type="dxa"/>
            <w:vMerge/>
            <w:tcBorders>
              <w:top w:val="nil"/>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right w:val="nil"/>
            </w:tcBorders>
          </w:tcPr>
          <w:p>
            <w:pPr>
              <w:pStyle w:val="TableParagraph"/>
              <w:spacing w:before="108"/>
              <w:ind w:left="400" w:right="399"/>
              <w:jc w:val="center"/>
              <w:rPr>
                <w:rFonts w:ascii="Times New Roman"/>
                <w:sz w:val="20"/>
              </w:rPr>
            </w:pPr>
            <w:r>
              <w:rPr>
                <w:rFonts w:ascii="Times New Roman"/>
                <w:spacing w:val="-2"/>
                <w:sz w:val="20"/>
              </w:rPr>
              <w:t>{0.9891}</w:t>
            </w:r>
          </w:p>
        </w:tc>
      </w:tr>
      <w:tr>
        <w:trPr>
          <w:trHeight w:val="283" w:hRule="atLeast"/>
        </w:trPr>
        <w:tc>
          <w:tcPr>
            <w:tcW w:w="1906" w:type="dxa"/>
            <w:tcBorders>
              <w:top w:val="single" w:sz="4" w:space="0" w:color="000000"/>
              <w:left w:val="nil"/>
              <w:bottom w:val="nil"/>
            </w:tcBorders>
          </w:tcPr>
          <w:p>
            <w:pPr>
              <w:pStyle w:val="TableParagraph"/>
              <w:ind w:left="159" w:right="143"/>
              <w:jc w:val="center"/>
              <w:rPr>
                <w:rFonts w:ascii="Times New Roman"/>
                <w:sz w:val="19"/>
              </w:rPr>
            </w:pPr>
            <w:r>
              <w:rPr>
                <w:rFonts w:ascii="Times New Roman"/>
                <w:spacing w:val="-4"/>
                <w:sz w:val="19"/>
              </w:rPr>
              <w:t>IFRS</w:t>
            </w:r>
          </w:p>
        </w:tc>
        <w:tc>
          <w:tcPr>
            <w:tcW w:w="986" w:type="dxa"/>
            <w:tcBorders>
              <w:bottom w:val="nil"/>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nil"/>
              <w:right w:val="single" w:sz="4" w:space="0" w:color="000000"/>
            </w:tcBorders>
          </w:tcPr>
          <w:p>
            <w:pPr>
              <w:pStyle w:val="TableParagraph"/>
              <w:ind w:left="143" w:right="144"/>
              <w:jc w:val="center"/>
              <w:rPr>
                <w:rFonts w:ascii="Times New Roman"/>
                <w:sz w:val="20"/>
              </w:rPr>
            </w:pPr>
            <w:r>
              <w:rPr>
                <w:rFonts w:ascii="Times New Roman"/>
                <w:spacing w:val="-2"/>
                <w:sz w:val="20"/>
              </w:rPr>
              <w:t>-0.0672</w:t>
            </w:r>
          </w:p>
        </w:tc>
        <w:tc>
          <w:tcPr>
            <w:tcW w:w="1708" w:type="dxa"/>
            <w:tcBorders>
              <w:top w:val="single" w:sz="4" w:space="0" w:color="000000"/>
              <w:left w:val="single" w:sz="4" w:space="0" w:color="000000"/>
              <w:bottom w:val="nil"/>
            </w:tcBorders>
          </w:tcPr>
          <w:p>
            <w:pPr>
              <w:pStyle w:val="TableParagraph"/>
              <w:ind w:left="68" w:right="70"/>
              <w:jc w:val="center"/>
              <w:rPr>
                <w:rFonts w:ascii="Times New Roman"/>
                <w:sz w:val="20"/>
              </w:rPr>
            </w:pPr>
            <w:r>
              <w:rPr>
                <w:rFonts w:ascii="Times New Roman"/>
                <w:spacing w:val="-2"/>
                <w:sz w:val="20"/>
              </w:rPr>
              <w:t>0.0458</w:t>
            </w:r>
          </w:p>
        </w:tc>
        <w:tc>
          <w:tcPr>
            <w:tcW w:w="2253" w:type="dxa"/>
            <w:tcBorders>
              <w:bottom w:val="nil"/>
              <w:right w:val="nil"/>
            </w:tcBorders>
          </w:tcPr>
          <w:p>
            <w:pPr>
              <w:pStyle w:val="TableParagraph"/>
              <w:ind w:left="393" w:right="399"/>
              <w:jc w:val="center"/>
              <w:rPr>
                <w:rFonts w:ascii="Times New Roman"/>
                <w:sz w:val="20"/>
              </w:rPr>
            </w:pPr>
            <w:r>
              <w:rPr>
                <w:rFonts w:ascii="Times New Roman"/>
                <w:spacing w:val="-2"/>
                <w:sz w:val="20"/>
              </w:rPr>
              <w:t>-10.577</w:t>
            </w:r>
          </w:p>
        </w:tc>
      </w:tr>
      <w:tr>
        <w:trPr>
          <w:trHeight w:val="414"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31"/>
              <w:rPr>
                <w:rFonts w:ascii="Times New Roman"/>
                <w:sz w:val="19"/>
              </w:rPr>
            </w:pPr>
            <w:r>
              <w:rPr>
                <w:rFonts w:ascii="Times New Roman"/>
                <w:spacing w:val="-10"/>
                <w:sz w:val="19"/>
              </w:rPr>
              <w:t>+</w:t>
            </w:r>
          </w:p>
        </w:tc>
        <w:tc>
          <w:tcPr>
            <w:tcW w:w="1620" w:type="dxa"/>
            <w:tcBorders>
              <w:top w:val="nil"/>
              <w:left w:val="single" w:sz="4" w:space="0" w:color="000000"/>
              <w:bottom w:val="nil"/>
              <w:right w:val="single" w:sz="4" w:space="0" w:color="000000"/>
            </w:tcBorders>
          </w:tcPr>
          <w:p>
            <w:pPr>
              <w:pStyle w:val="TableParagraph"/>
              <w:spacing w:before="62"/>
              <w:ind w:left="143" w:right="144"/>
              <w:jc w:val="center"/>
              <w:rPr>
                <w:rFonts w:ascii="Times New Roman"/>
                <w:sz w:val="20"/>
              </w:rPr>
            </w:pPr>
            <w:r>
              <w:rPr>
                <w:rFonts w:ascii="Times New Roman"/>
                <w:spacing w:val="-2"/>
                <w:sz w:val="20"/>
              </w:rPr>
              <w:t>(0.0561)</w:t>
            </w:r>
          </w:p>
        </w:tc>
        <w:tc>
          <w:tcPr>
            <w:tcW w:w="1708" w:type="dxa"/>
            <w:tcBorders>
              <w:top w:val="nil"/>
              <w:left w:val="single" w:sz="4" w:space="0" w:color="000000"/>
              <w:bottom w:val="nil"/>
            </w:tcBorders>
          </w:tcPr>
          <w:p>
            <w:pPr>
              <w:pStyle w:val="TableParagraph"/>
              <w:spacing w:before="62"/>
              <w:ind w:left="68" w:right="70"/>
              <w:jc w:val="center"/>
              <w:rPr>
                <w:rFonts w:ascii="Times New Roman"/>
                <w:sz w:val="20"/>
              </w:rPr>
            </w:pPr>
            <w:r>
              <w:rPr>
                <w:rFonts w:ascii="Times New Roman"/>
                <w:spacing w:val="-2"/>
                <w:sz w:val="20"/>
              </w:rPr>
              <w:t>(0.0599)</w:t>
            </w:r>
          </w:p>
        </w:tc>
        <w:tc>
          <w:tcPr>
            <w:tcW w:w="2253" w:type="dxa"/>
            <w:tcBorders>
              <w:top w:val="nil"/>
              <w:bottom w:val="nil"/>
              <w:right w:val="nil"/>
            </w:tcBorders>
          </w:tcPr>
          <w:p>
            <w:pPr>
              <w:pStyle w:val="TableParagraph"/>
              <w:spacing w:line="212" w:lineRule="exact" w:before="182"/>
              <w:ind w:left="392" w:right="399"/>
              <w:jc w:val="center"/>
              <w:rPr>
                <w:rFonts w:ascii="Times New Roman"/>
                <w:sz w:val="20"/>
              </w:rPr>
            </w:pPr>
            <w:r>
              <w:rPr>
                <w:rFonts w:ascii="Times New Roman"/>
                <w:spacing w:val="-2"/>
                <w:sz w:val="20"/>
              </w:rPr>
              <w:t>(104.05)</w:t>
            </w:r>
          </w:p>
        </w:tc>
      </w:tr>
      <w:tr>
        <w:trPr>
          <w:trHeight w:val="231" w:hRule="atLeast"/>
        </w:trPr>
        <w:tc>
          <w:tcPr>
            <w:tcW w:w="1906" w:type="dxa"/>
            <w:tcBorders>
              <w:top w:val="nil"/>
              <w:left w:val="nil"/>
              <w:bottom w:val="nil"/>
            </w:tcBorders>
          </w:tcPr>
          <w:p>
            <w:pPr>
              <w:pStyle w:val="TableParagraph"/>
              <w:rPr>
                <w:rFonts w:ascii="Times New Roman"/>
                <w:sz w:val="16"/>
              </w:rPr>
            </w:pPr>
          </w:p>
        </w:tc>
        <w:tc>
          <w:tcPr>
            <w:tcW w:w="986" w:type="dxa"/>
            <w:tcBorders>
              <w:top w:val="nil"/>
              <w:bottom w:val="nil"/>
              <w:right w:val="single" w:sz="4" w:space="0" w:color="000000"/>
            </w:tcBorders>
          </w:tcPr>
          <w:p>
            <w:pPr>
              <w:pStyle w:val="TableParagraph"/>
              <w:rPr>
                <w:rFonts w:ascii="Times New Roman"/>
                <w:sz w:val="16"/>
              </w:rPr>
            </w:pPr>
          </w:p>
        </w:tc>
        <w:tc>
          <w:tcPr>
            <w:tcW w:w="1620" w:type="dxa"/>
            <w:tcBorders>
              <w:top w:val="nil"/>
              <w:left w:val="single" w:sz="4" w:space="0" w:color="000000"/>
              <w:bottom w:val="nil"/>
              <w:right w:val="single" w:sz="4" w:space="0" w:color="000000"/>
            </w:tcBorders>
          </w:tcPr>
          <w:p>
            <w:pPr>
              <w:pStyle w:val="TableParagraph"/>
              <w:spacing w:line="212" w:lineRule="exact"/>
              <w:ind w:left="143" w:right="143"/>
              <w:jc w:val="center"/>
              <w:rPr>
                <w:rFonts w:ascii="Times New Roman"/>
                <w:sz w:val="20"/>
              </w:rPr>
            </w:pPr>
            <w:r>
              <w:rPr>
                <w:rFonts w:ascii="Times New Roman"/>
                <w:spacing w:val="-2"/>
                <w:sz w:val="20"/>
              </w:rPr>
              <w:t>{0.2327}</w:t>
            </w:r>
          </w:p>
        </w:tc>
        <w:tc>
          <w:tcPr>
            <w:tcW w:w="1708" w:type="dxa"/>
            <w:tcBorders>
              <w:top w:val="nil"/>
              <w:left w:val="single" w:sz="4" w:space="0" w:color="000000"/>
              <w:bottom w:val="nil"/>
            </w:tcBorders>
          </w:tcPr>
          <w:p>
            <w:pPr>
              <w:pStyle w:val="TableParagraph"/>
              <w:spacing w:line="212" w:lineRule="exact"/>
              <w:ind w:left="69" w:right="70"/>
              <w:jc w:val="center"/>
              <w:rPr>
                <w:rFonts w:ascii="Times New Roman"/>
                <w:sz w:val="20"/>
              </w:rPr>
            </w:pPr>
            <w:r>
              <w:rPr>
                <w:rFonts w:ascii="Times New Roman"/>
                <w:spacing w:val="-2"/>
                <w:sz w:val="20"/>
              </w:rPr>
              <w:t>{0.4449}</w:t>
            </w:r>
          </w:p>
        </w:tc>
        <w:tc>
          <w:tcPr>
            <w:tcW w:w="2253" w:type="dxa"/>
            <w:tcBorders>
              <w:top w:val="nil"/>
              <w:bottom w:val="nil"/>
              <w:right w:val="nil"/>
            </w:tcBorders>
          </w:tcPr>
          <w:p>
            <w:pPr>
              <w:pStyle w:val="TableParagraph"/>
              <w:rPr>
                <w:rFonts w:ascii="Times New Roman"/>
                <w:sz w:val="16"/>
              </w:rPr>
            </w:pPr>
          </w:p>
        </w:tc>
      </w:tr>
      <w:tr>
        <w:trPr>
          <w:trHeight w:val="262"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tcBorders>
              <w:top w:val="nil"/>
              <w:right w:val="single" w:sz="4" w:space="0" w:color="000000"/>
            </w:tcBorders>
          </w:tcPr>
          <w:p>
            <w:pPr>
              <w:pStyle w:val="TableParagraph"/>
              <w:rPr>
                <w:rFonts w:ascii="Times New Roman"/>
                <w:sz w:val="18"/>
              </w:rPr>
            </w:pPr>
          </w:p>
        </w:tc>
        <w:tc>
          <w:tcPr>
            <w:tcW w:w="162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708" w:type="dxa"/>
            <w:tcBorders>
              <w:top w:val="nil"/>
              <w:left w:val="single" w:sz="4" w:space="0" w:color="000000"/>
              <w:bottom w:val="single" w:sz="4" w:space="0" w:color="000000"/>
            </w:tcBorders>
          </w:tcPr>
          <w:p>
            <w:pPr>
              <w:pStyle w:val="TableParagraph"/>
              <w:rPr>
                <w:rFonts w:ascii="Times New Roman"/>
                <w:sz w:val="18"/>
              </w:rPr>
            </w:pPr>
          </w:p>
        </w:tc>
        <w:tc>
          <w:tcPr>
            <w:tcW w:w="2253" w:type="dxa"/>
            <w:tcBorders>
              <w:top w:val="nil"/>
              <w:right w:val="nil"/>
            </w:tcBorders>
          </w:tcPr>
          <w:p>
            <w:pPr>
              <w:pStyle w:val="TableParagraph"/>
              <w:spacing w:line="229" w:lineRule="exact"/>
              <w:ind w:left="400" w:right="399"/>
              <w:jc w:val="center"/>
              <w:rPr>
                <w:rFonts w:ascii="Times New Roman"/>
                <w:sz w:val="20"/>
              </w:rPr>
            </w:pPr>
            <w:r>
              <w:rPr>
                <w:rFonts w:ascii="Times New Roman"/>
                <w:spacing w:val="-2"/>
                <w:sz w:val="20"/>
              </w:rPr>
              <w:t>{0.9191}</w:t>
            </w:r>
          </w:p>
        </w:tc>
      </w:tr>
      <w:tr>
        <w:trPr>
          <w:trHeight w:val="278" w:hRule="atLeast"/>
        </w:trPr>
        <w:tc>
          <w:tcPr>
            <w:tcW w:w="1906" w:type="dxa"/>
            <w:tcBorders>
              <w:top w:val="single" w:sz="4" w:space="0" w:color="000000"/>
              <w:left w:val="nil"/>
              <w:bottom w:val="nil"/>
            </w:tcBorders>
          </w:tcPr>
          <w:p>
            <w:pPr>
              <w:pStyle w:val="TableParagraph"/>
              <w:ind w:left="159" w:right="145"/>
              <w:jc w:val="center"/>
              <w:rPr>
                <w:rFonts w:ascii="Times New Roman"/>
                <w:sz w:val="19"/>
              </w:rPr>
            </w:pPr>
            <w:r>
              <w:rPr>
                <w:rFonts w:ascii="Times New Roman"/>
                <w:spacing w:val="-5"/>
                <w:sz w:val="19"/>
              </w:rPr>
              <w:t>DID</w:t>
            </w:r>
          </w:p>
        </w:tc>
        <w:tc>
          <w:tcPr>
            <w:tcW w:w="986" w:type="dxa"/>
            <w:tcBorders>
              <w:bottom w:val="nil"/>
              <w:right w:val="single" w:sz="4" w:space="0" w:color="000000"/>
            </w:tcBorders>
          </w:tcPr>
          <w:p>
            <w:pPr>
              <w:pStyle w:val="TableParagraph"/>
              <w:rPr>
                <w:rFonts w:ascii="Times New Roman"/>
                <w:sz w:val="20"/>
              </w:rPr>
            </w:pPr>
          </w:p>
        </w:tc>
        <w:tc>
          <w:tcPr>
            <w:tcW w:w="162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70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2253" w:type="dxa"/>
            <w:tcBorders>
              <w:left w:val="single" w:sz="4" w:space="0" w:color="000000"/>
              <w:bottom w:val="nil"/>
              <w:right w:val="nil"/>
            </w:tcBorders>
          </w:tcPr>
          <w:p>
            <w:pPr>
              <w:pStyle w:val="TableParagraph"/>
              <w:ind w:left="393" w:right="399"/>
              <w:jc w:val="center"/>
              <w:rPr>
                <w:rFonts w:ascii="Times New Roman"/>
                <w:sz w:val="20"/>
              </w:rPr>
            </w:pPr>
            <w:r>
              <w:rPr>
                <w:rFonts w:ascii="Times New Roman"/>
                <w:spacing w:val="-2"/>
                <w:sz w:val="20"/>
              </w:rPr>
              <w:t>-1.888</w:t>
            </w:r>
          </w:p>
        </w:tc>
      </w:tr>
      <w:tr>
        <w:trPr>
          <w:trHeight w:val="524"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0"/>
              <w:ind w:left="431"/>
              <w:rPr>
                <w:rFonts w:ascii="Times New Roman"/>
                <w:sz w:val="19"/>
              </w:rPr>
            </w:pPr>
            <w:r>
              <w:rPr>
                <w:rFonts w:ascii="Times New Roman"/>
                <w:spacing w:val="-10"/>
                <w:sz w:val="19"/>
              </w:rPr>
              <w:t>+</w:t>
            </w: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nil"/>
              <w:right w:val="nil"/>
            </w:tcBorders>
          </w:tcPr>
          <w:p>
            <w:pPr>
              <w:pStyle w:val="TableParagraph"/>
              <w:spacing w:before="177"/>
              <w:ind w:left="392" w:right="399"/>
              <w:jc w:val="center"/>
              <w:rPr>
                <w:rFonts w:ascii="Times New Roman"/>
                <w:sz w:val="20"/>
              </w:rPr>
            </w:pPr>
            <w:r>
              <w:rPr>
                <w:rFonts w:ascii="Times New Roman"/>
                <w:spacing w:val="-2"/>
                <w:sz w:val="20"/>
              </w:rPr>
              <w:t>(109.05)</w:t>
            </w:r>
          </w:p>
        </w:tc>
      </w:tr>
      <w:tr>
        <w:trPr>
          <w:trHeight w:val="371"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vMerge/>
            <w:tcBorders>
              <w:top w:val="nil"/>
              <w:left w:val="single" w:sz="4" w:space="0" w:color="000000"/>
              <w:bottom w:val="single" w:sz="4" w:space="0" w:color="000000"/>
              <w:right w:val="single" w:sz="4" w:space="0" w:color="000000"/>
            </w:tcBorders>
          </w:tcPr>
          <w:p>
            <w:pPr>
              <w:rPr>
                <w:sz w:val="2"/>
                <w:szCs w:val="2"/>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right w:val="nil"/>
            </w:tcBorders>
          </w:tcPr>
          <w:p>
            <w:pPr>
              <w:pStyle w:val="TableParagraph"/>
              <w:spacing w:before="108"/>
              <w:ind w:left="398" w:right="399"/>
              <w:jc w:val="center"/>
              <w:rPr>
                <w:rFonts w:ascii="Times New Roman"/>
                <w:sz w:val="20"/>
              </w:rPr>
            </w:pPr>
            <w:r>
              <w:rPr>
                <w:rFonts w:ascii="Times New Roman"/>
                <w:spacing w:val="-2"/>
                <w:sz w:val="20"/>
              </w:rPr>
              <w:t>{0.986}</w:t>
            </w:r>
          </w:p>
        </w:tc>
      </w:tr>
      <w:tr>
        <w:trPr>
          <w:trHeight w:val="282" w:hRule="atLeast"/>
        </w:trPr>
        <w:tc>
          <w:tcPr>
            <w:tcW w:w="1906" w:type="dxa"/>
            <w:tcBorders>
              <w:top w:val="single" w:sz="4" w:space="0" w:color="000000"/>
              <w:left w:val="nil"/>
              <w:bottom w:val="nil"/>
            </w:tcBorders>
          </w:tcPr>
          <w:p>
            <w:pPr>
              <w:pStyle w:val="TableParagraph"/>
              <w:ind w:left="159" w:right="146"/>
              <w:jc w:val="center"/>
              <w:rPr>
                <w:rFonts w:ascii="Times New Roman"/>
                <w:sz w:val="19"/>
              </w:rPr>
            </w:pPr>
            <w:r>
              <w:rPr>
                <w:rFonts w:ascii="Times New Roman"/>
                <w:spacing w:val="-2"/>
                <w:sz w:val="19"/>
              </w:rPr>
              <w:t>INSTOWN</w:t>
            </w:r>
          </w:p>
        </w:tc>
        <w:tc>
          <w:tcPr>
            <w:tcW w:w="986" w:type="dxa"/>
            <w:tcBorders>
              <w:top w:val="single" w:sz="4" w:space="0" w:color="000000"/>
              <w:bottom w:val="nil"/>
            </w:tcBorders>
          </w:tcPr>
          <w:p>
            <w:pPr>
              <w:pStyle w:val="TableParagraph"/>
              <w:rPr>
                <w:rFonts w:ascii="Times New Roman"/>
                <w:sz w:val="20"/>
              </w:rPr>
            </w:pPr>
          </w:p>
        </w:tc>
        <w:tc>
          <w:tcPr>
            <w:tcW w:w="1620" w:type="dxa"/>
            <w:tcBorders>
              <w:top w:val="single" w:sz="4" w:space="0" w:color="000000"/>
              <w:bottom w:val="nil"/>
            </w:tcBorders>
          </w:tcPr>
          <w:p>
            <w:pPr>
              <w:pStyle w:val="TableParagraph"/>
              <w:ind w:left="143" w:right="154"/>
              <w:jc w:val="center"/>
              <w:rPr>
                <w:rFonts w:ascii="Times New Roman"/>
                <w:sz w:val="20"/>
              </w:rPr>
            </w:pPr>
            <w:r>
              <w:rPr>
                <w:rFonts w:ascii="Times New Roman"/>
                <w:spacing w:val="-2"/>
                <w:sz w:val="20"/>
              </w:rPr>
              <w:t>0.0594*</w:t>
            </w:r>
          </w:p>
        </w:tc>
        <w:tc>
          <w:tcPr>
            <w:tcW w:w="1708" w:type="dxa"/>
            <w:tcBorders>
              <w:top w:val="single" w:sz="4" w:space="0" w:color="000000"/>
              <w:bottom w:val="nil"/>
              <w:right w:val="single" w:sz="4" w:space="0" w:color="7E7E7E"/>
            </w:tcBorders>
          </w:tcPr>
          <w:p>
            <w:pPr>
              <w:pStyle w:val="TableParagraph"/>
              <w:ind w:left="59" w:right="70"/>
              <w:jc w:val="center"/>
              <w:rPr>
                <w:rFonts w:ascii="Times New Roman"/>
                <w:sz w:val="20"/>
              </w:rPr>
            </w:pPr>
            <w:r>
              <w:rPr>
                <w:rFonts w:ascii="Times New Roman"/>
                <w:spacing w:val="-2"/>
                <w:sz w:val="20"/>
              </w:rPr>
              <w:t>0.1319</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-0.040</w:t>
            </w:r>
          </w:p>
        </w:tc>
      </w:tr>
      <w:tr>
        <w:trPr>
          <w:trHeight w:val="498"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bottom w:val="nil"/>
            </w:tcBorders>
          </w:tcPr>
          <w:p>
            <w:pPr>
              <w:pStyle w:val="TableParagraph"/>
              <w:spacing w:before="147"/>
              <w:ind w:left="143" w:right="154"/>
              <w:jc w:val="center"/>
              <w:rPr>
                <w:rFonts w:ascii="Times New Roman"/>
                <w:sz w:val="20"/>
              </w:rPr>
            </w:pPr>
            <w:r>
              <w:rPr>
                <w:rFonts w:ascii="Times New Roman"/>
                <w:spacing w:val="-2"/>
                <w:sz w:val="20"/>
              </w:rPr>
              <w:t>(0.0305)</w:t>
            </w:r>
          </w:p>
        </w:tc>
        <w:tc>
          <w:tcPr>
            <w:tcW w:w="1708" w:type="dxa"/>
            <w:tcBorders>
              <w:top w:val="nil"/>
              <w:bottom w:val="nil"/>
              <w:right w:val="single" w:sz="4" w:space="0" w:color="7E7E7E"/>
            </w:tcBorders>
          </w:tcPr>
          <w:p>
            <w:pPr>
              <w:pStyle w:val="TableParagraph"/>
              <w:spacing w:before="147"/>
              <w:ind w:left="59" w:right="70"/>
              <w:jc w:val="center"/>
              <w:rPr>
                <w:rFonts w:ascii="Times New Roman"/>
                <w:sz w:val="20"/>
              </w:rPr>
            </w:pPr>
            <w:r>
              <w:rPr>
                <w:rFonts w:ascii="Times New Roman"/>
                <w:spacing w:val="-2"/>
                <w:sz w:val="20"/>
              </w:rPr>
              <w:t>(0.1043)</w:t>
            </w:r>
          </w:p>
        </w:tc>
        <w:tc>
          <w:tcPr>
            <w:tcW w:w="2253" w:type="dxa"/>
            <w:tcBorders>
              <w:top w:val="nil"/>
              <w:left w:val="single" w:sz="4" w:space="0" w:color="7E7E7E"/>
              <w:bottom w:val="nil"/>
              <w:right w:val="nil"/>
            </w:tcBorders>
          </w:tcPr>
          <w:p>
            <w:pPr>
              <w:pStyle w:val="TableParagraph"/>
              <w:spacing w:before="181"/>
              <w:ind w:left="392" w:right="399"/>
              <w:jc w:val="center"/>
              <w:rPr>
                <w:rFonts w:ascii="Times New Roman"/>
                <w:sz w:val="20"/>
              </w:rPr>
            </w:pPr>
            <w:r>
              <w:rPr>
                <w:rFonts w:ascii="Times New Roman"/>
                <w:spacing w:val="-2"/>
                <w:sz w:val="20"/>
              </w:rPr>
              <w:t>(0.0631)</w:t>
            </w:r>
          </w:p>
        </w:tc>
      </w:tr>
      <w:tr>
        <w:trPr>
          <w:trHeight w:val="411" w:hRule="atLeast"/>
        </w:trPr>
        <w:tc>
          <w:tcPr>
            <w:tcW w:w="1906" w:type="dxa"/>
            <w:tcBorders>
              <w:top w:val="nil"/>
              <w:left w:val="nil"/>
            </w:tcBorders>
          </w:tcPr>
          <w:p>
            <w:pPr>
              <w:pStyle w:val="TableParagraph"/>
              <w:rPr>
                <w:rFonts w:ascii="Times New Roman"/>
                <w:sz w:val="20"/>
              </w:rPr>
            </w:pPr>
          </w:p>
        </w:tc>
        <w:tc>
          <w:tcPr>
            <w:tcW w:w="986" w:type="dxa"/>
            <w:tcBorders>
              <w:top w:val="nil"/>
            </w:tcBorders>
          </w:tcPr>
          <w:p>
            <w:pPr>
              <w:pStyle w:val="TableParagraph"/>
              <w:rPr>
                <w:rFonts w:ascii="Times New Roman"/>
                <w:sz w:val="20"/>
              </w:rPr>
            </w:pPr>
          </w:p>
        </w:tc>
        <w:tc>
          <w:tcPr>
            <w:tcW w:w="1620" w:type="dxa"/>
            <w:tcBorders>
              <w:top w:val="nil"/>
            </w:tcBorders>
          </w:tcPr>
          <w:p>
            <w:pPr>
              <w:pStyle w:val="TableParagraph"/>
              <w:spacing w:before="78"/>
              <w:ind w:left="143" w:right="143"/>
              <w:jc w:val="center"/>
              <w:rPr>
                <w:rFonts w:ascii="Times New Roman"/>
                <w:sz w:val="20"/>
              </w:rPr>
            </w:pPr>
            <w:r>
              <w:rPr>
                <w:rFonts w:ascii="Times New Roman"/>
                <w:spacing w:val="-2"/>
                <w:sz w:val="20"/>
              </w:rPr>
              <w:t>{0.0533}</w:t>
            </w:r>
          </w:p>
        </w:tc>
        <w:tc>
          <w:tcPr>
            <w:tcW w:w="1708" w:type="dxa"/>
            <w:tcBorders>
              <w:top w:val="nil"/>
              <w:right w:val="single" w:sz="4" w:space="0" w:color="7E7E7E"/>
            </w:tcBorders>
          </w:tcPr>
          <w:p>
            <w:pPr>
              <w:pStyle w:val="TableParagraph"/>
              <w:spacing w:before="78"/>
              <w:ind w:left="68" w:right="70"/>
              <w:jc w:val="center"/>
              <w:rPr>
                <w:rFonts w:ascii="Times New Roman"/>
                <w:sz w:val="20"/>
              </w:rPr>
            </w:pPr>
            <w:r>
              <w:rPr>
                <w:rFonts w:ascii="Times New Roman"/>
                <w:spacing w:val="-2"/>
                <w:sz w:val="20"/>
              </w:rPr>
              <w:t>0.2075</w:t>
            </w:r>
          </w:p>
        </w:tc>
        <w:tc>
          <w:tcPr>
            <w:tcW w:w="2253" w:type="dxa"/>
            <w:tcBorders>
              <w:top w:val="nil"/>
              <w:left w:val="single" w:sz="4" w:space="0" w:color="7E7E7E"/>
              <w:right w:val="nil"/>
            </w:tcBorders>
          </w:tcPr>
          <w:p>
            <w:pPr>
              <w:pStyle w:val="TableParagraph"/>
              <w:spacing w:before="148"/>
              <w:ind w:left="400" w:right="399"/>
              <w:jc w:val="center"/>
              <w:rPr>
                <w:rFonts w:ascii="Times New Roman"/>
                <w:sz w:val="20"/>
              </w:rPr>
            </w:pPr>
            <w:r>
              <w:rPr>
                <w:rFonts w:ascii="Times New Roman"/>
                <w:spacing w:val="-2"/>
                <w:sz w:val="20"/>
              </w:rPr>
              <w:t>{0.5267}</w:t>
            </w:r>
          </w:p>
        </w:tc>
      </w:tr>
      <w:tr>
        <w:trPr>
          <w:trHeight w:val="283"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MOWN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-0.0172</w:t>
            </w:r>
          </w:p>
        </w:tc>
        <w:tc>
          <w:tcPr>
            <w:tcW w:w="1708" w:type="dxa"/>
            <w:tcBorders>
              <w:bottom w:val="nil"/>
              <w:right w:val="single" w:sz="4" w:space="0" w:color="7E7E7E"/>
            </w:tcBorders>
          </w:tcPr>
          <w:p>
            <w:pPr>
              <w:pStyle w:val="TableParagraph"/>
              <w:ind w:left="59" w:right="70"/>
              <w:jc w:val="center"/>
              <w:rPr>
                <w:rFonts w:ascii="Times New Roman"/>
                <w:sz w:val="20"/>
              </w:rPr>
            </w:pPr>
            <w:r>
              <w:rPr>
                <w:rFonts w:ascii="Times New Roman"/>
                <w:spacing w:val="-2"/>
                <w:sz w:val="20"/>
              </w:rPr>
              <w:t>-0.1382</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0.0047</w:t>
            </w:r>
          </w:p>
        </w:tc>
      </w:tr>
      <w:tr>
        <w:trPr>
          <w:trHeight w:val="499"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82"/>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48"/>
              <w:ind w:left="143" w:right="154"/>
              <w:jc w:val="center"/>
              <w:rPr>
                <w:rFonts w:ascii="Times New Roman"/>
                <w:sz w:val="20"/>
              </w:rPr>
            </w:pPr>
            <w:r>
              <w:rPr>
                <w:rFonts w:ascii="Times New Roman"/>
                <w:spacing w:val="-2"/>
                <w:sz w:val="20"/>
              </w:rPr>
              <w:t>(0.0404)</w:t>
            </w:r>
          </w:p>
        </w:tc>
        <w:tc>
          <w:tcPr>
            <w:tcW w:w="1708" w:type="dxa"/>
            <w:tcBorders>
              <w:top w:val="nil"/>
              <w:bottom w:val="nil"/>
              <w:right w:val="single" w:sz="4" w:space="0" w:color="7E7E7E"/>
            </w:tcBorders>
          </w:tcPr>
          <w:p>
            <w:pPr>
              <w:pStyle w:val="TableParagraph"/>
              <w:spacing w:before="148"/>
              <w:ind w:left="59" w:right="70"/>
              <w:jc w:val="center"/>
              <w:rPr>
                <w:rFonts w:ascii="Times New Roman"/>
                <w:sz w:val="20"/>
              </w:rPr>
            </w:pPr>
            <w:r>
              <w:rPr>
                <w:rFonts w:ascii="Times New Roman"/>
                <w:spacing w:val="-2"/>
                <w:sz w:val="20"/>
              </w:rPr>
              <w:t>(0.1059)</w:t>
            </w:r>
          </w:p>
        </w:tc>
        <w:tc>
          <w:tcPr>
            <w:tcW w:w="2253" w:type="dxa"/>
            <w:tcBorders>
              <w:top w:val="nil"/>
              <w:left w:val="single" w:sz="4" w:space="0" w:color="7E7E7E"/>
              <w:bottom w:val="nil"/>
              <w:right w:val="nil"/>
            </w:tcBorders>
          </w:tcPr>
          <w:p>
            <w:pPr>
              <w:pStyle w:val="TableParagraph"/>
              <w:spacing w:before="182"/>
              <w:ind w:left="392" w:right="399"/>
              <w:jc w:val="center"/>
              <w:rPr>
                <w:rFonts w:ascii="Times New Roman"/>
                <w:sz w:val="20"/>
              </w:rPr>
            </w:pPr>
            <w:r>
              <w:rPr>
                <w:rFonts w:ascii="Times New Roman"/>
                <w:spacing w:val="-2"/>
                <w:sz w:val="20"/>
              </w:rPr>
              <w:t>(0.0818)</w:t>
            </w:r>
          </w:p>
        </w:tc>
      </w:tr>
      <w:tr>
        <w:trPr>
          <w:trHeight w:val="411"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before="78"/>
              <w:ind w:left="143" w:right="143"/>
              <w:jc w:val="center"/>
              <w:rPr>
                <w:rFonts w:ascii="Times New Roman"/>
                <w:sz w:val="20"/>
              </w:rPr>
            </w:pPr>
            <w:r>
              <w:rPr>
                <w:rFonts w:ascii="Times New Roman"/>
                <w:spacing w:val="-2"/>
                <w:sz w:val="20"/>
              </w:rPr>
              <w:t>{0.6707}</w:t>
            </w:r>
          </w:p>
        </w:tc>
        <w:tc>
          <w:tcPr>
            <w:tcW w:w="1708" w:type="dxa"/>
            <w:tcBorders>
              <w:top w:val="nil"/>
              <w:right w:val="single" w:sz="4" w:space="0" w:color="7E7E7E"/>
            </w:tcBorders>
          </w:tcPr>
          <w:p>
            <w:pPr>
              <w:pStyle w:val="TableParagraph"/>
              <w:spacing w:before="78"/>
              <w:ind w:left="68" w:right="70"/>
              <w:jc w:val="center"/>
              <w:rPr>
                <w:rFonts w:ascii="Times New Roman"/>
                <w:sz w:val="20"/>
              </w:rPr>
            </w:pPr>
            <w:r>
              <w:rPr>
                <w:rFonts w:ascii="Times New Roman"/>
                <w:spacing w:val="-2"/>
                <w:sz w:val="20"/>
              </w:rPr>
              <w:t>0.1940</w:t>
            </w:r>
          </w:p>
        </w:tc>
        <w:tc>
          <w:tcPr>
            <w:tcW w:w="2253" w:type="dxa"/>
            <w:tcBorders>
              <w:top w:val="nil"/>
              <w:left w:val="single" w:sz="4" w:space="0" w:color="7E7E7E"/>
              <w:right w:val="nil"/>
            </w:tcBorders>
          </w:tcPr>
          <w:p>
            <w:pPr>
              <w:pStyle w:val="TableParagraph"/>
              <w:spacing w:before="145"/>
              <w:ind w:left="400" w:right="399"/>
              <w:jc w:val="center"/>
              <w:rPr>
                <w:rFonts w:ascii="Times New Roman"/>
                <w:sz w:val="20"/>
              </w:rPr>
            </w:pPr>
            <w:r>
              <w:rPr>
                <w:rFonts w:ascii="Times New Roman"/>
                <w:spacing w:val="-2"/>
                <w:sz w:val="20"/>
              </w:rPr>
              <w:t>{0.9539}</w:t>
            </w:r>
          </w:p>
        </w:tc>
      </w:tr>
      <w:tr>
        <w:trPr>
          <w:trHeight w:val="282" w:hRule="atLeast"/>
        </w:trPr>
        <w:tc>
          <w:tcPr>
            <w:tcW w:w="1906" w:type="dxa"/>
            <w:tcBorders>
              <w:left w:val="nil"/>
              <w:bottom w:val="nil"/>
            </w:tcBorders>
          </w:tcPr>
          <w:p>
            <w:pPr>
              <w:pStyle w:val="TableParagraph"/>
              <w:ind w:left="159" w:right="143"/>
              <w:jc w:val="center"/>
              <w:rPr>
                <w:rFonts w:ascii="Times New Roman"/>
                <w:sz w:val="19"/>
              </w:rPr>
            </w:pPr>
            <w:r>
              <w:rPr>
                <w:rFonts w:ascii="Times New Roman"/>
                <w:spacing w:val="-4"/>
                <w:sz w:val="19"/>
              </w:rPr>
              <w:t>FOWN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6"/>
              <w:jc w:val="center"/>
              <w:rPr>
                <w:rFonts w:ascii="Times New Roman"/>
                <w:sz w:val="20"/>
              </w:rPr>
            </w:pPr>
            <w:r>
              <w:rPr>
                <w:rFonts w:ascii="Times New Roman"/>
                <w:spacing w:val="-2"/>
                <w:sz w:val="20"/>
              </w:rPr>
              <w:t>-0.1587**</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-0.2521</w:t>
            </w:r>
          </w:p>
        </w:tc>
        <w:tc>
          <w:tcPr>
            <w:tcW w:w="2253" w:type="dxa"/>
            <w:tcBorders>
              <w:left w:val="single" w:sz="4" w:space="0" w:color="000000"/>
              <w:bottom w:val="nil"/>
              <w:right w:val="nil"/>
            </w:tcBorders>
          </w:tcPr>
          <w:p>
            <w:pPr>
              <w:pStyle w:val="TableParagraph"/>
              <w:ind w:left="399" w:right="399"/>
              <w:jc w:val="center"/>
              <w:rPr>
                <w:rFonts w:ascii="Times New Roman"/>
                <w:sz w:val="20"/>
              </w:rPr>
            </w:pPr>
            <w:r>
              <w:rPr>
                <w:rFonts w:ascii="Times New Roman"/>
                <w:spacing w:val="-2"/>
                <w:sz w:val="20"/>
              </w:rPr>
              <w:t>0.0343</w:t>
            </w:r>
          </w:p>
        </w:tc>
      </w:tr>
      <w:tr>
        <w:trPr>
          <w:trHeight w:val="396"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line="229" w:lineRule="exact" w:before="147"/>
              <w:ind w:left="143" w:right="154"/>
              <w:jc w:val="center"/>
              <w:rPr>
                <w:rFonts w:ascii="Times New Roman"/>
                <w:sz w:val="20"/>
              </w:rPr>
            </w:pPr>
            <w:r>
              <w:rPr>
                <w:rFonts w:ascii="Times New Roman"/>
                <w:spacing w:val="-2"/>
                <w:sz w:val="20"/>
              </w:rPr>
              <w:t>(0.0775)</w:t>
            </w:r>
          </w:p>
        </w:tc>
        <w:tc>
          <w:tcPr>
            <w:tcW w:w="1708" w:type="dxa"/>
            <w:tcBorders>
              <w:top w:val="nil"/>
              <w:bottom w:val="nil"/>
              <w:right w:val="single" w:sz="4" w:space="0" w:color="000000"/>
            </w:tcBorders>
          </w:tcPr>
          <w:p>
            <w:pPr>
              <w:pStyle w:val="TableParagraph"/>
              <w:spacing w:line="229" w:lineRule="exact" w:before="147"/>
              <w:ind w:left="59" w:right="70"/>
              <w:jc w:val="center"/>
              <w:rPr>
                <w:rFonts w:ascii="Times New Roman"/>
                <w:sz w:val="20"/>
              </w:rPr>
            </w:pPr>
            <w:r>
              <w:rPr>
                <w:rFonts w:ascii="Times New Roman"/>
                <w:spacing w:val="-2"/>
                <w:sz w:val="20"/>
              </w:rPr>
              <w:t>(0.0879)</w:t>
            </w:r>
          </w:p>
        </w:tc>
        <w:tc>
          <w:tcPr>
            <w:tcW w:w="2253" w:type="dxa"/>
            <w:tcBorders>
              <w:top w:val="nil"/>
              <w:left w:val="single" w:sz="4" w:space="0" w:color="000000"/>
              <w:bottom w:val="nil"/>
              <w:right w:val="nil"/>
            </w:tcBorders>
          </w:tcPr>
          <w:p>
            <w:pPr>
              <w:pStyle w:val="TableParagraph"/>
              <w:spacing w:before="63"/>
              <w:ind w:left="399" w:right="399"/>
              <w:jc w:val="center"/>
              <w:rPr>
                <w:rFonts w:ascii="Times New Roman"/>
                <w:sz w:val="20"/>
              </w:rPr>
            </w:pPr>
            <w:r>
              <w:rPr>
                <w:rFonts w:ascii="Times New Roman"/>
                <w:spacing w:val="-2"/>
                <w:sz w:val="20"/>
              </w:rPr>
              <w:t>(0.0797)</w:t>
            </w:r>
          </w:p>
        </w:tc>
      </w:tr>
      <w:tr>
        <w:trPr>
          <w:trHeight w:val="410"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line="210" w:lineRule="exact" w:before="180"/>
              <w:ind w:left="143" w:right="143"/>
              <w:jc w:val="center"/>
              <w:rPr>
                <w:rFonts w:ascii="Times New Roman"/>
                <w:sz w:val="20"/>
              </w:rPr>
            </w:pPr>
            <w:r>
              <w:rPr>
                <w:rFonts w:ascii="Times New Roman"/>
                <w:spacing w:val="-2"/>
                <w:sz w:val="20"/>
              </w:rPr>
              <w:t>{0.0421}</w:t>
            </w:r>
          </w:p>
        </w:tc>
        <w:tc>
          <w:tcPr>
            <w:tcW w:w="1708" w:type="dxa"/>
            <w:tcBorders>
              <w:top w:val="nil"/>
              <w:right w:val="single" w:sz="4" w:space="0" w:color="000000"/>
            </w:tcBorders>
          </w:tcPr>
          <w:p>
            <w:pPr>
              <w:pStyle w:val="TableParagraph"/>
              <w:spacing w:line="210" w:lineRule="exact" w:before="180"/>
              <w:ind w:left="69" w:right="70"/>
              <w:jc w:val="center"/>
              <w:rPr>
                <w:rFonts w:ascii="Times New Roman"/>
                <w:sz w:val="20"/>
              </w:rPr>
            </w:pPr>
            <w:r>
              <w:rPr>
                <w:rFonts w:ascii="Times New Roman"/>
                <w:spacing w:val="-2"/>
                <w:sz w:val="20"/>
              </w:rPr>
              <w:t>{0.0046}</w:t>
            </w:r>
          </w:p>
        </w:tc>
        <w:tc>
          <w:tcPr>
            <w:tcW w:w="2253" w:type="dxa"/>
            <w:tcBorders>
              <w:top w:val="nil"/>
              <w:left w:val="single" w:sz="4" w:space="0" w:color="000000"/>
              <w:right w:val="nil"/>
            </w:tcBorders>
          </w:tcPr>
          <w:p>
            <w:pPr>
              <w:pStyle w:val="TableParagraph"/>
              <w:spacing w:before="10"/>
              <w:ind w:left="400" w:right="399"/>
              <w:jc w:val="center"/>
              <w:rPr>
                <w:rFonts w:ascii="Times New Roman"/>
                <w:sz w:val="20"/>
              </w:rPr>
            </w:pPr>
            <w:r>
              <w:rPr>
                <w:rFonts w:ascii="Times New Roman"/>
                <w:spacing w:val="-2"/>
                <w:sz w:val="20"/>
              </w:rPr>
              <w:t>{0.6669}</w:t>
            </w:r>
          </w:p>
        </w:tc>
      </w:tr>
      <w:tr>
        <w:trPr>
          <w:trHeight w:val="283" w:hRule="atLeast"/>
        </w:trPr>
        <w:tc>
          <w:tcPr>
            <w:tcW w:w="1906" w:type="dxa"/>
            <w:tcBorders>
              <w:left w:val="nil"/>
              <w:bottom w:val="nil"/>
            </w:tcBorders>
          </w:tcPr>
          <w:p>
            <w:pPr>
              <w:pStyle w:val="TableParagraph"/>
              <w:ind w:left="159" w:right="146"/>
              <w:jc w:val="center"/>
              <w:rPr>
                <w:rFonts w:ascii="Times New Roman"/>
                <w:sz w:val="19"/>
              </w:rPr>
            </w:pPr>
            <w:r>
              <w:rPr>
                <w:rFonts w:ascii="Times New Roman"/>
                <w:spacing w:val="-2"/>
                <w:sz w:val="19"/>
              </w:rPr>
              <w:t>BLOWN</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-0.0183</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0.0012</w:t>
            </w:r>
          </w:p>
        </w:tc>
        <w:tc>
          <w:tcPr>
            <w:tcW w:w="2253" w:type="dxa"/>
            <w:tcBorders>
              <w:left w:val="single" w:sz="4" w:space="0" w:color="000000"/>
              <w:bottom w:val="nil"/>
              <w:right w:val="nil"/>
            </w:tcBorders>
          </w:tcPr>
          <w:p>
            <w:pPr>
              <w:pStyle w:val="TableParagraph"/>
              <w:ind w:left="399" w:right="399"/>
              <w:jc w:val="center"/>
              <w:rPr>
                <w:rFonts w:ascii="Times New Roman"/>
                <w:sz w:val="20"/>
              </w:rPr>
            </w:pPr>
            <w:r>
              <w:rPr>
                <w:rFonts w:ascii="Times New Roman"/>
                <w:spacing w:val="-2"/>
                <w:sz w:val="20"/>
              </w:rPr>
              <w:t>-0.0275</w:t>
            </w:r>
          </w:p>
        </w:tc>
      </w:tr>
      <w:tr>
        <w:trPr>
          <w:trHeight w:val="396"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82"/>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46"/>
              <w:ind w:left="143" w:right="154"/>
              <w:jc w:val="center"/>
              <w:rPr>
                <w:rFonts w:ascii="Times New Roman"/>
                <w:sz w:val="20"/>
              </w:rPr>
            </w:pPr>
            <w:r>
              <w:rPr>
                <w:rFonts w:ascii="Times New Roman"/>
                <w:spacing w:val="-2"/>
                <w:sz w:val="20"/>
              </w:rPr>
              <w:t>(0.0195)</w:t>
            </w:r>
          </w:p>
        </w:tc>
        <w:tc>
          <w:tcPr>
            <w:tcW w:w="1708" w:type="dxa"/>
            <w:tcBorders>
              <w:top w:val="nil"/>
              <w:bottom w:val="nil"/>
              <w:right w:val="single" w:sz="4" w:space="0" w:color="000000"/>
            </w:tcBorders>
          </w:tcPr>
          <w:p>
            <w:pPr>
              <w:pStyle w:val="TableParagraph"/>
              <w:spacing w:before="146"/>
              <w:ind w:left="59" w:right="70"/>
              <w:jc w:val="center"/>
              <w:rPr>
                <w:rFonts w:ascii="Times New Roman"/>
                <w:sz w:val="20"/>
              </w:rPr>
            </w:pPr>
            <w:r>
              <w:rPr>
                <w:rFonts w:ascii="Times New Roman"/>
                <w:spacing w:val="-2"/>
                <w:sz w:val="20"/>
              </w:rPr>
              <w:t>(0.0983)</w:t>
            </w:r>
          </w:p>
        </w:tc>
        <w:tc>
          <w:tcPr>
            <w:tcW w:w="2253" w:type="dxa"/>
            <w:tcBorders>
              <w:top w:val="nil"/>
              <w:left w:val="single" w:sz="4" w:space="0" w:color="000000"/>
              <w:bottom w:val="nil"/>
              <w:right w:val="nil"/>
            </w:tcBorders>
          </w:tcPr>
          <w:p>
            <w:pPr>
              <w:pStyle w:val="TableParagraph"/>
              <w:spacing w:before="62"/>
              <w:ind w:left="399" w:right="399"/>
              <w:jc w:val="center"/>
              <w:rPr>
                <w:rFonts w:ascii="Times New Roman"/>
                <w:sz w:val="20"/>
              </w:rPr>
            </w:pPr>
            <w:r>
              <w:rPr>
                <w:rFonts w:ascii="Times New Roman"/>
                <w:spacing w:val="-2"/>
                <w:sz w:val="20"/>
              </w:rPr>
              <w:t>(0.0616)</w:t>
            </w:r>
          </w:p>
        </w:tc>
      </w:tr>
      <w:tr>
        <w:trPr>
          <w:trHeight w:val="409"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line="210" w:lineRule="exact" w:before="179"/>
              <w:ind w:left="143" w:right="143"/>
              <w:jc w:val="center"/>
              <w:rPr>
                <w:rFonts w:ascii="Times New Roman"/>
                <w:sz w:val="20"/>
              </w:rPr>
            </w:pPr>
            <w:r>
              <w:rPr>
                <w:rFonts w:ascii="Times New Roman"/>
                <w:spacing w:val="-2"/>
                <w:sz w:val="20"/>
              </w:rPr>
              <w:t>{0.3489}</w:t>
            </w:r>
          </w:p>
        </w:tc>
        <w:tc>
          <w:tcPr>
            <w:tcW w:w="1708" w:type="dxa"/>
            <w:tcBorders>
              <w:top w:val="nil"/>
              <w:right w:val="single" w:sz="4" w:space="0" w:color="000000"/>
            </w:tcBorders>
          </w:tcPr>
          <w:p>
            <w:pPr>
              <w:pStyle w:val="TableParagraph"/>
              <w:spacing w:line="210" w:lineRule="exact" w:before="179"/>
              <w:ind w:left="69" w:right="70"/>
              <w:jc w:val="center"/>
              <w:rPr>
                <w:rFonts w:ascii="Times New Roman"/>
                <w:sz w:val="20"/>
              </w:rPr>
            </w:pPr>
            <w:r>
              <w:rPr>
                <w:rFonts w:ascii="Times New Roman"/>
                <w:spacing w:val="-2"/>
                <w:sz w:val="20"/>
              </w:rPr>
              <w:t>{0.9904}</w:t>
            </w:r>
          </w:p>
        </w:tc>
        <w:tc>
          <w:tcPr>
            <w:tcW w:w="2253" w:type="dxa"/>
            <w:tcBorders>
              <w:top w:val="nil"/>
              <w:left w:val="single" w:sz="4" w:space="0" w:color="000000"/>
              <w:bottom w:val="single" w:sz="4" w:space="0" w:color="000000"/>
              <w:right w:val="nil"/>
            </w:tcBorders>
          </w:tcPr>
          <w:p>
            <w:pPr>
              <w:pStyle w:val="TableParagraph"/>
              <w:spacing w:before="11"/>
              <w:ind w:left="400" w:right="399"/>
              <w:jc w:val="center"/>
              <w:rPr>
                <w:rFonts w:ascii="Times New Roman"/>
                <w:sz w:val="20"/>
              </w:rPr>
            </w:pPr>
            <w:r>
              <w:rPr>
                <w:rFonts w:ascii="Times New Roman"/>
                <w:spacing w:val="-2"/>
                <w:sz w:val="20"/>
              </w:rPr>
              <w:t>{0.6558}</w:t>
            </w:r>
          </w:p>
        </w:tc>
      </w:tr>
      <w:tr>
        <w:trPr>
          <w:trHeight w:val="283" w:hRule="atLeast"/>
        </w:trPr>
        <w:tc>
          <w:tcPr>
            <w:tcW w:w="1906" w:type="dxa"/>
            <w:tcBorders>
              <w:top w:val="single" w:sz="4" w:space="0" w:color="000000"/>
              <w:left w:val="nil"/>
              <w:bottom w:val="nil"/>
            </w:tcBorders>
          </w:tcPr>
          <w:p>
            <w:pPr>
              <w:pStyle w:val="TableParagraph"/>
              <w:ind w:left="159" w:right="145"/>
              <w:jc w:val="center"/>
              <w:rPr>
                <w:rFonts w:ascii="Times New Roman"/>
                <w:sz w:val="19"/>
              </w:rPr>
            </w:pPr>
            <w:r>
              <w:rPr>
                <w:rFonts w:ascii="Times New Roman"/>
                <w:spacing w:val="-4"/>
                <w:sz w:val="19"/>
              </w:rPr>
              <w:t>FAGE</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-0.2849</w:t>
            </w:r>
          </w:p>
        </w:tc>
        <w:tc>
          <w:tcPr>
            <w:tcW w:w="1708" w:type="dxa"/>
            <w:tcBorders>
              <w:bottom w:val="nil"/>
              <w:right w:val="single" w:sz="4" w:space="0" w:color="7E7E7E"/>
            </w:tcBorders>
          </w:tcPr>
          <w:p>
            <w:pPr>
              <w:pStyle w:val="TableParagraph"/>
              <w:ind w:left="59" w:right="70"/>
              <w:jc w:val="center"/>
              <w:rPr>
                <w:rFonts w:ascii="Times New Roman"/>
                <w:sz w:val="20"/>
              </w:rPr>
            </w:pPr>
            <w:r>
              <w:rPr>
                <w:rFonts w:ascii="Times New Roman"/>
                <w:spacing w:val="-2"/>
                <w:sz w:val="20"/>
              </w:rPr>
              <w:t>-0.1935</w:t>
            </w:r>
          </w:p>
        </w:tc>
        <w:tc>
          <w:tcPr>
            <w:tcW w:w="2253" w:type="dxa"/>
            <w:tcBorders>
              <w:top w:val="single" w:sz="4" w:space="0" w:color="000000"/>
              <w:left w:val="single" w:sz="4" w:space="0" w:color="7E7E7E"/>
              <w:bottom w:val="nil"/>
              <w:right w:val="nil"/>
            </w:tcBorders>
          </w:tcPr>
          <w:p>
            <w:pPr>
              <w:pStyle w:val="TableParagraph"/>
              <w:ind w:left="390" w:right="399"/>
              <w:jc w:val="center"/>
              <w:rPr>
                <w:rFonts w:ascii="Times New Roman"/>
                <w:sz w:val="20"/>
              </w:rPr>
            </w:pPr>
            <w:r>
              <w:rPr>
                <w:rFonts w:ascii="Times New Roman"/>
                <w:spacing w:val="-2"/>
                <w:sz w:val="20"/>
              </w:rPr>
              <w:t>-0.001931</w:t>
            </w:r>
          </w:p>
        </w:tc>
      </w:tr>
      <w:tr>
        <w:trPr>
          <w:trHeight w:val="499"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5"/>
              <w:ind w:left="482"/>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48"/>
              <w:ind w:left="143" w:right="154"/>
              <w:jc w:val="center"/>
              <w:rPr>
                <w:rFonts w:ascii="Times New Roman"/>
                <w:sz w:val="20"/>
              </w:rPr>
            </w:pPr>
            <w:r>
              <w:rPr>
                <w:rFonts w:ascii="Times New Roman"/>
                <w:spacing w:val="-2"/>
                <w:sz w:val="20"/>
              </w:rPr>
              <w:t>(0.2168)</w:t>
            </w:r>
          </w:p>
        </w:tc>
        <w:tc>
          <w:tcPr>
            <w:tcW w:w="1708" w:type="dxa"/>
            <w:tcBorders>
              <w:top w:val="nil"/>
              <w:bottom w:val="nil"/>
              <w:right w:val="single" w:sz="4" w:space="0" w:color="7E7E7E"/>
            </w:tcBorders>
          </w:tcPr>
          <w:p>
            <w:pPr>
              <w:pStyle w:val="TableParagraph"/>
              <w:spacing w:before="148"/>
              <w:ind w:left="59" w:right="70"/>
              <w:jc w:val="center"/>
              <w:rPr>
                <w:rFonts w:ascii="Times New Roman"/>
                <w:sz w:val="20"/>
              </w:rPr>
            </w:pPr>
            <w:r>
              <w:rPr>
                <w:rFonts w:ascii="Times New Roman"/>
                <w:spacing w:val="-2"/>
                <w:sz w:val="20"/>
              </w:rPr>
              <w:t>(0.1551)</w:t>
            </w:r>
          </w:p>
        </w:tc>
        <w:tc>
          <w:tcPr>
            <w:tcW w:w="2253" w:type="dxa"/>
            <w:tcBorders>
              <w:top w:val="nil"/>
              <w:left w:val="single" w:sz="4" w:space="0" w:color="7E7E7E"/>
              <w:bottom w:val="nil"/>
              <w:right w:val="nil"/>
            </w:tcBorders>
          </w:tcPr>
          <w:p>
            <w:pPr>
              <w:pStyle w:val="TableParagraph"/>
              <w:spacing w:before="182"/>
              <w:ind w:left="392" w:right="399"/>
              <w:jc w:val="center"/>
              <w:rPr>
                <w:rFonts w:ascii="Times New Roman"/>
                <w:sz w:val="20"/>
              </w:rPr>
            </w:pPr>
            <w:r>
              <w:rPr>
                <w:rFonts w:ascii="Times New Roman"/>
                <w:spacing w:val="-2"/>
                <w:sz w:val="20"/>
              </w:rPr>
              <w:t>(0.1711)</w:t>
            </w:r>
          </w:p>
        </w:tc>
      </w:tr>
      <w:tr>
        <w:trPr>
          <w:trHeight w:val="411"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before="78"/>
              <w:ind w:left="143" w:right="143"/>
              <w:jc w:val="center"/>
              <w:rPr>
                <w:rFonts w:ascii="Times New Roman"/>
                <w:sz w:val="20"/>
              </w:rPr>
            </w:pPr>
            <w:r>
              <w:rPr>
                <w:rFonts w:ascii="Times New Roman"/>
                <w:spacing w:val="-2"/>
                <w:sz w:val="20"/>
              </w:rPr>
              <w:t>{0.1906}</w:t>
            </w:r>
          </w:p>
        </w:tc>
        <w:tc>
          <w:tcPr>
            <w:tcW w:w="1708" w:type="dxa"/>
            <w:tcBorders>
              <w:top w:val="nil"/>
              <w:right w:val="single" w:sz="4" w:space="0" w:color="7E7E7E"/>
            </w:tcBorders>
          </w:tcPr>
          <w:p>
            <w:pPr>
              <w:pStyle w:val="TableParagraph"/>
              <w:spacing w:before="78"/>
              <w:ind w:left="69" w:right="70"/>
              <w:jc w:val="center"/>
              <w:rPr>
                <w:rFonts w:ascii="Times New Roman"/>
                <w:sz w:val="20"/>
              </w:rPr>
            </w:pPr>
            <w:r>
              <w:rPr>
                <w:rFonts w:ascii="Times New Roman"/>
                <w:spacing w:val="-2"/>
                <w:sz w:val="20"/>
              </w:rPr>
              <w:t>{0.2137}</w:t>
            </w:r>
          </w:p>
        </w:tc>
        <w:tc>
          <w:tcPr>
            <w:tcW w:w="2253" w:type="dxa"/>
            <w:tcBorders>
              <w:top w:val="nil"/>
              <w:left w:val="single" w:sz="4" w:space="0" w:color="7E7E7E"/>
              <w:right w:val="nil"/>
            </w:tcBorders>
          </w:tcPr>
          <w:p>
            <w:pPr>
              <w:pStyle w:val="TableParagraph"/>
              <w:spacing w:before="145"/>
              <w:ind w:left="400" w:right="399"/>
              <w:jc w:val="center"/>
              <w:rPr>
                <w:rFonts w:ascii="Times New Roman"/>
                <w:sz w:val="20"/>
              </w:rPr>
            </w:pPr>
            <w:r>
              <w:rPr>
                <w:rFonts w:ascii="Times New Roman"/>
                <w:spacing w:val="-2"/>
                <w:sz w:val="20"/>
              </w:rPr>
              <w:t>{0.9910}</w:t>
            </w:r>
          </w:p>
        </w:tc>
      </w:tr>
      <w:tr>
        <w:trPr>
          <w:trHeight w:val="282" w:hRule="atLeast"/>
        </w:trPr>
        <w:tc>
          <w:tcPr>
            <w:tcW w:w="1906" w:type="dxa"/>
            <w:tcBorders>
              <w:top w:val="single" w:sz="4" w:space="0" w:color="000000"/>
              <w:left w:val="nil"/>
              <w:bottom w:val="nil"/>
            </w:tcBorders>
          </w:tcPr>
          <w:p>
            <w:pPr>
              <w:pStyle w:val="TableParagraph"/>
              <w:ind w:left="159" w:right="145"/>
              <w:jc w:val="center"/>
              <w:rPr>
                <w:rFonts w:ascii="Times New Roman"/>
                <w:sz w:val="19"/>
              </w:rPr>
            </w:pPr>
            <w:r>
              <w:rPr>
                <w:rFonts w:ascii="Times New Roman"/>
                <w:spacing w:val="-2"/>
                <w:sz w:val="19"/>
              </w:rPr>
              <w:t>FSIZE</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2.1031</w:t>
            </w:r>
          </w:p>
        </w:tc>
        <w:tc>
          <w:tcPr>
            <w:tcW w:w="1708" w:type="dxa"/>
            <w:tcBorders>
              <w:bottom w:val="nil"/>
              <w:right w:val="single" w:sz="4" w:space="0" w:color="7E7E7E"/>
            </w:tcBorders>
          </w:tcPr>
          <w:p>
            <w:pPr>
              <w:pStyle w:val="TableParagraph"/>
              <w:ind w:left="59" w:right="70"/>
              <w:jc w:val="center"/>
              <w:rPr>
                <w:rFonts w:ascii="Times New Roman"/>
                <w:sz w:val="20"/>
              </w:rPr>
            </w:pPr>
            <w:r>
              <w:rPr>
                <w:rFonts w:ascii="Times New Roman"/>
                <w:spacing w:val="-2"/>
                <w:sz w:val="20"/>
              </w:rPr>
              <w:t>1.7102</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0.3634</w:t>
            </w:r>
          </w:p>
        </w:tc>
      </w:tr>
      <w:tr>
        <w:trPr>
          <w:trHeight w:val="498"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4"/>
              <w:ind w:left="431"/>
              <w:rPr>
                <w:rFonts w:ascii="Times New Roman"/>
                <w:sz w:val="19"/>
              </w:rPr>
            </w:pPr>
            <w:r>
              <w:rPr>
                <w:rFonts w:ascii="Times New Roman"/>
                <w:spacing w:val="-10"/>
                <w:sz w:val="19"/>
              </w:rPr>
              <w:t>+</w:t>
            </w:r>
          </w:p>
        </w:tc>
        <w:tc>
          <w:tcPr>
            <w:tcW w:w="1620" w:type="dxa"/>
            <w:tcBorders>
              <w:top w:val="nil"/>
              <w:left w:val="single" w:sz="4" w:space="0" w:color="000000"/>
              <w:bottom w:val="nil"/>
            </w:tcBorders>
          </w:tcPr>
          <w:p>
            <w:pPr>
              <w:pStyle w:val="TableParagraph"/>
              <w:spacing w:before="147"/>
              <w:ind w:left="143" w:right="154"/>
              <w:jc w:val="center"/>
              <w:rPr>
                <w:rFonts w:ascii="Times New Roman"/>
                <w:sz w:val="20"/>
              </w:rPr>
            </w:pPr>
            <w:r>
              <w:rPr>
                <w:rFonts w:ascii="Times New Roman"/>
                <w:spacing w:val="-2"/>
                <w:sz w:val="20"/>
              </w:rPr>
              <w:t>(0.7906)</w:t>
            </w:r>
          </w:p>
        </w:tc>
        <w:tc>
          <w:tcPr>
            <w:tcW w:w="1708" w:type="dxa"/>
            <w:tcBorders>
              <w:top w:val="nil"/>
              <w:bottom w:val="nil"/>
              <w:right w:val="single" w:sz="4" w:space="0" w:color="7E7E7E"/>
            </w:tcBorders>
          </w:tcPr>
          <w:p>
            <w:pPr>
              <w:pStyle w:val="TableParagraph"/>
              <w:spacing w:before="147"/>
              <w:ind w:left="59" w:right="70"/>
              <w:jc w:val="center"/>
              <w:rPr>
                <w:rFonts w:ascii="Times New Roman"/>
                <w:sz w:val="20"/>
              </w:rPr>
            </w:pPr>
            <w:r>
              <w:rPr>
                <w:rFonts w:ascii="Times New Roman"/>
                <w:spacing w:val="-2"/>
                <w:sz w:val="20"/>
              </w:rPr>
              <w:t>(1.8018)</w:t>
            </w:r>
          </w:p>
        </w:tc>
        <w:tc>
          <w:tcPr>
            <w:tcW w:w="2253" w:type="dxa"/>
            <w:tcBorders>
              <w:top w:val="nil"/>
              <w:left w:val="single" w:sz="4" w:space="0" w:color="7E7E7E"/>
              <w:bottom w:val="nil"/>
              <w:right w:val="nil"/>
            </w:tcBorders>
          </w:tcPr>
          <w:p>
            <w:pPr>
              <w:pStyle w:val="TableParagraph"/>
              <w:spacing w:before="181"/>
              <w:ind w:left="392" w:right="399"/>
              <w:jc w:val="center"/>
              <w:rPr>
                <w:rFonts w:ascii="Times New Roman"/>
                <w:sz w:val="20"/>
              </w:rPr>
            </w:pPr>
            <w:r>
              <w:rPr>
                <w:rFonts w:ascii="Times New Roman"/>
                <w:spacing w:val="-2"/>
                <w:sz w:val="20"/>
              </w:rPr>
              <w:t>(2.0168)</w:t>
            </w:r>
          </w:p>
        </w:tc>
      </w:tr>
      <w:tr>
        <w:trPr>
          <w:trHeight w:val="411"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before="78"/>
              <w:ind w:left="143" w:right="143"/>
              <w:jc w:val="center"/>
              <w:rPr>
                <w:rFonts w:ascii="Times New Roman"/>
                <w:sz w:val="20"/>
              </w:rPr>
            </w:pPr>
            <w:r>
              <w:rPr>
                <w:rFonts w:ascii="Times New Roman"/>
                <w:spacing w:val="-2"/>
                <w:sz w:val="20"/>
              </w:rPr>
              <w:t>{0.0086}</w:t>
            </w:r>
          </w:p>
        </w:tc>
        <w:tc>
          <w:tcPr>
            <w:tcW w:w="1708" w:type="dxa"/>
            <w:tcBorders>
              <w:top w:val="nil"/>
              <w:right w:val="single" w:sz="4" w:space="0" w:color="7E7E7E"/>
            </w:tcBorders>
          </w:tcPr>
          <w:p>
            <w:pPr>
              <w:pStyle w:val="TableParagraph"/>
              <w:spacing w:before="78"/>
              <w:ind w:left="69" w:right="70"/>
              <w:jc w:val="center"/>
              <w:rPr>
                <w:rFonts w:ascii="Times New Roman"/>
                <w:sz w:val="20"/>
              </w:rPr>
            </w:pPr>
            <w:r>
              <w:rPr>
                <w:rFonts w:ascii="Times New Roman"/>
                <w:spacing w:val="-2"/>
                <w:sz w:val="20"/>
              </w:rPr>
              <w:t>{0.3438}</w:t>
            </w:r>
          </w:p>
        </w:tc>
        <w:tc>
          <w:tcPr>
            <w:tcW w:w="2253" w:type="dxa"/>
            <w:tcBorders>
              <w:top w:val="nil"/>
              <w:left w:val="single" w:sz="4" w:space="0" w:color="7E7E7E"/>
              <w:right w:val="nil"/>
            </w:tcBorders>
          </w:tcPr>
          <w:p>
            <w:pPr>
              <w:pStyle w:val="TableParagraph"/>
              <w:spacing w:before="148"/>
              <w:ind w:left="400" w:right="399"/>
              <w:jc w:val="center"/>
              <w:rPr>
                <w:rFonts w:ascii="Times New Roman"/>
                <w:sz w:val="20"/>
              </w:rPr>
            </w:pPr>
            <w:r>
              <w:rPr>
                <w:rFonts w:ascii="Times New Roman"/>
                <w:spacing w:val="-2"/>
                <w:sz w:val="20"/>
              </w:rPr>
              <w:t>{0.8572}</w:t>
            </w:r>
          </w:p>
        </w:tc>
      </w:tr>
      <w:tr>
        <w:trPr>
          <w:trHeight w:val="283" w:hRule="atLeast"/>
        </w:trPr>
        <w:tc>
          <w:tcPr>
            <w:tcW w:w="1906" w:type="dxa"/>
            <w:tcBorders>
              <w:left w:val="nil"/>
              <w:bottom w:val="nil"/>
            </w:tcBorders>
          </w:tcPr>
          <w:p>
            <w:pPr>
              <w:pStyle w:val="TableParagraph"/>
              <w:ind w:left="159" w:right="148"/>
              <w:jc w:val="center"/>
              <w:rPr>
                <w:rFonts w:ascii="Times New Roman"/>
                <w:sz w:val="19"/>
              </w:rPr>
            </w:pPr>
            <w:r>
              <w:rPr>
                <w:rFonts w:ascii="Times New Roman"/>
                <w:spacing w:val="-5"/>
                <w:sz w:val="19"/>
              </w:rPr>
              <w:t>LEV</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4"/>
              <w:jc w:val="center"/>
              <w:rPr>
                <w:rFonts w:ascii="Times New Roman"/>
                <w:sz w:val="20"/>
              </w:rPr>
            </w:pPr>
            <w:r>
              <w:rPr>
                <w:rFonts w:ascii="Times New Roman"/>
                <w:spacing w:val="-2"/>
                <w:sz w:val="20"/>
              </w:rPr>
              <w:t>0.477884</w:t>
            </w:r>
          </w:p>
        </w:tc>
        <w:tc>
          <w:tcPr>
            <w:tcW w:w="1708" w:type="dxa"/>
            <w:tcBorders>
              <w:bottom w:val="nil"/>
              <w:right w:val="single" w:sz="4" w:space="0" w:color="7E7E7E"/>
            </w:tcBorders>
          </w:tcPr>
          <w:p>
            <w:pPr>
              <w:pStyle w:val="TableParagraph"/>
              <w:ind w:left="59" w:right="70"/>
              <w:jc w:val="center"/>
              <w:rPr>
                <w:rFonts w:ascii="Times New Roman"/>
                <w:sz w:val="20"/>
              </w:rPr>
            </w:pPr>
            <w:r>
              <w:rPr>
                <w:rFonts w:ascii="Times New Roman"/>
                <w:spacing w:val="-2"/>
                <w:sz w:val="20"/>
              </w:rPr>
              <w:t>0.31722</w:t>
            </w:r>
          </w:p>
        </w:tc>
        <w:tc>
          <w:tcPr>
            <w:tcW w:w="2253" w:type="dxa"/>
            <w:tcBorders>
              <w:left w:val="single" w:sz="4" w:space="0" w:color="7E7E7E"/>
              <w:bottom w:val="nil"/>
              <w:right w:val="nil"/>
            </w:tcBorders>
          </w:tcPr>
          <w:p>
            <w:pPr>
              <w:pStyle w:val="TableParagraph"/>
              <w:ind w:left="393" w:right="399"/>
              <w:jc w:val="center"/>
              <w:rPr>
                <w:rFonts w:ascii="Times New Roman"/>
                <w:sz w:val="20"/>
              </w:rPr>
            </w:pPr>
            <w:r>
              <w:rPr>
                <w:rFonts w:ascii="Times New Roman"/>
                <w:spacing w:val="-2"/>
                <w:sz w:val="20"/>
              </w:rPr>
              <w:t>-0.4497</w:t>
            </w:r>
          </w:p>
        </w:tc>
      </w:tr>
      <w:tr>
        <w:trPr>
          <w:trHeight w:val="577" w:hRule="atLeast"/>
        </w:trPr>
        <w:tc>
          <w:tcPr>
            <w:tcW w:w="1906" w:type="dxa"/>
            <w:tcBorders>
              <w:top w:val="nil"/>
              <w:left w:val="nil"/>
            </w:tcBorders>
          </w:tcPr>
          <w:p>
            <w:pPr>
              <w:pStyle w:val="TableParagraph"/>
              <w:rPr>
                <w:rFonts w:ascii="Times New Roman"/>
                <w:sz w:val="20"/>
              </w:rPr>
            </w:pPr>
          </w:p>
        </w:tc>
        <w:tc>
          <w:tcPr>
            <w:tcW w:w="986" w:type="dxa"/>
            <w:tcBorders>
              <w:top w:val="nil"/>
              <w:right w:val="single" w:sz="4" w:space="0" w:color="000000"/>
            </w:tcBorders>
          </w:tcPr>
          <w:p>
            <w:pPr>
              <w:pStyle w:val="TableParagraph"/>
              <w:spacing w:before="45"/>
              <w:ind w:left="431"/>
              <w:rPr>
                <w:rFonts w:ascii="Times New Roman"/>
                <w:sz w:val="19"/>
              </w:rPr>
            </w:pPr>
            <w:r>
              <w:rPr>
                <w:rFonts w:ascii="Times New Roman"/>
                <w:spacing w:val="-10"/>
                <w:sz w:val="19"/>
              </w:rPr>
              <w:t>+</w:t>
            </w:r>
          </w:p>
        </w:tc>
        <w:tc>
          <w:tcPr>
            <w:tcW w:w="1620" w:type="dxa"/>
            <w:tcBorders>
              <w:top w:val="nil"/>
              <w:left w:val="single" w:sz="4" w:space="0" w:color="000000"/>
            </w:tcBorders>
          </w:tcPr>
          <w:p>
            <w:pPr>
              <w:pStyle w:val="TableParagraph"/>
              <w:spacing w:before="146"/>
              <w:ind w:left="143" w:right="154"/>
              <w:jc w:val="center"/>
              <w:rPr>
                <w:rFonts w:ascii="Times New Roman"/>
                <w:sz w:val="20"/>
              </w:rPr>
            </w:pPr>
            <w:r>
              <w:rPr>
                <w:rFonts w:ascii="Times New Roman"/>
                <w:spacing w:val="-2"/>
                <w:sz w:val="20"/>
              </w:rPr>
              <w:t>(0.3029)</w:t>
            </w:r>
          </w:p>
        </w:tc>
        <w:tc>
          <w:tcPr>
            <w:tcW w:w="1708" w:type="dxa"/>
            <w:tcBorders>
              <w:top w:val="nil"/>
              <w:right w:val="single" w:sz="4" w:space="0" w:color="7E7E7E"/>
            </w:tcBorders>
          </w:tcPr>
          <w:p>
            <w:pPr>
              <w:pStyle w:val="TableParagraph"/>
              <w:spacing w:before="146"/>
              <w:ind w:left="59" w:right="70"/>
              <w:jc w:val="center"/>
              <w:rPr>
                <w:rFonts w:ascii="Times New Roman"/>
                <w:sz w:val="20"/>
              </w:rPr>
            </w:pPr>
            <w:r>
              <w:rPr>
                <w:rFonts w:ascii="Times New Roman"/>
                <w:spacing w:val="-2"/>
                <w:sz w:val="20"/>
              </w:rPr>
              <w:t>(0.8361)</w:t>
            </w:r>
          </w:p>
        </w:tc>
        <w:tc>
          <w:tcPr>
            <w:tcW w:w="2253" w:type="dxa"/>
            <w:tcBorders>
              <w:top w:val="nil"/>
              <w:left w:val="single" w:sz="4" w:space="0" w:color="7E7E7E"/>
              <w:right w:val="nil"/>
            </w:tcBorders>
          </w:tcPr>
          <w:p>
            <w:pPr>
              <w:pStyle w:val="TableParagraph"/>
              <w:rPr>
                <w:rFonts w:ascii="Times New Roman"/>
                <w:sz w:val="20"/>
              </w:rPr>
            </w:pPr>
          </w:p>
        </w:tc>
      </w:tr>
    </w:tbl>
    <w:p>
      <w:pPr>
        <w:spacing w:after="0"/>
        <w:rPr>
          <w:rFonts w:ascii="Times New Roman"/>
          <w:sz w:val="20"/>
        </w:rPr>
        <w:sectPr>
          <w:pgSz w:w="11910" w:h="16840"/>
          <w:pgMar w:header="0" w:footer="971" w:top="1360" w:bottom="1160" w:left="500" w:right="0"/>
        </w:sectPr>
      </w:pPr>
    </w:p>
    <w:tbl>
      <w:tblPr>
        <w:tblW w:w="0" w:type="auto"/>
        <w:jc w:val="left"/>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06"/>
        <w:gridCol w:w="986"/>
        <w:gridCol w:w="1620"/>
        <w:gridCol w:w="1708"/>
        <w:gridCol w:w="2253"/>
      </w:tblGrid>
      <w:tr>
        <w:trPr>
          <w:trHeight w:val="729" w:hRule="atLeast"/>
        </w:trPr>
        <w:tc>
          <w:tcPr>
            <w:tcW w:w="1906" w:type="dxa"/>
            <w:tcBorders>
              <w:left w:val="nil"/>
              <w:bottom w:val="single" w:sz="4" w:space="0" w:color="000000"/>
            </w:tcBorders>
          </w:tcPr>
          <w:p>
            <w:pPr>
              <w:pStyle w:val="TableParagraph"/>
              <w:rPr>
                <w:rFonts w:ascii="Times New Roman"/>
                <w:sz w:val="20"/>
              </w:rPr>
            </w:pPr>
          </w:p>
        </w:tc>
        <w:tc>
          <w:tcPr>
            <w:tcW w:w="986" w:type="dxa"/>
            <w:tcBorders>
              <w:right w:val="single" w:sz="4" w:space="0" w:color="000000"/>
            </w:tcBorders>
          </w:tcPr>
          <w:p>
            <w:pPr>
              <w:pStyle w:val="TableParagraph"/>
              <w:rPr>
                <w:rFonts w:ascii="Times New Roman"/>
                <w:sz w:val="20"/>
              </w:rPr>
            </w:pPr>
          </w:p>
        </w:tc>
        <w:tc>
          <w:tcPr>
            <w:tcW w:w="1620" w:type="dxa"/>
            <w:tcBorders>
              <w:left w:val="single" w:sz="4" w:space="0" w:color="000000"/>
            </w:tcBorders>
          </w:tcPr>
          <w:p>
            <w:pPr>
              <w:pStyle w:val="TableParagraph"/>
              <w:ind w:left="143" w:right="143"/>
              <w:jc w:val="center"/>
              <w:rPr>
                <w:rFonts w:ascii="Times New Roman"/>
                <w:sz w:val="20"/>
              </w:rPr>
            </w:pPr>
            <w:r>
              <w:rPr>
                <w:rFonts w:ascii="Times New Roman"/>
                <w:spacing w:val="-2"/>
                <w:sz w:val="20"/>
              </w:rPr>
              <w:t>{0.1165}</w:t>
            </w:r>
          </w:p>
        </w:tc>
        <w:tc>
          <w:tcPr>
            <w:tcW w:w="1708" w:type="dxa"/>
            <w:tcBorders>
              <w:right w:val="single" w:sz="4" w:space="0" w:color="7E7E7E"/>
            </w:tcBorders>
          </w:tcPr>
          <w:p>
            <w:pPr>
              <w:pStyle w:val="TableParagraph"/>
              <w:ind w:left="69" w:right="70"/>
              <w:jc w:val="center"/>
              <w:rPr>
                <w:rFonts w:ascii="Times New Roman"/>
                <w:sz w:val="20"/>
              </w:rPr>
            </w:pPr>
            <w:r>
              <w:rPr>
                <w:rFonts w:ascii="Times New Roman"/>
                <w:spacing w:val="-2"/>
                <w:sz w:val="20"/>
              </w:rPr>
              <w:t>{0.7048}</w:t>
            </w:r>
          </w:p>
        </w:tc>
        <w:tc>
          <w:tcPr>
            <w:tcW w:w="2253" w:type="dxa"/>
            <w:tcBorders>
              <w:left w:val="single" w:sz="4" w:space="0" w:color="7E7E7E"/>
              <w:right w:val="nil"/>
            </w:tcBorders>
          </w:tcPr>
          <w:p>
            <w:pPr>
              <w:pStyle w:val="TableParagraph"/>
              <w:ind w:left="390" w:right="399"/>
              <w:jc w:val="center"/>
              <w:rPr>
                <w:rFonts w:ascii="Times New Roman"/>
                <w:sz w:val="20"/>
              </w:rPr>
            </w:pPr>
            <w:r>
              <w:rPr>
                <w:rFonts w:ascii="Times New Roman"/>
                <w:spacing w:val="-2"/>
                <w:sz w:val="20"/>
              </w:rPr>
              <w:t>(1.95419)</w:t>
            </w:r>
          </w:p>
          <w:p>
            <w:pPr>
              <w:pStyle w:val="TableParagraph"/>
              <w:spacing w:before="6"/>
              <w:rPr>
                <w:rFonts w:ascii="Times New Roman"/>
                <w:sz w:val="20"/>
              </w:rPr>
            </w:pPr>
          </w:p>
          <w:p>
            <w:pPr>
              <w:pStyle w:val="TableParagraph"/>
              <w:ind w:left="400" w:right="399"/>
              <w:jc w:val="center"/>
              <w:rPr>
                <w:rFonts w:ascii="Times New Roman"/>
                <w:sz w:val="20"/>
              </w:rPr>
            </w:pPr>
            <w:r>
              <w:rPr>
                <w:rFonts w:ascii="Times New Roman"/>
                <w:spacing w:val="-2"/>
                <w:sz w:val="20"/>
              </w:rPr>
              <w:t>{0.8183}</w:t>
            </w:r>
          </w:p>
        </w:tc>
      </w:tr>
      <w:tr>
        <w:trPr>
          <w:trHeight w:val="292" w:hRule="atLeast"/>
        </w:trPr>
        <w:tc>
          <w:tcPr>
            <w:tcW w:w="1906" w:type="dxa"/>
            <w:tcBorders>
              <w:top w:val="single" w:sz="4" w:space="0" w:color="000000"/>
              <w:left w:val="nil"/>
              <w:bottom w:val="nil"/>
            </w:tcBorders>
          </w:tcPr>
          <w:p>
            <w:pPr>
              <w:pStyle w:val="TableParagraph"/>
              <w:ind w:left="159" w:right="148"/>
              <w:jc w:val="center"/>
              <w:rPr>
                <w:rFonts w:ascii="Times New Roman"/>
                <w:sz w:val="20"/>
              </w:rPr>
            </w:pPr>
            <w:r>
              <w:rPr>
                <w:rFonts w:ascii="Times New Roman"/>
                <w:spacing w:val="-4"/>
                <w:sz w:val="20"/>
              </w:rPr>
              <w:t>IFRS</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-0.7143</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0.9531</w:t>
            </w:r>
          </w:p>
        </w:tc>
        <w:tc>
          <w:tcPr>
            <w:tcW w:w="2253" w:type="dxa"/>
            <w:tcBorders>
              <w:left w:val="single" w:sz="4" w:space="0" w:color="000000"/>
              <w:bottom w:val="nil"/>
              <w:right w:val="nil"/>
            </w:tcBorders>
          </w:tcPr>
          <w:p>
            <w:pPr>
              <w:pStyle w:val="TableParagraph"/>
              <w:ind w:left="397" w:right="399"/>
              <w:jc w:val="center"/>
              <w:rPr>
                <w:rFonts w:ascii="Times New Roman"/>
                <w:sz w:val="20"/>
              </w:rPr>
            </w:pPr>
            <w:r>
              <w:rPr>
                <w:rFonts w:ascii="Times New Roman"/>
                <w:spacing w:val="-2"/>
                <w:sz w:val="20"/>
              </w:rPr>
              <w:t>0.0879***</w:t>
            </w:r>
          </w:p>
        </w:tc>
      </w:tr>
      <w:tr>
        <w:trPr>
          <w:trHeight w:val="387"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53"/>
              <w:ind w:left="98" w:right="5"/>
              <w:jc w:val="center"/>
              <w:rPr>
                <w:rFonts w:ascii="Times New Roman"/>
                <w:sz w:val="20"/>
              </w:rPr>
            </w:pPr>
            <w:r>
              <w:rPr>
                <w:rFonts w:ascii="Times New Roman"/>
                <w:spacing w:val="-10"/>
                <w:sz w:val="20"/>
              </w:rPr>
              <w:t>-</w:t>
            </w:r>
          </w:p>
        </w:tc>
        <w:tc>
          <w:tcPr>
            <w:tcW w:w="1620" w:type="dxa"/>
            <w:tcBorders>
              <w:top w:val="nil"/>
              <w:left w:val="single" w:sz="4" w:space="0" w:color="000000"/>
              <w:bottom w:val="nil"/>
            </w:tcBorders>
          </w:tcPr>
          <w:p>
            <w:pPr>
              <w:pStyle w:val="TableParagraph"/>
              <w:spacing w:before="137"/>
              <w:ind w:left="143" w:right="154"/>
              <w:jc w:val="center"/>
              <w:rPr>
                <w:rFonts w:ascii="Times New Roman"/>
                <w:sz w:val="20"/>
              </w:rPr>
            </w:pPr>
            <w:r>
              <w:rPr>
                <w:rFonts w:ascii="Times New Roman"/>
                <w:spacing w:val="-2"/>
                <w:sz w:val="20"/>
              </w:rPr>
              <w:t>(1.7513)</w:t>
            </w:r>
          </w:p>
        </w:tc>
        <w:tc>
          <w:tcPr>
            <w:tcW w:w="1708" w:type="dxa"/>
            <w:tcBorders>
              <w:top w:val="nil"/>
              <w:bottom w:val="nil"/>
              <w:right w:val="single" w:sz="4" w:space="0" w:color="000000"/>
            </w:tcBorders>
          </w:tcPr>
          <w:p>
            <w:pPr>
              <w:pStyle w:val="TableParagraph"/>
              <w:spacing w:before="137"/>
              <w:ind w:left="59" w:right="70"/>
              <w:jc w:val="center"/>
              <w:rPr>
                <w:rFonts w:ascii="Times New Roman"/>
                <w:sz w:val="20"/>
              </w:rPr>
            </w:pPr>
            <w:r>
              <w:rPr>
                <w:rFonts w:ascii="Times New Roman"/>
                <w:spacing w:val="-2"/>
                <w:sz w:val="20"/>
              </w:rPr>
              <w:t>(3.0761)</w:t>
            </w:r>
          </w:p>
        </w:tc>
        <w:tc>
          <w:tcPr>
            <w:tcW w:w="2253" w:type="dxa"/>
            <w:tcBorders>
              <w:top w:val="nil"/>
              <w:left w:val="single" w:sz="4" w:space="0" w:color="000000"/>
              <w:bottom w:val="nil"/>
              <w:right w:val="nil"/>
            </w:tcBorders>
          </w:tcPr>
          <w:p>
            <w:pPr>
              <w:pStyle w:val="TableParagraph"/>
              <w:spacing w:before="53"/>
              <w:ind w:left="399" w:right="399"/>
              <w:jc w:val="center"/>
              <w:rPr>
                <w:rFonts w:ascii="Times New Roman"/>
                <w:sz w:val="20"/>
              </w:rPr>
            </w:pPr>
            <w:r>
              <w:rPr>
                <w:rFonts w:ascii="Times New Roman"/>
                <w:spacing w:val="-2"/>
                <w:sz w:val="20"/>
              </w:rPr>
              <w:t>(0.0139)</w:t>
            </w:r>
          </w:p>
        </w:tc>
      </w:tr>
      <w:tr>
        <w:trPr>
          <w:trHeight w:val="409"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line="210" w:lineRule="exact" w:before="179"/>
              <w:ind w:left="143" w:right="143"/>
              <w:jc w:val="center"/>
              <w:rPr>
                <w:rFonts w:ascii="Times New Roman"/>
                <w:sz w:val="20"/>
              </w:rPr>
            </w:pPr>
            <w:r>
              <w:rPr>
                <w:rFonts w:ascii="Times New Roman"/>
                <w:spacing w:val="-2"/>
                <w:sz w:val="20"/>
              </w:rPr>
              <w:t>{0.6839}</w:t>
            </w:r>
          </w:p>
        </w:tc>
        <w:tc>
          <w:tcPr>
            <w:tcW w:w="1708" w:type="dxa"/>
            <w:tcBorders>
              <w:top w:val="nil"/>
              <w:right w:val="single" w:sz="4" w:space="0" w:color="000000"/>
            </w:tcBorders>
          </w:tcPr>
          <w:p>
            <w:pPr>
              <w:pStyle w:val="TableParagraph"/>
              <w:spacing w:line="210" w:lineRule="exact" w:before="179"/>
              <w:ind w:left="69" w:right="70"/>
              <w:jc w:val="center"/>
              <w:rPr>
                <w:rFonts w:ascii="Times New Roman"/>
                <w:sz w:val="20"/>
              </w:rPr>
            </w:pPr>
            <w:r>
              <w:rPr>
                <w:rFonts w:ascii="Times New Roman"/>
                <w:spacing w:val="-2"/>
                <w:sz w:val="20"/>
              </w:rPr>
              <w:t>{0.7570}</w:t>
            </w:r>
          </w:p>
        </w:tc>
        <w:tc>
          <w:tcPr>
            <w:tcW w:w="2253" w:type="dxa"/>
            <w:tcBorders>
              <w:top w:val="nil"/>
              <w:left w:val="single" w:sz="4" w:space="0" w:color="000000"/>
              <w:right w:val="nil"/>
            </w:tcBorders>
          </w:tcPr>
          <w:p>
            <w:pPr>
              <w:pStyle w:val="TableParagraph"/>
              <w:spacing w:before="11"/>
              <w:ind w:left="398" w:right="399"/>
              <w:jc w:val="center"/>
              <w:rPr>
                <w:rFonts w:ascii="Times New Roman"/>
                <w:sz w:val="20"/>
              </w:rPr>
            </w:pPr>
            <w:r>
              <w:rPr>
                <w:rFonts w:ascii="Times New Roman"/>
                <w:spacing w:val="-2"/>
                <w:sz w:val="20"/>
              </w:rPr>
              <w:t>{0.000}</w:t>
            </w:r>
          </w:p>
        </w:tc>
      </w:tr>
      <w:tr>
        <w:trPr>
          <w:trHeight w:val="287" w:hRule="atLeast"/>
        </w:trPr>
        <w:tc>
          <w:tcPr>
            <w:tcW w:w="1906" w:type="dxa"/>
            <w:tcBorders>
              <w:top w:val="single" w:sz="4" w:space="0" w:color="000000"/>
              <w:left w:val="nil"/>
              <w:bottom w:val="nil"/>
            </w:tcBorders>
          </w:tcPr>
          <w:p>
            <w:pPr>
              <w:pStyle w:val="TableParagraph"/>
              <w:ind w:left="159" w:right="148"/>
              <w:jc w:val="center"/>
              <w:rPr>
                <w:rFonts w:ascii="Times New Roman"/>
                <w:sz w:val="20"/>
              </w:rPr>
            </w:pPr>
            <w:r>
              <w:rPr>
                <w:rFonts w:ascii="Times New Roman"/>
                <w:spacing w:val="-2"/>
                <w:sz w:val="20"/>
              </w:rPr>
              <w:t>INSTOWN*IFRS</w:t>
            </w:r>
          </w:p>
        </w:tc>
        <w:tc>
          <w:tcPr>
            <w:tcW w:w="986" w:type="dxa"/>
            <w:tcBorders>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4"/>
              <w:jc w:val="center"/>
              <w:rPr>
                <w:rFonts w:ascii="Times New Roman"/>
                <w:sz w:val="20"/>
              </w:rPr>
            </w:pPr>
            <w:r>
              <w:rPr>
                <w:rFonts w:ascii="Times New Roman"/>
                <w:spacing w:val="-2"/>
                <w:sz w:val="20"/>
              </w:rPr>
              <w:t>-0.17926</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-0.3637</w:t>
            </w:r>
          </w:p>
        </w:tc>
        <w:tc>
          <w:tcPr>
            <w:tcW w:w="2253" w:type="dxa"/>
            <w:vMerge w:val="restart"/>
            <w:tcBorders>
              <w:left w:val="single" w:sz="4" w:space="0" w:color="000000"/>
              <w:bottom w:val="single" w:sz="4" w:space="0" w:color="000000"/>
              <w:right w:val="nil"/>
            </w:tcBorders>
          </w:tcPr>
          <w:p>
            <w:pPr>
              <w:pStyle w:val="TableParagraph"/>
              <w:rPr>
                <w:rFonts w:ascii="Times New Roman"/>
                <w:sz w:val="20"/>
              </w:rPr>
            </w:pPr>
          </w:p>
        </w:tc>
      </w:tr>
      <w:tr>
        <w:trPr>
          <w:trHeight w:val="464"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8"/>
              <w:ind w:left="93" w:right="98"/>
              <w:jc w:val="center"/>
              <w:rPr>
                <w:rFonts w:ascii="Times New Roman"/>
                <w:sz w:val="20"/>
              </w:rPr>
            </w:pPr>
            <w:r>
              <w:rPr>
                <w:rFonts w:ascii="Times New Roman"/>
                <w:spacing w:val="-10"/>
                <w:sz w:val="20"/>
              </w:rPr>
              <w:t>-</w:t>
            </w:r>
          </w:p>
        </w:tc>
        <w:tc>
          <w:tcPr>
            <w:tcW w:w="1620" w:type="dxa"/>
            <w:tcBorders>
              <w:top w:val="nil"/>
              <w:left w:val="single" w:sz="4" w:space="0" w:color="000000"/>
              <w:bottom w:val="nil"/>
            </w:tcBorders>
          </w:tcPr>
          <w:p>
            <w:pPr>
              <w:pStyle w:val="TableParagraph"/>
              <w:spacing w:before="134"/>
              <w:ind w:left="143" w:right="154"/>
              <w:jc w:val="center"/>
              <w:rPr>
                <w:rFonts w:ascii="Times New Roman"/>
                <w:sz w:val="20"/>
              </w:rPr>
            </w:pPr>
            <w:r>
              <w:rPr>
                <w:rFonts w:ascii="Times New Roman"/>
                <w:spacing w:val="-2"/>
                <w:sz w:val="20"/>
              </w:rPr>
              <w:t>(0.0515)</w:t>
            </w:r>
          </w:p>
        </w:tc>
        <w:tc>
          <w:tcPr>
            <w:tcW w:w="1708" w:type="dxa"/>
            <w:tcBorders>
              <w:top w:val="nil"/>
              <w:bottom w:val="nil"/>
              <w:right w:val="single" w:sz="4" w:space="0" w:color="000000"/>
            </w:tcBorders>
          </w:tcPr>
          <w:p>
            <w:pPr>
              <w:pStyle w:val="TableParagraph"/>
              <w:spacing w:before="134"/>
              <w:ind w:left="59" w:right="70"/>
              <w:jc w:val="center"/>
              <w:rPr>
                <w:rFonts w:ascii="Times New Roman"/>
                <w:sz w:val="20"/>
              </w:rPr>
            </w:pPr>
            <w:r>
              <w:rPr>
                <w:rFonts w:ascii="Times New Roman"/>
                <w:spacing w:val="-2"/>
                <w:sz w:val="20"/>
              </w:rPr>
              <w:t>(0.1124)</w:t>
            </w:r>
          </w:p>
        </w:tc>
        <w:tc>
          <w:tcPr>
            <w:tcW w:w="2253" w:type="dxa"/>
            <w:vMerge/>
            <w:tcBorders>
              <w:top w:val="nil"/>
              <w:left w:val="single" w:sz="4" w:space="0" w:color="000000"/>
              <w:bottom w:val="single" w:sz="4" w:space="0" w:color="000000"/>
              <w:right w:val="nil"/>
            </w:tcBorders>
          </w:tcPr>
          <w:p>
            <w:pPr>
              <w:rPr>
                <w:sz w:val="2"/>
                <w:szCs w:val="2"/>
              </w:rPr>
            </w:pPr>
          </w:p>
        </w:tc>
      </w:tr>
      <w:tr>
        <w:trPr>
          <w:trHeight w:val="320"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line="210" w:lineRule="exact" w:before="90"/>
              <w:ind w:left="143" w:right="143"/>
              <w:jc w:val="center"/>
              <w:rPr>
                <w:rFonts w:ascii="Times New Roman"/>
                <w:sz w:val="20"/>
              </w:rPr>
            </w:pPr>
            <w:r>
              <w:rPr>
                <w:rFonts w:ascii="Times New Roman"/>
                <w:spacing w:val="-2"/>
                <w:sz w:val="20"/>
              </w:rPr>
              <w:t>{0.0006}</w:t>
            </w:r>
          </w:p>
        </w:tc>
        <w:tc>
          <w:tcPr>
            <w:tcW w:w="1708" w:type="dxa"/>
            <w:tcBorders>
              <w:top w:val="nil"/>
              <w:right w:val="single" w:sz="4" w:space="0" w:color="000000"/>
            </w:tcBorders>
          </w:tcPr>
          <w:p>
            <w:pPr>
              <w:pStyle w:val="TableParagraph"/>
              <w:spacing w:line="210" w:lineRule="exact" w:before="90"/>
              <w:ind w:left="69" w:right="70"/>
              <w:jc w:val="center"/>
              <w:rPr>
                <w:rFonts w:ascii="Times New Roman"/>
                <w:sz w:val="20"/>
              </w:rPr>
            </w:pPr>
            <w:r>
              <w:rPr>
                <w:rFonts w:ascii="Times New Roman"/>
                <w:spacing w:val="-2"/>
                <w:sz w:val="20"/>
              </w:rPr>
              <w:t>{0.0014}</w:t>
            </w:r>
          </w:p>
        </w:tc>
        <w:tc>
          <w:tcPr>
            <w:tcW w:w="2253" w:type="dxa"/>
            <w:vMerge/>
            <w:tcBorders>
              <w:top w:val="nil"/>
              <w:left w:val="single" w:sz="4" w:space="0" w:color="000000"/>
              <w:bottom w:val="single" w:sz="4" w:space="0" w:color="000000"/>
              <w:right w:val="nil"/>
            </w:tcBorders>
          </w:tcPr>
          <w:p>
            <w:pPr>
              <w:rPr>
                <w:sz w:val="2"/>
                <w:szCs w:val="2"/>
              </w:rPr>
            </w:pPr>
          </w:p>
        </w:tc>
      </w:tr>
      <w:tr>
        <w:trPr>
          <w:trHeight w:val="286" w:hRule="atLeast"/>
        </w:trPr>
        <w:tc>
          <w:tcPr>
            <w:tcW w:w="1906" w:type="dxa"/>
            <w:tcBorders>
              <w:top w:val="single" w:sz="4" w:space="0" w:color="000000"/>
              <w:left w:val="nil"/>
              <w:bottom w:val="nil"/>
            </w:tcBorders>
          </w:tcPr>
          <w:p>
            <w:pPr>
              <w:pStyle w:val="TableParagraph"/>
              <w:ind w:left="159" w:right="146"/>
              <w:jc w:val="center"/>
              <w:rPr>
                <w:rFonts w:ascii="Times New Roman"/>
                <w:sz w:val="20"/>
              </w:rPr>
            </w:pPr>
            <w:r>
              <w:rPr>
                <w:rFonts w:ascii="Times New Roman"/>
                <w:spacing w:val="-2"/>
                <w:sz w:val="20"/>
              </w:rPr>
              <w:t>MOWN*IFRS</w:t>
            </w:r>
          </w:p>
        </w:tc>
        <w:tc>
          <w:tcPr>
            <w:tcW w:w="986" w:type="dxa"/>
            <w:tcBorders>
              <w:top w:val="single" w:sz="4" w:space="0" w:color="000000"/>
              <w:bottom w:val="nil"/>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0.0129</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0.0123</w:t>
            </w:r>
          </w:p>
        </w:tc>
        <w:tc>
          <w:tcPr>
            <w:tcW w:w="2253" w:type="dxa"/>
            <w:vMerge w:val="restart"/>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463" w:hRule="atLeast"/>
        </w:trPr>
        <w:tc>
          <w:tcPr>
            <w:tcW w:w="1906" w:type="dxa"/>
            <w:tcBorders>
              <w:top w:val="nil"/>
              <w:left w:val="nil"/>
              <w:bottom w:val="nil"/>
            </w:tcBorders>
          </w:tcPr>
          <w:p>
            <w:pPr>
              <w:pStyle w:val="TableParagraph"/>
              <w:rPr>
                <w:rFonts w:ascii="Times New Roman"/>
                <w:sz w:val="20"/>
              </w:rPr>
            </w:pPr>
          </w:p>
        </w:tc>
        <w:tc>
          <w:tcPr>
            <w:tcW w:w="986" w:type="dxa"/>
            <w:tcBorders>
              <w:top w:val="nil"/>
              <w:bottom w:val="nil"/>
              <w:right w:val="single" w:sz="4" w:space="0" w:color="000000"/>
            </w:tcBorders>
          </w:tcPr>
          <w:p>
            <w:pPr>
              <w:pStyle w:val="TableParagraph"/>
              <w:spacing w:before="47"/>
              <w:ind w:left="93" w:right="98"/>
              <w:jc w:val="center"/>
              <w:rPr>
                <w:rFonts w:ascii="Times New Roman"/>
                <w:sz w:val="20"/>
              </w:rPr>
            </w:pPr>
            <w:r>
              <w:rPr/>
              <mc:AlternateContent>
                <mc:Choice Requires="wps">
                  <w:drawing>
                    <wp:anchor distT="0" distB="0" distL="0" distR="0" allowOverlap="1" layoutInCell="1" locked="0" behindDoc="1" simplePos="0" relativeHeight="477752320">
                      <wp:simplePos x="0" y="0"/>
                      <wp:positionH relativeFrom="column">
                        <wp:posOffset>95631</wp:posOffset>
                      </wp:positionH>
                      <wp:positionV relativeFrom="paragraph">
                        <wp:posOffset>-249987</wp:posOffset>
                      </wp:positionV>
                      <wp:extent cx="3815715" cy="396494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3815715" cy="3964940"/>
                                <a:chExt cx="3815715" cy="3964940"/>
                              </a:xfrm>
                            </wpg:grpSpPr>
                            <pic:pic>
                              <pic:nvPicPr>
                                <pic:cNvPr id="216" name="Image 216"/>
                                <pic:cNvPicPr/>
                              </pic:nvPicPr>
                              <pic:blipFill>
                                <a:blip r:embed="rId9" cstate="print"/>
                                <a:stretch>
                                  <a:fillRect/>
                                </a:stretch>
                              </pic:blipFill>
                              <pic:spPr>
                                <a:xfrm>
                                  <a:off x="130555" y="3743197"/>
                                  <a:ext cx="221995" cy="221614"/>
                                </a:xfrm>
                                <a:prstGeom prst="rect">
                                  <a:avLst/>
                                </a:prstGeom>
                              </pic:spPr>
                            </pic:pic>
                            <wps:wsp>
                              <wps:cNvPr id="217" name="Graphic 217"/>
                              <wps:cNvSpPr/>
                              <wps:spPr>
                                <a:xfrm>
                                  <a:off x="0"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7.53pt;margin-top:-19.684038pt;width:300.45pt;height:312.2pt;mso-position-horizontal-relative:column;mso-position-vertical-relative:paragraph;z-index:-25564160" id="docshapegroup74" coordorigin="151,-394" coordsize="6009,6244">
                      <v:shape style="position:absolute;left:356;top:5501;width:350;height:349" type="#_x0000_t75" id="docshape75" stroked="false">
                        <v:imagedata r:id="rId9" o:title=""/>
                      </v:shape>
                      <v:shape style="position:absolute;left:150;top:-394;width:6009;height:6216" id="docshape76" coordorigin="151,-394" coordsize="6009,6216" path="m1287,5742l1287,5737,1283,5728,1280,5723,1276,5719,249,4692,244,4688,234,4685,230,4685,224,4686,218,4688,212,4691,205,4695,198,4700,190,4706,173,4724,162,4738,154,4752,152,4757,151,4764,151,4769,154,4778,157,4784,1188,5815,1193,5818,1202,5822,1207,5822,1212,5820,1219,5819,1225,5815,1233,5811,1239,5806,1248,5799,1265,5782,1272,5774,1277,5767,1281,5759,1284,5754,1285,5747,1287,5742xm1562,5462l1560,5457,1559,5452,1555,5448,1551,5443,1167,5060,1246,4981,1275,4949,1279,4944,1299,4916,1318,4881,1331,4846,1340,4811,1344,4775,1344,4737,1339,4698,1330,4660,1317,4620,1300,4580,1278,4540,1252,4500,1223,4460,1192,4423,1192,4730,1191,4753,1187,4775,1179,4797,1168,4819,1153,4840,1134,4861,1051,4944,624,4516,709,4432,721,4420,734,4409,748,4398,763,4389,779,4380,797,4374,817,4370,838,4368,861,4369,886,4374,913,4382,942,4394,972,4410,1002,4431,1034,4457,1066,4487,1089,4511,1110,4536,1128,4560,1145,4585,1159,4610,1171,4635,1180,4659,1186,4683,1191,4707,1192,4730,1192,4423,1189,4419,1151,4379,1140,4368,1121,4350,1091,4324,1060,4301,1030,4279,1000,4262,970,4247,941,4234,911,4224,882,4216,854,4211,826,4208,798,4209,772,4211,747,4216,725,4222,705,4230,688,4240,672,4249,658,4258,645,4266,633,4276,622,4286,610,4296,599,4307,451,4455,445,4462,442,4472,440,4482,440,4494,443,4507,450,4521,461,4536,476,4552,1459,5535,1463,5539,1468,5543,1473,5545,1478,5546,1482,5547,1488,5545,1494,5543,1500,5540,1508,5536,1515,5531,1522,5525,1541,5507,1547,5498,1552,5492,1556,5484,1559,5478,1560,5472,1562,5467,1562,5462xm2255,4774l2255,4769,2251,4759,2248,4755,1320,3827,1517,3630,1518,3627,1519,3621,1518,3617,1517,3611,1514,3605,1511,3599,1506,3591,1484,3566,1473,3555,1462,3545,1453,3536,1436,3521,1428,3516,1415,3509,1410,3508,1400,3508,1396,3510,911,3995,909,3999,910,4003,909,4008,911,4013,918,4026,923,4034,930,4042,937,4051,946,4061,967,4082,977,4091,985,4097,993,4104,1001,4109,1013,4115,1018,4117,1023,4117,1028,4117,1031,4115,1228,3918,2156,4846,2161,4850,2171,4853,2175,4854,2181,4852,2187,4851,2201,4843,2216,4832,2233,4814,2240,4806,2245,4799,2249,4791,2252,4785,2253,4779,2255,4774xm2787,4242l2787,4237,2784,4227,2780,4222,1852,3294,2049,3098,2051,3094,2051,3089,2049,3079,2044,3067,2038,3059,2031,3051,2016,3034,2005,3023,1994,3012,1968,2989,1960,2984,1947,2977,1942,2976,1937,2975,1932,2976,1929,2978,1443,3463,1441,3466,1442,3471,1442,3476,1443,3481,1450,3494,1455,3502,1462,3510,1470,3519,1478,3529,1499,3550,1509,3558,1518,3565,1525,3572,1533,3577,1545,3583,1550,3585,1555,3585,1560,3585,1563,3583,1760,3386,2688,4314,2693,4318,2703,4321,2707,4322,2713,4319,2719,4318,2733,4311,2740,4306,2748,4299,2766,4282,2777,4267,2784,4253,2785,4247,2787,4242xm3494,3401l3487,3347,3473,3292,3453,3236,3427,3178,3394,3118,3356,3057,3337,3031,3337,3379,3336,3418,3330,3454,3317,3489,3296,3522,3270,3554,3238,3581,3206,3601,3172,3615,3137,3622,3100,3624,3062,3621,3023,3612,2983,3598,2942,3579,2900,3556,2857,3528,2814,3496,2769,3460,2723,3420,2677,3378,2631,3333,2589,3290,2550,3247,2514,3204,2479,3160,2448,3117,2422,3074,2399,3031,2381,2989,2367,2948,2358,2909,2354,2870,2355,2832,2361,2795,2374,2760,2394,2727,2420,2697,2451,2670,2483,2649,2517,2636,2553,2629,2590,2627,2628,2630,2667,2639,2707,2653,2748,2672,2790,2694,2833,2721,2876,2753,2921,2788,2965,2826,3010,2868,3055,2912,3097,2955,3137,2998,3174,3042,3208,3086,3240,3130,3267,3173,3290,3216,3309,3258,3323,3299,3333,3340,3337,3379,3337,3031,3311,2995,3260,2932,3204,2869,3142,2805,3078,2743,3016,2687,2954,2637,2941,2627,2895,2593,2836,2555,2779,2524,2724,2499,2671,2481,2619,2469,2569,2464,2520,2465,2473,2472,2428,2486,2385,2507,2344,2535,2305,2570,2269,2610,2241,2654,2219,2699,2206,2747,2199,2797,2199,2849,2205,2902,2218,2956,2238,3013,2264,3071,2296,3130,2334,3191,2378,3252,2428,3314,2483,3377,2544,3440,2609,3503,2672,3559,2734,3610,2795,3655,2854,3693,2911,3725,2966,3750,3020,3769,3071,3781,3122,3787,3170,3786,3217,3779,3263,3765,3307,3744,3348,3716,3388,3681,3424,3640,3434,3624,3452,3597,3473,3551,3487,3503,3493,3453,3494,3401xm4446,2474l4446,2446,4445,2435,4444,2427,4442,2418,4440,2411,4435,2400,4432,2395,4428,2389,4406,2363,4390,2346,4372,2329,4349,2308,4335,2299,4330,2296,4325,2294,4318,2294,4315,2295,4307,2303,4305,2316,4307,2336,4307,2351,4308,2368,4307,2386,4306,2405,4304,2426,4300,2448,4295,2470,4288,2493,4279,2517,4267,2539,4251,2560,4232,2581,4207,2603,4179,2621,4149,2634,4117,2641,4084,2645,4049,2644,4012,2638,3973,2627,3933,2612,3891,2592,3848,2567,3803,2538,3756,2504,3709,2465,3660,2422,3610,2374,3561,2323,3517,2273,3477,2225,3443,2177,3413,2131,3387,2086,3366,2043,3349,2001,3337,1961,3330,1923,3328,1887,3330,1853,3337,1821,3349,1792,3365,1765,3386,1741,3408,1721,3429,1705,3452,1692,3474,1684,3497,1677,3520,1673,3541,1669,3562,1667,3581,1667,3616,1668,3631,1669,3651,1670,3664,1669,3671,1662,3672,1657,3672,1653,3671,1649,3669,1644,3662,1630,3650,1614,3633,1595,3605,1567,3589,1553,3582,1548,3576,1543,3565,1536,3553,1531,3545,1528,3532,1525,3522,1524,3510,1523,3478,1523,3460,1524,3442,1527,3424,1531,3405,1536,3386,1541,3368,1548,3349,1556,3331,1566,3313,1576,3296,1588,3279,1601,3264,1615,3233,1651,3209,1690,3190,1731,3179,1777,3173,1825,3173,1875,3180,1927,3193,1982,3212,2039,3238,2098,3269,2158,3307,2220,3351,2284,3401,2348,3458,2413,3521,2479,3585,2540,3648,2595,3709,2644,3770,2686,3829,2723,3886,2753,3942,2777,3996,2795,4047,2807,4097,2812,4144,2811,4190,2804,4233,2792,4273,2773,4311,2749,4346,2718,4364,2698,4381,2678,4395,2657,4407,2635,4416,2613,4425,2591,4432,2570,4437,2549,4441,2529,4444,2510,4446,2492,4446,2474xm5046,1848l5040,1795,5026,1740,5006,1683,4980,1625,4947,1566,4908,1505,4889,1478,4889,1827,4889,1865,4883,1902,4869,1937,4849,1970,4822,2001,4791,2028,4759,2049,4725,2063,4689,2070,4653,2072,4615,2068,4576,2060,4536,2045,4495,2026,4453,2003,4410,1975,4366,1943,4321,1907,4276,1868,4230,1826,4183,1780,4142,1737,4103,1694,4066,1651,4032,1607,4001,1564,3974,1521,3952,1479,3934,1437,3920,1396,3911,1356,3907,1317,3907,1279,3913,1242,3926,1208,3946,1175,3973,1144,4004,1117,4036,1097,4070,1083,4105,1076,4142,1074,4180,1078,4219,1086,4259,1100,4300,1119,4343,1142,4385,1169,4429,1200,4473,1236,4518,1274,4563,1315,4608,1359,4650,1402,4689,1446,4726,1489,4761,1533,4793,1577,4820,1620,4842,1663,4861,1705,4876,1746,4885,1787,4889,1827,4889,1478,4863,1443,4813,1380,4757,1316,4695,1252,4631,1190,4568,1134,4507,1084,4494,1074,4447,1040,4389,1003,4332,972,4277,947,4223,928,4171,916,4121,911,4073,913,4026,920,3981,934,3937,955,3897,982,3858,1017,3822,1058,3793,1101,3772,1146,3758,1194,3752,1244,3751,1296,3758,1349,3771,1404,3791,1460,3817,1518,3849,1578,3887,1638,3931,1700,3981,1762,4036,1824,4096,1887,4161,1950,4225,2007,4287,2057,4347,2102,4406,2140,4463,2172,4519,2197,4572,2216,4624,2229,4674,2234,4723,2233,4770,2226,4816,2213,4859,2192,4901,2163,4941,2128,4977,2087,4987,2072,5005,2044,5026,1998,5039,1950,5046,1900,5046,1848xm5467,1557l5465,1553,5463,1548,5460,1543,5072,1155,5150,1077,5180,1044,5183,1039,5204,1011,5223,977,5236,942,5244,906,5248,871,5249,832,5244,794,5234,755,5221,716,5204,676,5183,636,5157,595,5127,555,5097,518,5097,826,5095,848,5091,871,5084,892,5072,914,5057,935,5038,956,4956,1039,4528,612,4613,527,4625,515,4638,504,4652,494,4668,484,4684,476,4702,469,4721,465,4743,463,4766,464,4791,469,4818,477,4847,489,4876,506,4907,527,4938,552,4971,583,4994,607,5014,631,5033,655,5049,680,5064,705,5075,730,5084,755,5091,779,5095,802,5097,826,5097,518,5094,515,5056,475,5044,463,5025,446,4995,420,4965,396,4935,375,4905,357,4875,342,4845,329,4816,319,4787,311,4759,306,4730,304,4703,304,4676,306,4652,311,4630,317,4610,326,4593,335,4577,344,4562,353,4549,362,4538,371,4526,381,4515,391,4504,402,4356,550,4350,558,4346,567,4345,577,4345,589,4348,602,4355,616,4366,631,4381,647,5364,1631,5368,1635,5373,1638,5382,1642,5387,1642,5392,1640,5399,1639,5413,1631,5419,1626,5427,1620,5445,1602,5452,1594,5457,1587,5461,1579,5464,1574,5465,1567,5466,1563,5467,1557xm6159,870l6159,865,6156,855,6152,851,5755,454,5681,309,5460,-126,5349,-343,5333,-372,5328,-379,5321,-387,5315,-391,5301,-394,5293,-391,5285,-385,5278,-380,5262,-366,5244,-348,5237,-339,5227,-325,5223,-319,5222,-314,5221,-308,5220,-303,5223,-297,5225,-291,5227,-285,5232,-278,5268,-211,5373,-9,5444,126,5543,303,5578,363,5577,364,5336,229,5269,194,4934,19,4926,14,4920,13,4914,10,4909,9,4897,11,4892,13,4885,17,4860,36,4838,58,4830,68,4818,84,4815,91,4818,105,4822,111,4837,122,4846,127,4867,140,5012,214,5446,434,5663,545,6060,942,6065,946,6070,948,6074,950,6079,950,6085,948,6091,946,6105,939,6112,934,6119,928,6137,910,6144,902,6149,895,6153,888,6156,881,6157,875,6159,870xe" filled="true" fillcolor="#c0c0c0" stroked="false">
                        <v:path arrowok="t"/>
                        <v:fill opacity="32896f" type="solid"/>
                      </v:shape>
                      <w10:wrap type="none"/>
                    </v:group>
                  </w:pict>
                </mc:Fallback>
              </mc:AlternateContent>
            </w:r>
            <w:r>
              <w:rPr>
                <w:rFonts w:ascii="Times New Roman"/>
                <w:spacing w:val="-10"/>
                <w:sz w:val="20"/>
              </w:rPr>
              <w:t>-</w:t>
            </w:r>
          </w:p>
        </w:tc>
        <w:tc>
          <w:tcPr>
            <w:tcW w:w="1620" w:type="dxa"/>
            <w:tcBorders>
              <w:top w:val="nil"/>
              <w:left w:val="single" w:sz="4" w:space="0" w:color="000000"/>
              <w:bottom w:val="nil"/>
            </w:tcBorders>
          </w:tcPr>
          <w:p>
            <w:pPr>
              <w:pStyle w:val="TableParagraph"/>
              <w:spacing w:before="134"/>
              <w:ind w:left="143" w:right="154"/>
              <w:jc w:val="center"/>
              <w:rPr>
                <w:rFonts w:ascii="Times New Roman"/>
                <w:sz w:val="20"/>
              </w:rPr>
            </w:pPr>
            <w:r>
              <w:rPr>
                <w:rFonts w:ascii="Times New Roman"/>
                <w:spacing w:val="-2"/>
                <w:sz w:val="20"/>
              </w:rPr>
              <w:t>(0.0317)</w:t>
            </w:r>
          </w:p>
        </w:tc>
        <w:tc>
          <w:tcPr>
            <w:tcW w:w="1708" w:type="dxa"/>
            <w:tcBorders>
              <w:top w:val="nil"/>
              <w:bottom w:val="nil"/>
              <w:right w:val="single" w:sz="4" w:space="0" w:color="000000"/>
            </w:tcBorders>
          </w:tcPr>
          <w:p>
            <w:pPr>
              <w:pStyle w:val="TableParagraph"/>
              <w:spacing w:before="134"/>
              <w:ind w:left="59" w:right="70"/>
              <w:jc w:val="center"/>
              <w:rPr>
                <w:rFonts w:ascii="Times New Roman"/>
                <w:sz w:val="20"/>
              </w:rPr>
            </w:pPr>
            <w:r>
              <w:rPr>
                <w:rFonts w:ascii="Times New Roman"/>
                <w:spacing w:val="-2"/>
                <w:sz w:val="20"/>
              </w:rPr>
              <w:t>(0.0951)</w:t>
            </w:r>
          </w:p>
        </w:tc>
        <w:tc>
          <w:tcPr>
            <w:tcW w:w="2253" w:type="dxa"/>
            <w:vMerge/>
            <w:tcBorders>
              <w:top w:val="nil"/>
              <w:left w:val="single" w:sz="4" w:space="0" w:color="000000"/>
              <w:bottom w:val="single" w:sz="4" w:space="0" w:color="000000"/>
              <w:right w:val="nil"/>
            </w:tcBorders>
          </w:tcPr>
          <w:p>
            <w:pPr>
              <w:rPr>
                <w:sz w:val="2"/>
                <w:szCs w:val="2"/>
              </w:rPr>
            </w:pPr>
          </w:p>
        </w:tc>
      </w:tr>
      <w:tr>
        <w:trPr>
          <w:trHeight w:val="320"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tcBorders>
              <w:top w:val="nil"/>
              <w:bottom w:val="single" w:sz="4" w:space="0" w:color="000000"/>
              <w:right w:val="single" w:sz="4" w:space="0" w:color="000000"/>
            </w:tcBorders>
          </w:tcPr>
          <w:p>
            <w:pPr>
              <w:pStyle w:val="TableParagraph"/>
              <w:rPr>
                <w:rFonts w:ascii="Times New Roman"/>
                <w:sz w:val="20"/>
              </w:rPr>
            </w:pPr>
          </w:p>
        </w:tc>
        <w:tc>
          <w:tcPr>
            <w:tcW w:w="1620" w:type="dxa"/>
            <w:tcBorders>
              <w:top w:val="nil"/>
              <w:left w:val="single" w:sz="4" w:space="0" w:color="000000"/>
            </w:tcBorders>
          </w:tcPr>
          <w:p>
            <w:pPr>
              <w:pStyle w:val="TableParagraph"/>
              <w:spacing w:line="210" w:lineRule="exact" w:before="90"/>
              <w:ind w:left="143" w:right="143"/>
              <w:jc w:val="center"/>
              <w:rPr>
                <w:rFonts w:ascii="Times New Roman"/>
                <w:sz w:val="20"/>
              </w:rPr>
            </w:pPr>
            <w:r>
              <w:rPr>
                <w:rFonts w:ascii="Times New Roman"/>
                <w:spacing w:val="-2"/>
                <w:sz w:val="20"/>
              </w:rPr>
              <w:t>{0.6857}</w:t>
            </w:r>
          </w:p>
        </w:tc>
        <w:tc>
          <w:tcPr>
            <w:tcW w:w="1708" w:type="dxa"/>
            <w:tcBorders>
              <w:top w:val="nil"/>
              <w:right w:val="single" w:sz="4" w:space="0" w:color="000000"/>
            </w:tcBorders>
          </w:tcPr>
          <w:p>
            <w:pPr>
              <w:pStyle w:val="TableParagraph"/>
              <w:spacing w:line="210" w:lineRule="exact" w:before="90"/>
              <w:ind w:left="69" w:right="70"/>
              <w:jc w:val="center"/>
              <w:rPr>
                <w:rFonts w:ascii="Times New Roman"/>
                <w:sz w:val="20"/>
              </w:rPr>
            </w:pPr>
            <w:r>
              <w:rPr>
                <w:rFonts w:ascii="Times New Roman"/>
                <w:spacing w:val="-2"/>
                <w:sz w:val="20"/>
              </w:rPr>
              <w:t>{0.8969}</w:t>
            </w:r>
          </w:p>
        </w:tc>
        <w:tc>
          <w:tcPr>
            <w:tcW w:w="2253" w:type="dxa"/>
            <w:vMerge/>
            <w:tcBorders>
              <w:top w:val="nil"/>
              <w:left w:val="single" w:sz="4" w:space="0" w:color="000000"/>
              <w:bottom w:val="single" w:sz="4" w:space="0" w:color="000000"/>
              <w:right w:val="nil"/>
            </w:tcBorders>
          </w:tcPr>
          <w:p>
            <w:pPr>
              <w:rPr>
                <w:sz w:val="2"/>
                <w:szCs w:val="2"/>
              </w:rPr>
            </w:pPr>
          </w:p>
        </w:tc>
      </w:tr>
      <w:tr>
        <w:trPr>
          <w:trHeight w:val="329" w:hRule="atLeast"/>
        </w:trPr>
        <w:tc>
          <w:tcPr>
            <w:tcW w:w="1906" w:type="dxa"/>
            <w:tcBorders>
              <w:top w:val="single" w:sz="4" w:space="0" w:color="000000"/>
              <w:left w:val="nil"/>
              <w:bottom w:val="nil"/>
            </w:tcBorders>
          </w:tcPr>
          <w:p>
            <w:pPr>
              <w:pStyle w:val="TableParagraph"/>
              <w:ind w:left="159" w:right="146"/>
              <w:jc w:val="center"/>
              <w:rPr>
                <w:rFonts w:ascii="Times New Roman"/>
                <w:sz w:val="20"/>
              </w:rPr>
            </w:pPr>
            <w:r>
              <w:rPr>
                <w:rFonts w:ascii="Times New Roman"/>
                <w:spacing w:val="-2"/>
                <w:sz w:val="20"/>
              </w:rPr>
              <w:t>FOWN*IFRS</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0.0852</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0.1946</w:t>
            </w:r>
          </w:p>
        </w:tc>
        <w:tc>
          <w:tcPr>
            <w:tcW w:w="2253" w:type="dxa"/>
            <w:vMerge w:val="restart"/>
            <w:tcBorders>
              <w:top w:val="single" w:sz="4" w:space="0" w:color="000000"/>
              <w:left w:val="single" w:sz="4" w:space="0" w:color="000000"/>
              <w:right w:val="nil"/>
            </w:tcBorders>
          </w:tcPr>
          <w:p>
            <w:pPr>
              <w:pStyle w:val="TableParagraph"/>
              <w:rPr>
                <w:rFonts w:ascii="Times New Roman"/>
                <w:sz w:val="20"/>
              </w:rPr>
            </w:pPr>
          </w:p>
        </w:tc>
      </w:tr>
      <w:tr>
        <w:trPr>
          <w:trHeight w:val="419"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tcBorders>
          </w:tcPr>
          <w:p>
            <w:pPr>
              <w:pStyle w:val="TableParagraph"/>
              <w:spacing w:before="90"/>
              <w:ind w:left="143" w:right="154"/>
              <w:jc w:val="center"/>
              <w:rPr>
                <w:rFonts w:ascii="Times New Roman"/>
                <w:sz w:val="20"/>
              </w:rPr>
            </w:pPr>
            <w:r>
              <w:rPr>
                <w:rFonts w:ascii="Times New Roman"/>
                <w:spacing w:val="-2"/>
                <w:sz w:val="20"/>
              </w:rPr>
              <w:t>(0.0412)</w:t>
            </w:r>
          </w:p>
        </w:tc>
        <w:tc>
          <w:tcPr>
            <w:tcW w:w="1708" w:type="dxa"/>
            <w:tcBorders>
              <w:top w:val="nil"/>
              <w:bottom w:val="nil"/>
              <w:right w:val="single" w:sz="4" w:space="0" w:color="000000"/>
            </w:tcBorders>
          </w:tcPr>
          <w:p>
            <w:pPr>
              <w:pStyle w:val="TableParagraph"/>
              <w:spacing w:before="90"/>
              <w:ind w:left="59" w:right="70"/>
              <w:jc w:val="center"/>
              <w:rPr>
                <w:rFonts w:ascii="Times New Roman"/>
                <w:sz w:val="20"/>
              </w:rPr>
            </w:pPr>
            <w:r>
              <w:rPr>
                <w:rFonts w:ascii="Times New Roman"/>
                <w:spacing w:val="-2"/>
                <w:sz w:val="20"/>
              </w:rPr>
              <w:t>(0.0857)</w:t>
            </w:r>
          </w:p>
        </w:tc>
        <w:tc>
          <w:tcPr>
            <w:tcW w:w="2253" w:type="dxa"/>
            <w:vMerge/>
            <w:tcBorders>
              <w:top w:val="nil"/>
              <w:left w:val="single" w:sz="4" w:space="0" w:color="000000"/>
              <w:right w:val="nil"/>
            </w:tcBorders>
          </w:tcPr>
          <w:p>
            <w:pPr>
              <w:rPr>
                <w:sz w:val="2"/>
                <w:szCs w:val="2"/>
              </w:rPr>
            </w:pPr>
          </w:p>
        </w:tc>
      </w:tr>
      <w:tr>
        <w:trPr>
          <w:trHeight w:val="320"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tcBorders>
          </w:tcPr>
          <w:p>
            <w:pPr>
              <w:pStyle w:val="TableParagraph"/>
              <w:spacing w:line="210" w:lineRule="exact" w:before="90"/>
              <w:ind w:left="143" w:right="143"/>
              <w:jc w:val="center"/>
              <w:rPr>
                <w:rFonts w:ascii="Times New Roman"/>
                <w:sz w:val="20"/>
              </w:rPr>
            </w:pPr>
            <w:r>
              <w:rPr>
                <w:rFonts w:ascii="Times New Roman"/>
                <w:spacing w:val="-2"/>
                <w:sz w:val="20"/>
              </w:rPr>
              <w:t>{0.0401}</w:t>
            </w:r>
          </w:p>
        </w:tc>
        <w:tc>
          <w:tcPr>
            <w:tcW w:w="1708" w:type="dxa"/>
            <w:tcBorders>
              <w:top w:val="nil"/>
              <w:right w:val="single" w:sz="4" w:space="0" w:color="000000"/>
            </w:tcBorders>
          </w:tcPr>
          <w:p>
            <w:pPr>
              <w:pStyle w:val="TableParagraph"/>
              <w:spacing w:line="210" w:lineRule="exact" w:before="90"/>
              <w:ind w:left="69" w:right="70"/>
              <w:jc w:val="center"/>
              <w:rPr>
                <w:rFonts w:ascii="Times New Roman"/>
                <w:sz w:val="20"/>
              </w:rPr>
            </w:pPr>
            <w:r>
              <w:rPr>
                <w:rFonts w:ascii="Times New Roman"/>
                <w:spacing w:val="-2"/>
                <w:sz w:val="20"/>
              </w:rPr>
              <w:t>{0.0243}</w:t>
            </w:r>
          </w:p>
        </w:tc>
        <w:tc>
          <w:tcPr>
            <w:tcW w:w="2253" w:type="dxa"/>
            <w:vMerge/>
            <w:tcBorders>
              <w:top w:val="nil"/>
              <w:left w:val="single" w:sz="4" w:space="0" w:color="000000"/>
              <w:right w:val="nil"/>
            </w:tcBorders>
          </w:tcPr>
          <w:p>
            <w:pPr>
              <w:rPr>
                <w:sz w:val="2"/>
                <w:szCs w:val="2"/>
              </w:rPr>
            </w:pPr>
          </w:p>
        </w:tc>
      </w:tr>
      <w:tr>
        <w:trPr>
          <w:trHeight w:val="329" w:hRule="atLeast"/>
        </w:trPr>
        <w:tc>
          <w:tcPr>
            <w:tcW w:w="1906" w:type="dxa"/>
            <w:tcBorders>
              <w:top w:val="single" w:sz="4" w:space="0" w:color="000000"/>
              <w:left w:val="nil"/>
              <w:bottom w:val="nil"/>
            </w:tcBorders>
          </w:tcPr>
          <w:p>
            <w:pPr>
              <w:pStyle w:val="TableParagraph"/>
              <w:ind w:left="159" w:right="146"/>
              <w:jc w:val="center"/>
              <w:rPr>
                <w:rFonts w:ascii="Times New Roman"/>
                <w:sz w:val="20"/>
              </w:rPr>
            </w:pPr>
            <w:r>
              <w:rPr>
                <w:rFonts w:ascii="Times New Roman"/>
                <w:spacing w:val="-2"/>
                <w:sz w:val="20"/>
              </w:rPr>
              <w:t>BLOWN*IFRS</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bottom w:val="nil"/>
            </w:tcBorders>
          </w:tcPr>
          <w:p>
            <w:pPr>
              <w:pStyle w:val="TableParagraph"/>
              <w:ind w:left="143" w:right="153"/>
              <w:jc w:val="center"/>
              <w:rPr>
                <w:rFonts w:ascii="Times New Roman"/>
                <w:sz w:val="20"/>
              </w:rPr>
            </w:pPr>
            <w:r>
              <w:rPr>
                <w:rFonts w:ascii="Times New Roman"/>
                <w:spacing w:val="-2"/>
                <w:sz w:val="20"/>
              </w:rPr>
              <w:t>0.1485</w:t>
            </w:r>
          </w:p>
        </w:tc>
        <w:tc>
          <w:tcPr>
            <w:tcW w:w="1708" w:type="dxa"/>
            <w:tcBorders>
              <w:bottom w:val="nil"/>
              <w:right w:val="single" w:sz="4" w:space="0" w:color="000000"/>
            </w:tcBorders>
          </w:tcPr>
          <w:p>
            <w:pPr>
              <w:pStyle w:val="TableParagraph"/>
              <w:ind w:left="59" w:right="70"/>
              <w:jc w:val="center"/>
              <w:rPr>
                <w:rFonts w:ascii="Times New Roman"/>
                <w:sz w:val="20"/>
              </w:rPr>
            </w:pPr>
            <w:r>
              <w:rPr>
                <w:rFonts w:ascii="Times New Roman"/>
                <w:spacing w:val="-2"/>
                <w:sz w:val="20"/>
              </w:rPr>
              <w:t>0.2424</w:t>
            </w:r>
          </w:p>
        </w:tc>
        <w:tc>
          <w:tcPr>
            <w:tcW w:w="2253" w:type="dxa"/>
            <w:vMerge w:val="restart"/>
            <w:tcBorders>
              <w:left w:val="single" w:sz="4" w:space="0" w:color="000000"/>
              <w:bottom w:val="single" w:sz="4" w:space="0" w:color="000000"/>
              <w:right w:val="nil"/>
            </w:tcBorders>
          </w:tcPr>
          <w:p>
            <w:pPr>
              <w:pStyle w:val="TableParagraph"/>
              <w:rPr>
                <w:rFonts w:ascii="Times New Roman"/>
                <w:sz w:val="20"/>
              </w:rPr>
            </w:pPr>
          </w:p>
        </w:tc>
      </w:tr>
      <w:tr>
        <w:trPr>
          <w:trHeight w:val="419"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tcBorders>
          </w:tcPr>
          <w:p>
            <w:pPr>
              <w:pStyle w:val="TableParagraph"/>
              <w:spacing w:before="90"/>
              <w:ind w:left="143" w:right="156"/>
              <w:jc w:val="center"/>
              <w:rPr>
                <w:rFonts w:ascii="Times New Roman"/>
                <w:sz w:val="20"/>
              </w:rPr>
            </w:pPr>
            <w:r>
              <w:rPr>
                <w:rFonts w:ascii="Times New Roman"/>
                <w:spacing w:val="-2"/>
                <w:sz w:val="20"/>
              </w:rPr>
              <w:t>(0.04067)</w:t>
            </w:r>
          </w:p>
        </w:tc>
        <w:tc>
          <w:tcPr>
            <w:tcW w:w="1708" w:type="dxa"/>
            <w:tcBorders>
              <w:top w:val="nil"/>
              <w:bottom w:val="nil"/>
              <w:right w:val="single" w:sz="4" w:space="0" w:color="000000"/>
            </w:tcBorders>
          </w:tcPr>
          <w:p>
            <w:pPr>
              <w:pStyle w:val="TableParagraph"/>
              <w:spacing w:before="90"/>
              <w:ind w:left="59" w:right="70"/>
              <w:jc w:val="center"/>
              <w:rPr>
                <w:rFonts w:ascii="Times New Roman"/>
                <w:sz w:val="20"/>
              </w:rPr>
            </w:pPr>
            <w:r>
              <w:rPr>
                <w:rFonts w:ascii="Times New Roman"/>
                <w:spacing w:val="-2"/>
                <w:sz w:val="20"/>
              </w:rPr>
              <w:t>(0.1011)</w:t>
            </w:r>
          </w:p>
        </w:tc>
        <w:tc>
          <w:tcPr>
            <w:tcW w:w="2253" w:type="dxa"/>
            <w:vMerge/>
            <w:tcBorders>
              <w:top w:val="nil"/>
              <w:left w:val="single" w:sz="4" w:space="0" w:color="000000"/>
              <w:bottom w:val="single" w:sz="4" w:space="0" w:color="000000"/>
              <w:right w:val="nil"/>
            </w:tcBorders>
          </w:tcPr>
          <w:p>
            <w:pPr>
              <w:rPr>
                <w:sz w:val="2"/>
                <w:szCs w:val="2"/>
              </w:rPr>
            </w:pPr>
          </w:p>
        </w:tc>
      </w:tr>
      <w:tr>
        <w:trPr>
          <w:trHeight w:val="320" w:hRule="atLeast"/>
        </w:trPr>
        <w:tc>
          <w:tcPr>
            <w:tcW w:w="1906" w:type="dxa"/>
            <w:tcBorders>
              <w:top w:val="nil"/>
              <w:left w:val="nil"/>
              <w:bottom w:val="single" w:sz="4" w:space="0" w:color="000000"/>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tcBorders>
          </w:tcPr>
          <w:p>
            <w:pPr>
              <w:pStyle w:val="TableParagraph"/>
              <w:spacing w:line="210" w:lineRule="exact" w:before="90"/>
              <w:ind w:left="143" w:right="143"/>
              <w:jc w:val="center"/>
              <w:rPr>
                <w:rFonts w:ascii="Times New Roman"/>
                <w:sz w:val="20"/>
              </w:rPr>
            </w:pPr>
            <w:r>
              <w:rPr>
                <w:rFonts w:ascii="Times New Roman"/>
                <w:spacing w:val="-2"/>
                <w:sz w:val="20"/>
              </w:rPr>
              <w:t>{0.0003}</w:t>
            </w:r>
          </w:p>
        </w:tc>
        <w:tc>
          <w:tcPr>
            <w:tcW w:w="1708" w:type="dxa"/>
            <w:tcBorders>
              <w:top w:val="nil"/>
              <w:right w:val="single" w:sz="4" w:space="0" w:color="000000"/>
            </w:tcBorders>
          </w:tcPr>
          <w:p>
            <w:pPr>
              <w:pStyle w:val="TableParagraph"/>
              <w:spacing w:line="210" w:lineRule="exact" w:before="90"/>
              <w:ind w:left="69" w:right="70"/>
              <w:jc w:val="center"/>
              <w:rPr>
                <w:rFonts w:ascii="Times New Roman"/>
                <w:sz w:val="20"/>
              </w:rPr>
            </w:pPr>
            <w:r>
              <w:rPr>
                <w:rFonts w:ascii="Times New Roman"/>
                <w:spacing w:val="-2"/>
                <w:sz w:val="20"/>
              </w:rPr>
              <w:t>{0.0176}</w:t>
            </w:r>
          </w:p>
        </w:tc>
        <w:tc>
          <w:tcPr>
            <w:tcW w:w="2253" w:type="dxa"/>
            <w:vMerge/>
            <w:tcBorders>
              <w:top w:val="nil"/>
              <w:left w:val="single" w:sz="4" w:space="0" w:color="000000"/>
              <w:bottom w:val="single" w:sz="4" w:space="0" w:color="000000"/>
              <w:right w:val="nil"/>
            </w:tcBorders>
          </w:tcPr>
          <w:p>
            <w:pPr>
              <w:rPr>
                <w:sz w:val="2"/>
                <w:szCs w:val="2"/>
              </w:rPr>
            </w:pPr>
          </w:p>
        </w:tc>
      </w:tr>
      <w:tr>
        <w:trPr>
          <w:trHeight w:val="288" w:hRule="atLeast"/>
        </w:trPr>
        <w:tc>
          <w:tcPr>
            <w:tcW w:w="1906" w:type="dxa"/>
            <w:tcBorders>
              <w:top w:val="single" w:sz="4" w:space="0" w:color="000000"/>
              <w:left w:val="nil"/>
              <w:bottom w:val="nil"/>
            </w:tcBorders>
          </w:tcPr>
          <w:p>
            <w:pPr>
              <w:pStyle w:val="TableParagraph"/>
              <w:spacing w:before="2"/>
              <w:ind w:left="159" w:right="142"/>
              <w:jc w:val="center"/>
              <w:rPr>
                <w:rFonts w:ascii="Times New Roman"/>
                <w:sz w:val="20"/>
              </w:rPr>
            </w:pPr>
            <w:r>
              <w:rPr>
                <w:rFonts w:ascii="Times New Roman"/>
                <w:spacing w:val="-2"/>
                <w:sz w:val="20"/>
              </w:rPr>
              <w:t>Ar(1)</w:t>
            </w:r>
          </w:p>
        </w:tc>
        <w:tc>
          <w:tcPr>
            <w:tcW w:w="986" w:type="dxa"/>
            <w:vMerge w:val="restart"/>
            <w:tcBorders>
              <w:top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bottom w:val="nil"/>
              <w:right w:val="single" w:sz="4" w:space="0" w:color="000000"/>
            </w:tcBorders>
          </w:tcPr>
          <w:p>
            <w:pPr>
              <w:pStyle w:val="TableParagraph"/>
              <w:spacing w:before="2"/>
              <w:ind w:left="143" w:right="144"/>
              <w:jc w:val="center"/>
              <w:rPr>
                <w:rFonts w:ascii="Times New Roman"/>
                <w:sz w:val="20"/>
              </w:rPr>
            </w:pPr>
            <w:r>
              <w:rPr>
                <w:rFonts w:ascii="Times New Roman"/>
                <w:spacing w:val="-2"/>
                <w:sz w:val="20"/>
              </w:rPr>
              <w:t>0.5755</w:t>
            </w:r>
          </w:p>
        </w:tc>
        <w:tc>
          <w:tcPr>
            <w:tcW w:w="1708" w:type="dxa"/>
            <w:vMerge w:val="restart"/>
            <w:tcBorders>
              <w:left w:val="single" w:sz="4" w:space="0" w:color="000000"/>
              <w:bottom w:val="single" w:sz="4" w:space="0" w:color="000000"/>
              <w:right w:val="single" w:sz="4" w:space="0" w:color="000000"/>
            </w:tcBorders>
          </w:tcPr>
          <w:p>
            <w:pPr>
              <w:pStyle w:val="TableParagraph"/>
              <w:rPr>
                <w:rFonts w:ascii="Times New Roman"/>
                <w:sz w:val="20"/>
              </w:rPr>
            </w:pPr>
          </w:p>
        </w:tc>
        <w:tc>
          <w:tcPr>
            <w:tcW w:w="2253" w:type="dxa"/>
            <w:tcBorders>
              <w:top w:val="single" w:sz="4" w:space="0" w:color="000000"/>
              <w:left w:val="single" w:sz="4" w:space="0" w:color="000000"/>
              <w:bottom w:val="nil"/>
              <w:right w:val="nil"/>
            </w:tcBorders>
          </w:tcPr>
          <w:p>
            <w:pPr>
              <w:pStyle w:val="TableParagraph"/>
              <w:spacing w:before="2"/>
              <w:ind w:left="393" w:right="399"/>
              <w:jc w:val="center"/>
              <w:rPr>
                <w:rFonts w:ascii="Times New Roman"/>
                <w:sz w:val="20"/>
              </w:rPr>
            </w:pPr>
            <w:r>
              <w:rPr>
                <w:rFonts w:ascii="Times New Roman"/>
                <w:spacing w:val="-2"/>
                <w:sz w:val="20"/>
              </w:rPr>
              <w:t>0.7384</w:t>
            </w:r>
          </w:p>
        </w:tc>
      </w:tr>
      <w:tr>
        <w:trPr>
          <w:trHeight w:val="394" w:hRule="atLeast"/>
        </w:trPr>
        <w:tc>
          <w:tcPr>
            <w:tcW w:w="1906" w:type="dxa"/>
            <w:tcBorders>
              <w:top w:val="nil"/>
              <w:left w:val="nil"/>
              <w:bottom w:val="nil"/>
            </w:tcBorders>
          </w:tcPr>
          <w:p>
            <w:pPr>
              <w:pStyle w:val="TableParagraph"/>
              <w:rPr>
                <w:rFonts w:ascii="Times New Roman"/>
                <w:sz w:val="20"/>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000000"/>
            </w:tcBorders>
          </w:tcPr>
          <w:p>
            <w:pPr>
              <w:pStyle w:val="TableParagraph"/>
              <w:spacing w:before="47"/>
              <w:ind w:left="143" w:right="144"/>
              <w:jc w:val="center"/>
              <w:rPr>
                <w:rFonts w:ascii="Times New Roman"/>
                <w:sz w:val="20"/>
              </w:rPr>
            </w:pPr>
            <w:r>
              <w:rPr>
                <w:rFonts w:ascii="Times New Roman"/>
                <w:spacing w:val="-2"/>
                <w:sz w:val="20"/>
              </w:rPr>
              <w:t>(0.0801)</w:t>
            </w: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nil"/>
              <w:right w:val="nil"/>
            </w:tcBorders>
          </w:tcPr>
          <w:p>
            <w:pPr>
              <w:pStyle w:val="TableParagraph"/>
              <w:spacing w:line="207" w:lineRule="exact" w:before="167"/>
              <w:ind w:left="392" w:right="399"/>
              <w:jc w:val="center"/>
              <w:rPr>
                <w:rFonts w:ascii="Times New Roman"/>
                <w:sz w:val="20"/>
              </w:rPr>
            </w:pPr>
            <w:r>
              <w:rPr>
                <w:rFonts w:ascii="Times New Roman"/>
                <w:spacing w:val="-2"/>
                <w:sz w:val="20"/>
              </w:rPr>
              <w:t>(0.0522)</w:t>
            </w:r>
          </w:p>
        </w:tc>
      </w:tr>
      <w:tr>
        <w:trPr>
          <w:trHeight w:val="222" w:hRule="atLeast"/>
        </w:trPr>
        <w:tc>
          <w:tcPr>
            <w:tcW w:w="1906" w:type="dxa"/>
            <w:tcBorders>
              <w:top w:val="nil"/>
              <w:left w:val="nil"/>
              <w:bottom w:val="nil"/>
            </w:tcBorders>
          </w:tcPr>
          <w:p>
            <w:pPr>
              <w:pStyle w:val="TableParagraph"/>
              <w:rPr>
                <w:rFonts w:ascii="Times New Roman"/>
                <w:sz w:val="14"/>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nil"/>
              <w:right w:val="single" w:sz="4" w:space="0" w:color="000000"/>
            </w:tcBorders>
          </w:tcPr>
          <w:p>
            <w:pPr>
              <w:pStyle w:val="TableParagraph"/>
              <w:spacing w:line="203" w:lineRule="exact"/>
              <w:ind w:left="143" w:right="146"/>
              <w:jc w:val="center"/>
              <w:rPr>
                <w:rFonts w:ascii="Times New Roman"/>
                <w:sz w:val="20"/>
              </w:rPr>
            </w:pPr>
            <w:r>
              <w:rPr>
                <w:rFonts w:ascii="Times New Roman"/>
                <w:spacing w:val="-2"/>
                <w:sz w:val="20"/>
              </w:rPr>
              <w:t>{0.000}</w:t>
            </w: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nil"/>
              <w:right w:val="nil"/>
            </w:tcBorders>
          </w:tcPr>
          <w:p>
            <w:pPr>
              <w:pStyle w:val="TableParagraph"/>
              <w:rPr>
                <w:rFonts w:ascii="Times New Roman"/>
                <w:sz w:val="14"/>
              </w:rPr>
            </w:pPr>
          </w:p>
        </w:tc>
      </w:tr>
      <w:tr>
        <w:trPr>
          <w:trHeight w:val="258" w:hRule="atLeast"/>
        </w:trPr>
        <w:tc>
          <w:tcPr>
            <w:tcW w:w="1906" w:type="dxa"/>
            <w:tcBorders>
              <w:top w:val="nil"/>
              <w:left w:val="nil"/>
              <w:bottom w:val="single" w:sz="4" w:space="0" w:color="000000"/>
            </w:tcBorders>
          </w:tcPr>
          <w:p>
            <w:pPr>
              <w:pStyle w:val="TableParagraph"/>
              <w:rPr>
                <w:rFonts w:ascii="Times New Roman"/>
                <w:sz w:val="18"/>
              </w:rPr>
            </w:pPr>
          </w:p>
        </w:tc>
        <w:tc>
          <w:tcPr>
            <w:tcW w:w="986" w:type="dxa"/>
            <w:vMerge/>
            <w:tcBorders>
              <w:top w:val="nil"/>
              <w:bottom w:val="single" w:sz="4" w:space="0" w:color="000000"/>
              <w:right w:val="single" w:sz="4" w:space="0" w:color="000000"/>
            </w:tcBorders>
          </w:tcPr>
          <w:p>
            <w:pPr>
              <w:rPr>
                <w:sz w:val="2"/>
                <w:szCs w:val="2"/>
              </w:rPr>
            </w:pPr>
          </w:p>
        </w:tc>
        <w:tc>
          <w:tcPr>
            <w:tcW w:w="1620"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1708" w:type="dxa"/>
            <w:vMerge/>
            <w:tcBorders>
              <w:top w:val="nil"/>
              <w:left w:val="single" w:sz="4" w:space="0" w:color="000000"/>
              <w:bottom w:val="single" w:sz="4" w:space="0" w:color="000000"/>
              <w:right w:val="single" w:sz="4" w:space="0" w:color="000000"/>
            </w:tcBorders>
          </w:tcPr>
          <w:p>
            <w:pPr>
              <w:rPr>
                <w:sz w:val="2"/>
                <w:szCs w:val="2"/>
              </w:rPr>
            </w:pPr>
          </w:p>
        </w:tc>
        <w:tc>
          <w:tcPr>
            <w:tcW w:w="2253" w:type="dxa"/>
            <w:tcBorders>
              <w:top w:val="nil"/>
              <w:left w:val="single" w:sz="4" w:space="0" w:color="000000"/>
              <w:bottom w:val="single" w:sz="4" w:space="0" w:color="000000"/>
              <w:right w:val="nil"/>
            </w:tcBorders>
          </w:tcPr>
          <w:p>
            <w:pPr>
              <w:pStyle w:val="TableParagraph"/>
              <w:spacing w:line="225" w:lineRule="exact"/>
              <w:ind w:left="398" w:right="399"/>
              <w:jc w:val="center"/>
              <w:rPr>
                <w:rFonts w:ascii="Times New Roman"/>
                <w:sz w:val="20"/>
              </w:rPr>
            </w:pPr>
            <w:r>
              <w:rPr>
                <w:rFonts w:ascii="Times New Roman"/>
                <w:spacing w:val="-2"/>
                <w:sz w:val="20"/>
              </w:rPr>
              <w:t>{0.000}</w:t>
            </w:r>
          </w:p>
        </w:tc>
      </w:tr>
      <w:tr>
        <w:trPr>
          <w:trHeight w:val="328" w:hRule="atLeast"/>
        </w:trPr>
        <w:tc>
          <w:tcPr>
            <w:tcW w:w="6220" w:type="dxa"/>
            <w:gridSpan w:val="4"/>
            <w:tcBorders>
              <w:top w:val="single" w:sz="4" w:space="0" w:color="000000"/>
              <w:left w:val="nil"/>
              <w:bottom w:val="single" w:sz="4" w:space="0" w:color="000000"/>
              <w:right w:val="single" w:sz="4" w:space="0" w:color="000000"/>
            </w:tcBorders>
          </w:tcPr>
          <w:p>
            <w:pPr>
              <w:pStyle w:val="TableParagraph"/>
              <w:ind w:left="22"/>
              <w:jc w:val="center"/>
              <w:rPr>
                <w:rFonts w:ascii="Times New Roman"/>
                <w:sz w:val="19"/>
              </w:rPr>
            </w:pPr>
            <w:r>
              <w:rPr>
                <w:rFonts w:ascii="Times New Roman"/>
                <w:sz w:val="19"/>
              </w:rPr>
              <w:t>Model</w:t>
            </w:r>
            <w:r>
              <w:rPr>
                <w:rFonts w:ascii="Times New Roman"/>
                <w:spacing w:val="-6"/>
                <w:sz w:val="19"/>
              </w:rPr>
              <w:t> </w:t>
            </w:r>
            <w:r>
              <w:rPr>
                <w:rFonts w:ascii="Times New Roman"/>
                <w:spacing w:val="-2"/>
                <w:sz w:val="19"/>
              </w:rPr>
              <w:t>Parameters</w:t>
            </w:r>
          </w:p>
        </w:tc>
        <w:tc>
          <w:tcPr>
            <w:tcW w:w="2253" w:type="dxa"/>
            <w:tcBorders>
              <w:top w:val="single" w:sz="4" w:space="0" w:color="000000"/>
              <w:left w:val="single" w:sz="4" w:space="0" w:color="000000"/>
              <w:bottom w:val="single" w:sz="4" w:space="0" w:color="000000"/>
              <w:right w:val="nil"/>
            </w:tcBorders>
          </w:tcPr>
          <w:p>
            <w:pPr>
              <w:pStyle w:val="TableParagraph"/>
              <w:rPr>
                <w:rFonts w:ascii="Times New Roman"/>
                <w:sz w:val="20"/>
              </w:rPr>
            </w:pPr>
          </w:p>
        </w:tc>
      </w:tr>
      <w:tr>
        <w:trPr>
          <w:trHeight w:val="326" w:hRule="atLeast"/>
        </w:trPr>
        <w:tc>
          <w:tcPr>
            <w:tcW w:w="1906" w:type="dxa"/>
            <w:tcBorders>
              <w:top w:val="single" w:sz="4" w:space="0" w:color="000000"/>
              <w:left w:val="nil"/>
              <w:bottom w:val="single" w:sz="4" w:space="0" w:color="000000"/>
              <w:right w:val="single" w:sz="4" w:space="0" w:color="000000"/>
            </w:tcBorders>
          </w:tcPr>
          <w:p>
            <w:pPr>
              <w:pStyle w:val="TableParagraph"/>
              <w:spacing w:line="144" w:lineRule="auto" w:before="37"/>
              <w:ind w:left="159" w:right="145"/>
              <w:jc w:val="center"/>
              <w:rPr>
                <w:rFonts w:ascii="Times New Roman"/>
                <w:sz w:val="12"/>
              </w:rPr>
            </w:pPr>
            <w:r>
              <w:rPr>
                <w:rFonts w:ascii="Times New Roman"/>
                <w:spacing w:val="-5"/>
                <w:position w:val="-6"/>
                <w:sz w:val="19"/>
              </w:rPr>
              <w:t>R</w:t>
            </w:r>
            <w:r>
              <w:rPr>
                <w:rFonts w:ascii="Times New Roman"/>
                <w:spacing w:val="-5"/>
                <w:sz w:val="12"/>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tcBorders>
          </w:tcPr>
          <w:p>
            <w:pPr>
              <w:pStyle w:val="TableParagraph"/>
              <w:spacing w:line="206" w:lineRule="exact"/>
              <w:ind w:left="143" w:right="143"/>
              <w:jc w:val="center"/>
              <w:rPr>
                <w:sz w:val="18"/>
              </w:rPr>
            </w:pPr>
            <w:r>
              <w:rPr>
                <w:spacing w:val="-2"/>
                <w:sz w:val="18"/>
              </w:rPr>
              <w:t>0.605647</w:t>
            </w:r>
          </w:p>
        </w:tc>
        <w:tc>
          <w:tcPr>
            <w:tcW w:w="1708" w:type="dxa"/>
            <w:tcBorders>
              <w:top w:val="single" w:sz="4" w:space="0" w:color="000000"/>
            </w:tcBorders>
          </w:tcPr>
          <w:p>
            <w:pPr>
              <w:pStyle w:val="TableParagraph"/>
              <w:spacing w:line="206" w:lineRule="exact"/>
              <w:ind w:left="69" w:right="70"/>
              <w:jc w:val="center"/>
              <w:rPr>
                <w:sz w:val="18"/>
              </w:rPr>
            </w:pPr>
            <w:r>
              <w:rPr>
                <w:spacing w:val="-2"/>
                <w:sz w:val="18"/>
              </w:rPr>
              <w:t>0.150030</w:t>
            </w:r>
          </w:p>
        </w:tc>
        <w:tc>
          <w:tcPr>
            <w:tcW w:w="2253" w:type="dxa"/>
            <w:tcBorders>
              <w:top w:val="single" w:sz="4" w:space="0" w:color="000000"/>
              <w:right w:val="nil"/>
            </w:tcBorders>
          </w:tcPr>
          <w:p>
            <w:pPr>
              <w:pStyle w:val="TableParagraph"/>
              <w:spacing w:line="206" w:lineRule="exact"/>
              <w:ind w:left="400" w:right="399"/>
              <w:jc w:val="center"/>
              <w:rPr>
                <w:sz w:val="18"/>
              </w:rPr>
            </w:pPr>
            <w:r>
              <w:rPr>
                <w:spacing w:val="-2"/>
                <w:sz w:val="18"/>
              </w:rPr>
              <w:t>0.523436</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1"/>
              <w:jc w:val="center"/>
              <w:rPr>
                <w:rFonts w:ascii="Times New Roman"/>
                <w:sz w:val="19"/>
              </w:rPr>
            </w:pPr>
            <w:r>
              <w:rPr>
                <w:rFonts w:ascii="Times New Roman"/>
                <w:sz w:val="19"/>
              </w:rPr>
              <w:t>Adjusted</w:t>
            </w:r>
            <w:r>
              <w:rPr>
                <w:rFonts w:ascii="Times New Roman"/>
                <w:spacing w:val="-7"/>
                <w:sz w:val="19"/>
              </w:rPr>
              <w:t> </w:t>
            </w:r>
            <w:r>
              <w:rPr>
                <w:rFonts w:ascii="Times New Roman"/>
                <w:spacing w:val="-5"/>
                <w:sz w:val="19"/>
              </w:rPr>
              <w:t>R</w:t>
            </w:r>
            <w:r>
              <w:rPr>
                <w:rFonts w:ascii="Times New Roman"/>
                <w:spacing w:val="-5"/>
                <w:sz w:val="19"/>
                <w:vertAlign w:val="superscript"/>
              </w:rPr>
              <w:t>2</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tcBorders>
          </w:tcPr>
          <w:p>
            <w:pPr>
              <w:pStyle w:val="TableParagraph"/>
              <w:spacing w:line="206" w:lineRule="exact"/>
              <w:ind w:left="143" w:right="143"/>
              <w:jc w:val="center"/>
              <w:rPr>
                <w:sz w:val="18"/>
              </w:rPr>
            </w:pPr>
            <w:r>
              <w:rPr>
                <w:spacing w:val="-2"/>
                <w:sz w:val="18"/>
              </w:rPr>
              <w:t>0.549974</w:t>
            </w:r>
          </w:p>
        </w:tc>
        <w:tc>
          <w:tcPr>
            <w:tcW w:w="1708" w:type="dxa"/>
          </w:tcPr>
          <w:p>
            <w:pPr>
              <w:pStyle w:val="TableParagraph"/>
              <w:spacing w:line="206" w:lineRule="exact"/>
              <w:ind w:left="69" w:right="70"/>
              <w:jc w:val="center"/>
              <w:rPr>
                <w:sz w:val="18"/>
              </w:rPr>
            </w:pPr>
            <w:r>
              <w:rPr>
                <w:spacing w:val="-2"/>
                <w:sz w:val="18"/>
              </w:rPr>
              <w:t>0.093988</w:t>
            </w:r>
          </w:p>
        </w:tc>
        <w:tc>
          <w:tcPr>
            <w:tcW w:w="2253" w:type="dxa"/>
            <w:tcBorders>
              <w:right w:val="nil"/>
            </w:tcBorders>
          </w:tcPr>
          <w:p>
            <w:pPr>
              <w:pStyle w:val="TableParagraph"/>
              <w:spacing w:line="206" w:lineRule="exact"/>
              <w:ind w:left="400" w:right="399"/>
              <w:jc w:val="center"/>
              <w:rPr>
                <w:sz w:val="18"/>
              </w:rPr>
            </w:pPr>
            <w:r>
              <w:rPr>
                <w:spacing w:val="-2"/>
                <w:sz w:val="18"/>
              </w:rPr>
              <w:t>0.492014</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6"/>
              <w:jc w:val="center"/>
              <w:rPr>
                <w:rFonts w:ascii="Times New Roman"/>
                <w:sz w:val="19"/>
              </w:rPr>
            </w:pPr>
            <w:r>
              <w:rPr>
                <w:rFonts w:ascii="Times New Roman"/>
                <w:spacing w:val="-2"/>
                <w:sz w:val="19"/>
              </w:rPr>
              <w:t>F-statistic</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tcBorders>
          </w:tcPr>
          <w:p>
            <w:pPr>
              <w:pStyle w:val="TableParagraph"/>
              <w:spacing w:line="206" w:lineRule="exact"/>
              <w:ind w:left="143" w:right="143"/>
              <w:jc w:val="center"/>
              <w:rPr>
                <w:sz w:val="18"/>
              </w:rPr>
            </w:pPr>
            <w:r>
              <w:rPr>
                <w:spacing w:val="-2"/>
                <w:sz w:val="18"/>
              </w:rPr>
              <w:t>10.87859</w:t>
            </w:r>
          </w:p>
        </w:tc>
        <w:tc>
          <w:tcPr>
            <w:tcW w:w="1708" w:type="dxa"/>
          </w:tcPr>
          <w:p>
            <w:pPr>
              <w:pStyle w:val="TableParagraph"/>
              <w:spacing w:line="206" w:lineRule="exact"/>
              <w:ind w:left="69" w:right="70"/>
              <w:jc w:val="center"/>
              <w:rPr>
                <w:sz w:val="18"/>
              </w:rPr>
            </w:pPr>
            <w:r>
              <w:rPr>
                <w:spacing w:val="-2"/>
                <w:sz w:val="18"/>
              </w:rPr>
              <w:t>2.677099</w:t>
            </w:r>
          </w:p>
        </w:tc>
        <w:tc>
          <w:tcPr>
            <w:tcW w:w="2253" w:type="dxa"/>
            <w:tcBorders>
              <w:right w:val="nil"/>
            </w:tcBorders>
          </w:tcPr>
          <w:p>
            <w:pPr>
              <w:pStyle w:val="TableParagraph"/>
              <w:spacing w:line="206" w:lineRule="exact"/>
              <w:ind w:left="400" w:right="399"/>
              <w:jc w:val="center"/>
              <w:rPr>
                <w:sz w:val="18"/>
              </w:rPr>
            </w:pPr>
            <w:r>
              <w:rPr>
                <w:spacing w:val="-2"/>
                <w:sz w:val="18"/>
              </w:rPr>
              <w:t>16.65834</w:t>
            </w:r>
          </w:p>
        </w:tc>
      </w:tr>
      <w:tr>
        <w:trPr>
          <w:trHeight w:val="325" w:hRule="atLeast"/>
        </w:trPr>
        <w:tc>
          <w:tcPr>
            <w:tcW w:w="1906" w:type="dxa"/>
            <w:tcBorders>
              <w:top w:val="single" w:sz="4" w:space="0" w:color="000000"/>
              <w:left w:val="nil"/>
              <w:bottom w:val="single" w:sz="4" w:space="0" w:color="000000"/>
              <w:right w:val="single" w:sz="4" w:space="0" w:color="000000"/>
            </w:tcBorders>
          </w:tcPr>
          <w:p>
            <w:pPr>
              <w:pStyle w:val="TableParagraph"/>
              <w:ind w:left="159" w:right="145"/>
              <w:jc w:val="center"/>
              <w:rPr>
                <w:rFonts w:ascii="Times New Roman"/>
                <w:sz w:val="19"/>
              </w:rPr>
            </w:pPr>
            <w:r>
              <w:rPr>
                <w:rFonts w:ascii="Times New Roman"/>
                <w:spacing w:val="-2"/>
                <w:sz w:val="19"/>
              </w:rPr>
              <w:t>Prob(F-stat)</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left w:val="single" w:sz="4" w:space="0" w:color="000000"/>
              <w:bottom w:val="single" w:sz="4" w:space="0" w:color="000000"/>
            </w:tcBorders>
          </w:tcPr>
          <w:p>
            <w:pPr>
              <w:pStyle w:val="TableParagraph"/>
              <w:spacing w:line="206" w:lineRule="exact"/>
              <w:ind w:left="143" w:right="143"/>
              <w:jc w:val="center"/>
              <w:rPr>
                <w:sz w:val="18"/>
              </w:rPr>
            </w:pPr>
            <w:r>
              <w:rPr>
                <w:spacing w:val="-2"/>
                <w:sz w:val="18"/>
              </w:rPr>
              <w:t>0.000000</w:t>
            </w:r>
          </w:p>
        </w:tc>
        <w:tc>
          <w:tcPr>
            <w:tcW w:w="1708" w:type="dxa"/>
            <w:tcBorders>
              <w:bottom w:val="single" w:sz="4" w:space="0" w:color="000000"/>
            </w:tcBorders>
          </w:tcPr>
          <w:p>
            <w:pPr>
              <w:pStyle w:val="TableParagraph"/>
              <w:spacing w:line="206" w:lineRule="exact"/>
              <w:ind w:left="69" w:right="70"/>
              <w:jc w:val="center"/>
              <w:rPr>
                <w:sz w:val="18"/>
              </w:rPr>
            </w:pPr>
            <w:r>
              <w:rPr>
                <w:spacing w:val="-2"/>
                <w:sz w:val="18"/>
              </w:rPr>
              <w:t>0.002446</w:t>
            </w:r>
          </w:p>
        </w:tc>
        <w:tc>
          <w:tcPr>
            <w:tcW w:w="2253" w:type="dxa"/>
            <w:tcBorders>
              <w:bottom w:val="single" w:sz="4" w:space="0" w:color="000000"/>
              <w:right w:val="nil"/>
            </w:tcBorders>
          </w:tcPr>
          <w:p>
            <w:pPr>
              <w:pStyle w:val="TableParagraph"/>
              <w:spacing w:line="206" w:lineRule="exact"/>
              <w:ind w:left="400" w:right="399"/>
              <w:jc w:val="center"/>
              <w:rPr>
                <w:sz w:val="18"/>
              </w:rPr>
            </w:pPr>
            <w:r>
              <w:rPr>
                <w:spacing w:val="-2"/>
                <w:sz w:val="18"/>
              </w:rPr>
              <w:t>0.000000</w:t>
            </w:r>
          </w:p>
        </w:tc>
      </w:tr>
      <w:tr>
        <w:trPr>
          <w:trHeight w:val="328" w:hRule="atLeast"/>
        </w:trPr>
        <w:tc>
          <w:tcPr>
            <w:tcW w:w="1906" w:type="dxa"/>
            <w:tcBorders>
              <w:top w:val="single" w:sz="4" w:space="0" w:color="000000"/>
              <w:left w:val="nil"/>
              <w:bottom w:val="single" w:sz="4" w:space="0" w:color="000000"/>
              <w:right w:val="single" w:sz="4" w:space="0" w:color="000000"/>
            </w:tcBorders>
          </w:tcPr>
          <w:p>
            <w:pPr>
              <w:pStyle w:val="TableParagraph"/>
              <w:spacing w:before="2"/>
              <w:ind w:left="159" w:right="142"/>
              <w:jc w:val="center"/>
              <w:rPr>
                <w:rFonts w:ascii="Times New Roman"/>
                <w:sz w:val="19"/>
              </w:rPr>
            </w:pPr>
            <w:r>
              <w:rPr>
                <w:rFonts w:ascii="Times New Roman"/>
                <w:spacing w:val="-2"/>
                <w:sz w:val="19"/>
              </w:rPr>
              <w:t>Durbin-Watson</w:t>
            </w:r>
          </w:p>
        </w:tc>
        <w:tc>
          <w:tcPr>
            <w:tcW w:w="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before="2"/>
              <w:ind w:left="143" w:right="144"/>
              <w:jc w:val="center"/>
              <w:rPr>
                <w:rFonts w:ascii="Times New Roman"/>
                <w:sz w:val="19"/>
              </w:rPr>
            </w:pPr>
            <w:r>
              <w:rPr>
                <w:rFonts w:ascii="Times New Roman"/>
                <w:spacing w:val="-4"/>
                <w:sz w:val="19"/>
              </w:rPr>
              <w:t>1.25</w:t>
            </w:r>
          </w:p>
        </w:tc>
        <w:tc>
          <w:tcPr>
            <w:tcW w:w="1708" w:type="dxa"/>
            <w:tcBorders>
              <w:top w:val="single" w:sz="4" w:space="0" w:color="000000"/>
              <w:left w:val="single" w:sz="4" w:space="0" w:color="000000"/>
              <w:bottom w:val="single" w:sz="4" w:space="0" w:color="000000"/>
              <w:right w:val="single" w:sz="4" w:space="0" w:color="000000"/>
            </w:tcBorders>
          </w:tcPr>
          <w:p>
            <w:pPr>
              <w:pStyle w:val="TableParagraph"/>
              <w:spacing w:before="2"/>
              <w:ind w:left="68" w:right="70"/>
              <w:jc w:val="center"/>
              <w:rPr>
                <w:rFonts w:ascii="Times New Roman"/>
                <w:sz w:val="19"/>
              </w:rPr>
            </w:pPr>
            <w:r>
              <w:rPr>
                <w:rFonts w:ascii="Times New Roman"/>
                <w:spacing w:val="-4"/>
                <w:sz w:val="19"/>
              </w:rPr>
              <w:t>0.57</w:t>
            </w:r>
          </w:p>
        </w:tc>
        <w:tc>
          <w:tcPr>
            <w:tcW w:w="2253" w:type="dxa"/>
            <w:tcBorders>
              <w:top w:val="single" w:sz="4" w:space="0" w:color="000000"/>
              <w:left w:val="single" w:sz="4" w:space="0" w:color="000000"/>
              <w:bottom w:val="single" w:sz="4" w:space="0" w:color="000000"/>
              <w:right w:val="nil"/>
            </w:tcBorders>
          </w:tcPr>
          <w:p>
            <w:pPr>
              <w:pStyle w:val="TableParagraph"/>
              <w:spacing w:before="1"/>
              <w:ind w:left="400" w:right="399"/>
              <w:jc w:val="center"/>
              <w:rPr>
                <w:sz w:val="18"/>
              </w:rPr>
            </w:pPr>
            <w:r>
              <w:rPr>
                <w:spacing w:val="-2"/>
                <w:sz w:val="18"/>
              </w:rPr>
              <w:t>1.815492</w:t>
            </w:r>
          </w:p>
        </w:tc>
      </w:tr>
    </w:tbl>
    <w:p>
      <w:pPr>
        <w:spacing w:before="33"/>
        <w:ind w:left="846" w:right="1358" w:firstLine="0"/>
        <w:jc w:val="center"/>
        <w:rPr>
          <w:sz w:val="19"/>
        </w:rPr>
      </w:pPr>
      <w:r>
        <w:rPr/>
        <mc:AlternateContent>
          <mc:Choice Requires="wps">
            <w:drawing>
              <wp:anchor distT="0" distB="0" distL="0" distR="0" allowOverlap="1" layoutInCell="1" locked="0" behindDoc="1" simplePos="0" relativeHeight="477751296">
                <wp:simplePos x="0" y="0"/>
                <wp:positionH relativeFrom="page">
                  <wp:posOffset>1095451</wp:posOffset>
                </wp:positionH>
                <wp:positionV relativeFrom="paragraph">
                  <wp:posOffset>329184</wp:posOffset>
                </wp:positionV>
                <wp:extent cx="721995" cy="72263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25.92pt;width:56.85pt;height:56.9pt;mso-position-horizontal-relative:page;mso-position-vertical-relative:paragraph;z-index:-25565184" id="docshape77" coordorigin="1725,518" coordsize="1137,1138" path="m1809,519l1747,557,1725,602,1729,612,2763,1648,2782,1656,2787,1654,2793,1653,2852,1601,2860,1581,2862,1576,1823,526,1819,522,1809,51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51808">
                <wp:simplePos x="0" y="0"/>
                <wp:positionH relativeFrom="page">
                  <wp:posOffset>1269060</wp:posOffset>
                </wp:positionH>
                <wp:positionV relativeFrom="paragraph">
                  <wp:posOffset>-491680</wp:posOffset>
                </wp:positionV>
                <wp:extent cx="1360170" cy="128143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38.715015pt;width:107.1pt;height:100.9pt;mso-position-horizontal-relative:page;mso-position-vertical-relative:paragraph;z-index:-25564672" id="docshape78" coordorigin="1999,-774" coordsize="2142,2018" path="m3420,935l3419,894,3412,851,3400,807,3383,762,3362,716,3335,669,3304,622,3268,574,3227,526,3181,478,2526,-177,2521,-180,2511,-184,2501,-183,2495,-181,2489,-178,2482,-174,2475,-169,2467,-162,2449,-145,2438,-130,2434,-123,2431,-116,2429,-111,2427,-105,2428,-100,2431,-90,2435,-85,3090,570,3124,605,3154,640,3181,674,3204,706,3223,738,3239,770,3252,800,3261,829,3266,857,3268,885,3267,911,3262,936,3254,961,3243,984,3227,1005,3209,1026,3189,1044,3167,1058,3144,1069,3120,1077,3095,1081,3068,1083,3040,1081,3012,1075,2982,1066,2951,1054,2919,1038,2886,1018,2852,994,2817,967,2782,935,2745,900,2097,252,2092,249,2083,245,2078,245,2072,246,2067,248,2060,251,2053,255,2038,267,2020,284,2014,292,2009,299,2002,313,2000,318,1999,324,1999,329,2002,339,2006,343,2671,1009,2720,1055,2768,1096,2815,1132,2862,1164,2908,1189,2953,1210,2996,1226,3038,1236,3080,1242,3119,1243,3157,1240,3195,1231,3230,1219,3263,1201,3295,1179,3324,1153,3353,1121,3377,1087,3395,1051,3408,1014,3417,975,3420,935xm4140,163l4134,109,4120,54,4100,-2,4073,-60,4041,-120,4002,-181,3983,-207,3983,141,3983,180,3977,216,3963,251,3943,284,3916,315,3885,343,3852,363,3819,377,3783,384,3747,386,3709,383,3670,374,3630,360,3589,341,3547,318,3504,290,3460,257,3415,221,3370,182,3324,140,3277,95,3236,52,3197,9,3160,-34,3126,-78,3095,-121,3068,-164,3046,-207,3028,-249,3013,-290,3004,-329,3000,-368,3001,-406,3007,-443,3020,-478,3040,-511,3067,-541,3097,-568,3130,-588,3163,-602,3199,-610,3236,-611,3274,-608,3313,-599,3353,-586,3394,-567,3436,-544,3479,-517,3523,-485,3567,-450,3612,-412,3657,-370,3702,-327,3744,-283,3783,-240,3820,-196,3855,-152,3887,-108,3914,-65,3936,-22,3955,20,3970,61,3979,102,3983,141,3983,-207,3957,-243,3907,-306,3851,-369,3789,-434,3725,-495,3662,-551,3601,-601,3588,-611,3541,-645,3483,-683,3426,-714,3371,-739,3317,-757,3265,-769,3215,-774,3167,-773,3120,-766,3075,-752,3032,-731,2991,-703,2952,-668,2916,-628,2887,-584,2866,-539,2852,-491,2846,-441,2845,-389,2852,-336,2865,-282,2885,-225,2911,-167,2943,-108,2981,-47,3025,14,3075,76,3130,139,3190,202,3255,265,3319,321,3381,372,3441,417,3500,455,3557,487,3613,512,3666,531,3718,543,3768,549,3817,548,3864,541,3910,527,3953,506,3995,478,4035,443,4071,402,4081,386,4099,359,4120,313,4133,265,4140,215,4140,163xe" filled="true" fillcolor="#c0c0c0" stroked="false">
                <v:path arrowok="t"/>
                <v:fill opacity="32896f" type="solid"/>
                <w10:wrap type="none"/>
              </v:shape>
            </w:pict>
          </mc:Fallback>
        </mc:AlternateContent>
      </w:r>
      <w:r>
        <w:rPr>
          <w:sz w:val="19"/>
        </w:rPr>
        <w:t>Model</w:t>
      </w:r>
      <w:r>
        <w:rPr>
          <w:spacing w:val="-6"/>
          <w:sz w:val="19"/>
        </w:rPr>
        <w:t> </w:t>
      </w:r>
      <w:r>
        <w:rPr>
          <w:spacing w:val="-2"/>
          <w:sz w:val="19"/>
        </w:rPr>
        <w:t>Diagnostics</w:t>
      </w:r>
    </w:p>
    <w:p>
      <w:pPr>
        <w:pStyle w:val="BodyText"/>
        <w:spacing w:before="6"/>
        <w:rPr>
          <w:sz w:val="9"/>
        </w:rPr>
      </w:pPr>
    </w:p>
    <w:tbl>
      <w:tblPr>
        <w:tblW w:w="0" w:type="auto"/>
        <w:jc w:val="left"/>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6"/>
        <w:gridCol w:w="986"/>
        <w:gridCol w:w="1620"/>
        <w:gridCol w:w="3962"/>
      </w:tblGrid>
      <w:tr>
        <w:trPr>
          <w:trHeight w:val="655" w:hRule="atLeast"/>
        </w:trPr>
        <w:tc>
          <w:tcPr>
            <w:tcW w:w="1906" w:type="dxa"/>
            <w:tcBorders>
              <w:left w:val="nil"/>
            </w:tcBorders>
          </w:tcPr>
          <w:p>
            <w:pPr>
              <w:pStyle w:val="TableParagraph"/>
              <w:spacing w:line="152" w:lineRule="exact"/>
              <w:ind w:left="722"/>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right="2"/>
              <w:jc w:val="center"/>
              <w:rPr>
                <w:rFonts w:ascii="Times New Roman"/>
                <w:sz w:val="12"/>
              </w:rPr>
            </w:pPr>
            <w:r>
              <w:rPr>
                <w:rFonts w:ascii="Times New Roman"/>
                <w:spacing w:val="-2"/>
                <w:sz w:val="12"/>
              </w:rPr>
              <w:t>Hetero</w:t>
            </w:r>
          </w:p>
          <w:p>
            <w:pPr>
              <w:pStyle w:val="TableParagraph"/>
              <w:spacing w:line="156" w:lineRule="exact" w:before="102"/>
              <w:ind w:left="619"/>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9"/>
              <w:jc w:val="center"/>
              <w:rPr>
                <w:rFonts w:ascii="Times New Roman"/>
                <w:sz w:val="12"/>
              </w:rPr>
            </w:pPr>
            <w:r>
              <w:rPr>
                <w:rFonts w:ascii="Times New Roman"/>
                <w:spacing w:val="-2"/>
                <w:sz w:val="12"/>
              </w:rPr>
              <w:t>Serial/Corr</w:t>
            </w:r>
          </w:p>
        </w:tc>
        <w:tc>
          <w:tcPr>
            <w:tcW w:w="986" w:type="dxa"/>
          </w:tcPr>
          <w:p>
            <w:pPr>
              <w:pStyle w:val="TableParagraph"/>
              <w:ind w:left="271"/>
              <w:rPr>
                <w:rFonts w:ascii="Times New Roman"/>
                <w:sz w:val="19"/>
              </w:rPr>
            </w:pPr>
            <w:r>
              <w:rPr>
                <w:rFonts w:ascii="Times New Roman"/>
                <w:spacing w:val="-2"/>
                <w:sz w:val="19"/>
              </w:rPr>
              <w:t>0.483</w:t>
            </w:r>
          </w:p>
          <w:p>
            <w:pPr>
              <w:pStyle w:val="TableParagraph"/>
              <w:spacing w:before="111"/>
              <w:ind w:left="271"/>
              <w:rPr>
                <w:rFonts w:ascii="Times New Roman"/>
                <w:sz w:val="19"/>
              </w:rPr>
            </w:pPr>
            <w:r>
              <w:rPr>
                <w:rFonts w:ascii="Times New Roman"/>
                <w:spacing w:val="-2"/>
                <w:sz w:val="19"/>
              </w:rPr>
              <w:t>0.317</w:t>
            </w:r>
          </w:p>
        </w:tc>
        <w:tc>
          <w:tcPr>
            <w:tcW w:w="1620" w:type="dxa"/>
          </w:tcPr>
          <w:p>
            <w:pPr>
              <w:pStyle w:val="TableParagraph"/>
              <w:spacing w:line="152" w:lineRule="exact"/>
              <w:ind w:left="38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0" w:right="13"/>
              <w:jc w:val="center"/>
              <w:rPr>
                <w:rFonts w:ascii="Times New Roman"/>
                <w:sz w:val="12"/>
              </w:rPr>
            </w:pPr>
            <w:r>
              <w:rPr>
                <w:rFonts w:ascii="Times New Roman"/>
                <w:spacing w:val="-2"/>
                <w:sz w:val="12"/>
              </w:rPr>
              <w:t>Ramsey-Reset</w:t>
            </w:r>
          </w:p>
          <w:p>
            <w:pPr>
              <w:pStyle w:val="TableParagraph"/>
              <w:spacing w:line="156" w:lineRule="exact" w:before="102"/>
              <w:ind w:left="504"/>
              <w:rPr>
                <w:rFonts w:ascii="Times New Roman" w:hAnsi="Times New Roman"/>
                <w:sz w:val="12"/>
              </w:rPr>
            </w:pPr>
            <w:r>
              <w:rPr>
                <w:rFonts w:ascii="Times New Roman" w:hAnsi="Times New Roman"/>
                <w:spacing w:val="-5"/>
                <w:position w:val="-6"/>
                <w:sz w:val="19"/>
              </w:rPr>
              <w:t>χ</w:t>
            </w:r>
            <w:r>
              <w:rPr>
                <w:rFonts w:ascii="Times New Roman" w:hAnsi="Times New Roman"/>
                <w:spacing w:val="-5"/>
                <w:sz w:val="12"/>
              </w:rPr>
              <w:t>2</w:t>
            </w:r>
          </w:p>
          <w:p>
            <w:pPr>
              <w:pStyle w:val="TableParagraph"/>
              <w:spacing w:line="71" w:lineRule="exact"/>
              <w:ind w:left="151" w:right="13"/>
              <w:jc w:val="center"/>
              <w:rPr>
                <w:rFonts w:ascii="Times New Roman"/>
                <w:sz w:val="12"/>
              </w:rPr>
            </w:pPr>
            <w:r>
              <w:rPr>
                <w:rFonts w:ascii="Times New Roman"/>
                <w:spacing w:val="-2"/>
                <w:sz w:val="12"/>
              </w:rPr>
              <w:t>Hausman</w:t>
            </w:r>
          </w:p>
        </w:tc>
        <w:tc>
          <w:tcPr>
            <w:tcW w:w="3962" w:type="dxa"/>
            <w:tcBorders>
              <w:right w:val="nil"/>
            </w:tcBorders>
          </w:tcPr>
          <w:p>
            <w:pPr>
              <w:pStyle w:val="TableParagraph"/>
              <w:ind w:left="2" w:right="4"/>
              <w:jc w:val="center"/>
              <w:rPr>
                <w:rFonts w:ascii="Times New Roman"/>
                <w:sz w:val="19"/>
              </w:rPr>
            </w:pPr>
            <w:r>
              <w:rPr>
                <w:rFonts w:ascii="Times New Roman"/>
                <w:spacing w:val="-2"/>
                <w:sz w:val="19"/>
              </w:rPr>
              <w:t>0.118</w:t>
            </w:r>
          </w:p>
          <w:p>
            <w:pPr>
              <w:pStyle w:val="TableParagraph"/>
              <w:spacing w:before="111"/>
              <w:ind w:right="4"/>
              <w:jc w:val="center"/>
              <w:rPr>
                <w:rFonts w:ascii="Times New Roman"/>
                <w:sz w:val="19"/>
              </w:rPr>
            </w:pPr>
            <w:r>
              <w:rPr>
                <w:rFonts w:ascii="Times New Roman"/>
                <w:sz w:val="19"/>
              </w:rPr>
              <w:t>14.81(</w:t>
            </w:r>
            <w:r>
              <w:rPr>
                <w:rFonts w:ascii="Times New Roman"/>
                <w:spacing w:val="-8"/>
                <w:sz w:val="19"/>
              </w:rPr>
              <w:t> </w:t>
            </w:r>
            <w:r>
              <w:rPr>
                <w:rFonts w:ascii="Times New Roman"/>
                <w:spacing w:val="-2"/>
                <w:sz w:val="19"/>
              </w:rPr>
              <w:t>0.00)</w:t>
            </w:r>
          </w:p>
        </w:tc>
      </w:tr>
    </w:tbl>
    <w:p>
      <w:pPr>
        <w:spacing w:before="0"/>
        <w:ind w:left="940" w:right="0" w:firstLine="0"/>
        <w:jc w:val="both"/>
        <w:rPr>
          <w:sz w:val="19"/>
        </w:rPr>
      </w:pPr>
      <w:r>
        <w:rPr>
          <w:b/>
          <w:sz w:val="19"/>
        </w:rPr>
        <w:t>Source:</w:t>
      </w:r>
      <w:r>
        <w:rPr>
          <w:b/>
          <w:spacing w:val="-8"/>
          <w:sz w:val="19"/>
        </w:rPr>
        <w:t> </w:t>
      </w:r>
      <w:r>
        <w:rPr>
          <w:sz w:val="19"/>
        </w:rPr>
        <w:t>Researcher’s</w:t>
      </w:r>
      <w:r>
        <w:rPr>
          <w:spacing w:val="-7"/>
          <w:sz w:val="19"/>
        </w:rPr>
        <w:t> </w:t>
      </w:r>
      <w:r>
        <w:rPr>
          <w:sz w:val="19"/>
        </w:rPr>
        <w:t>compilation</w:t>
      </w:r>
      <w:r>
        <w:rPr>
          <w:spacing w:val="-7"/>
          <w:sz w:val="19"/>
        </w:rPr>
        <w:t> </w:t>
      </w:r>
      <w:r>
        <w:rPr>
          <w:sz w:val="19"/>
        </w:rPr>
        <w:t>(2021)</w:t>
      </w:r>
      <w:r>
        <w:rPr>
          <w:spacing w:val="-11"/>
          <w:sz w:val="19"/>
        </w:rPr>
        <w:t> </w:t>
      </w:r>
      <w:r>
        <w:rPr>
          <w:sz w:val="19"/>
        </w:rPr>
        <w:t>using</w:t>
      </w:r>
      <w:r>
        <w:rPr>
          <w:spacing w:val="-5"/>
          <w:sz w:val="19"/>
        </w:rPr>
        <w:t> </w:t>
      </w:r>
      <w:r>
        <w:rPr>
          <w:sz w:val="19"/>
        </w:rPr>
        <w:t>Eviews</w:t>
      </w:r>
      <w:r>
        <w:rPr>
          <w:spacing w:val="-9"/>
          <w:sz w:val="19"/>
        </w:rPr>
        <w:t> </w:t>
      </w:r>
      <w:r>
        <w:rPr>
          <w:sz w:val="19"/>
        </w:rPr>
        <w:t>10.</w:t>
      </w:r>
      <w:r>
        <w:rPr>
          <w:spacing w:val="-8"/>
          <w:sz w:val="19"/>
        </w:rPr>
        <w:t> </w:t>
      </w:r>
      <w:r>
        <w:rPr>
          <w:sz w:val="19"/>
        </w:rPr>
        <w:t>*</w:t>
      </w:r>
      <w:r>
        <w:rPr>
          <w:spacing w:val="-8"/>
          <w:sz w:val="19"/>
        </w:rPr>
        <w:t> </w:t>
      </w:r>
      <w:r>
        <w:rPr>
          <w:sz w:val="19"/>
        </w:rPr>
        <w:t>sig</w:t>
      </w:r>
      <w:r>
        <w:rPr>
          <w:spacing w:val="-6"/>
          <w:sz w:val="19"/>
        </w:rPr>
        <w:t> </w:t>
      </w:r>
      <w:r>
        <w:rPr>
          <w:sz w:val="19"/>
        </w:rPr>
        <w:t>@10%,</w:t>
      </w:r>
      <w:r>
        <w:rPr>
          <w:spacing w:val="-8"/>
          <w:sz w:val="19"/>
        </w:rPr>
        <w:t> </w:t>
      </w:r>
      <w:r>
        <w:rPr>
          <w:sz w:val="19"/>
        </w:rPr>
        <w:t>**</w:t>
      </w:r>
      <w:r>
        <w:rPr>
          <w:spacing w:val="-8"/>
          <w:sz w:val="19"/>
        </w:rPr>
        <w:t> </w:t>
      </w:r>
      <w:r>
        <w:rPr>
          <w:sz w:val="19"/>
        </w:rPr>
        <w:t>sig</w:t>
      </w:r>
      <w:r>
        <w:rPr>
          <w:spacing w:val="-7"/>
          <w:sz w:val="19"/>
        </w:rPr>
        <w:t> </w:t>
      </w:r>
      <w:r>
        <w:rPr>
          <w:sz w:val="19"/>
        </w:rPr>
        <w:t>@</w:t>
      </w:r>
      <w:r>
        <w:rPr>
          <w:spacing w:val="-9"/>
          <w:sz w:val="19"/>
        </w:rPr>
        <w:t> </w:t>
      </w:r>
      <w:r>
        <w:rPr>
          <w:sz w:val="19"/>
        </w:rPr>
        <w:t>5%</w:t>
      </w:r>
      <w:r>
        <w:rPr>
          <w:spacing w:val="30"/>
          <w:sz w:val="19"/>
        </w:rPr>
        <w:t> </w:t>
      </w:r>
      <w:r>
        <w:rPr>
          <w:sz w:val="19"/>
        </w:rPr>
        <w:t>***</w:t>
      </w:r>
      <w:r>
        <w:rPr>
          <w:spacing w:val="-8"/>
          <w:sz w:val="19"/>
        </w:rPr>
        <w:t> </w:t>
      </w:r>
      <w:r>
        <w:rPr>
          <w:sz w:val="19"/>
        </w:rPr>
        <w:t>sig</w:t>
      </w:r>
      <w:r>
        <w:rPr>
          <w:spacing w:val="-10"/>
          <w:sz w:val="19"/>
        </w:rPr>
        <w:t> </w:t>
      </w:r>
      <w:r>
        <w:rPr>
          <w:sz w:val="19"/>
        </w:rPr>
        <w:t>@</w:t>
      </w:r>
      <w:r>
        <w:rPr>
          <w:spacing w:val="-7"/>
          <w:sz w:val="19"/>
        </w:rPr>
        <w:t> </w:t>
      </w:r>
      <w:r>
        <w:rPr>
          <w:sz w:val="19"/>
        </w:rPr>
        <w:t>1%</w:t>
      </w:r>
      <w:r>
        <w:rPr>
          <w:spacing w:val="-3"/>
          <w:sz w:val="19"/>
        </w:rPr>
        <w:t> </w:t>
      </w:r>
      <w:r>
        <w:rPr>
          <w:sz w:val="19"/>
        </w:rPr>
        <w:t>(</w:t>
      </w:r>
      <w:r>
        <w:rPr>
          <w:spacing w:val="-8"/>
          <w:sz w:val="19"/>
        </w:rPr>
        <w:t> </w:t>
      </w:r>
      <w:r>
        <w:rPr>
          <w:sz w:val="19"/>
        </w:rPr>
        <w:t>)</w:t>
      </w:r>
      <w:r>
        <w:rPr>
          <w:spacing w:val="-10"/>
          <w:sz w:val="19"/>
        </w:rPr>
        <w:t> </w:t>
      </w:r>
      <w:r>
        <w:rPr>
          <w:sz w:val="19"/>
        </w:rPr>
        <w:t>Standard</w:t>
      </w:r>
      <w:r>
        <w:rPr>
          <w:spacing w:val="-7"/>
          <w:sz w:val="19"/>
        </w:rPr>
        <w:t> </w:t>
      </w:r>
      <w:r>
        <w:rPr>
          <w:spacing w:val="-2"/>
          <w:sz w:val="19"/>
        </w:rPr>
        <w:t>error</w:t>
      </w:r>
    </w:p>
    <w:p>
      <w:pPr>
        <w:spacing w:before="0"/>
        <w:ind w:left="940" w:right="0" w:firstLine="0"/>
        <w:jc w:val="both"/>
        <w:rPr>
          <w:sz w:val="19"/>
        </w:rPr>
      </w:pPr>
      <w:r>
        <w:rPr>
          <w:sz w:val="19"/>
        </w:rPr>
        <w:t>{</w:t>
      </w:r>
      <w:r>
        <w:rPr>
          <w:spacing w:val="-2"/>
          <w:sz w:val="19"/>
        </w:rPr>
        <w:t> </w:t>
      </w:r>
      <w:r>
        <w:rPr>
          <w:sz w:val="19"/>
        </w:rPr>
        <w:t>}</w:t>
      </w:r>
      <w:r>
        <w:rPr>
          <w:spacing w:val="-2"/>
          <w:sz w:val="19"/>
        </w:rPr>
        <w:t> </w:t>
      </w:r>
      <w:r>
        <w:rPr>
          <w:sz w:val="19"/>
        </w:rPr>
        <w:t>p-</w:t>
      </w:r>
      <w:r>
        <w:rPr>
          <w:spacing w:val="-2"/>
          <w:sz w:val="19"/>
        </w:rPr>
        <w:t>values</w:t>
      </w:r>
    </w:p>
    <w:p>
      <w:pPr>
        <w:pStyle w:val="BodyText"/>
        <w:spacing w:line="475" w:lineRule="auto" w:before="200"/>
        <w:ind w:left="940" w:right="1435"/>
        <w:jc w:val="both"/>
      </w:pPr>
      <w:r>
        <w:rPr/>
        <w:t>Table</w:t>
      </w:r>
      <w:r>
        <w:rPr>
          <w:spacing w:val="-13"/>
        </w:rPr>
        <w:t> </w:t>
      </w:r>
      <w:r>
        <w:rPr/>
        <w:t>4.11</w:t>
      </w:r>
      <w:r>
        <w:rPr>
          <w:spacing w:val="-12"/>
        </w:rPr>
        <w:t> </w:t>
      </w:r>
      <w:r>
        <w:rPr/>
        <w:t>showed</w:t>
      </w:r>
      <w:r>
        <w:rPr>
          <w:spacing w:val="-12"/>
        </w:rPr>
        <w:t> </w:t>
      </w:r>
      <w:r>
        <w:rPr/>
        <w:t>the</w:t>
      </w:r>
      <w:r>
        <w:rPr>
          <w:spacing w:val="-10"/>
        </w:rPr>
        <w:t> </w:t>
      </w:r>
      <w:r>
        <w:rPr/>
        <w:t>regression</w:t>
      </w:r>
      <w:r>
        <w:rPr>
          <w:spacing w:val="-12"/>
        </w:rPr>
        <w:t> </w:t>
      </w:r>
      <w:r>
        <w:rPr/>
        <w:t>results</w:t>
      </w:r>
      <w:r>
        <w:rPr>
          <w:spacing w:val="-12"/>
        </w:rPr>
        <w:t> </w:t>
      </w:r>
      <w:r>
        <w:rPr/>
        <w:t>examining</w:t>
      </w:r>
      <w:r>
        <w:rPr>
          <w:spacing w:val="-12"/>
        </w:rPr>
        <w:t> </w:t>
      </w:r>
      <w:r>
        <w:rPr/>
        <w:t>the</w:t>
      </w:r>
      <w:r>
        <w:rPr>
          <w:spacing w:val="-13"/>
        </w:rPr>
        <w:t> </w:t>
      </w:r>
      <w:r>
        <w:rPr/>
        <w:t>impact</w:t>
      </w:r>
      <w:r>
        <w:rPr>
          <w:spacing w:val="-12"/>
        </w:rPr>
        <w:t> </w:t>
      </w:r>
      <w:r>
        <w:rPr/>
        <w:t>of</w:t>
      </w:r>
      <w:r>
        <w:rPr>
          <w:spacing w:val="-13"/>
        </w:rPr>
        <w:t> </w:t>
      </w:r>
      <w:r>
        <w:rPr/>
        <w:t>ownership</w:t>
      </w:r>
      <w:r>
        <w:rPr>
          <w:spacing w:val="-12"/>
        </w:rPr>
        <w:t> </w:t>
      </w:r>
      <w:r>
        <w:rPr/>
        <w:t>structure</w:t>
      </w:r>
      <w:r>
        <w:rPr>
          <w:spacing w:val="-13"/>
        </w:rPr>
        <w:t> </w:t>
      </w:r>
      <w:r>
        <w:rPr/>
        <w:t>on</w:t>
      </w:r>
      <w:r>
        <w:rPr>
          <w:spacing w:val="-10"/>
        </w:rPr>
        <w:t> </w:t>
      </w:r>
      <w:r>
        <w:rPr/>
        <w:t>value relevance</w:t>
      </w:r>
      <w:r>
        <w:rPr>
          <w:spacing w:val="-5"/>
        </w:rPr>
        <w:t> </w:t>
      </w:r>
      <w:r>
        <w:rPr/>
        <w:t>measurement</w:t>
      </w:r>
      <w:r>
        <w:rPr>
          <w:spacing w:val="-4"/>
        </w:rPr>
        <w:t> </w:t>
      </w:r>
      <w:r>
        <w:rPr/>
        <w:t>for</w:t>
      </w:r>
      <w:r>
        <w:rPr>
          <w:spacing w:val="-4"/>
        </w:rPr>
        <w:t> </w:t>
      </w:r>
      <w:r>
        <w:rPr/>
        <w:t>financial</w:t>
      </w:r>
      <w:r>
        <w:rPr>
          <w:spacing w:val="-4"/>
        </w:rPr>
        <w:t> </w:t>
      </w:r>
      <w:r>
        <w:rPr/>
        <w:t>reporting</w:t>
      </w:r>
      <w:r>
        <w:rPr>
          <w:spacing w:val="-4"/>
        </w:rPr>
        <w:t> </w:t>
      </w:r>
      <w:r>
        <w:rPr/>
        <w:t>quality</w:t>
      </w:r>
      <w:r>
        <w:rPr>
          <w:spacing w:val="-4"/>
        </w:rPr>
        <w:t> </w:t>
      </w:r>
      <w:r>
        <w:rPr/>
        <w:t>(Appendices</w:t>
      </w:r>
      <w:r>
        <w:rPr>
          <w:spacing w:val="-4"/>
        </w:rPr>
        <w:t> </w:t>
      </w:r>
      <w:r>
        <w:rPr/>
        <w:t>23</w:t>
      </w:r>
      <w:r>
        <w:rPr>
          <w:spacing w:val="-4"/>
        </w:rPr>
        <w:t> </w:t>
      </w:r>
      <w:r>
        <w:rPr/>
        <w:t>to 25).</w:t>
      </w:r>
      <w:r>
        <w:rPr>
          <w:spacing w:val="-4"/>
        </w:rPr>
        <w:t> </w:t>
      </w:r>
      <w:r>
        <w:rPr/>
        <w:t>Again,</w:t>
      </w:r>
      <w:r>
        <w:rPr>
          <w:spacing w:val="-4"/>
        </w:rPr>
        <w:t> </w:t>
      </w:r>
      <w:r>
        <w:rPr/>
        <w:t>the</w:t>
      </w:r>
      <w:r>
        <w:rPr>
          <w:spacing w:val="-5"/>
        </w:rPr>
        <w:t> </w:t>
      </w:r>
      <w:r>
        <w:rPr/>
        <w:t>fixed </w:t>
      </w:r>
      <w:r>
        <w:rPr>
          <w:position w:val="2"/>
        </w:rPr>
        <w:t>effects were selected for the inferences based on the χ</w:t>
      </w:r>
      <w:r>
        <w:rPr>
          <w:position w:val="2"/>
          <w:vertAlign w:val="superscript"/>
        </w:rPr>
        <w:t>2</w:t>
      </w:r>
      <w:r>
        <w:rPr>
          <w:sz w:val="16"/>
          <w:vertAlign w:val="baseline"/>
        </w:rPr>
        <w:t>Hausman</w:t>
      </w:r>
      <w:r>
        <w:rPr>
          <w:spacing w:val="40"/>
          <w:sz w:val="16"/>
          <w:vertAlign w:val="baseline"/>
        </w:rPr>
        <w:t> </w:t>
      </w:r>
      <w:r>
        <w:rPr>
          <w:position w:val="2"/>
          <w:vertAlign w:val="baseline"/>
        </w:rPr>
        <w:t>statistic (14.81) and p-value </w:t>
      </w:r>
      <w:r>
        <w:rPr>
          <w:vertAlign w:val="baseline"/>
        </w:rPr>
        <w:t>(0.000). The R</w:t>
      </w:r>
      <w:r>
        <w:rPr>
          <w:vertAlign w:val="superscript"/>
        </w:rPr>
        <w:t>2</w:t>
      </w:r>
      <w:r>
        <w:rPr>
          <w:vertAlign w:val="baseline"/>
        </w:rPr>
        <w:t> and Adj R</w:t>
      </w:r>
      <w:r>
        <w:rPr>
          <w:vertAlign w:val="superscript"/>
        </w:rPr>
        <w:t>2</w:t>
      </w:r>
      <w:r>
        <w:rPr>
          <w:spacing w:val="-15"/>
          <w:vertAlign w:val="baseline"/>
        </w:rPr>
        <w:t> </w:t>
      </w:r>
      <w:r>
        <w:rPr>
          <w:vertAlign w:val="baseline"/>
        </w:rPr>
        <w:t>stood at 60.57% and 54.99% respectively. The F-stat of 10.88 (p- value</w:t>
      </w:r>
      <w:r>
        <w:rPr>
          <w:spacing w:val="-3"/>
          <w:vertAlign w:val="baseline"/>
        </w:rPr>
        <w:t> </w:t>
      </w:r>
      <w:r>
        <w:rPr>
          <w:vertAlign w:val="baseline"/>
        </w:rPr>
        <w:t>= 0.00) which was</w:t>
      </w:r>
      <w:r>
        <w:rPr>
          <w:spacing w:val="2"/>
          <w:vertAlign w:val="baseline"/>
        </w:rPr>
        <w:t> </w:t>
      </w:r>
      <w:r>
        <w:rPr>
          <w:vertAlign w:val="baseline"/>
        </w:rPr>
        <w:t>significant</w:t>
      </w:r>
      <w:r>
        <w:rPr>
          <w:spacing w:val="-1"/>
          <w:vertAlign w:val="baseline"/>
        </w:rPr>
        <w:t> </w:t>
      </w:r>
      <w:r>
        <w:rPr>
          <w:vertAlign w:val="baseline"/>
        </w:rPr>
        <w:t>at 5% suggested that the hypothesis of a</w:t>
      </w:r>
      <w:r>
        <w:rPr>
          <w:spacing w:val="-1"/>
          <w:vertAlign w:val="baseline"/>
        </w:rPr>
        <w:t> </w:t>
      </w:r>
      <w:r>
        <w:rPr>
          <w:vertAlign w:val="baseline"/>
        </w:rPr>
        <w:t>significant </w:t>
      </w:r>
      <w:r>
        <w:rPr>
          <w:spacing w:val="-2"/>
          <w:vertAlign w:val="baseline"/>
        </w:rPr>
        <w:t>linear</w:t>
      </w:r>
    </w:p>
    <w:p>
      <w:pPr>
        <w:spacing w:after="0" w:line="475" w:lineRule="auto"/>
        <w:jc w:val="both"/>
        <w:sectPr>
          <w:type w:val="continuous"/>
          <w:pgSz w:w="11910" w:h="16840"/>
          <w:pgMar w:header="0" w:footer="971" w:top="140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52832">
            <wp:simplePos x="0" y="0"/>
            <wp:positionH relativeFrom="page">
              <wp:posOffset>1095451</wp:posOffset>
            </wp:positionH>
            <wp:positionV relativeFrom="paragraph">
              <wp:posOffset>1850770</wp:posOffset>
            </wp:positionV>
            <wp:extent cx="5106847" cy="5238115"/>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5" cstate="print"/>
                    <a:stretch>
                      <a:fillRect/>
                    </a:stretch>
                  </pic:blipFill>
                  <pic:spPr>
                    <a:xfrm>
                      <a:off x="0" y="0"/>
                      <a:ext cx="5106847" cy="5238115"/>
                    </a:xfrm>
                    <a:prstGeom prst="rect">
                      <a:avLst/>
                    </a:prstGeom>
                  </pic:spPr>
                </pic:pic>
              </a:graphicData>
            </a:graphic>
          </wp:anchor>
        </w:drawing>
      </w:r>
      <w:r>
        <w:rPr/>
        <w:t>relationship between the dependent and independent variables could not be rejected. The estimations revealed that INSTOWN had a positive effect on value relevance although not significant at 5% (0.0594, p=0.0533) but the interaction Post-IFRS*INSTOWN testing the presence of incremental IFRS adoption effect showed that INSTOWN has a significant effect on DISACC resulting from IFRS adoption (-0.17926, p=0.000) although the negative coefficient suggested the effect may actually be decremental suggesting that higher level of institutional ownership in the post-IFRS resulted in a declining value relevance. As indicated earlier, the fact that the value</w:t>
      </w:r>
      <w:r>
        <w:rPr>
          <w:spacing w:val="-1"/>
        </w:rPr>
        <w:t> </w:t>
      </w:r>
      <w:r>
        <w:rPr/>
        <w:t>relevance was market based could suggest a possible</w:t>
      </w:r>
      <w:r>
        <w:rPr>
          <w:spacing w:val="-1"/>
        </w:rPr>
        <w:t> </w:t>
      </w:r>
      <w:r>
        <w:rPr/>
        <w:t>inaccurate assessment</w:t>
      </w:r>
      <w:r>
        <w:rPr>
          <w:spacing w:val="-7"/>
        </w:rPr>
        <w:t> </w:t>
      </w:r>
      <w:r>
        <w:rPr/>
        <w:t>of</w:t>
      </w:r>
      <w:r>
        <w:rPr>
          <w:spacing w:val="-7"/>
        </w:rPr>
        <w:t> </w:t>
      </w:r>
      <w:r>
        <w:rPr/>
        <w:t>institutional</w:t>
      </w:r>
      <w:r>
        <w:rPr>
          <w:spacing w:val="-6"/>
        </w:rPr>
        <w:t> </w:t>
      </w:r>
      <w:r>
        <w:rPr/>
        <w:t>ownership</w:t>
      </w:r>
      <w:r>
        <w:rPr>
          <w:spacing w:val="-7"/>
        </w:rPr>
        <w:t> </w:t>
      </w:r>
      <w:r>
        <w:rPr/>
        <w:t>efforts.</w:t>
      </w:r>
      <w:r>
        <w:rPr>
          <w:spacing w:val="-7"/>
        </w:rPr>
        <w:t> </w:t>
      </w:r>
      <w:r>
        <w:rPr/>
        <w:t>Also,</w:t>
      </w:r>
      <w:r>
        <w:rPr>
          <w:spacing w:val="-7"/>
        </w:rPr>
        <w:t> </w:t>
      </w:r>
      <w:r>
        <w:rPr/>
        <w:t>issues</w:t>
      </w:r>
      <w:r>
        <w:rPr>
          <w:spacing w:val="-7"/>
        </w:rPr>
        <w:t> </w:t>
      </w:r>
      <w:r>
        <w:rPr/>
        <w:t>of</w:t>
      </w:r>
      <w:r>
        <w:rPr>
          <w:spacing w:val="-7"/>
        </w:rPr>
        <w:t> </w:t>
      </w:r>
      <w:r>
        <w:rPr/>
        <w:t>market</w:t>
      </w:r>
      <w:r>
        <w:rPr>
          <w:spacing w:val="-6"/>
        </w:rPr>
        <w:t> </w:t>
      </w:r>
      <w:r>
        <w:rPr/>
        <w:t>efficiency</w:t>
      </w:r>
      <w:r>
        <w:rPr>
          <w:spacing w:val="-6"/>
        </w:rPr>
        <w:t> </w:t>
      </w:r>
      <w:r>
        <w:rPr/>
        <w:t>could</w:t>
      </w:r>
      <w:r>
        <w:rPr>
          <w:spacing w:val="-6"/>
        </w:rPr>
        <w:t> </w:t>
      </w:r>
      <w:r>
        <w:rPr/>
        <w:t>also</w:t>
      </w:r>
      <w:r>
        <w:rPr>
          <w:spacing w:val="-6"/>
        </w:rPr>
        <w:t> </w:t>
      </w:r>
      <w:r>
        <w:rPr/>
        <w:t>play a role in the outcome. The estimations revealed that MOWN had a negative effect on value relevance although not significant at 5% (-0.0172, p=0.6707). However, the interaction Post- IFRS*MOWN</w:t>
      </w:r>
      <w:r>
        <w:rPr>
          <w:spacing w:val="-6"/>
        </w:rPr>
        <w:t> </w:t>
      </w:r>
      <w:r>
        <w:rPr/>
        <w:t>testing</w:t>
      </w:r>
      <w:r>
        <w:rPr>
          <w:spacing w:val="-5"/>
        </w:rPr>
        <w:t> </w:t>
      </w:r>
      <w:r>
        <w:rPr/>
        <w:t>the</w:t>
      </w:r>
      <w:r>
        <w:rPr>
          <w:spacing w:val="-6"/>
        </w:rPr>
        <w:t> </w:t>
      </w:r>
      <w:r>
        <w:rPr/>
        <w:t>presence</w:t>
      </w:r>
      <w:r>
        <w:rPr>
          <w:spacing w:val="-7"/>
        </w:rPr>
        <w:t> </w:t>
      </w:r>
      <w:r>
        <w:rPr/>
        <w:t>of</w:t>
      </w:r>
      <w:r>
        <w:rPr>
          <w:spacing w:val="-7"/>
        </w:rPr>
        <w:t> </w:t>
      </w:r>
      <w:r>
        <w:rPr/>
        <w:t>incremental</w:t>
      </w:r>
      <w:r>
        <w:rPr>
          <w:spacing w:val="-5"/>
        </w:rPr>
        <w:t> </w:t>
      </w:r>
      <w:r>
        <w:rPr/>
        <w:t>IFRS</w:t>
      </w:r>
      <w:r>
        <w:rPr>
          <w:spacing w:val="-5"/>
        </w:rPr>
        <w:t> </w:t>
      </w:r>
      <w:r>
        <w:rPr/>
        <w:t>adoption</w:t>
      </w:r>
      <w:r>
        <w:rPr>
          <w:spacing w:val="-6"/>
        </w:rPr>
        <w:t> </w:t>
      </w:r>
      <w:r>
        <w:rPr/>
        <w:t>effect</w:t>
      </w:r>
      <w:r>
        <w:rPr>
          <w:spacing w:val="-5"/>
        </w:rPr>
        <w:t> </w:t>
      </w:r>
      <w:r>
        <w:rPr/>
        <w:t>also</w:t>
      </w:r>
      <w:r>
        <w:rPr>
          <w:spacing w:val="-6"/>
        </w:rPr>
        <w:t> </w:t>
      </w:r>
      <w:r>
        <w:rPr/>
        <w:t>did</w:t>
      </w:r>
      <w:r>
        <w:rPr>
          <w:spacing w:val="-4"/>
        </w:rPr>
        <w:t> </w:t>
      </w:r>
      <w:r>
        <w:rPr/>
        <w:t>not</w:t>
      </w:r>
      <w:r>
        <w:rPr>
          <w:spacing w:val="-5"/>
        </w:rPr>
        <w:t> </w:t>
      </w:r>
      <w:r>
        <w:rPr/>
        <w:t>show</w:t>
      </w:r>
      <w:r>
        <w:rPr>
          <w:spacing w:val="-6"/>
        </w:rPr>
        <w:t> </w:t>
      </w:r>
      <w:r>
        <w:rPr/>
        <w:t>that MOWN had any significant incremental effect on value relevance resulting from IFRS adoption (0.0129, p=0.6857).</w:t>
      </w:r>
    </w:p>
    <w:p>
      <w:pPr>
        <w:pStyle w:val="BodyText"/>
        <w:spacing w:line="480" w:lineRule="auto" w:before="1"/>
        <w:ind w:left="940" w:right="1435"/>
        <w:jc w:val="both"/>
      </w:pPr>
      <w:r>
        <w:rPr/>
        <w:t>Furthermore, the estimations revealed that FOWN had a negative effect on value relevance although significant at 5% (-0.1587p=0.0042) and the interaction Post-IFRS*FOWN testing the presence of incremental IFRS adoption effect also did show that FOWN had a significant incremental effect on value relevance (0.0852, p=0.0401).The estimations revealed that BLOWN had a negative effect on value relevance although not significant at 5% (-0.0183, p=0.3489) but the interaction; Post-IFRS*BLOWN, testing the presence of incremental IFRS adoption effect also did show that BLOWN had significant incremental effect on DISACC (0.1485,</w:t>
      </w:r>
      <w:r>
        <w:rPr>
          <w:spacing w:val="-13"/>
        </w:rPr>
        <w:t> </w:t>
      </w:r>
      <w:r>
        <w:rPr/>
        <w:t>p=0.0003).</w:t>
      </w:r>
      <w:r>
        <w:rPr>
          <w:spacing w:val="-13"/>
        </w:rPr>
        <w:t> </w:t>
      </w:r>
      <w:r>
        <w:rPr/>
        <w:t>Hence,</w:t>
      </w:r>
      <w:r>
        <w:rPr>
          <w:spacing w:val="-13"/>
        </w:rPr>
        <w:t> </w:t>
      </w:r>
      <w:r>
        <w:rPr/>
        <w:t>block</w:t>
      </w:r>
      <w:r>
        <w:rPr>
          <w:spacing w:val="-14"/>
        </w:rPr>
        <w:t> </w:t>
      </w:r>
      <w:r>
        <w:rPr/>
        <w:t>ownership</w:t>
      </w:r>
      <w:r>
        <w:rPr>
          <w:spacing w:val="-13"/>
        </w:rPr>
        <w:t> </w:t>
      </w:r>
      <w:r>
        <w:rPr/>
        <w:t>was</w:t>
      </w:r>
      <w:r>
        <w:rPr>
          <w:spacing w:val="-10"/>
        </w:rPr>
        <w:t> </w:t>
      </w:r>
      <w:r>
        <w:rPr/>
        <w:t>found</w:t>
      </w:r>
      <w:r>
        <w:rPr>
          <w:spacing w:val="-14"/>
        </w:rPr>
        <w:t> </w:t>
      </w:r>
      <w:r>
        <w:rPr/>
        <w:t>to</w:t>
      </w:r>
      <w:r>
        <w:rPr>
          <w:spacing w:val="-13"/>
        </w:rPr>
        <w:t> </w:t>
      </w:r>
      <w:r>
        <w:rPr/>
        <w:t>improve</w:t>
      </w:r>
      <w:r>
        <w:rPr>
          <w:spacing w:val="-15"/>
        </w:rPr>
        <w:t> </w:t>
      </w:r>
      <w:r>
        <w:rPr/>
        <w:t>value</w:t>
      </w:r>
      <w:r>
        <w:rPr>
          <w:spacing w:val="-14"/>
        </w:rPr>
        <w:t> </w:t>
      </w:r>
      <w:r>
        <w:rPr/>
        <w:t>relevance</w:t>
      </w:r>
      <w:r>
        <w:rPr>
          <w:spacing w:val="-14"/>
        </w:rPr>
        <w:t> </w:t>
      </w:r>
      <w:r>
        <w:rPr/>
        <w:t>in</w:t>
      </w:r>
      <w:r>
        <w:rPr>
          <w:spacing w:val="-13"/>
        </w:rPr>
        <w:t> </w:t>
      </w:r>
      <w:r>
        <w:rPr/>
        <w:t>the</w:t>
      </w:r>
      <w:r>
        <w:rPr>
          <w:spacing w:val="-14"/>
        </w:rPr>
        <w:t> </w:t>
      </w:r>
      <w:r>
        <w:rPr/>
        <w:t>post- IFRS regime. The outcome could suggest that investors and the market were given more positive ratings and weights to firms with more block ownership and foreign presence than firms</w:t>
      </w:r>
      <w:r>
        <w:rPr>
          <w:spacing w:val="44"/>
        </w:rPr>
        <w:t> </w:t>
      </w:r>
      <w:r>
        <w:rPr/>
        <w:t>with</w:t>
      </w:r>
      <w:r>
        <w:rPr>
          <w:spacing w:val="47"/>
        </w:rPr>
        <w:t> </w:t>
      </w:r>
      <w:r>
        <w:rPr/>
        <w:t>more</w:t>
      </w:r>
      <w:r>
        <w:rPr>
          <w:spacing w:val="45"/>
        </w:rPr>
        <w:t> </w:t>
      </w:r>
      <w:r>
        <w:rPr/>
        <w:t>institutional</w:t>
      </w:r>
      <w:r>
        <w:rPr>
          <w:spacing w:val="46"/>
        </w:rPr>
        <w:t> </w:t>
      </w:r>
      <w:r>
        <w:rPr/>
        <w:t>and</w:t>
      </w:r>
      <w:r>
        <w:rPr>
          <w:spacing w:val="46"/>
        </w:rPr>
        <w:t> </w:t>
      </w:r>
      <w:r>
        <w:rPr/>
        <w:t>managerial</w:t>
      </w:r>
      <w:r>
        <w:rPr>
          <w:spacing w:val="47"/>
        </w:rPr>
        <w:t> </w:t>
      </w:r>
      <w:r>
        <w:rPr/>
        <w:t>ownership</w:t>
      </w:r>
      <w:r>
        <w:rPr>
          <w:spacing w:val="46"/>
        </w:rPr>
        <w:t> </w:t>
      </w:r>
      <w:r>
        <w:rPr/>
        <w:t>presence.</w:t>
      </w:r>
      <w:r>
        <w:rPr>
          <w:spacing w:val="46"/>
        </w:rPr>
        <w:t> </w:t>
      </w:r>
      <w:r>
        <w:rPr/>
        <w:t>Looking</w:t>
      </w:r>
      <w:r>
        <w:rPr>
          <w:spacing w:val="47"/>
        </w:rPr>
        <w:t> </w:t>
      </w:r>
      <w:r>
        <w:rPr/>
        <w:t>at</w:t>
      </w:r>
      <w:r>
        <w:rPr>
          <w:spacing w:val="47"/>
        </w:rPr>
        <w:t> </w:t>
      </w:r>
      <w:r>
        <w:rPr/>
        <w:t>the</w:t>
      </w:r>
      <w:r>
        <w:rPr>
          <w:spacing w:val="46"/>
        </w:rPr>
        <w:t> </w:t>
      </w:r>
      <w:r>
        <w:rPr>
          <w:spacing w:val="-2"/>
        </w:rPr>
        <w:t>control</w:t>
      </w:r>
    </w:p>
    <w:p>
      <w:pPr>
        <w:spacing w:after="0" w:line="480" w:lineRule="auto"/>
        <w:jc w:val="both"/>
        <w:sectPr>
          <w:pgSz w:w="11910" w:h="16840"/>
          <w:pgMar w:header="0" w:footer="971" w:top="1360" w:bottom="1160" w:left="500" w:right="0"/>
        </w:sectPr>
      </w:pPr>
    </w:p>
    <w:p>
      <w:pPr>
        <w:pStyle w:val="BodyText"/>
        <w:spacing w:line="470" w:lineRule="auto" w:before="61"/>
        <w:ind w:left="940" w:right="1433"/>
        <w:jc w:val="both"/>
      </w:pPr>
      <w:r>
        <w:rPr/>
        <w:drawing>
          <wp:anchor distT="0" distB="0" distL="0" distR="0" allowOverlap="1" layoutInCell="1" locked="0" behindDoc="1" simplePos="0" relativeHeight="477753344">
            <wp:simplePos x="0" y="0"/>
            <wp:positionH relativeFrom="page">
              <wp:posOffset>1095451</wp:posOffset>
            </wp:positionH>
            <wp:positionV relativeFrom="paragraph">
              <wp:posOffset>1850770</wp:posOffset>
            </wp:positionV>
            <wp:extent cx="5106847" cy="5238115"/>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5" cstate="print"/>
                    <a:stretch>
                      <a:fillRect/>
                    </a:stretch>
                  </pic:blipFill>
                  <pic:spPr>
                    <a:xfrm>
                      <a:off x="0" y="0"/>
                      <a:ext cx="5106847" cy="5238115"/>
                    </a:xfrm>
                    <a:prstGeom prst="rect">
                      <a:avLst/>
                    </a:prstGeom>
                  </pic:spPr>
                </pic:pic>
              </a:graphicData>
            </a:graphic>
          </wp:anchor>
        </w:drawing>
      </w:r>
      <w:r>
        <w:rPr/>
        <w:t>variables, none showed evidence of significant effects on discretionary accruals with </w:t>
      </w:r>
      <w:r>
        <w:rPr>
          <w:position w:val="2"/>
        </w:rPr>
        <w:t>coefficients of 0.037 and -0.2879 respectively. The χ</w:t>
      </w:r>
      <w:r>
        <w:rPr>
          <w:position w:val="2"/>
          <w:vertAlign w:val="superscript"/>
        </w:rPr>
        <w:t>2</w:t>
      </w:r>
      <w:r>
        <w:rPr>
          <w:sz w:val="16"/>
          <w:vertAlign w:val="baseline"/>
        </w:rPr>
        <w:t>Hetero</w:t>
      </w:r>
      <w:r>
        <w:rPr>
          <w:spacing w:val="40"/>
          <w:sz w:val="16"/>
          <w:vertAlign w:val="baseline"/>
        </w:rPr>
        <w:t> </w:t>
      </w:r>
      <w:r>
        <w:rPr>
          <w:position w:val="2"/>
          <w:vertAlign w:val="baseline"/>
        </w:rPr>
        <w:t>p-value (0.483) implied the homoscedastic behaviour of the errors and the χ</w:t>
      </w:r>
      <w:r>
        <w:rPr>
          <w:position w:val="2"/>
          <w:vertAlign w:val="superscript"/>
        </w:rPr>
        <w:t>2</w:t>
      </w:r>
      <w:r>
        <w:rPr>
          <w:sz w:val="16"/>
          <w:vertAlign w:val="baseline"/>
        </w:rPr>
        <w:t>Serial/Corr </w:t>
      </w:r>
      <w:r>
        <w:rPr>
          <w:position w:val="2"/>
          <w:vertAlign w:val="baseline"/>
        </w:rPr>
        <w:t>p-value (0.317) also revealed the absence of a serial correlation. In addition, χ</w:t>
      </w:r>
      <w:r>
        <w:rPr>
          <w:position w:val="2"/>
          <w:vertAlign w:val="superscript"/>
        </w:rPr>
        <w:t>2</w:t>
      </w:r>
      <w:r>
        <w:rPr>
          <w:sz w:val="16"/>
          <w:vertAlign w:val="baseline"/>
        </w:rPr>
        <w:t>ramsey-reset</w:t>
      </w:r>
      <w:r>
        <w:rPr>
          <w:spacing w:val="23"/>
          <w:sz w:val="16"/>
          <w:vertAlign w:val="baseline"/>
        </w:rPr>
        <w:t> </w:t>
      </w:r>
      <w:r>
        <w:rPr>
          <w:position w:val="2"/>
          <w:vertAlign w:val="baseline"/>
        </w:rPr>
        <w:t>(0.118) revealed the appropriateness of </w:t>
      </w:r>
      <w:r>
        <w:rPr>
          <w:vertAlign w:val="baseline"/>
        </w:rPr>
        <w:t>the</w:t>
      </w:r>
      <w:r>
        <w:rPr>
          <w:spacing w:val="-11"/>
          <w:vertAlign w:val="baseline"/>
        </w:rPr>
        <w:t> </w:t>
      </w:r>
      <w:r>
        <w:rPr>
          <w:vertAlign w:val="baseline"/>
        </w:rPr>
        <w:t>model’s</w:t>
      </w:r>
      <w:r>
        <w:rPr>
          <w:spacing w:val="-10"/>
          <w:vertAlign w:val="baseline"/>
        </w:rPr>
        <w:t> </w:t>
      </w:r>
      <w:r>
        <w:rPr>
          <w:vertAlign w:val="baseline"/>
        </w:rPr>
        <w:t>functional</w:t>
      </w:r>
      <w:r>
        <w:rPr>
          <w:spacing w:val="-10"/>
          <w:vertAlign w:val="baseline"/>
        </w:rPr>
        <w:t> </w:t>
      </w:r>
      <w:r>
        <w:rPr>
          <w:vertAlign w:val="baseline"/>
        </w:rPr>
        <w:t>specification.</w:t>
      </w:r>
      <w:r>
        <w:rPr>
          <w:spacing w:val="40"/>
          <w:vertAlign w:val="baseline"/>
        </w:rPr>
        <w:t> </w:t>
      </w:r>
      <w:r>
        <w:rPr>
          <w:vertAlign w:val="baseline"/>
        </w:rPr>
        <w:t>The</w:t>
      </w:r>
      <w:r>
        <w:rPr>
          <w:spacing w:val="-11"/>
          <w:vertAlign w:val="baseline"/>
        </w:rPr>
        <w:t> </w:t>
      </w:r>
      <w:r>
        <w:rPr>
          <w:vertAlign w:val="baseline"/>
        </w:rPr>
        <w:t>difference</w:t>
      </w:r>
      <w:r>
        <w:rPr>
          <w:spacing w:val="-9"/>
          <w:vertAlign w:val="baseline"/>
        </w:rPr>
        <w:t> </w:t>
      </w:r>
      <w:r>
        <w:rPr>
          <w:vertAlign w:val="baseline"/>
        </w:rPr>
        <w:t>in</w:t>
      </w:r>
      <w:r>
        <w:rPr>
          <w:spacing w:val="-10"/>
          <w:vertAlign w:val="baseline"/>
        </w:rPr>
        <w:t> </w:t>
      </w:r>
      <w:r>
        <w:rPr>
          <w:vertAlign w:val="baseline"/>
        </w:rPr>
        <w:t>difference</w:t>
      </w:r>
      <w:r>
        <w:rPr>
          <w:spacing w:val="-9"/>
          <w:vertAlign w:val="baseline"/>
        </w:rPr>
        <w:t> </w:t>
      </w:r>
      <w:r>
        <w:rPr>
          <w:vertAlign w:val="baseline"/>
        </w:rPr>
        <w:t>estimations</w:t>
      </w:r>
      <w:r>
        <w:rPr>
          <w:spacing w:val="-10"/>
          <w:vertAlign w:val="baseline"/>
        </w:rPr>
        <w:t> </w:t>
      </w:r>
      <w:r>
        <w:rPr>
          <w:vertAlign w:val="baseline"/>
        </w:rPr>
        <w:t>revealed</w:t>
      </w:r>
      <w:r>
        <w:rPr>
          <w:spacing w:val="-11"/>
          <w:vertAlign w:val="baseline"/>
        </w:rPr>
        <w:t> </w:t>
      </w:r>
      <w:r>
        <w:rPr>
          <w:vertAlign w:val="baseline"/>
        </w:rPr>
        <w:t>that</w:t>
      </w:r>
      <w:r>
        <w:rPr>
          <w:spacing w:val="-11"/>
          <w:vertAlign w:val="baseline"/>
        </w:rPr>
        <w:t> </w:t>
      </w:r>
      <w:r>
        <w:rPr>
          <w:vertAlign w:val="baseline"/>
        </w:rPr>
        <w:t>the D-I-D coefficient was negative, suggesting declining value relevance after IFRS adoption although that was not significant at 5% and hence, caution was exercised.</w:t>
      </w:r>
    </w:p>
    <w:p>
      <w:pPr>
        <w:spacing w:after="0" w:line="470" w:lineRule="auto"/>
        <w:jc w:val="both"/>
        <w:sectPr>
          <w:pgSz w:w="11910" w:h="16840"/>
          <w:pgMar w:header="0" w:footer="971" w:top="1360" w:bottom="1160" w:left="500" w:right="0"/>
        </w:sectPr>
      </w:pPr>
    </w:p>
    <w:p>
      <w:pPr>
        <w:pStyle w:val="Heading2"/>
      </w:pPr>
      <w:r>
        <w:rPr/>
        <w:t>CHAPTER</w:t>
      </w:r>
      <w:r>
        <w:rPr>
          <w:spacing w:val="-1"/>
        </w:rPr>
        <w:t> </w:t>
      </w:r>
      <w:r>
        <w:rPr>
          <w:spacing w:val="-4"/>
        </w:rPr>
        <w:t>FIVE</w:t>
      </w:r>
    </w:p>
    <w:p>
      <w:pPr>
        <w:spacing w:before="242"/>
        <w:ind w:left="0" w:right="502" w:firstLine="0"/>
        <w:jc w:val="center"/>
        <w:rPr>
          <w:b/>
          <w:sz w:val="24"/>
        </w:rPr>
      </w:pPr>
      <w:r>
        <w:rPr>
          <w:b/>
          <w:sz w:val="24"/>
        </w:rPr>
        <w:t>TEST</w:t>
      </w:r>
      <w:r>
        <w:rPr>
          <w:b/>
          <w:spacing w:val="-4"/>
          <w:sz w:val="24"/>
        </w:rPr>
        <w:t> </w:t>
      </w:r>
      <w:r>
        <w:rPr>
          <w:b/>
          <w:sz w:val="24"/>
        </w:rPr>
        <w:t>OF</w:t>
      </w:r>
      <w:r>
        <w:rPr>
          <w:b/>
          <w:spacing w:val="-4"/>
          <w:sz w:val="24"/>
        </w:rPr>
        <w:t> </w:t>
      </w:r>
      <w:r>
        <w:rPr>
          <w:b/>
          <w:sz w:val="24"/>
        </w:rPr>
        <w:t>HYPOTHESES</w:t>
      </w:r>
      <w:r>
        <w:rPr>
          <w:b/>
          <w:spacing w:val="-1"/>
          <w:sz w:val="24"/>
        </w:rPr>
        <w:t> </w:t>
      </w:r>
      <w:r>
        <w:rPr>
          <w:b/>
          <w:sz w:val="24"/>
        </w:rPr>
        <w:t>AND</w:t>
      </w:r>
      <w:r>
        <w:rPr>
          <w:b/>
          <w:spacing w:val="-1"/>
          <w:sz w:val="24"/>
        </w:rPr>
        <w:t> </w:t>
      </w:r>
      <w:r>
        <w:rPr>
          <w:b/>
          <w:sz w:val="24"/>
        </w:rPr>
        <w:t>DISCUSSION</w:t>
      </w:r>
      <w:r>
        <w:rPr>
          <w:b/>
          <w:spacing w:val="-4"/>
          <w:sz w:val="24"/>
        </w:rPr>
        <w:t> </w:t>
      </w:r>
      <w:r>
        <w:rPr>
          <w:b/>
          <w:sz w:val="24"/>
        </w:rPr>
        <w:t>OF</w:t>
      </w:r>
      <w:r>
        <w:rPr>
          <w:b/>
          <w:spacing w:val="-1"/>
          <w:sz w:val="24"/>
        </w:rPr>
        <w:t> </w:t>
      </w:r>
      <w:r>
        <w:rPr>
          <w:b/>
          <w:spacing w:val="-2"/>
          <w:sz w:val="24"/>
        </w:rPr>
        <w:t>FINDINGS</w:t>
      </w:r>
    </w:p>
    <w:p>
      <w:pPr>
        <w:pStyle w:val="BodyText"/>
        <w:rPr>
          <w:b/>
        </w:rPr>
      </w:pPr>
    </w:p>
    <w:p>
      <w:pPr>
        <w:pStyle w:val="Heading3"/>
        <w:numPr>
          <w:ilvl w:val="1"/>
          <w:numId w:val="30"/>
        </w:numPr>
        <w:tabs>
          <w:tab w:pos="1360" w:val="left" w:leader="none"/>
        </w:tabs>
        <w:spacing w:line="240" w:lineRule="auto" w:before="0" w:after="0"/>
        <w:ind w:left="1360" w:right="0" w:hanging="420"/>
        <w:jc w:val="left"/>
      </w:pPr>
      <w:bookmarkStart w:name="_TOC_250016" w:id="54"/>
      <w:r>
        <w:rPr/>
        <w:t>Test</w:t>
      </w:r>
      <w:r>
        <w:rPr>
          <w:spacing w:val="-1"/>
        </w:rPr>
        <w:t> </w:t>
      </w:r>
      <w:r>
        <w:rPr/>
        <w:t>of</w:t>
      </w:r>
      <w:bookmarkEnd w:id="54"/>
      <w:r>
        <w:rPr>
          <w:spacing w:val="-2"/>
        </w:rPr>
        <w:t> Hypotheses</w:t>
      </w:r>
    </w:p>
    <w:p>
      <w:pPr>
        <w:pStyle w:val="BodyText"/>
        <w:spacing w:before="199"/>
        <w:rPr>
          <w:b/>
        </w:rPr>
      </w:pPr>
    </w:p>
    <w:p>
      <w:pPr>
        <w:spacing w:line="480" w:lineRule="auto" w:before="0"/>
        <w:ind w:left="1480" w:right="1438" w:hanging="540"/>
        <w:jc w:val="both"/>
        <w:rPr>
          <w:b/>
          <w:sz w:val="24"/>
        </w:rPr>
      </w:pPr>
      <w:r>
        <w:rPr/>
        <w:drawing>
          <wp:anchor distT="0" distB="0" distL="0" distR="0" allowOverlap="1" layoutInCell="1" locked="0" behindDoc="1" simplePos="0" relativeHeight="477753856">
            <wp:simplePos x="0" y="0"/>
            <wp:positionH relativeFrom="page">
              <wp:posOffset>1095451</wp:posOffset>
            </wp:positionH>
            <wp:positionV relativeFrom="paragraph">
              <wp:posOffset>655775</wp:posOffset>
            </wp:positionV>
            <wp:extent cx="5106847" cy="5238115"/>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5" cstate="print"/>
                    <a:stretch>
                      <a:fillRect/>
                    </a:stretch>
                  </pic:blipFill>
                  <pic:spPr>
                    <a:xfrm>
                      <a:off x="0" y="0"/>
                      <a:ext cx="5106847" cy="5238115"/>
                    </a:xfrm>
                    <a:prstGeom prst="rect">
                      <a:avLst/>
                    </a:prstGeom>
                  </pic:spPr>
                </pic:pic>
              </a:graphicData>
            </a:graphic>
          </wp:anchor>
        </w:drawing>
      </w:r>
      <w:r>
        <w:rPr>
          <w:b/>
          <w:position w:val="1"/>
          <w:sz w:val="24"/>
        </w:rPr>
        <w:t>H</w:t>
      </w:r>
      <w:r>
        <w:rPr>
          <w:b/>
          <w:sz w:val="16"/>
        </w:rPr>
        <w:t>01</w:t>
      </w:r>
      <w:r>
        <w:rPr>
          <w:b/>
          <w:position w:val="1"/>
          <w:sz w:val="24"/>
        </w:rPr>
        <w:t>: Post-IFRS regime has no significant impact on the financial reporting quality </w:t>
      </w:r>
      <w:r>
        <w:rPr>
          <w:b/>
          <w:sz w:val="24"/>
        </w:rPr>
        <w:t>measures of firms listed on the Nigerian Stock Exchange (NSE)</w:t>
      </w:r>
    </w:p>
    <w:p>
      <w:pPr>
        <w:pStyle w:val="BodyText"/>
        <w:spacing w:line="480" w:lineRule="auto" w:before="1"/>
        <w:ind w:left="940" w:right="1435"/>
        <w:jc w:val="both"/>
      </w:pPr>
      <w:r>
        <w:rPr/>
        <w:t>The estimation result revealed that for QUA-FRQ, the D-I-D coefficient was positive as expected and significant (0.0550, p=0.000) at 5%. Hence, the adoption of IFRS significantly improved</w:t>
      </w:r>
      <w:r>
        <w:rPr>
          <w:spacing w:val="-2"/>
        </w:rPr>
        <w:t> </w:t>
      </w:r>
      <w:r>
        <w:rPr/>
        <w:t>financial</w:t>
      </w:r>
      <w:r>
        <w:rPr>
          <w:spacing w:val="-2"/>
        </w:rPr>
        <w:t> </w:t>
      </w:r>
      <w:r>
        <w:rPr/>
        <w:t>reporting</w:t>
      </w:r>
      <w:r>
        <w:rPr>
          <w:spacing w:val="-2"/>
        </w:rPr>
        <w:t> </w:t>
      </w:r>
      <w:r>
        <w:rPr/>
        <w:t>quality</w:t>
      </w:r>
      <w:r>
        <w:rPr>
          <w:spacing w:val="-2"/>
        </w:rPr>
        <w:t> </w:t>
      </w:r>
      <w:r>
        <w:rPr/>
        <w:t>and</w:t>
      </w:r>
      <w:r>
        <w:rPr>
          <w:spacing w:val="-2"/>
        </w:rPr>
        <w:t> </w:t>
      </w:r>
      <w:r>
        <w:rPr/>
        <w:t>accounted for</w:t>
      </w:r>
      <w:r>
        <w:rPr>
          <w:spacing w:val="-4"/>
        </w:rPr>
        <w:t> </w:t>
      </w:r>
      <w:r>
        <w:rPr/>
        <w:t>incremental</w:t>
      </w:r>
      <w:r>
        <w:rPr>
          <w:spacing w:val="-2"/>
        </w:rPr>
        <w:t> </w:t>
      </w:r>
      <w:r>
        <w:rPr/>
        <w:t>changes</w:t>
      </w:r>
      <w:r>
        <w:rPr>
          <w:spacing w:val="-2"/>
        </w:rPr>
        <w:t> </w:t>
      </w:r>
      <w:r>
        <w:rPr/>
        <w:t>in QUA-FRQ</w:t>
      </w:r>
      <w:r>
        <w:rPr>
          <w:spacing w:val="-3"/>
        </w:rPr>
        <w:t> </w:t>
      </w:r>
      <w:r>
        <w:rPr/>
        <w:t>for the</w:t>
      </w:r>
      <w:r>
        <w:rPr>
          <w:spacing w:val="-2"/>
        </w:rPr>
        <w:t> </w:t>
      </w:r>
      <w:r>
        <w:rPr/>
        <w:t>firms</w:t>
      </w:r>
      <w:r>
        <w:rPr>
          <w:spacing w:val="-2"/>
        </w:rPr>
        <w:t> </w:t>
      </w:r>
      <w:r>
        <w:rPr/>
        <w:t>in</w:t>
      </w:r>
      <w:r>
        <w:rPr>
          <w:spacing w:val="-2"/>
        </w:rPr>
        <w:t> </w:t>
      </w:r>
      <w:r>
        <w:rPr/>
        <w:t>the</w:t>
      </w:r>
      <w:r>
        <w:rPr>
          <w:spacing w:val="-2"/>
        </w:rPr>
        <w:t> </w:t>
      </w:r>
      <w:r>
        <w:rPr/>
        <w:t>sample, at</w:t>
      </w:r>
      <w:r>
        <w:rPr>
          <w:spacing w:val="-2"/>
        </w:rPr>
        <w:t> </w:t>
      </w:r>
      <w:r>
        <w:rPr/>
        <w:t>least</w:t>
      </w:r>
      <w:r>
        <w:rPr>
          <w:spacing w:val="-2"/>
        </w:rPr>
        <w:t> </w:t>
      </w:r>
      <w:r>
        <w:rPr/>
        <w:t>in</w:t>
      </w:r>
      <w:r>
        <w:rPr>
          <w:spacing w:val="-2"/>
        </w:rPr>
        <w:t> </w:t>
      </w:r>
      <w:r>
        <w:rPr/>
        <w:t>terms</w:t>
      </w:r>
      <w:r>
        <w:rPr>
          <w:spacing w:val="-2"/>
        </w:rPr>
        <w:t> </w:t>
      </w:r>
      <w:r>
        <w:rPr/>
        <w:t>of</w:t>
      </w:r>
      <w:r>
        <w:rPr>
          <w:spacing w:val="-2"/>
        </w:rPr>
        <w:t> </w:t>
      </w:r>
      <w:r>
        <w:rPr/>
        <w:t>the</w:t>
      </w:r>
      <w:r>
        <w:rPr>
          <w:spacing w:val="-3"/>
        </w:rPr>
        <w:t> </w:t>
      </w:r>
      <w:r>
        <w:rPr/>
        <w:t>qualitative</w:t>
      </w:r>
      <w:r>
        <w:rPr>
          <w:spacing w:val="-2"/>
        </w:rPr>
        <w:t> </w:t>
      </w:r>
      <w:r>
        <w:rPr/>
        <w:t>characteristics.</w:t>
      </w:r>
      <w:r>
        <w:rPr>
          <w:spacing w:val="-1"/>
        </w:rPr>
        <w:t> </w:t>
      </w:r>
      <w:r>
        <w:rPr/>
        <w:t>For</w:t>
      </w:r>
      <w:r>
        <w:rPr>
          <w:spacing w:val="-2"/>
        </w:rPr>
        <w:t> </w:t>
      </w:r>
      <w:r>
        <w:rPr/>
        <w:t>DACC,</w:t>
      </w:r>
      <w:r>
        <w:rPr>
          <w:spacing w:val="-2"/>
        </w:rPr>
        <w:t> </w:t>
      </w:r>
      <w:r>
        <w:rPr/>
        <w:t>the</w:t>
      </w:r>
      <w:r>
        <w:rPr>
          <w:spacing w:val="-2"/>
        </w:rPr>
        <w:t> </w:t>
      </w:r>
      <w:r>
        <w:rPr/>
        <w:t>D-I- D coefficient was positively at variance with theoretical expectation and significant (0.3509, p=0.000)</w:t>
      </w:r>
      <w:r>
        <w:rPr>
          <w:spacing w:val="-14"/>
        </w:rPr>
        <w:t> </w:t>
      </w:r>
      <w:r>
        <w:rPr/>
        <w:t>at</w:t>
      </w:r>
      <w:r>
        <w:rPr>
          <w:spacing w:val="-14"/>
        </w:rPr>
        <w:t> </w:t>
      </w:r>
      <w:r>
        <w:rPr/>
        <w:t>5%.</w:t>
      </w:r>
      <w:r>
        <w:rPr>
          <w:spacing w:val="-14"/>
        </w:rPr>
        <w:t> </w:t>
      </w:r>
      <w:r>
        <w:rPr/>
        <w:t>Hence,</w:t>
      </w:r>
      <w:r>
        <w:rPr>
          <w:spacing w:val="-13"/>
        </w:rPr>
        <w:t> </w:t>
      </w:r>
      <w:r>
        <w:rPr/>
        <w:t>the</w:t>
      </w:r>
      <w:r>
        <w:rPr>
          <w:spacing w:val="-14"/>
        </w:rPr>
        <w:t> </w:t>
      </w:r>
      <w:r>
        <w:rPr/>
        <w:t>adoption</w:t>
      </w:r>
      <w:r>
        <w:rPr>
          <w:spacing w:val="-14"/>
        </w:rPr>
        <w:t> </w:t>
      </w:r>
      <w:r>
        <w:rPr/>
        <w:t>of</w:t>
      </w:r>
      <w:r>
        <w:rPr>
          <w:spacing w:val="-14"/>
        </w:rPr>
        <w:t> </w:t>
      </w:r>
      <w:r>
        <w:rPr/>
        <w:t>IFRS</w:t>
      </w:r>
      <w:r>
        <w:rPr>
          <w:spacing w:val="-13"/>
        </w:rPr>
        <w:t> </w:t>
      </w:r>
      <w:r>
        <w:rPr/>
        <w:t>significantly</w:t>
      </w:r>
      <w:r>
        <w:rPr>
          <w:spacing w:val="-14"/>
        </w:rPr>
        <w:t> </w:t>
      </w:r>
      <w:r>
        <w:rPr/>
        <w:t>increased</w:t>
      </w:r>
      <w:r>
        <w:rPr>
          <w:spacing w:val="-14"/>
        </w:rPr>
        <w:t> </w:t>
      </w:r>
      <w:r>
        <w:rPr/>
        <w:t>discretionary</w:t>
      </w:r>
      <w:r>
        <w:rPr>
          <w:spacing w:val="-14"/>
        </w:rPr>
        <w:t> </w:t>
      </w:r>
      <w:r>
        <w:rPr/>
        <w:t>accruals</w:t>
      </w:r>
      <w:r>
        <w:rPr>
          <w:spacing w:val="-13"/>
        </w:rPr>
        <w:t> </w:t>
      </w:r>
      <w:r>
        <w:rPr/>
        <w:t>and reduced financial reporting quality in relation to accruals. For VREL, the D-I-D coefficient though</w:t>
      </w:r>
      <w:r>
        <w:rPr>
          <w:spacing w:val="-2"/>
        </w:rPr>
        <w:t> </w:t>
      </w:r>
      <w:r>
        <w:rPr/>
        <w:t>positive</w:t>
      </w:r>
      <w:r>
        <w:rPr>
          <w:spacing w:val="-3"/>
        </w:rPr>
        <w:t> </w:t>
      </w:r>
      <w:r>
        <w:rPr/>
        <w:t>as</w:t>
      </w:r>
      <w:r>
        <w:rPr>
          <w:spacing w:val="-2"/>
        </w:rPr>
        <w:t> </w:t>
      </w:r>
      <w:r>
        <w:rPr/>
        <w:t>expected,</w:t>
      </w:r>
      <w:r>
        <w:rPr>
          <w:spacing w:val="-1"/>
        </w:rPr>
        <w:t> </w:t>
      </w:r>
      <w:r>
        <w:rPr/>
        <w:t>it</w:t>
      </w:r>
      <w:r>
        <w:rPr>
          <w:spacing w:val="-2"/>
        </w:rPr>
        <w:t> </w:t>
      </w:r>
      <w:r>
        <w:rPr/>
        <w:t>was</w:t>
      </w:r>
      <w:r>
        <w:rPr>
          <w:spacing w:val="-1"/>
        </w:rPr>
        <w:t> </w:t>
      </w:r>
      <w:r>
        <w:rPr/>
        <w:t>not</w:t>
      </w:r>
      <w:r>
        <w:rPr>
          <w:spacing w:val="-2"/>
        </w:rPr>
        <w:t> </w:t>
      </w:r>
      <w:r>
        <w:rPr/>
        <w:t>significant</w:t>
      </w:r>
      <w:r>
        <w:rPr>
          <w:spacing w:val="-2"/>
        </w:rPr>
        <w:t> </w:t>
      </w:r>
      <w:r>
        <w:rPr/>
        <w:t>(8.5416,</w:t>
      </w:r>
      <w:r>
        <w:rPr>
          <w:spacing w:val="-2"/>
        </w:rPr>
        <w:t> </w:t>
      </w:r>
      <w:r>
        <w:rPr/>
        <w:t>p=0.3407)</w:t>
      </w:r>
      <w:r>
        <w:rPr>
          <w:spacing w:val="-3"/>
        </w:rPr>
        <w:t> </w:t>
      </w:r>
      <w:r>
        <w:rPr/>
        <w:t>at</w:t>
      </w:r>
      <w:r>
        <w:rPr>
          <w:spacing w:val="-2"/>
        </w:rPr>
        <w:t> </w:t>
      </w:r>
      <w:r>
        <w:rPr/>
        <w:t>5%.</w:t>
      </w:r>
      <w:r>
        <w:rPr>
          <w:spacing w:val="-2"/>
        </w:rPr>
        <w:t> </w:t>
      </w:r>
      <w:r>
        <w:rPr/>
        <w:t>Hence, although the adoption of IFRS had a positive effect on changes in value relevance in the pre and post periods, the effect was weak and far from being significant. In conclusion, based on the three measures</w:t>
      </w:r>
      <w:r>
        <w:rPr>
          <w:spacing w:val="-10"/>
        </w:rPr>
        <w:t> </w:t>
      </w:r>
      <w:r>
        <w:rPr/>
        <w:t>of</w:t>
      </w:r>
      <w:r>
        <w:rPr>
          <w:spacing w:val="-9"/>
        </w:rPr>
        <w:t> </w:t>
      </w:r>
      <w:r>
        <w:rPr/>
        <w:t>financial</w:t>
      </w:r>
      <w:r>
        <w:rPr>
          <w:spacing w:val="-10"/>
        </w:rPr>
        <w:t> </w:t>
      </w:r>
      <w:r>
        <w:rPr/>
        <w:t>reporting</w:t>
      </w:r>
      <w:r>
        <w:rPr>
          <w:spacing w:val="-10"/>
        </w:rPr>
        <w:t> </w:t>
      </w:r>
      <w:r>
        <w:rPr/>
        <w:t>used</w:t>
      </w:r>
      <w:r>
        <w:rPr>
          <w:spacing w:val="-10"/>
        </w:rPr>
        <w:t> </w:t>
      </w:r>
      <w:r>
        <w:rPr/>
        <w:t>in</w:t>
      </w:r>
      <w:r>
        <w:rPr>
          <w:spacing w:val="-10"/>
        </w:rPr>
        <w:t> </w:t>
      </w:r>
      <w:r>
        <w:rPr/>
        <w:t>this</w:t>
      </w:r>
      <w:r>
        <w:rPr>
          <w:spacing w:val="-10"/>
        </w:rPr>
        <w:t> </w:t>
      </w:r>
      <w:r>
        <w:rPr/>
        <w:t>study,</w:t>
      </w:r>
      <w:r>
        <w:rPr>
          <w:spacing w:val="-10"/>
        </w:rPr>
        <w:t> </w:t>
      </w:r>
      <w:r>
        <w:rPr/>
        <w:t>the</w:t>
      </w:r>
      <w:r>
        <w:rPr>
          <w:spacing w:val="-10"/>
        </w:rPr>
        <w:t> </w:t>
      </w:r>
      <w:r>
        <w:rPr/>
        <w:t>DD</w:t>
      </w:r>
      <w:r>
        <w:rPr>
          <w:spacing w:val="-9"/>
        </w:rPr>
        <w:t> </w:t>
      </w:r>
      <w:r>
        <w:rPr/>
        <w:t>was</w:t>
      </w:r>
      <w:r>
        <w:rPr>
          <w:spacing w:val="-8"/>
        </w:rPr>
        <w:t> </w:t>
      </w:r>
      <w:r>
        <w:rPr/>
        <w:t>found</w:t>
      </w:r>
      <w:r>
        <w:rPr>
          <w:spacing w:val="-10"/>
        </w:rPr>
        <w:t> </w:t>
      </w:r>
      <w:r>
        <w:rPr/>
        <w:t>to</w:t>
      </w:r>
      <w:r>
        <w:rPr>
          <w:spacing w:val="-10"/>
        </w:rPr>
        <w:t> </w:t>
      </w:r>
      <w:r>
        <w:rPr/>
        <w:t>conform</w:t>
      </w:r>
      <w:r>
        <w:rPr>
          <w:spacing w:val="-10"/>
        </w:rPr>
        <w:t> </w:t>
      </w:r>
      <w:r>
        <w:rPr/>
        <w:t>to</w:t>
      </w:r>
      <w:r>
        <w:rPr>
          <w:spacing w:val="-10"/>
        </w:rPr>
        <w:t> </w:t>
      </w:r>
      <w:r>
        <w:rPr/>
        <w:t>expectation </w:t>
      </w:r>
      <w:r>
        <w:rPr>
          <w:position w:val="2"/>
        </w:rPr>
        <w:t>for</w:t>
      </w:r>
      <w:r>
        <w:rPr>
          <w:spacing w:val="-11"/>
          <w:position w:val="2"/>
        </w:rPr>
        <w:t> </w:t>
      </w:r>
      <w:r>
        <w:rPr>
          <w:position w:val="2"/>
        </w:rPr>
        <w:t>at</w:t>
      </w:r>
      <w:r>
        <w:rPr>
          <w:spacing w:val="-7"/>
          <w:position w:val="2"/>
        </w:rPr>
        <w:t> </w:t>
      </w:r>
      <w:r>
        <w:rPr>
          <w:position w:val="2"/>
        </w:rPr>
        <w:t>least</w:t>
      </w:r>
      <w:r>
        <w:rPr>
          <w:spacing w:val="-9"/>
          <w:position w:val="2"/>
        </w:rPr>
        <w:t> </w:t>
      </w:r>
      <w:r>
        <w:rPr>
          <w:position w:val="2"/>
        </w:rPr>
        <w:t>one</w:t>
      </w:r>
      <w:r>
        <w:rPr>
          <w:spacing w:val="-11"/>
          <w:position w:val="2"/>
        </w:rPr>
        <w:t> </w:t>
      </w:r>
      <w:r>
        <w:rPr>
          <w:position w:val="2"/>
        </w:rPr>
        <w:t>measure;</w:t>
      </w:r>
      <w:r>
        <w:rPr>
          <w:spacing w:val="-7"/>
          <w:position w:val="2"/>
        </w:rPr>
        <w:t> </w:t>
      </w:r>
      <w:r>
        <w:rPr>
          <w:position w:val="2"/>
        </w:rPr>
        <w:t>QUA-FRQ</w:t>
      </w:r>
      <w:r>
        <w:rPr>
          <w:spacing w:val="-10"/>
          <w:position w:val="2"/>
        </w:rPr>
        <w:t> </w:t>
      </w:r>
      <w:r>
        <w:rPr>
          <w:position w:val="2"/>
        </w:rPr>
        <w:t>and</w:t>
      </w:r>
      <w:r>
        <w:rPr>
          <w:spacing w:val="-8"/>
          <w:position w:val="2"/>
        </w:rPr>
        <w:t> </w:t>
      </w:r>
      <w:r>
        <w:rPr>
          <w:position w:val="2"/>
        </w:rPr>
        <w:t>hence,</w:t>
      </w:r>
      <w:r>
        <w:rPr>
          <w:spacing w:val="-7"/>
          <w:position w:val="2"/>
        </w:rPr>
        <w:t> </w:t>
      </w:r>
      <w:r>
        <w:rPr>
          <w:position w:val="2"/>
        </w:rPr>
        <w:t>the</w:t>
      </w:r>
      <w:r>
        <w:rPr>
          <w:spacing w:val="-10"/>
          <w:position w:val="2"/>
        </w:rPr>
        <w:t> </w:t>
      </w:r>
      <w:r>
        <w:rPr>
          <w:position w:val="2"/>
        </w:rPr>
        <w:t>null</w:t>
      </w:r>
      <w:r>
        <w:rPr>
          <w:spacing w:val="-9"/>
          <w:position w:val="2"/>
        </w:rPr>
        <w:t> </w:t>
      </w:r>
      <w:r>
        <w:rPr>
          <w:position w:val="2"/>
        </w:rPr>
        <w:t>hypothesis</w:t>
      </w:r>
      <w:r>
        <w:rPr>
          <w:spacing w:val="-9"/>
          <w:position w:val="2"/>
        </w:rPr>
        <w:t> </w:t>
      </w:r>
      <w:r>
        <w:rPr>
          <w:position w:val="2"/>
        </w:rPr>
        <w:t>that</w:t>
      </w:r>
      <w:r>
        <w:rPr>
          <w:spacing w:val="-6"/>
          <w:position w:val="2"/>
        </w:rPr>
        <w:t> </w:t>
      </w:r>
      <w:r>
        <w:rPr>
          <w:i/>
          <w:position w:val="2"/>
        </w:rPr>
        <w:t>H</w:t>
      </w:r>
      <w:r>
        <w:rPr>
          <w:i/>
          <w:sz w:val="16"/>
        </w:rPr>
        <w:t>01</w:t>
      </w:r>
      <w:r>
        <w:rPr>
          <w:i/>
          <w:position w:val="2"/>
        </w:rPr>
        <w:t>:</w:t>
      </w:r>
      <w:r>
        <w:rPr>
          <w:i/>
          <w:spacing w:val="-10"/>
          <w:position w:val="2"/>
        </w:rPr>
        <w:t> </w:t>
      </w:r>
      <w:r>
        <w:rPr>
          <w:i/>
          <w:position w:val="2"/>
        </w:rPr>
        <w:t>Post-IFRS</w:t>
      </w:r>
      <w:r>
        <w:rPr>
          <w:i/>
          <w:spacing w:val="-8"/>
          <w:position w:val="2"/>
        </w:rPr>
        <w:t> </w:t>
      </w:r>
      <w:r>
        <w:rPr>
          <w:i/>
          <w:position w:val="2"/>
        </w:rPr>
        <w:t>regime </w:t>
      </w:r>
      <w:r>
        <w:rPr>
          <w:i/>
        </w:rPr>
        <w:t>has no significant impact on the financial reporting quality measures of firms listed on the Nigerian Stock Exchange (NSE) </w:t>
      </w:r>
      <w:r>
        <w:rPr/>
        <w:t>was rejected.</w:t>
      </w:r>
    </w:p>
    <w:p>
      <w:pPr>
        <w:pStyle w:val="Heading3"/>
        <w:spacing w:line="480" w:lineRule="auto"/>
        <w:ind w:left="1480" w:right="1434" w:hanging="540"/>
      </w:pPr>
      <w:r>
        <w:rPr>
          <w:position w:val="1"/>
        </w:rPr>
        <w:t>H</w:t>
      </w:r>
      <w:r>
        <w:rPr>
          <w:sz w:val="16"/>
        </w:rPr>
        <w:t>02</w:t>
      </w:r>
      <w:r>
        <w:rPr>
          <w:position w:val="1"/>
        </w:rPr>
        <w:t>:</w:t>
      </w:r>
      <w:r>
        <w:rPr>
          <w:spacing w:val="-2"/>
          <w:position w:val="1"/>
        </w:rPr>
        <w:t> </w:t>
      </w:r>
      <w:r>
        <w:rPr>
          <w:position w:val="1"/>
        </w:rPr>
        <w:t>Board</w:t>
      </w:r>
      <w:r>
        <w:rPr>
          <w:spacing w:val="-1"/>
          <w:position w:val="1"/>
        </w:rPr>
        <w:t> </w:t>
      </w:r>
      <w:r>
        <w:rPr>
          <w:position w:val="1"/>
        </w:rPr>
        <w:t>size</w:t>
      </w:r>
      <w:r>
        <w:rPr>
          <w:spacing w:val="-3"/>
          <w:position w:val="1"/>
        </w:rPr>
        <w:t> </w:t>
      </w:r>
      <w:r>
        <w:rPr>
          <w:position w:val="1"/>
        </w:rPr>
        <w:t>has</w:t>
      </w:r>
      <w:r>
        <w:rPr>
          <w:spacing w:val="-3"/>
          <w:position w:val="1"/>
        </w:rPr>
        <w:t> </w:t>
      </w:r>
      <w:r>
        <w:rPr>
          <w:position w:val="1"/>
        </w:rPr>
        <w:t>no</w:t>
      </w:r>
      <w:r>
        <w:rPr>
          <w:spacing w:val="-1"/>
          <w:position w:val="1"/>
        </w:rPr>
        <w:t> </w:t>
      </w:r>
      <w:r>
        <w:rPr>
          <w:position w:val="1"/>
        </w:rPr>
        <w:t>significant</w:t>
      </w:r>
      <w:r>
        <w:rPr>
          <w:spacing w:val="-2"/>
          <w:position w:val="1"/>
        </w:rPr>
        <w:t> </w:t>
      </w:r>
      <w:r>
        <w:rPr>
          <w:position w:val="1"/>
        </w:rPr>
        <w:t>impact</w:t>
      </w:r>
      <w:r>
        <w:rPr>
          <w:spacing w:val="-2"/>
          <w:position w:val="1"/>
        </w:rPr>
        <w:t> </w:t>
      </w:r>
      <w:r>
        <w:rPr>
          <w:position w:val="1"/>
        </w:rPr>
        <w:t>on the</w:t>
      </w:r>
      <w:r>
        <w:rPr>
          <w:spacing w:val="-4"/>
          <w:position w:val="1"/>
        </w:rPr>
        <w:t> </w:t>
      </w:r>
      <w:r>
        <w:rPr>
          <w:position w:val="1"/>
        </w:rPr>
        <w:t>reporting</w:t>
      </w:r>
      <w:r>
        <w:rPr>
          <w:spacing w:val="-1"/>
          <w:position w:val="1"/>
        </w:rPr>
        <w:t> </w:t>
      </w:r>
      <w:r>
        <w:rPr>
          <w:position w:val="1"/>
        </w:rPr>
        <w:t>quality</w:t>
      </w:r>
      <w:r>
        <w:rPr>
          <w:spacing w:val="-2"/>
          <w:position w:val="1"/>
        </w:rPr>
        <w:t> </w:t>
      </w:r>
      <w:r>
        <w:rPr>
          <w:position w:val="1"/>
        </w:rPr>
        <w:t>of</w:t>
      </w:r>
      <w:r>
        <w:rPr>
          <w:spacing w:val="-2"/>
          <w:position w:val="1"/>
        </w:rPr>
        <w:t> </w:t>
      </w:r>
      <w:r>
        <w:rPr>
          <w:position w:val="1"/>
        </w:rPr>
        <w:t>listed</w:t>
      </w:r>
      <w:r>
        <w:rPr>
          <w:spacing w:val="-1"/>
          <w:position w:val="1"/>
        </w:rPr>
        <w:t> </w:t>
      </w:r>
      <w:r>
        <w:rPr>
          <w:position w:val="1"/>
        </w:rPr>
        <w:t>companies on </w:t>
      </w:r>
      <w:r>
        <w:rPr/>
        <w:t>the Nigerian Stock Exchange (NSE) in a post-IFRS regime.</w:t>
      </w:r>
    </w:p>
    <w:p>
      <w:pPr>
        <w:pStyle w:val="BodyText"/>
        <w:spacing w:line="480" w:lineRule="auto"/>
        <w:ind w:left="940" w:right="1436"/>
        <w:jc w:val="both"/>
      </w:pPr>
      <w:r>
        <w:rPr/>
        <w:t>The</w:t>
      </w:r>
      <w:r>
        <w:rPr>
          <w:spacing w:val="-14"/>
        </w:rPr>
        <w:t> </w:t>
      </w:r>
      <w:r>
        <w:rPr/>
        <w:t>estimations</w:t>
      </w:r>
      <w:r>
        <w:rPr>
          <w:spacing w:val="-13"/>
        </w:rPr>
        <w:t> </w:t>
      </w:r>
      <w:r>
        <w:rPr/>
        <w:t>revealed</w:t>
      </w:r>
      <w:r>
        <w:rPr>
          <w:spacing w:val="-13"/>
        </w:rPr>
        <w:t> </w:t>
      </w:r>
      <w:r>
        <w:rPr/>
        <w:t>that</w:t>
      </w:r>
      <w:r>
        <w:rPr>
          <w:spacing w:val="-13"/>
        </w:rPr>
        <w:t> </w:t>
      </w:r>
      <w:r>
        <w:rPr/>
        <w:t>BDS</w:t>
      </w:r>
      <w:r>
        <w:rPr>
          <w:spacing w:val="-13"/>
        </w:rPr>
        <w:t> </w:t>
      </w:r>
      <w:r>
        <w:rPr/>
        <w:t>had</w:t>
      </w:r>
      <w:r>
        <w:rPr>
          <w:spacing w:val="-13"/>
        </w:rPr>
        <w:t> </w:t>
      </w:r>
      <w:r>
        <w:rPr/>
        <w:t>a</w:t>
      </w:r>
      <w:r>
        <w:rPr>
          <w:spacing w:val="-14"/>
        </w:rPr>
        <w:t> </w:t>
      </w:r>
      <w:r>
        <w:rPr/>
        <w:t>negative</w:t>
      </w:r>
      <w:r>
        <w:rPr>
          <w:spacing w:val="-14"/>
        </w:rPr>
        <w:t> </w:t>
      </w:r>
      <w:r>
        <w:rPr/>
        <w:t>effect</w:t>
      </w:r>
      <w:r>
        <w:rPr>
          <w:spacing w:val="-13"/>
        </w:rPr>
        <w:t> </w:t>
      </w:r>
      <w:r>
        <w:rPr/>
        <w:t>on</w:t>
      </w:r>
      <w:r>
        <w:rPr>
          <w:spacing w:val="-13"/>
        </w:rPr>
        <w:t> </w:t>
      </w:r>
      <w:r>
        <w:rPr/>
        <w:t>QUA-FRQ</w:t>
      </w:r>
      <w:r>
        <w:rPr>
          <w:spacing w:val="-13"/>
        </w:rPr>
        <w:t> </w:t>
      </w:r>
      <w:r>
        <w:rPr/>
        <w:t>although</w:t>
      </w:r>
      <w:r>
        <w:rPr>
          <w:spacing w:val="-13"/>
        </w:rPr>
        <w:t> </w:t>
      </w:r>
      <w:r>
        <w:rPr/>
        <w:t>not</w:t>
      </w:r>
      <w:r>
        <w:rPr>
          <w:spacing w:val="-13"/>
        </w:rPr>
        <w:t> </w:t>
      </w:r>
      <w:r>
        <w:rPr/>
        <w:t>significant at 5% (-0.0009, p=0.5163) and the interaction Post-IFRS*BDS testing the presence of incremental IFRS adoption effect also did not show that board size had a significant incremental</w:t>
      </w:r>
      <w:r>
        <w:rPr>
          <w:spacing w:val="-17"/>
        </w:rPr>
        <w:t> </w:t>
      </w:r>
      <w:r>
        <w:rPr/>
        <w:t>effect</w:t>
      </w:r>
      <w:r>
        <w:rPr>
          <w:spacing w:val="-14"/>
        </w:rPr>
        <w:t> </w:t>
      </w:r>
      <w:r>
        <w:rPr/>
        <w:t>on</w:t>
      </w:r>
      <w:r>
        <w:rPr>
          <w:spacing w:val="-14"/>
        </w:rPr>
        <w:t> </w:t>
      </w:r>
      <w:r>
        <w:rPr/>
        <w:t>QUA-FRQ</w:t>
      </w:r>
      <w:r>
        <w:rPr>
          <w:spacing w:val="-15"/>
        </w:rPr>
        <w:t> </w:t>
      </w:r>
      <w:r>
        <w:rPr/>
        <w:t>resulting</w:t>
      </w:r>
      <w:r>
        <w:rPr>
          <w:spacing w:val="-14"/>
        </w:rPr>
        <w:t> </w:t>
      </w:r>
      <w:r>
        <w:rPr/>
        <w:t>from</w:t>
      </w:r>
      <w:r>
        <w:rPr>
          <w:spacing w:val="-12"/>
        </w:rPr>
        <w:t> </w:t>
      </w:r>
      <w:r>
        <w:rPr/>
        <w:t>IFRS</w:t>
      </w:r>
      <w:r>
        <w:rPr>
          <w:spacing w:val="-14"/>
        </w:rPr>
        <w:t> </w:t>
      </w:r>
      <w:r>
        <w:rPr/>
        <w:t>adoption</w:t>
      </w:r>
      <w:r>
        <w:rPr>
          <w:spacing w:val="-14"/>
        </w:rPr>
        <w:t> </w:t>
      </w:r>
      <w:r>
        <w:rPr/>
        <w:t>(-0.00115,</w:t>
      </w:r>
      <w:r>
        <w:rPr>
          <w:spacing w:val="-14"/>
        </w:rPr>
        <w:t> </w:t>
      </w:r>
      <w:r>
        <w:rPr/>
        <w:t>p=0.5851).</w:t>
      </w:r>
      <w:r>
        <w:rPr>
          <w:spacing w:val="-14"/>
        </w:rPr>
        <w:t> </w:t>
      </w:r>
      <w:r>
        <w:rPr/>
        <w:t>BDS</w:t>
      </w:r>
      <w:r>
        <w:rPr>
          <w:spacing w:val="-14"/>
        </w:rPr>
        <w:t> </w:t>
      </w:r>
      <w:r>
        <w:rPr>
          <w:spacing w:val="-5"/>
        </w:rPr>
        <w:t>had</w:t>
      </w:r>
    </w:p>
    <w:p>
      <w:pPr>
        <w:spacing w:after="0" w:line="480" w:lineRule="auto"/>
        <w:jc w:val="both"/>
        <w:sectPr>
          <w:pgSz w:w="11910" w:h="16840"/>
          <w:pgMar w:header="0" w:footer="971" w:top="1360" w:bottom="1160" w:left="500" w:right="0"/>
        </w:sectPr>
      </w:pPr>
    </w:p>
    <w:p>
      <w:pPr>
        <w:pStyle w:val="BodyText"/>
        <w:spacing w:line="480" w:lineRule="auto" w:before="61"/>
        <w:ind w:left="940" w:right="1432"/>
        <w:jc w:val="both"/>
      </w:pPr>
      <w:r>
        <w:rPr/>
        <w:drawing>
          <wp:anchor distT="0" distB="0" distL="0" distR="0" allowOverlap="1" layoutInCell="1" locked="0" behindDoc="1" simplePos="0" relativeHeight="477754368">
            <wp:simplePos x="0" y="0"/>
            <wp:positionH relativeFrom="page">
              <wp:posOffset>1095451</wp:posOffset>
            </wp:positionH>
            <wp:positionV relativeFrom="paragraph">
              <wp:posOffset>1850770</wp:posOffset>
            </wp:positionV>
            <wp:extent cx="5106847" cy="5238115"/>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 cstate="print"/>
                    <a:stretch>
                      <a:fillRect/>
                    </a:stretch>
                  </pic:blipFill>
                  <pic:spPr>
                    <a:xfrm>
                      <a:off x="0" y="0"/>
                      <a:ext cx="5106847" cy="5238115"/>
                    </a:xfrm>
                    <a:prstGeom prst="rect">
                      <a:avLst/>
                    </a:prstGeom>
                  </pic:spPr>
                </pic:pic>
              </a:graphicData>
            </a:graphic>
          </wp:anchor>
        </w:drawing>
      </w:r>
      <w:r>
        <w:rPr/>
        <w:t>a negative effect on DISACC although not significant at 5% (-0.0283, p=0.1130) and the interaction Post-IFRS*BDS testing the presence of incremental IFRS adoption effect also did not</w:t>
      </w:r>
      <w:r>
        <w:rPr>
          <w:spacing w:val="-2"/>
        </w:rPr>
        <w:t> </w:t>
      </w:r>
      <w:r>
        <w:rPr/>
        <w:t>show</w:t>
      </w:r>
      <w:r>
        <w:rPr>
          <w:spacing w:val="-2"/>
        </w:rPr>
        <w:t> </w:t>
      </w:r>
      <w:r>
        <w:rPr/>
        <w:t>that</w:t>
      </w:r>
      <w:r>
        <w:rPr>
          <w:spacing w:val="-2"/>
        </w:rPr>
        <w:t> </w:t>
      </w:r>
      <w:r>
        <w:rPr/>
        <w:t>board</w:t>
      </w:r>
      <w:r>
        <w:rPr>
          <w:spacing w:val="-2"/>
        </w:rPr>
        <w:t> </w:t>
      </w:r>
      <w:r>
        <w:rPr/>
        <w:t>size</w:t>
      </w:r>
      <w:r>
        <w:rPr>
          <w:spacing w:val="-1"/>
        </w:rPr>
        <w:t> </w:t>
      </w:r>
      <w:r>
        <w:rPr/>
        <w:t>had</w:t>
      </w:r>
      <w:r>
        <w:rPr>
          <w:spacing w:val="-2"/>
        </w:rPr>
        <w:t> </w:t>
      </w:r>
      <w:r>
        <w:rPr/>
        <w:t>a</w:t>
      </w:r>
      <w:r>
        <w:rPr>
          <w:spacing w:val="-1"/>
        </w:rPr>
        <w:t> </w:t>
      </w:r>
      <w:r>
        <w:rPr/>
        <w:t>significant</w:t>
      </w:r>
      <w:r>
        <w:rPr>
          <w:spacing w:val="-2"/>
        </w:rPr>
        <w:t> </w:t>
      </w:r>
      <w:r>
        <w:rPr/>
        <w:t>incremental</w:t>
      </w:r>
      <w:r>
        <w:rPr>
          <w:spacing w:val="-2"/>
        </w:rPr>
        <w:t> </w:t>
      </w:r>
      <w:r>
        <w:rPr/>
        <w:t>effect</w:t>
      </w:r>
      <w:r>
        <w:rPr>
          <w:spacing w:val="-2"/>
        </w:rPr>
        <w:t> </w:t>
      </w:r>
      <w:r>
        <w:rPr/>
        <w:t>on DISACC</w:t>
      </w:r>
      <w:r>
        <w:rPr>
          <w:spacing w:val="-2"/>
        </w:rPr>
        <w:t> </w:t>
      </w:r>
      <w:r>
        <w:rPr/>
        <w:t>resulting</w:t>
      </w:r>
      <w:r>
        <w:rPr>
          <w:spacing w:val="-2"/>
        </w:rPr>
        <w:t> </w:t>
      </w:r>
      <w:r>
        <w:rPr/>
        <w:t>from IFRS adoption (-0.006, p=0.7260). BDS had a positive effect on VREL although not significant at 5% (0.3607, p=0.1273) and the interaction Post-IFRS*BDS, testing the presence of incremental IFRS adoption effect also did not show that board size had a significant incremental</w:t>
      </w:r>
      <w:r>
        <w:rPr>
          <w:spacing w:val="-8"/>
        </w:rPr>
        <w:t> </w:t>
      </w:r>
      <w:r>
        <w:rPr/>
        <w:t>effect</w:t>
      </w:r>
      <w:r>
        <w:rPr>
          <w:spacing w:val="-9"/>
        </w:rPr>
        <w:t> </w:t>
      </w:r>
      <w:r>
        <w:rPr/>
        <w:t>on</w:t>
      </w:r>
      <w:r>
        <w:rPr>
          <w:spacing w:val="-8"/>
        </w:rPr>
        <w:t> </w:t>
      </w:r>
      <w:r>
        <w:rPr/>
        <w:t>VREL</w:t>
      </w:r>
      <w:r>
        <w:rPr>
          <w:spacing w:val="-10"/>
        </w:rPr>
        <w:t> </w:t>
      </w:r>
      <w:r>
        <w:rPr/>
        <w:t>resulting</w:t>
      </w:r>
      <w:r>
        <w:rPr>
          <w:spacing w:val="-9"/>
        </w:rPr>
        <w:t> </w:t>
      </w:r>
      <w:r>
        <w:rPr/>
        <w:t>from</w:t>
      </w:r>
      <w:r>
        <w:rPr>
          <w:spacing w:val="-8"/>
        </w:rPr>
        <w:t> </w:t>
      </w:r>
      <w:r>
        <w:rPr/>
        <w:t>IFRS</w:t>
      </w:r>
      <w:r>
        <w:rPr>
          <w:spacing w:val="-9"/>
        </w:rPr>
        <w:t> </w:t>
      </w:r>
      <w:r>
        <w:rPr/>
        <w:t>adoption</w:t>
      </w:r>
      <w:r>
        <w:rPr>
          <w:spacing w:val="-10"/>
        </w:rPr>
        <w:t> </w:t>
      </w:r>
      <w:r>
        <w:rPr/>
        <w:t>(-0.4814,</w:t>
      </w:r>
      <w:r>
        <w:rPr>
          <w:spacing w:val="-10"/>
        </w:rPr>
        <w:t> </w:t>
      </w:r>
      <w:r>
        <w:rPr/>
        <w:t>p=0.7260).</w:t>
      </w:r>
      <w:r>
        <w:rPr>
          <w:spacing w:val="-8"/>
        </w:rPr>
        <w:t> </w:t>
      </w:r>
      <w:r>
        <w:rPr/>
        <w:t>In</w:t>
      </w:r>
      <w:r>
        <w:rPr>
          <w:spacing w:val="-8"/>
        </w:rPr>
        <w:t> </w:t>
      </w:r>
      <w:r>
        <w:rPr/>
        <w:t>conclusion, based on the three measures of financial reporting used in this study, board size was found to </w:t>
      </w:r>
      <w:r>
        <w:rPr>
          <w:position w:val="2"/>
        </w:rPr>
        <w:t>have</w:t>
      </w:r>
      <w:r>
        <w:rPr>
          <w:spacing w:val="-14"/>
          <w:position w:val="2"/>
        </w:rPr>
        <w:t> </w:t>
      </w:r>
      <w:r>
        <w:rPr>
          <w:position w:val="2"/>
        </w:rPr>
        <w:t>an</w:t>
      </w:r>
      <w:r>
        <w:rPr>
          <w:spacing w:val="-13"/>
          <w:position w:val="2"/>
        </w:rPr>
        <w:t> </w:t>
      </w:r>
      <w:r>
        <w:rPr>
          <w:position w:val="2"/>
        </w:rPr>
        <w:t>insignificant</w:t>
      </w:r>
      <w:r>
        <w:rPr>
          <w:spacing w:val="-13"/>
          <w:position w:val="2"/>
        </w:rPr>
        <w:t> </w:t>
      </w:r>
      <w:r>
        <w:rPr>
          <w:position w:val="2"/>
        </w:rPr>
        <w:t>effect</w:t>
      </w:r>
      <w:r>
        <w:rPr>
          <w:spacing w:val="-13"/>
          <w:position w:val="2"/>
        </w:rPr>
        <w:t> </w:t>
      </w:r>
      <w:r>
        <w:rPr>
          <w:position w:val="2"/>
        </w:rPr>
        <w:t>across</w:t>
      </w:r>
      <w:r>
        <w:rPr>
          <w:spacing w:val="-13"/>
          <w:position w:val="2"/>
        </w:rPr>
        <w:t> </w:t>
      </w:r>
      <w:r>
        <w:rPr>
          <w:position w:val="2"/>
        </w:rPr>
        <w:t>all</w:t>
      </w:r>
      <w:r>
        <w:rPr>
          <w:spacing w:val="-12"/>
          <w:position w:val="2"/>
        </w:rPr>
        <w:t> </w:t>
      </w:r>
      <w:r>
        <w:rPr>
          <w:position w:val="2"/>
        </w:rPr>
        <w:t>measures.</w:t>
      </w:r>
      <w:r>
        <w:rPr>
          <w:spacing w:val="-13"/>
          <w:position w:val="2"/>
        </w:rPr>
        <w:t> </w:t>
      </w:r>
      <w:r>
        <w:rPr>
          <w:position w:val="2"/>
        </w:rPr>
        <w:t>Hence,</w:t>
      </w:r>
      <w:r>
        <w:rPr>
          <w:spacing w:val="-13"/>
          <w:position w:val="2"/>
        </w:rPr>
        <w:t> </w:t>
      </w:r>
      <w:r>
        <w:rPr>
          <w:position w:val="2"/>
        </w:rPr>
        <w:t>the</w:t>
      </w:r>
      <w:r>
        <w:rPr>
          <w:spacing w:val="-14"/>
          <w:position w:val="2"/>
        </w:rPr>
        <w:t> </w:t>
      </w:r>
      <w:r>
        <w:rPr>
          <w:position w:val="2"/>
        </w:rPr>
        <w:t>null</w:t>
      </w:r>
      <w:r>
        <w:rPr>
          <w:spacing w:val="-12"/>
          <w:position w:val="2"/>
        </w:rPr>
        <w:t> </w:t>
      </w:r>
      <w:r>
        <w:rPr>
          <w:position w:val="2"/>
        </w:rPr>
        <w:t>hypothesis</w:t>
      </w:r>
      <w:r>
        <w:rPr>
          <w:spacing w:val="-13"/>
          <w:position w:val="2"/>
        </w:rPr>
        <w:t> </w:t>
      </w:r>
      <w:r>
        <w:rPr>
          <w:position w:val="2"/>
        </w:rPr>
        <w:t>that</w:t>
      </w:r>
      <w:r>
        <w:rPr>
          <w:spacing w:val="-13"/>
          <w:position w:val="2"/>
        </w:rPr>
        <w:t> </w:t>
      </w:r>
      <w:r>
        <w:rPr>
          <w:position w:val="2"/>
        </w:rPr>
        <w:t>H</w:t>
      </w:r>
      <w:r>
        <w:rPr>
          <w:sz w:val="16"/>
        </w:rPr>
        <w:t>02</w:t>
      </w:r>
      <w:r>
        <w:rPr>
          <w:position w:val="2"/>
        </w:rPr>
        <w:t>:</w:t>
      </w:r>
      <w:r>
        <w:rPr>
          <w:spacing w:val="-15"/>
          <w:position w:val="2"/>
        </w:rPr>
        <w:t> </w:t>
      </w:r>
      <w:r>
        <w:rPr>
          <w:i/>
          <w:position w:val="2"/>
        </w:rPr>
        <w:t>Board</w:t>
      </w:r>
      <w:r>
        <w:rPr>
          <w:i/>
          <w:spacing w:val="-13"/>
          <w:position w:val="2"/>
        </w:rPr>
        <w:t> </w:t>
      </w:r>
      <w:r>
        <w:rPr>
          <w:i/>
          <w:position w:val="2"/>
        </w:rPr>
        <w:t>Size </w:t>
      </w:r>
      <w:r>
        <w:rPr>
          <w:i/>
        </w:rPr>
        <w:t>has no significant impact on the reporting quality of listed companies on the Nigerian Stock Exchange (NSE) in a post-IFRS regime </w:t>
      </w:r>
      <w:r>
        <w:rPr/>
        <w:t>is accepted.</w:t>
      </w:r>
    </w:p>
    <w:p>
      <w:pPr>
        <w:pStyle w:val="Heading3"/>
        <w:spacing w:line="480" w:lineRule="auto"/>
        <w:ind w:left="1480" w:right="1438" w:hanging="540"/>
      </w:pPr>
      <w:r>
        <w:rPr>
          <w:position w:val="1"/>
        </w:rPr>
        <w:t>H</w:t>
      </w:r>
      <w:r>
        <w:rPr>
          <w:sz w:val="16"/>
        </w:rPr>
        <w:t>03</w:t>
      </w:r>
      <w:r>
        <w:rPr>
          <w:position w:val="1"/>
        </w:rPr>
        <w:t>: Board Independence has no significant impact on the reporting quality of listed </w:t>
      </w:r>
      <w:r>
        <w:rPr/>
        <w:t>companies on the Nigerian Stock Exchange (NSE) in a post-IFRS regime.</w:t>
      </w:r>
    </w:p>
    <w:p>
      <w:pPr>
        <w:pStyle w:val="BodyText"/>
        <w:spacing w:line="480" w:lineRule="auto"/>
        <w:ind w:left="940" w:right="1435"/>
        <w:jc w:val="both"/>
      </w:pPr>
      <w:r>
        <w:rPr/>
        <w:t>BDIND had a negative coefficient (-0.0646) although not significant (p=-0.646) at 5%. The interaction; Post-IFRS*BDIND, testing the presence of incremental IFRS adoption effect however,</w:t>
      </w:r>
      <w:r>
        <w:rPr>
          <w:spacing w:val="-4"/>
        </w:rPr>
        <w:t> </w:t>
      </w:r>
      <w:r>
        <w:rPr/>
        <w:t>revealed</w:t>
      </w:r>
      <w:r>
        <w:rPr>
          <w:spacing w:val="-4"/>
        </w:rPr>
        <w:t> </w:t>
      </w:r>
      <w:r>
        <w:rPr/>
        <w:t>that</w:t>
      </w:r>
      <w:r>
        <w:rPr>
          <w:spacing w:val="-4"/>
        </w:rPr>
        <w:t> </w:t>
      </w:r>
      <w:r>
        <w:rPr/>
        <w:t>board</w:t>
      </w:r>
      <w:r>
        <w:rPr>
          <w:spacing w:val="-4"/>
        </w:rPr>
        <w:t> </w:t>
      </w:r>
      <w:r>
        <w:rPr/>
        <w:t>independence</w:t>
      </w:r>
      <w:r>
        <w:rPr>
          <w:spacing w:val="-5"/>
        </w:rPr>
        <w:t> </w:t>
      </w:r>
      <w:r>
        <w:rPr/>
        <w:t>had</w:t>
      </w:r>
      <w:r>
        <w:rPr>
          <w:spacing w:val="-3"/>
        </w:rPr>
        <w:t> </w:t>
      </w:r>
      <w:r>
        <w:rPr/>
        <w:t>a</w:t>
      </w:r>
      <w:r>
        <w:rPr>
          <w:spacing w:val="-4"/>
        </w:rPr>
        <w:t> </w:t>
      </w:r>
      <w:r>
        <w:rPr/>
        <w:t>significant</w:t>
      </w:r>
      <w:r>
        <w:rPr>
          <w:spacing w:val="-4"/>
        </w:rPr>
        <w:t> </w:t>
      </w:r>
      <w:r>
        <w:rPr/>
        <w:t>incremental</w:t>
      </w:r>
      <w:r>
        <w:rPr>
          <w:spacing w:val="-4"/>
        </w:rPr>
        <w:t> </w:t>
      </w:r>
      <w:r>
        <w:rPr/>
        <w:t>effect</w:t>
      </w:r>
      <w:r>
        <w:rPr>
          <w:spacing w:val="-4"/>
        </w:rPr>
        <w:t> </w:t>
      </w:r>
      <w:r>
        <w:rPr/>
        <w:t>on</w:t>
      </w:r>
      <w:r>
        <w:rPr>
          <w:spacing w:val="-4"/>
        </w:rPr>
        <w:t> </w:t>
      </w:r>
      <w:r>
        <w:rPr/>
        <w:t>QUA-FRQ resulting</w:t>
      </w:r>
      <w:r>
        <w:rPr>
          <w:spacing w:val="-1"/>
        </w:rPr>
        <w:t> </w:t>
      </w:r>
      <w:r>
        <w:rPr/>
        <w:t>from</w:t>
      </w:r>
      <w:r>
        <w:rPr>
          <w:spacing w:val="-1"/>
        </w:rPr>
        <w:t> </w:t>
      </w:r>
      <w:r>
        <w:rPr/>
        <w:t>IFRS</w:t>
      </w:r>
      <w:r>
        <w:rPr>
          <w:spacing w:val="-1"/>
        </w:rPr>
        <w:t> </w:t>
      </w:r>
      <w:r>
        <w:rPr/>
        <w:t>adoption</w:t>
      </w:r>
      <w:r>
        <w:rPr>
          <w:spacing w:val="-1"/>
        </w:rPr>
        <w:t> </w:t>
      </w:r>
      <w:r>
        <w:rPr/>
        <w:t>(0.1067,</w:t>
      </w:r>
      <w:r>
        <w:rPr>
          <w:spacing w:val="-1"/>
        </w:rPr>
        <w:t> </w:t>
      </w:r>
      <w:r>
        <w:rPr/>
        <w:t>p=0.033).</w:t>
      </w:r>
      <w:r>
        <w:rPr>
          <w:spacing w:val="-1"/>
        </w:rPr>
        <w:t> </w:t>
      </w:r>
      <w:r>
        <w:rPr/>
        <w:t>Hence,</w:t>
      </w:r>
      <w:r>
        <w:rPr>
          <w:spacing w:val="-1"/>
        </w:rPr>
        <w:t> </w:t>
      </w:r>
      <w:r>
        <w:rPr/>
        <w:t>the results</w:t>
      </w:r>
      <w:r>
        <w:rPr>
          <w:spacing w:val="-1"/>
        </w:rPr>
        <w:t> </w:t>
      </w:r>
      <w:r>
        <w:rPr/>
        <w:t>suggested</w:t>
      </w:r>
      <w:r>
        <w:rPr>
          <w:spacing w:val="-1"/>
        </w:rPr>
        <w:t> </w:t>
      </w:r>
      <w:r>
        <w:rPr/>
        <w:t>that</w:t>
      </w:r>
      <w:r>
        <w:rPr>
          <w:spacing w:val="-1"/>
        </w:rPr>
        <w:t> </w:t>
      </w:r>
      <w:r>
        <w:rPr/>
        <w:t>with</w:t>
      </w:r>
      <w:r>
        <w:rPr>
          <w:spacing w:val="-1"/>
        </w:rPr>
        <w:t> </w:t>
      </w:r>
      <w:r>
        <w:rPr/>
        <w:t>IFRS, board independence became effective in improving QUA-FRQ.</w:t>
      </w:r>
      <w:r>
        <w:rPr>
          <w:spacing w:val="40"/>
        </w:rPr>
        <w:t> </w:t>
      </w:r>
      <w:r>
        <w:rPr/>
        <w:t>For DISACC Measure, BDIND had a negative coefficient (-1.2307) and significant (p=0.0162) at 5% indicating that a</w:t>
      </w:r>
      <w:r>
        <w:rPr>
          <w:spacing w:val="-2"/>
        </w:rPr>
        <w:t> </w:t>
      </w:r>
      <w:r>
        <w:rPr/>
        <w:t>higher</w:t>
      </w:r>
      <w:r>
        <w:rPr>
          <w:spacing w:val="-3"/>
        </w:rPr>
        <w:t> </w:t>
      </w:r>
      <w:r>
        <w:rPr/>
        <w:t>level of</w:t>
      </w:r>
      <w:r>
        <w:rPr>
          <w:spacing w:val="-2"/>
        </w:rPr>
        <w:t> </w:t>
      </w:r>
      <w:r>
        <w:rPr/>
        <w:t>independent</w:t>
      </w:r>
      <w:r>
        <w:rPr>
          <w:spacing w:val="-1"/>
        </w:rPr>
        <w:t> </w:t>
      </w:r>
      <w:r>
        <w:rPr/>
        <w:t>boards</w:t>
      </w:r>
      <w:r>
        <w:rPr>
          <w:spacing w:val="-2"/>
        </w:rPr>
        <w:t> </w:t>
      </w:r>
      <w:r>
        <w:rPr/>
        <w:t>constrained rising</w:t>
      </w:r>
      <w:r>
        <w:rPr>
          <w:spacing w:val="-1"/>
        </w:rPr>
        <w:t> </w:t>
      </w:r>
      <w:r>
        <w:rPr/>
        <w:t>discretionary</w:t>
      </w:r>
      <w:r>
        <w:rPr>
          <w:spacing w:val="-2"/>
        </w:rPr>
        <w:t> </w:t>
      </w:r>
      <w:r>
        <w:rPr/>
        <w:t>accruals.</w:t>
      </w:r>
      <w:r>
        <w:rPr>
          <w:spacing w:val="-1"/>
        </w:rPr>
        <w:t> </w:t>
      </w:r>
      <w:r>
        <w:rPr/>
        <w:t>The</w:t>
      </w:r>
      <w:r>
        <w:rPr>
          <w:spacing w:val="-3"/>
        </w:rPr>
        <w:t> </w:t>
      </w:r>
      <w:r>
        <w:rPr/>
        <w:t>interaction Post-IFRS*BDIND testing the presence of incremental IFRS adoption effect also confirmed that board has a significant incremental effect on DISACC resulting from IFRS adoption (1.4173, p=0.006). For VREL measures, BDIND had a positive coefficient (11.300) and significant (p=0.0623) at 10% indicating that a higher level of independent boards increased value</w:t>
      </w:r>
      <w:r>
        <w:rPr>
          <w:spacing w:val="60"/>
        </w:rPr>
        <w:t> </w:t>
      </w:r>
      <w:r>
        <w:rPr/>
        <w:t>relevance.</w:t>
      </w:r>
      <w:r>
        <w:rPr>
          <w:spacing w:val="63"/>
        </w:rPr>
        <w:t> </w:t>
      </w:r>
      <w:r>
        <w:rPr/>
        <w:t>The</w:t>
      </w:r>
      <w:r>
        <w:rPr>
          <w:spacing w:val="62"/>
        </w:rPr>
        <w:t> </w:t>
      </w:r>
      <w:r>
        <w:rPr/>
        <w:t>interaction</w:t>
      </w:r>
      <w:r>
        <w:rPr>
          <w:spacing w:val="63"/>
        </w:rPr>
        <w:t> </w:t>
      </w:r>
      <w:r>
        <w:rPr/>
        <w:t>coefficient;</w:t>
      </w:r>
      <w:r>
        <w:rPr>
          <w:spacing w:val="64"/>
        </w:rPr>
        <w:t> </w:t>
      </w:r>
      <w:r>
        <w:rPr/>
        <w:t>Post-IFRS*BDIND,</w:t>
      </w:r>
      <w:r>
        <w:rPr>
          <w:spacing w:val="63"/>
        </w:rPr>
        <w:t> </w:t>
      </w:r>
      <w:r>
        <w:rPr/>
        <w:t>testing</w:t>
      </w:r>
      <w:r>
        <w:rPr>
          <w:spacing w:val="66"/>
        </w:rPr>
        <w:t> </w:t>
      </w:r>
      <w:r>
        <w:rPr/>
        <w:t>the</w:t>
      </w:r>
      <w:r>
        <w:rPr>
          <w:spacing w:val="63"/>
        </w:rPr>
        <w:t> </w:t>
      </w:r>
      <w:r>
        <w:rPr/>
        <w:t>presence</w:t>
      </w:r>
      <w:r>
        <w:rPr>
          <w:spacing w:val="62"/>
        </w:rPr>
        <w:t> </w:t>
      </w:r>
      <w:r>
        <w:rPr>
          <w:spacing w:val="-5"/>
        </w:rPr>
        <w:t>of</w:t>
      </w:r>
    </w:p>
    <w:p>
      <w:pPr>
        <w:spacing w:after="0" w:line="480" w:lineRule="auto"/>
        <w:jc w:val="both"/>
        <w:sectPr>
          <w:pgSz w:w="11910" w:h="16840"/>
          <w:pgMar w:header="0" w:footer="971" w:top="1360" w:bottom="1160" w:left="500" w:right="0"/>
        </w:sectPr>
      </w:pPr>
    </w:p>
    <w:p>
      <w:pPr>
        <w:spacing w:line="480" w:lineRule="auto" w:before="61"/>
        <w:ind w:left="940" w:right="1435" w:firstLine="0"/>
        <w:jc w:val="both"/>
        <w:rPr>
          <w:sz w:val="24"/>
        </w:rPr>
      </w:pPr>
      <w:r>
        <w:rPr/>
        <w:drawing>
          <wp:anchor distT="0" distB="0" distL="0" distR="0" allowOverlap="1" layoutInCell="1" locked="0" behindDoc="1" simplePos="0" relativeHeight="477754880">
            <wp:simplePos x="0" y="0"/>
            <wp:positionH relativeFrom="page">
              <wp:posOffset>1095451</wp:posOffset>
            </wp:positionH>
            <wp:positionV relativeFrom="paragraph">
              <wp:posOffset>1850770</wp:posOffset>
            </wp:positionV>
            <wp:extent cx="5106847" cy="5238115"/>
            <wp:effectExtent l="0" t="0" r="0" b="0"/>
            <wp:wrapNone/>
            <wp:docPr id="224" name="Image 224"/>
            <wp:cNvGraphicFramePr>
              <a:graphicFrameLocks/>
            </wp:cNvGraphicFramePr>
            <a:graphic>
              <a:graphicData uri="http://schemas.openxmlformats.org/drawingml/2006/picture">
                <pic:pic>
                  <pic:nvPicPr>
                    <pic:cNvPr id="224" name="Image 224"/>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incremental IFRS adoption effect also confirmed that board independence had a significant incremental</w:t>
      </w:r>
      <w:r>
        <w:rPr>
          <w:spacing w:val="-5"/>
          <w:sz w:val="24"/>
        </w:rPr>
        <w:t> </w:t>
      </w:r>
      <w:r>
        <w:rPr>
          <w:sz w:val="24"/>
        </w:rPr>
        <w:t>effect</w:t>
      </w:r>
      <w:r>
        <w:rPr>
          <w:spacing w:val="-5"/>
          <w:sz w:val="24"/>
        </w:rPr>
        <w:t> </w:t>
      </w:r>
      <w:r>
        <w:rPr>
          <w:sz w:val="24"/>
        </w:rPr>
        <w:t>on</w:t>
      </w:r>
      <w:r>
        <w:rPr>
          <w:spacing w:val="-6"/>
          <w:sz w:val="24"/>
        </w:rPr>
        <w:t> </w:t>
      </w:r>
      <w:r>
        <w:rPr>
          <w:sz w:val="24"/>
        </w:rPr>
        <w:t>value</w:t>
      </w:r>
      <w:r>
        <w:rPr>
          <w:spacing w:val="-7"/>
          <w:sz w:val="24"/>
        </w:rPr>
        <w:t> </w:t>
      </w:r>
      <w:r>
        <w:rPr>
          <w:sz w:val="24"/>
        </w:rPr>
        <w:t>relevance</w:t>
      </w:r>
      <w:r>
        <w:rPr>
          <w:spacing w:val="-2"/>
          <w:sz w:val="24"/>
        </w:rPr>
        <w:t> </w:t>
      </w:r>
      <w:r>
        <w:rPr>
          <w:sz w:val="24"/>
        </w:rPr>
        <w:t>although</w:t>
      </w:r>
      <w:r>
        <w:rPr>
          <w:spacing w:val="-5"/>
          <w:sz w:val="24"/>
        </w:rPr>
        <w:t> </w:t>
      </w:r>
      <w:r>
        <w:rPr>
          <w:sz w:val="24"/>
        </w:rPr>
        <w:t>surprisingly</w:t>
      </w:r>
      <w:r>
        <w:rPr>
          <w:spacing w:val="-6"/>
          <w:sz w:val="24"/>
        </w:rPr>
        <w:t> </w:t>
      </w:r>
      <w:r>
        <w:rPr>
          <w:sz w:val="24"/>
        </w:rPr>
        <w:t>negative</w:t>
      </w:r>
      <w:r>
        <w:rPr>
          <w:spacing w:val="-7"/>
          <w:sz w:val="24"/>
        </w:rPr>
        <w:t> </w:t>
      </w:r>
      <w:r>
        <w:rPr>
          <w:sz w:val="24"/>
        </w:rPr>
        <w:t>(-26.338,</w:t>
      </w:r>
      <w:r>
        <w:rPr>
          <w:spacing w:val="-6"/>
          <w:sz w:val="24"/>
        </w:rPr>
        <w:t> </w:t>
      </w:r>
      <w:r>
        <w:rPr>
          <w:sz w:val="24"/>
        </w:rPr>
        <w:t>p=0.000)</w:t>
      </w:r>
      <w:r>
        <w:rPr>
          <w:spacing w:val="-7"/>
          <w:sz w:val="24"/>
        </w:rPr>
        <w:t> </w:t>
      </w:r>
      <w:r>
        <w:rPr>
          <w:sz w:val="24"/>
        </w:rPr>
        <w:t>and</w:t>
      </w:r>
      <w:r>
        <w:rPr>
          <w:spacing w:val="-5"/>
          <w:sz w:val="24"/>
        </w:rPr>
        <w:t> </w:t>
      </w:r>
      <w:r>
        <w:rPr>
          <w:sz w:val="24"/>
        </w:rPr>
        <w:t>it was significant at 1%.</w:t>
      </w:r>
      <w:r>
        <w:rPr>
          <w:spacing w:val="40"/>
          <w:sz w:val="24"/>
        </w:rPr>
        <w:t> </w:t>
      </w:r>
      <w:r>
        <w:rPr>
          <w:sz w:val="24"/>
        </w:rPr>
        <w:t>In conclusion, based on the three measures of financial reporting used in this study, board independence was found to have a significant effect across all measures </w:t>
      </w:r>
      <w:r>
        <w:rPr>
          <w:position w:val="2"/>
          <w:sz w:val="24"/>
        </w:rPr>
        <w:t>and hence, the null hypothesis that H</w:t>
      </w:r>
      <w:r>
        <w:rPr>
          <w:sz w:val="16"/>
        </w:rPr>
        <w:t>03</w:t>
      </w:r>
      <w:r>
        <w:rPr>
          <w:position w:val="2"/>
          <w:sz w:val="24"/>
        </w:rPr>
        <w:t>: </w:t>
      </w:r>
      <w:r>
        <w:rPr>
          <w:i/>
          <w:position w:val="2"/>
          <w:sz w:val="24"/>
        </w:rPr>
        <w:t>Board independence has no significant impact on the </w:t>
      </w:r>
      <w:r>
        <w:rPr>
          <w:i/>
          <w:sz w:val="24"/>
        </w:rPr>
        <w:t>reporting quality of listed companies in the Nigerian Stock Exchange (NSE) in a post-IFRS regime </w:t>
      </w:r>
      <w:r>
        <w:rPr>
          <w:sz w:val="24"/>
        </w:rPr>
        <w:t>was rejected.</w:t>
      </w:r>
    </w:p>
    <w:p>
      <w:pPr>
        <w:pStyle w:val="Heading3"/>
        <w:spacing w:line="480" w:lineRule="auto"/>
        <w:ind w:left="1480" w:right="1440" w:hanging="540"/>
      </w:pPr>
      <w:r>
        <w:rPr>
          <w:position w:val="1"/>
        </w:rPr>
        <w:t>H</w:t>
      </w:r>
      <w:r>
        <w:rPr>
          <w:sz w:val="16"/>
        </w:rPr>
        <w:t>04</w:t>
      </w:r>
      <w:r>
        <w:rPr>
          <w:position w:val="1"/>
        </w:rPr>
        <w:t>:</w:t>
      </w:r>
      <w:r>
        <w:rPr>
          <w:spacing w:val="-6"/>
          <w:position w:val="1"/>
        </w:rPr>
        <w:t> </w:t>
      </w:r>
      <w:r>
        <w:rPr>
          <w:position w:val="1"/>
        </w:rPr>
        <w:t>Board</w:t>
      </w:r>
      <w:r>
        <w:rPr>
          <w:spacing w:val="-4"/>
          <w:position w:val="1"/>
        </w:rPr>
        <w:t> </w:t>
      </w:r>
      <w:r>
        <w:rPr>
          <w:position w:val="1"/>
        </w:rPr>
        <w:t>financial</w:t>
      </w:r>
      <w:r>
        <w:rPr>
          <w:spacing w:val="-4"/>
          <w:position w:val="1"/>
        </w:rPr>
        <w:t> </w:t>
      </w:r>
      <w:r>
        <w:rPr>
          <w:position w:val="1"/>
        </w:rPr>
        <w:t>expertise</w:t>
      </w:r>
      <w:r>
        <w:rPr>
          <w:spacing w:val="-6"/>
          <w:position w:val="1"/>
        </w:rPr>
        <w:t> </w:t>
      </w:r>
      <w:r>
        <w:rPr>
          <w:position w:val="1"/>
        </w:rPr>
        <w:t>has</w:t>
      </w:r>
      <w:r>
        <w:rPr>
          <w:spacing w:val="-5"/>
          <w:position w:val="1"/>
        </w:rPr>
        <w:t> </w:t>
      </w:r>
      <w:r>
        <w:rPr>
          <w:position w:val="1"/>
        </w:rPr>
        <w:t>no</w:t>
      </w:r>
      <w:r>
        <w:rPr>
          <w:spacing w:val="-5"/>
          <w:position w:val="1"/>
        </w:rPr>
        <w:t> </w:t>
      </w:r>
      <w:r>
        <w:rPr>
          <w:position w:val="1"/>
        </w:rPr>
        <w:t>significant</w:t>
      </w:r>
      <w:r>
        <w:rPr>
          <w:spacing w:val="-6"/>
          <w:position w:val="1"/>
        </w:rPr>
        <w:t> </w:t>
      </w:r>
      <w:r>
        <w:rPr>
          <w:position w:val="1"/>
        </w:rPr>
        <w:t>impact</w:t>
      </w:r>
      <w:r>
        <w:rPr>
          <w:spacing w:val="-6"/>
          <w:position w:val="1"/>
        </w:rPr>
        <w:t> </w:t>
      </w:r>
      <w:r>
        <w:rPr>
          <w:position w:val="1"/>
        </w:rPr>
        <w:t>on the</w:t>
      </w:r>
      <w:r>
        <w:rPr>
          <w:spacing w:val="-6"/>
          <w:position w:val="1"/>
        </w:rPr>
        <w:t> </w:t>
      </w:r>
      <w:r>
        <w:rPr>
          <w:position w:val="1"/>
        </w:rPr>
        <w:t>reporting</w:t>
      </w:r>
      <w:r>
        <w:rPr>
          <w:spacing w:val="-5"/>
          <w:position w:val="1"/>
        </w:rPr>
        <w:t> </w:t>
      </w:r>
      <w:r>
        <w:rPr>
          <w:position w:val="1"/>
        </w:rPr>
        <w:t>quality</w:t>
      </w:r>
      <w:r>
        <w:rPr>
          <w:spacing w:val="-6"/>
          <w:position w:val="1"/>
        </w:rPr>
        <w:t> </w:t>
      </w:r>
      <w:r>
        <w:rPr>
          <w:position w:val="1"/>
        </w:rPr>
        <w:t>of</w:t>
      </w:r>
      <w:r>
        <w:rPr>
          <w:spacing w:val="-6"/>
          <w:position w:val="1"/>
        </w:rPr>
        <w:t> </w:t>
      </w:r>
      <w:r>
        <w:rPr>
          <w:position w:val="1"/>
        </w:rPr>
        <w:t>listed </w:t>
      </w:r>
      <w:r>
        <w:rPr/>
        <w:t>companies on the Nigerian Stock Exchange (NSE) in a post-IFRS regime.</w:t>
      </w:r>
    </w:p>
    <w:p>
      <w:pPr>
        <w:pStyle w:val="BodyText"/>
        <w:spacing w:line="480" w:lineRule="auto"/>
        <w:ind w:left="940" w:right="1433"/>
        <w:jc w:val="both"/>
      </w:pPr>
      <w:r>
        <w:rPr/>
        <w:t>The resulted reveal that BFEXP had a negative effect on QUA-FRQ although not significant at 5% (-0.01458, p=0.2765) and the interaction; Post-IFRS*BFEXP, testing the presence of incremental</w:t>
      </w:r>
      <w:r>
        <w:rPr>
          <w:spacing w:val="-9"/>
        </w:rPr>
        <w:t> </w:t>
      </w:r>
      <w:r>
        <w:rPr/>
        <w:t>IFRS</w:t>
      </w:r>
      <w:r>
        <w:rPr>
          <w:spacing w:val="-10"/>
        </w:rPr>
        <w:t> </w:t>
      </w:r>
      <w:r>
        <w:rPr/>
        <w:t>adoption</w:t>
      </w:r>
      <w:r>
        <w:rPr>
          <w:spacing w:val="-11"/>
        </w:rPr>
        <w:t> </w:t>
      </w:r>
      <w:r>
        <w:rPr/>
        <w:t>effect</w:t>
      </w:r>
      <w:r>
        <w:rPr>
          <w:spacing w:val="-10"/>
        </w:rPr>
        <w:t> </w:t>
      </w:r>
      <w:r>
        <w:rPr/>
        <w:t>also</w:t>
      </w:r>
      <w:r>
        <w:rPr>
          <w:spacing w:val="-10"/>
        </w:rPr>
        <w:t> </w:t>
      </w:r>
      <w:r>
        <w:rPr/>
        <w:t>showed</w:t>
      </w:r>
      <w:r>
        <w:rPr>
          <w:spacing w:val="-11"/>
        </w:rPr>
        <w:t> </w:t>
      </w:r>
      <w:r>
        <w:rPr/>
        <w:t>that</w:t>
      </w:r>
      <w:r>
        <w:rPr>
          <w:spacing w:val="-10"/>
        </w:rPr>
        <w:t> </w:t>
      </w:r>
      <w:r>
        <w:rPr/>
        <w:t>BFEXP</w:t>
      </w:r>
      <w:r>
        <w:rPr>
          <w:spacing w:val="-10"/>
        </w:rPr>
        <w:t> </w:t>
      </w:r>
      <w:r>
        <w:rPr/>
        <w:t>had</w:t>
      </w:r>
      <w:r>
        <w:rPr>
          <w:spacing w:val="-10"/>
        </w:rPr>
        <w:t> </w:t>
      </w:r>
      <w:r>
        <w:rPr/>
        <w:t>a</w:t>
      </w:r>
      <w:r>
        <w:rPr>
          <w:spacing w:val="-12"/>
        </w:rPr>
        <w:t> </w:t>
      </w:r>
      <w:r>
        <w:rPr/>
        <w:t>significant</w:t>
      </w:r>
      <w:r>
        <w:rPr>
          <w:spacing w:val="-10"/>
        </w:rPr>
        <w:t> </w:t>
      </w:r>
      <w:r>
        <w:rPr/>
        <w:t>incremental</w:t>
      </w:r>
      <w:r>
        <w:rPr>
          <w:spacing w:val="-10"/>
        </w:rPr>
        <w:t> </w:t>
      </w:r>
      <w:r>
        <w:rPr/>
        <w:t>effect on</w:t>
      </w:r>
      <w:r>
        <w:rPr>
          <w:spacing w:val="-3"/>
        </w:rPr>
        <w:t> </w:t>
      </w:r>
      <w:r>
        <w:rPr/>
        <w:t>QUA-FRQ</w:t>
      </w:r>
      <w:r>
        <w:rPr>
          <w:spacing w:val="-2"/>
        </w:rPr>
        <w:t> </w:t>
      </w:r>
      <w:r>
        <w:rPr/>
        <w:t>resulting</w:t>
      </w:r>
      <w:r>
        <w:rPr>
          <w:spacing w:val="-3"/>
        </w:rPr>
        <w:t> </w:t>
      </w:r>
      <w:r>
        <w:rPr/>
        <w:t>from</w:t>
      </w:r>
      <w:r>
        <w:rPr>
          <w:spacing w:val="-2"/>
        </w:rPr>
        <w:t> </w:t>
      </w:r>
      <w:r>
        <w:rPr/>
        <w:t>IFRS</w:t>
      </w:r>
      <w:r>
        <w:rPr>
          <w:spacing w:val="-1"/>
        </w:rPr>
        <w:t> </w:t>
      </w:r>
      <w:r>
        <w:rPr/>
        <w:t>adoption</w:t>
      </w:r>
      <w:r>
        <w:rPr>
          <w:spacing w:val="-3"/>
        </w:rPr>
        <w:t> </w:t>
      </w:r>
      <w:r>
        <w:rPr/>
        <w:t>(0.0748,</w:t>
      </w:r>
      <w:r>
        <w:rPr>
          <w:spacing w:val="-3"/>
        </w:rPr>
        <w:t> </w:t>
      </w:r>
      <w:r>
        <w:rPr/>
        <w:t>p=0.0034).</w:t>
      </w:r>
      <w:r>
        <w:rPr>
          <w:spacing w:val="-1"/>
        </w:rPr>
        <w:t> </w:t>
      </w:r>
      <w:r>
        <w:rPr/>
        <w:t>Hence,</w:t>
      </w:r>
      <w:r>
        <w:rPr>
          <w:spacing w:val="-3"/>
        </w:rPr>
        <w:t> </w:t>
      </w:r>
      <w:r>
        <w:rPr/>
        <w:t>the</w:t>
      </w:r>
      <w:r>
        <w:rPr>
          <w:spacing w:val="-3"/>
        </w:rPr>
        <w:t> </w:t>
      </w:r>
      <w:r>
        <w:rPr/>
        <w:t>results</w:t>
      </w:r>
      <w:r>
        <w:rPr>
          <w:spacing w:val="-3"/>
        </w:rPr>
        <w:t> </w:t>
      </w:r>
      <w:r>
        <w:rPr/>
        <w:t>suggested that with IFRS, board financial expertise became effective in improving QUA-FRQ.</w:t>
      </w:r>
      <w:r>
        <w:rPr>
          <w:spacing w:val="40"/>
        </w:rPr>
        <w:t> </w:t>
      </w:r>
      <w:r>
        <w:rPr/>
        <w:t>BFEXP had a positive effect on discretionary accruals although not significant at 5% (-0.6411, p=0.3468) and the interaction; Post-IFRS*BFEXP, testing the presence of incremental IFRS adoption</w:t>
      </w:r>
      <w:r>
        <w:rPr>
          <w:spacing w:val="-8"/>
        </w:rPr>
        <w:t> </w:t>
      </w:r>
      <w:r>
        <w:rPr/>
        <w:t>effect</w:t>
      </w:r>
      <w:r>
        <w:rPr>
          <w:spacing w:val="-8"/>
        </w:rPr>
        <w:t> </w:t>
      </w:r>
      <w:r>
        <w:rPr/>
        <w:t>also</w:t>
      </w:r>
      <w:r>
        <w:rPr>
          <w:spacing w:val="-8"/>
        </w:rPr>
        <w:t> </w:t>
      </w:r>
      <w:r>
        <w:rPr/>
        <w:t>did</w:t>
      </w:r>
      <w:r>
        <w:rPr>
          <w:spacing w:val="-8"/>
        </w:rPr>
        <w:t> </w:t>
      </w:r>
      <w:r>
        <w:rPr/>
        <w:t>not</w:t>
      </w:r>
      <w:r>
        <w:rPr>
          <w:spacing w:val="-8"/>
        </w:rPr>
        <w:t> </w:t>
      </w:r>
      <w:r>
        <w:rPr/>
        <w:t>show</w:t>
      </w:r>
      <w:r>
        <w:rPr>
          <w:spacing w:val="-9"/>
        </w:rPr>
        <w:t> </w:t>
      </w:r>
      <w:r>
        <w:rPr/>
        <w:t>that</w:t>
      </w:r>
      <w:r>
        <w:rPr>
          <w:spacing w:val="-8"/>
        </w:rPr>
        <w:t> </w:t>
      </w:r>
      <w:r>
        <w:rPr/>
        <w:t>BFEXP</w:t>
      </w:r>
      <w:r>
        <w:rPr>
          <w:spacing w:val="-8"/>
        </w:rPr>
        <w:t> </w:t>
      </w:r>
      <w:r>
        <w:rPr/>
        <w:t>had</w:t>
      </w:r>
      <w:r>
        <w:rPr>
          <w:spacing w:val="-9"/>
        </w:rPr>
        <w:t> </w:t>
      </w:r>
      <w:r>
        <w:rPr/>
        <w:t>a</w:t>
      </w:r>
      <w:r>
        <w:rPr>
          <w:spacing w:val="-9"/>
        </w:rPr>
        <w:t> </w:t>
      </w:r>
      <w:r>
        <w:rPr/>
        <w:t>significant</w:t>
      </w:r>
      <w:r>
        <w:rPr>
          <w:spacing w:val="-8"/>
        </w:rPr>
        <w:t> </w:t>
      </w:r>
      <w:r>
        <w:rPr/>
        <w:t>incremental</w:t>
      </w:r>
      <w:r>
        <w:rPr>
          <w:spacing w:val="-5"/>
        </w:rPr>
        <w:t> </w:t>
      </w:r>
      <w:r>
        <w:rPr/>
        <w:t>effect</w:t>
      </w:r>
      <w:r>
        <w:rPr>
          <w:spacing w:val="-8"/>
        </w:rPr>
        <w:t> </w:t>
      </w:r>
      <w:r>
        <w:rPr/>
        <w:t>on</w:t>
      </w:r>
      <w:r>
        <w:rPr>
          <w:spacing w:val="-8"/>
        </w:rPr>
        <w:t> </w:t>
      </w:r>
      <w:r>
        <w:rPr/>
        <w:t>DISACC resulting</w:t>
      </w:r>
      <w:r>
        <w:rPr>
          <w:spacing w:val="-12"/>
        </w:rPr>
        <w:t> </w:t>
      </w:r>
      <w:r>
        <w:rPr/>
        <w:t>from</w:t>
      </w:r>
      <w:r>
        <w:rPr>
          <w:spacing w:val="-10"/>
        </w:rPr>
        <w:t> </w:t>
      </w:r>
      <w:r>
        <w:rPr/>
        <w:t>IFRS</w:t>
      </w:r>
      <w:r>
        <w:rPr>
          <w:spacing w:val="-11"/>
        </w:rPr>
        <w:t> </w:t>
      </w:r>
      <w:r>
        <w:rPr/>
        <w:t>adoption</w:t>
      </w:r>
      <w:r>
        <w:rPr>
          <w:spacing w:val="-12"/>
        </w:rPr>
        <w:t> </w:t>
      </w:r>
      <w:r>
        <w:rPr/>
        <w:t>(-0.3774,</w:t>
      </w:r>
      <w:r>
        <w:rPr>
          <w:spacing w:val="-12"/>
        </w:rPr>
        <w:t> </w:t>
      </w:r>
      <w:r>
        <w:rPr/>
        <w:t>p=0.6162).</w:t>
      </w:r>
      <w:r>
        <w:rPr>
          <w:spacing w:val="-11"/>
        </w:rPr>
        <w:t> </w:t>
      </w:r>
      <w:r>
        <w:rPr/>
        <w:t>BFEXP</w:t>
      </w:r>
      <w:r>
        <w:rPr>
          <w:spacing w:val="-11"/>
        </w:rPr>
        <w:t> </w:t>
      </w:r>
      <w:r>
        <w:rPr/>
        <w:t>had</w:t>
      </w:r>
      <w:r>
        <w:rPr>
          <w:spacing w:val="-9"/>
        </w:rPr>
        <w:t> </w:t>
      </w:r>
      <w:r>
        <w:rPr/>
        <w:t>a</w:t>
      </w:r>
      <w:r>
        <w:rPr>
          <w:spacing w:val="-13"/>
        </w:rPr>
        <w:t> </w:t>
      </w:r>
      <w:r>
        <w:rPr/>
        <w:t>negative</w:t>
      </w:r>
      <w:r>
        <w:rPr>
          <w:spacing w:val="-11"/>
        </w:rPr>
        <w:t> </w:t>
      </w:r>
      <w:r>
        <w:rPr/>
        <w:t>effect</w:t>
      </w:r>
      <w:r>
        <w:rPr>
          <w:spacing w:val="-12"/>
        </w:rPr>
        <w:t> </w:t>
      </w:r>
      <w:r>
        <w:rPr/>
        <w:t>on</w:t>
      </w:r>
      <w:r>
        <w:rPr>
          <w:spacing w:val="-11"/>
        </w:rPr>
        <w:t> </w:t>
      </w:r>
      <w:r>
        <w:rPr/>
        <w:t>VREL</w:t>
      </w:r>
      <w:r>
        <w:rPr>
          <w:spacing w:val="-12"/>
        </w:rPr>
        <w:t> </w:t>
      </w:r>
      <w:r>
        <w:rPr/>
        <w:t>and was</w:t>
      </w:r>
      <w:r>
        <w:rPr>
          <w:spacing w:val="-7"/>
        </w:rPr>
        <w:t> </w:t>
      </w:r>
      <w:r>
        <w:rPr/>
        <w:t>significant</w:t>
      </w:r>
      <w:r>
        <w:rPr>
          <w:spacing w:val="-6"/>
        </w:rPr>
        <w:t> </w:t>
      </w:r>
      <w:r>
        <w:rPr/>
        <w:t>at</w:t>
      </w:r>
      <w:r>
        <w:rPr>
          <w:spacing w:val="-7"/>
        </w:rPr>
        <w:t> </w:t>
      </w:r>
      <w:r>
        <w:rPr/>
        <w:t>5%</w:t>
      </w:r>
      <w:r>
        <w:rPr>
          <w:spacing w:val="-7"/>
        </w:rPr>
        <w:t> </w:t>
      </w:r>
      <w:r>
        <w:rPr/>
        <w:t>(-7.5248,</w:t>
      </w:r>
      <w:r>
        <w:rPr>
          <w:spacing w:val="-7"/>
        </w:rPr>
        <w:t> </w:t>
      </w:r>
      <w:r>
        <w:rPr/>
        <w:t>p=0.0290),</w:t>
      </w:r>
      <w:r>
        <w:rPr>
          <w:spacing w:val="-6"/>
        </w:rPr>
        <w:t> </w:t>
      </w:r>
      <w:r>
        <w:rPr/>
        <w:t>and</w:t>
      </w:r>
      <w:r>
        <w:rPr>
          <w:spacing w:val="-7"/>
        </w:rPr>
        <w:t> </w:t>
      </w:r>
      <w:r>
        <w:rPr/>
        <w:t>the</w:t>
      </w:r>
      <w:r>
        <w:rPr>
          <w:spacing w:val="-7"/>
        </w:rPr>
        <w:t> </w:t>
      </w:r>
      <w:r>
        <w:rPr/>
        <w:t>interaction;</w:t>
      </w:r>
      <w:r>
        <w:rPr>
          <w:spacing w:val="-7"/>
        </w:rPr>
        <w:t> </w:t>
      </w:r>
      <w:r>
        <w:rPr/>
        <w:t>Post-IFRS*BFEXP,</w:t>
      </w:r>
      <w:r>
        <w:rPr>
          <w:spacing w:val="-7"/>
        </w:rPr>
        <w:t> </w:t>
      </w:r>
      <w:r>
        <w:rPr/>
        <w:t>testing</w:t>
      </w:r>
      <w:r>
        <w:rPr>
          <w:spacing w:val="-7"/>
        </w:rPr>
        <w:t> </w:t>
      </w:r>
      <w:r>
        <w:rPr/>
        <w:t>the presence of incremental IFRS adoption effect also does not show that BFEXP sustained an incremental</w:t>
      </w:r>
      <w:r>
        <w:rPr>
          <w:spacing w:val="-2"/>
        </w:rPr>
        <w:t> </w:t>
      </w:r>
      <w:r>
        <w:rPr/>
        <w:t>effect</w:t>
      </w:r>
      <w:r>
        <w:rPr>
          <w:spacing w:val="-2"/>
        </w:rPr>
        <w:t> </w:t>
      </w:r>
      <w:r>
        <w:rPr/>
        <w:t>(3.4723,</w:t>
      </w:r>
      <w:r>
        <w:rPr>
          <w:spacing w:val="-5"/>
        </w:rPr>
        <w:t> </w:t>
      </w:r>
      <w:r>
        <w:rPr/>
        <w:t>p=0.5849).</w:t>
      </w:r>
      <w:r>
        <w:rPr>
          <w:spacing w:val="-2"/>
        </w:rPr>
        <w:t> </w:t>
      </w:r>
      <w:r>
        <w:rPr/>
        <w:t>In</w:t>
      </w:r>
      <w:r>
        <w:rPr>
          <w:spacing w:val="-6"/>
        </w:rPr>
        <w:t> </w:t>
      </w:r>
      <w:r>
        <w:rPr/>
        <w:t>conclusion,</w:t>
      </w:r>
      <w:r>
        <w:rPr>
          <w:spacing w:val="-5"/>
        </w:rPr>
        <w:t> </w:t>
      </w:r>
      <w:r>
        <w:rPr/>
        <w:t>based</w:t>
      </w:r>
      <w:r>
        <w:rPr>
          <w:spacing w:val="-5"/>
        </w:rPr>
        <w:t> </w:t>
      </w:r>
      <w:r>
        <w:rPr/>
        <w:t>on</w:t>
      </w:r>
      <w:r>
        <w:rPr>
          <w:spacing w:val="-3"/>
        </w:rPr>
        <w:t> </w:t>
      </w:r>
      <w:r>
        <w:rPr/>
        <w:t>the</w:t>
      </w:r>
      <w:r>
        <w:rPr>
          <w:spacing w:val="-5"/>
        </w:rPr>
        <w:t> </w:t>
      </w:r>
      <w:r>
        <w:rPr/>
        <w:t>three</w:t>
      </w:r>
      <w:r>
        <w:rPr>
          <w:spacing w:val="-6"/>
        </w:rPr>
        <w:t> </w:t>
      </w:r>
      <w:r>
        <w:rPr/>
        <w:t>measures</w:t>
      </w:r>
      <w:r>
        <w:rPr>
          <w:spacing w:val="-5"/>
        </w:rPr>
        <w:t> </w:t>
      </w:r>
      <w:r>
        <w:rPr/>
        <w:t>of</w:t>
      </w:r>
      <w:r>
        <w:rPr>
          <w:spacing w:val="-6"/>
        </w:rPr>
        <w:t> </w:t>
      </w:r>
      <w:r>
        <w:rPr/>
        <w:t>financial reporting</w:t>
      </w:r>
      <w:r>
        <w:rPr>
          <w:spacing w:val="-7"/>
        </w:rPr>
        <w:t> </w:t>
      </w:r>
      <w:r>
        <w:rPr/>
        <w:t>used</w:t>
      </w:r>
      <w:r>
        <w:rPr>
          <w:spacing w:val="-7"/>
        </w:rPr>
        <w:t> </w:t>
      </w:r>
      <w:r>
        <w:rPr/>
        <w:t>in</w:t>
      </w:r>
      <w:r>
        <w:rPr>
          <w:spacing w:val="-7"/>
        </w:rPr>
        <w:t> </w:t>
      </w:r>
      <w:r>
        <w:rPr/>
        <w:t>this</w:t>
      </w:r>
      <w:r>
        <w:rPr>
          <w:spacing w:val="-7"/>
        </w:rPr>
        <w:t> </w:t>
      </w:r>
      <w:r>
        <w:rPr/>
        <w:t>study,</w:t>
      </w:r>
      <w:r>
        <w:rPr>
          <w:spacing w:val="-7"/>
        </w:rPr>
        <w:t> </w:t>
      </w:r>
      <w:r>
        <w:rPr/>
        <w:t>board</w:t>
      </w:r>
      <w:r>
        <w:rPr>
          <w:spacing w:val="-8"/>
        </w:rPr>
        <w:t> </w:t>
      </w:r>
      <w:r>
        <w:rPr/>
        <w:t>financial</w:t>
      </w:r>
      <w:r>
        <w:rPr>
          <w:spacing w:val="-7"/>
        </w:rPr>
        <w:t> </w:t>
      </w:r>
      <w:r>
        <w:rPr/>
        <w:t>expertise</w:t>
      </w:r>
      <w:r>
        <w:rPr>
          <w:spacing w:val="-8"/>
        </w:rPr>
        <w:t> </w:t>
      </w:r>
      <w:r>
        <w:rPr/>
        <w:t>was</w:t>
      </w:r>
      <w:r>
        <w:rPr>
          <w:spacing w:val="-7"/>
        </w:rPr>
        <w:t> </w:t>
      </w:r>
      <w:r>
        <w:rPr/>
        <w:t>found</w:t>
      </w:r>
      <w:r>
        <w:rPr>
          <w:spacing w:val="-8"/>
        </w:rPr>
        <w:t> </w:t>
      </w:r>
      <w:r>
        <w:rPr/>
        <w:t>to</w:t>
      </w:r>
      <w:r>
        <w:rPr>
          <w:spacing w:val="-7"/>
        </w:rPr>
        <w:t> </w:t>
      </w:r>
      <w:r>
        <w:rPr/>
        <w:t>have</w:t>
      </w:r>
      <w:r>
        <w:rPr>
          <w:spacing w:val="-8"/>
        </w:rPr>
        <w:t> </w:t>
      </w:r>
      <w:r>
        <w:rPr/>
        <w:t>a</w:t>
      </w:r>
      <w:r>
        <w:rPr>
          <w:spacing w:val="-8"/>
        </w:rPr>
        <w:t> </w:t>
      </w:r>
      <w:r>
        <w:rPr/>
        <w:t>significant</w:t>
      </w:r>
      <w:r>
        <w:rPr>
          <w:spacing w:val="-7"/>
        </w:rPr>
        <w:t> </w:t>
      </w:r>
      <w:r>
        <w:rPr/>
        <w:t>effect</w:t>
      </w:r>
      <w:r>
        <w:rPr>
          <w:spacing w:val="-7"/>
        </w:rPr>
        <w:t> </w:t>
      </w:r>
      <w:r>
        <w:rPr/>
        <w:t>for </w:t>
      </w:r>
      <w:r>
        <w:rPr>
          <w:position w:val="2"/>
        </w:rPr>
        <w:t>at</w:t>
      </w:r>
      <w:r>
        <w:rPr>
          <w:spacing w:val="-1"/>
          <w:position w:val="2"/>
        </w:rPr>
        <w:t> </w:t>
      </w:r>
      <w:r>
        <w:rPr>
          <w:position w:val="2"/>
        </w:rPr>
        <w:t>least</w:t>
      </w:r>
      <w:r>
        <w:rPr>
          <w:spacing w:val="-1"/>
          <w:position w:val="2"/>
        </w:rPr>
        <w:t> </w:t>
      </w:r>
      <w:r>
        <w:rPr>
          <w:position w:val="2"/>
        </w:rPr>
        <w:t>one;</w:t>
      </w:r>
      <w:r>
        <w:rPr>
          <w:spacing w:val="-1"/>
          <w:position w:val="2"/>
        </w:rPr>
        <w:t> </w:t>
      </w:r>
      <w:r>
        <w:rPr>
          <w:position w:val="2"/>
        </w:rPr>
        <w:t>QUA-FRQ</w:t>
      </w:r>
      <w:r>
        <w:rPr>
          <w:spacing w:val="-2"/>
          <w:position w:val="2"/>
        </w:rPr>
        <w:t> </w:t>
      </w:r>
      <w:r>
        <w:rPr>
          <w:position w:val="2"/>
        </w:rPr>
        <w:t>and</w:t>
      </w:r>
      <w:r>
        <w:rPr>
          <w:spacing w:val="-1"/>
          <w:position w:val="2"/>
        </w:rPr>
        <w:t> </w:t>
      </w:r>
      <w:r>
        <w:rPr>
          <w:position w:val="2"/>
        </w:rPr>
        <w:t>hence,</w:t>
      </w:r>
      <w:r>
        <w:rPr>
          <w:spacing w:val="-1"/>
          <w:position w:val="2"/>
        </w:rPr>
        <w:t> </w:t>
      </w:r>
      <w:r>
        <w:rPr>
          <w:position w:val="2"/>
        </w:rPr>
        <w:t>the</w:t>
      </w:r>
      <w:r>
        <w:rPr>
          <w:spacing w:val="-2"/>
          <w:position w:val="2"/>
        </w:rPr>
        <w:t> </w:t>
      </w:r>
      <w:r>
        <w:rPr>
          <w:position w:val="2"/>
        </w:rPr>
        <w:t>null</w:t>
      </w:r>
      <w:r>
        <w:rPr>
          <w:spacing w:val="-1"/>
          <w:position w:val="2"/>
        </w:rPr>
        <w:t> </w:t>
      </w:r>
      <w:r>
        <w:rPr>
          <w:position w:val="2"/>
        </w:rPr>
        <w:t>hypothesis</w:t>
      </w:r>
      <w:r>
        <w:rPr>
          <w:spacing w:val="-1"/>
          <w:position w:val="2"/>
        </w:rPr>
        <w:t> </w:t>
      </w:r>
      <w:r>
        <w:rPr>
          <w:position w:val="2"/>
        </w:rPr>
        <w:t>that</w:t>
      </w:r>
      <w:r>
        <w:rPr>
          <w:spacing w:val="-1"/>
          <w:position w:val="2"/>
        </w:rPr>
        <w:t> </w:t>
      </w:r>
      <w:r>
        <w:rPr>
          <w:position w:val="2"/>
        </w:rPr>
        <w:t>H</w:t>
      </w:r>
      <w:r>
        <w:rPr>
          <w:sz w:val="16"/>
        </w:rPr>
        <w:t>04</w:t>
      </w:r>
      <w:r>
        <w:rPr>
          <w:position w:val="2"/>
        </w:rPr>
        <w:t>:</w:t>
      </w:r>
      <w:r>
        <w:rPr>
          <w:spacing w:val="-1"/>
          <w:position w:val="2"/>
        </w:rPr>
        <w:t> </w:t>
      </w:r>
      <w:r>
        <w:rPr>
          <w:i/>
          <w:position w:val="2"/>
        </w:rPr>
        <w:t>Board</w:t>
      </w:r>
      <w:r>
        <w:rPr>
          <w:i/>
          <w:spacing w:val="-4"/>
          <w:position w:val="2"/>
        </w:rPr>
        <w:t> </w:t>
      </w:r>
      <w:r>
        <w:rPr>
          <w:i/>
          <w:position w:val="2"/>
        </w:rPr>
        <w:t>financial</w:t>
      </w:r>
      <w:r>
        <w:rPr>
          <w:i/>
          <w:spacing w:val="-1"/>
          <w:position w:val="2"/>
        </w:rPr>
        <w:t> </w:t>
      </w:r>
      <w:r>
        <w:rPr>
          <w:i/>
          <w:position w:val="2"/>
        </w:rPr>
        <w:t>expertise</w:t>
      </w:r>
      <w:r>
        <w:rPr>
          <w:i/>
          <w:spacing w:val="-2"/>
          <w:position w:val="2"/>
        </w:rPr>
        <w:t> </w:t>
      </w:r>
      <w:r>
        <w:rPr>
          <w:i/>
          <w:position w:val="2"/>
        </w:rPr>
        <w:t>has </w:t>
      </w:r>
      <w:r>
        <w:rPr>
          <w:i/>
        </w:rPr>
        <w:t>no significant impact on the reporting quality of listed companies on the Nigerian Stock Exchange (NSE) in a post-IFRS regime </w:t>
      </w:r>
      <w:r>
        <w:rPr/>
        <w:t>was rejected.</w:t>
      </w:r>
    </w:p>
    <w:p>
      <w:pPr>
        <w:spacing w:after="0" w:line="480" w:lineRule="auto"/>
        <w:jc w:val="both"/>
        <w:sectPr>
          <w:pgSz w:w="11910" w:h="16840"/>
          <w:pgMar w:header="0" w:footer="971" w:top="1360" w:bottom="1160" w:left="500" w:right="0"/>
        </w:sectPr>
      </w:pPr>
    </w:p>
    <w:p>
      <w:pPr>
        <w:pStyle w:val="Heading3"/>
        <w:spacing w:line="480" w:lineRule="auto" w:before="72"/>
        <w:ind w:left="1480" w:right="1437" w:hanging="540"/>
      </w:pPr>
      <w:r>
        <w:rPr>
          <w:position w:val="1"/>
        </w:rPr>
        <w:t>H</w:t>
      </w:r>
      <w:r>
        <w:rPr>
          <w:sz w:val="16"/>
        </w:rPr>
        <w:t>05</w:t>
      </w:r>
      <w:r>
        <w:rPr>
          <w:position w:val="1"/>
        </w:rPr>
        <w:t>: Institutional Ownership has no significant impact on the reporting quality of listed </w:t>
      </w:r>
      <w:r>
        <w:rPr/>
        <w:t>companies on the Nigerian Stock Exchange (NSE) in a post-IFRS regime.</w:t>
      </w:r>
    </w:p>
    <w:p>
      <w:pPr>
        <w:pStyle w:val="BodyText"/>
        <w:spacing w:line="480" w:lineRule="auto" w:before="1"/>
        <w:ind w:left="940" w:right="1435"/>
        <w:jc w:val="both"/>
      </w:pPr>
      <w:r>
        <w:rPr/>
        <w:drawing>
          <wp:anchor distT="0" distB="0" distL="0" distR="0" allowOverlap="1" layoutInCell="1" locked="0" behindDoc="1" simplePos="0" relativeHeight="477755392">
            <wp:simplePos x="0" y="0"/>
            <wp:positionH relativeFrom="page">
              <wp:posOffset>1095451</wp:posOffset>
            </wp:positionH>
            <wp:positionV relativeFrom="paragraph">
              <wp:posOffset>761170</wp:posOffset>
            </wp:positionV>
            <wp:extent cx="5106847" cy="5238115"/>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5" cstate="print"/>
                    <a:stretch>
                      <a:fillRect/>
                    </a:stretch>
                  </pic:blipFill>
                  <pic:spPr>
                    <a:xfrm>
                      <a:off x="0" y="0"/>
                      <a:ext cx="5106847" cy="5238115"/>
                    </a:xfrm>
                    <a:prstGeom prst="rect">
                      <a:avLst/>
                    </a:prstGeom>
                  </pic:spPr>
                </pic:pic>
              </a:graphicData>
            </a:graphic>
          </wp:anchor>
        </w:drawing>
      </w:r>
      <w:r>
        <w:rPr/>
        <w:t>The estimations revealed that INSTOWN had a negative effect on QUA-FRQ although not significant at 5% (-0.009, p=0.3397) and the interaction Post-IFRS*INSTOWN testing the presence of incremental IFRS adoption effect also did not show that INSTOWN had a significant incremental effect on QUA-FRQ resulting from IFRS adoption (-0.0004, p=0.1828).</w:t>
      </w:r>
      <w:r>
        <w:rPr>
          <w:spacing w:val="-7"/>
        </w:rPr>
        <w:t> </w:t>
      </w:r>
      <w:r>
        <w:rPr/>
        <w:t>The</w:t>
      </w:r>
      <w:r>
        <w:rPr>
          <w:spacing w:val="-8"/>
        </w:rPr>
        <w:t> </w:t>
      </w:r>
      <w:r>
        <w:rPr/>
        <w:t>estimations</w:t>
      </w:r>
      <w:r>
        <w:rPr>
          <w:spacing w:val="-6"/>
        </w:rPr>
        <w:t> </w:t>
      </w:r>
      <w:r>
        <w:rPr/>
        <w:t>revealed</w:t>
      </w:r>
      <w:r>
        <w:rPr>
          <w:spacing w:val="-7"/>
        </w:rPr>
        <w:t> </w:t>
      </w:r>
      <w:r>
        <w:rPr/>
        <w:t>that</w:t>
      </w:r>
      <w:r>
        <w:rPr>
          <w:spacing w:val="-4"/>
        </w:rPr>
        <w:t> </w:t>
      </w:r>
      <w:r>
        <w:rPr/>
        <w:t>INSTOWN</w:t>
      </w:r>
      <w:r>
        <w:rPr>
          <w:spacing w:val="-7"/>
        </w:rPr>
        <w:t> </w:t>
      </w:r>
      <w:r>
        <w:rPr/>
        <w:t>had</w:t>
      </w:r>
      <w:r>
        <w:rPr>
          <w:spacing w:val="-6"/>
        </w:rPr>
        <w:t> </w:t>
      </w:r>
      <w:r>
        <w:rPr/>
        <w:t>a</w:t>
      </w:r>
      <w:r>
        <w:rPr>
          <w:spacing w:val="-8"/>
        </w:rPr>
        <w:t> </w:t>
      </w:r>
      <w:r>
        <w:rPr/>
        <w:t>positive</w:t>
      </w:r>
      <w:r>
        <w:rPr>
          <w:spacing w:val="-8"/>
        </w:rPr>
        <w:t> </w:t>
      </w:r>
      <w:r>
        <w:rPr/>
        <w:t>effect</w:t>
      </w:r>
      <w:r>
        <w:rPr>
          <w:spacing w:val="-4"/>
        </w:rPr>
        <w:t> </w:t>
      </w:r>
      <w:r>
        <w:rPr/>
        <w:t>on</w:t>
      </w:r>
      <w:r>
        <w:rPr>
          <w:spacing w:val="-6"/>
        </w:rPr>
        <w:t> </w:t>
      </w:r>
      <w:r>
        <w:rPr/>
        <w:t>DISACC</w:t>
      </w:r>
      <w:r>
        <w:rPr>
          <w:spacing w:val="-6"/>
        </w:rPr>
        <w:t> </w:t>
      </w:r>
      <w:r>
        <w:rPr/>
        <w:t>though not</w:t>
      </w:r>
      <w:r>
        <w:rPr>
          <w:spacing w:val="-9"/>
        </w:rPr>
        <w:t> </w:t>
      </w:r>
      <w:r>
        <w:rPr/>
        <w:t>significant</w:t>
      </w:r>
      <w:r>
        <w:rPr>
          <w:spacing w:val="-9"/>
        </w:rPr>
        <w:t> </w:t>
      </w:r>
      <w:r>
        <w:rPr/>
        <w:t>at</w:t>
      </w:r>
      <w:r>
        <w:rPr>
          <w:spacing w:val="-9"/>
        </w:rPr>
        <w:t> </w:t>
      </w:r>
      <w:r>
        <w:rPr/>
        <w:t>5%</w:t>
      </w:r>
      <w:r>
        <w:rPr>
          <w:spacing w:val="-10"/>
        </w:rPr>
        <w:t> </w:t>
      </w:r>
      <w:r>
        <w:rPr/>
        <w:t>(0.0012,</w:t>
      </w:r>
      <w:r>
        <w:rPr>
          <w:spacing w:val="-10"/>
        </w:rPr>
        <w:t> </w:t>
      </w:r>
      <w:r>
        <w:rPr/>
        <w:t>p=0.8574)</w:t>
      </w:r>
      <w:r>
        <w:rPr>
          <w:spacing w:val="-8"/>
        </w:rPr>
        <w:t> </w:t>
      </w:r>
      <w:r>
        <w:rPr/>
        <w:t>and</w:t>
      </w:r>
      <w:r>
        <w:rPr>
          <w:spacing w:val="-10"/>
        </w:rPr>
        <w:t> </w:t>
      </w:r>
      <w:r>
        <w:rPr/>
        <w:t>the</w:t>
      </w:r>
      <w:r>
        <w:rPr>
          <w:spacing w:val="-11"/>
        </w:rPr>
        <w:t> </w:t>
      </w:r>
      <w:r>
        <w:rPr/>
        <w:t>interaction</w:t>
      </w:r>
      <w:r>
        <w:rPr>
          <w:spacing w:val="-10"/>
        </w:rPr>
        <w:t> </w:t>
      </w:r>
      <w:r>
        <w:rPr/>
        <w:t>Post-IFRS*INSTOWN</w:t>
      </w:r>
      <w:r>
        <w:rPr>
          <w:spacing w:val="-10"/>
        </w:rPr>
        <w:t> </w:t>
      </w:r>
      <w:r>
        <w:rPr/>
        <w:t>testing</w:t>
      </w:r>
      <w:r>
        <w:rPr>
          <w:spacing w:val="-9"/>
        </w:rPr>
        <w:t> </w:t>
      </w:r>
      <w:r>
        <w:rPr/>
        <w:t>the presence of incremental IFRS adoption effect also did not show that INSTOWN had a significant incremental effect on DISACC resulting from IFRS adoption (0.0007, p=0.9325). The</w:t>
      </w:r>
      <w:r>
        <w:rPr>
          <w:spacing w:val="-12"/>
        </w:rPr>
        <w:t> </w:t>
      </w:r>
      <w:r>
        <w:rPr/>
        <w:t>estimations</w:t>
      </w:r>
      <w:r>
        <w:rPr>
          <w:spacing w:val="-10"/>
        </w:rPr>
        <w:t> </w:t>
      </w:r>
      <w:r>
        <w:rPr/>
        <w:t>revealed</w:t>
      </w:r>
      <w:r>
        <w:rPr>
          <w:spacing w:val="-6"/>
        </w:rPr>
        <w:t> </w:t>
      </w:r>
      <w:r>
        <w:rPr/>
        <w:t>that</w:t>
      </w:r>
      <w:r>
        <w:rPr>
          <w:spacing w:val="-8"/>
        </w:rPr>
        <w:t> </w:t>
      </w:r>
      <w:r>
        <w:rPr/>
        <w:t>INSTOWN</w:t>
      </w:r>
      <w:r>
        <w:rPr>
          <w:spacing w:val="-9"/>
        </w:rPr>
        <w:t> </w:t>
      </w:r>
      <w:r>
        <w:rPr/>
        <w:t>had</w:t>
      </w:r>
      <w:r>
        <w:rPr>
          <w:spacing w:val="-8"/>
        </w:rPr>
        <w:t> </w:t>
      </w:r>
      <w:r>
        <w:rPr/>
        <w:t>a</w:t>
      </w:r>
      <w:r>
        <w:rPr>
          <w:spacing w:val="-12"/>
        </w:rPr>
        <w:t> </w:t>
      </w:r>
      <w:r>
        <w:rPr/>
        <w:t>positive</w:t>
      </w:r>
      <w:r>
        <w:rPr>
          <w:spacing w:val="-11"/>
        </w:rPr>
        <w:t> </w:t>
      </w:r>
      <w:r>
        <w:rPr/>
        <w:t>effect</w:t>
      </w:r>
      <w:r>
        <w:rPr>
          <w:spacing w:val="-10"/>
        </w:rPr>
        <w:t> </w:t>
      </w:r>
      <w:r>
        <w:rPr/>
        <w:t>on</w:t>
      </w:r>
      <w:r>
        <w:rPr>
          <w:spacing w:val="-11"/>
        </w:rPr>
        <w:t> </w:t>
      </w:r>
      <w:r>
        <w:rPr/>
        <w:t>value</w:t>
      </w:r>
      <w:r>
        <w:rPr>
          <w:spacing w:val="-11"/>
        </w:rPr>
        <w:t> </w:t>
      </w:r>
      <w:r>
        <w:rPr/>
        <w:t>relevance</w:t>
      </w:r>
      <w:r>
        <w:rPr>
          <w:spacing w:val="-8"/>
        </w:rPr>
        <w:t> </w:t>
      </w:r>
      <w:r>
        <w:rPr/>
        <w:t>although</w:t>
      </w:r>
      <w:r>
        <w:rPr>
          <w:spacing w:val="-10"/>
        </w:rPr>
        <w:t> </w:t>
      </w:r>
      <w:r>
        <w:rPr/>
        <w:t>not significant at 5% (0.0594, p=0.0533) but the interaction Post-IFRS*INSTOWN testing the presence</w:t>
      </w:r>
      <w:r>
        <w:rPr>
          <w:spacing w:val="-2"/>
        </w:rPr>
        <w:t> </w:t>
      </w:r>
      <w:r>
        <w:rPr/>
        <w:t>of</w:t>
      </w:r>
      <w:r>
        <w:rPr>
          <w:spacing w:val="-2"/>
        </w:rPr>
        <w:t> </w:t>
      </w:r>
      <w:r>
        <w:rPr/>
        <w:t>incremental IFRS</w:t>
      </w:r>
      <w:r>
        <w:rPr>
          <w:spacing w:val="-1"/>
        </w:rPr>
        <w:t> </w:t>
      </w:r>
      <w:r>
        <w:rPr/>
        <w:t>adoption</w:t>
      </w:r>
      <w:r>
        <w:rPr>
          <w:spacing w:val="-1"/>
        </w:rPr>
        <w:t> </w:t>
      </w:r>
      <w:r>
        <w:rPr/>
        <w:t>effect</w:t>
      </w:r>
      <w:r>
        <w:rPr>
          <w:spacing w:val="-1"/>
        </w:rPr>
        <w:t> </w:t>
      </w:r>
      <w:r>
        <w:rPr/>
        <w:t>showed</w:t>
      </w:r>
      <w:r>
        <w:rPr>
          <w:spacing w:val="-1"/>
        </w:rPr>
        <w:t> </w:t>
      </w:r>
      <w:r>
        <w:rPr/>
        <w:t>that INSTOWN</w:t>
      </w:r>
      <w:r>
        <w:rPr>
          <w:spacing w:val="-2"/>
        </w:rPr>
        <w:t> </w:t>
      </w:r>
      <w:r>
        <w:rPr/>
        <w:t>had a</w:t>
      </w:r>
      <w:r>
        <w:rPr>
          <w:spacing w:val="-2"/>
        </w:rPr>
        <w:t> </w:t>
      </w:r>
      <w:r>
        <w:rPr/>
        <w:t>significant</w:t>
      </w:r>
      <w:r>
        <w:rPr>
          <w:spacing w:val="-1"/>
        </w:rPr>
        <w:t> </w:t>
      </w:r>
      <w:r>
        <w:rPr/>
        <w:t>effect on</w:t>
      </w:r>
      <w:r>
        <w:rPr>
          <w:spacing w:val="-3"/>
        </w:rPr>
        <w:t> </w:t>
      </w:r>
      <w:r>
        <w:rPr/>
        <w:t>VREL</w:t>
      </w:r>
      <w:r>
        <w:rPr>
          <w:spacing w:val="-3"/>
        </w:rPr>
        <w:t> </w:t>
      </w:r>
      <w:r>
        <w:rPr/>
        <w:t>resulting</w:t>
      </w:r>
      <w:r>
        <w:rPr>
          <w:spacing w:val="-3"/>
        </w:rPr>
        <w:t> </w:t>
      </w:r>
      <w:r>
        <w:rPr/>
        <w:t>from</w:t>
      </w:r>
      <w:r>
        <w:rPr>
          <w:spacing w:val="-3"/>
        </w:rPr>
        <w:t> </w:t>
      </w:r>
      <w:r>
        <w:rPr/>
        <w:t>IFRS</w:t>
      </w:r>
      <w:r>
        <w:rPr>
          <w:spacing w:val="-3"/>
        </w:rPr>
        <w:t> </w:t>
      </w:r>
      <w:r>
        <w:rPr/>
        <w:t>adoption</w:t>
      </w:r>
      <w:r>
        <w:rPr>
          <w:spacing w:val="-3"/>
        </w:rPr>
        <w:t> </w:t>
      </w:r>
      <w:r>
        <w:rPr/>
        <w:t>(-0.17926,</w:t>
      </w:r>
      <w:r>
        <w:rPr>
          <w:spacing w:val="-3"/>
        </w:rPr>
        <w:t> </w:t>
      </w:r>
      <w:r>
        <w:rPr/>
        <w:t>p=0.000)</w:t>
      </w:r>
      <w:r>
        <w:rPr>
          <w:spacing w:val="-4"/>
        </w:rPr>
        <w:t> </w:t>
      </w:r>
      <w:r>
        <w:rPr/>
        <w:t>although</w:t>
      </w:r>
      <w:r>
        <w:rPr>
          <w:spacing w:val="-3"/>
        </w:rPr>
        <w:t> </w:t>
      </w:r>
      <w:r>
        <w:rPr/>
        <w:t>the</w:t>
      </w:r>
      <w:r>
        <w:rPr>
          <w:spacing w:val="-4"/>
        </w:rPr>
        <w:t> </w:t>
      </w:r>
      <w:r>
        <w:rPr/>
        <w:t>negative</w:t>
      </w:r>
      <w:r>
        <w:rPr>
          <w:spacing w:val="-4"/>
        </w:rPr>
        <w:t> </w:t>
      </w:r>
      <w:r>
        <w:rPr/>
        <w:t>coefficient suggested</w:t>
      </w:r>
      <w:r>
        <w:rPr>
          <w:spacing w:val="-15"/>
        </w:rPr>
        <w:t> </w:t>
      </w:r>
      <w:r>
        <w:rPr/>
        <w:t>the</w:t>
      </w:r>
      <w:r>
        <w:rPr>
          <w:spacing w:val="-15"/>
        </w:rPr>
        <w:t> </w:t>
      </w:r>
      <w:r>
        <w:rPr/>
        <w:t>effect</w:t>
      </w:r>
      <w:r>
        <w:rPr>
          <w:spacing w:val="-13"/>
        </w:rPr>
        <w:t> </w:t>
      </w:r>
      <w:r>
        <w:rPr/>
        <w:t>could</w:t>
      </w:r>
      <w:r>
        <w:rPr>
          <w:spacing w:val="-14"/>
        </w:rPr>
        <w:t> </w:t>
      </w:r>
      <w:r>
        <w:rPr/>
        <w:t>actually</w:t>
      </w:r>
      <w:r>
        <w:rPr>
          <w:spacing w:val="-14"/>
        </w:rPr>
        <w:t> </w:t>
      </w:r>
      <w:r>
        <w:rPr/>
        <w:t>be</w:t>
      </w:r>
      <w:r>
        <w:rPr>
          <w:spacing w:val="-15"/>
        </w:rPr>
        <w:t> </w:t>
      </w:r>
      <w:r>
        <w:rPr/>
        <w:t>decremental</w:t>
      </w:r>
      <w:r>
        <w:rPr>
          <w:spacing w:val="-13"/>
        </w:rPr>
        <w:t> </w:t>
      </w:r>
      <w:r>
        <w:rPr/>
        <w:t>suggesting</w:t>
      </w:r>
      <w:r>
        <w:rPr>
          <w:spacing w:val="-14"/>
        </w:rPr>
        <w:t> </w:t>
      </w:r>
      <w:r>
        <w:rPr/>
        <w:t>that</w:t>
      </w:r>
      <w:r>
        <w:rPr>
          <w:spacing w:val="-13"/>
        </w:rPr>
        <w:t> </w:t>
      </w:r>
      <w:r>
        <w:rPr/>
        <w:t>a</w:t>
      </w:r>
      <w:r>
        <w:rPr>
          <w:spacing w:val="-15"/>
        </w:rPr>
        <w:t> </w:t>
      </w:r>
      <w:r>
        <w:rPr/>
        <w:t>higher</w:t>
      </w:r>
      <w:r>
        <w:rPr>
          <w:spacing w:val="-15"/>
        </w:rPr>
        <w:t> </w:t>
      </w:r>
      <w:r>
        <w:rPr/>
        <w:t>level</w:t>
      </w:r>
      <w:r>
        <w:rPr>
          <w:spacing w:val="-14"/>
        </w:rPr>
        <w:t> </w:t>
      </w:r>
      <w:r>
        <w:rPr/>
        <w:t>of</w:t>
      </w:r>
      <w:r>
        <w:rPr>
          <w:spacing w:val="-15"/>
        </w:rPr>
        <w:t> </w:t>
      </w:r>
      <w:r>
        <w:rPr/>
        <w:t>institutional ownership in the post-IFRS results in declining value relevance. As indicated earlier, the fact that the value relevance was market based could suggest a possible inaccurate assessment of institutional ownership efforts. Also, issues of market efficiency could also play a role in the outcome. In conclusion, based on the three measures of financial reporting used in this study, institutional</w:t>
      </w:r>
      <w:r>
        <w:rPr>
          <w:spacing w:val="-15"/>
        </w:rPr>
        <w:t> </w:t>
      </w:r>
      <w:r>
        <w:rPr/>
        <w:t>ownership</w:t>
      </w:r>
      <w:r>
        <w:rPr>
          <w:spacing w:val="-13"/>
        </w:rPr>
        <w:t> </w:t>
      </w:r>
      <w:r>
        <w:rPr/>
        <w:t>was</w:t>
      </w:r>
      <w:r>
        <w:rPr>
          <w:spacing w:val="-13"/>
        </w:rPr>
        <w:t> </w:t>
      </w:r>
      <w:r>
        <w:rPr/>
        <w:t>found</w:t>
      </w:r>
      <w:r>
        <w:rPr>
          <w:spacing w:val="-14"/>
        </w:rPr>
        <w:t> </w:t>
      </w:r>
      <w:r>
        <w:rPr/>
        <w:t>to</w:t>
      </w:r>
      <w:r>
        <w:rPr>
          <w:spacing w:val="-13"/>
        </w:rPr>
        <w:t> </w:t>
      </w:r>
      <w:r>
        <w:rPr/>
        <w:t>have</w:t>
      </w:r>
      <w:r>
        <w:rPr>
          <w:spacing w:val="-14"/>
        </w:rPr>
        <w:t> </w:t>
      </w:r>
      <w:r>
        <w:rPr/>
        <w:t>a</w:t>
      </w:r>
      <w:r>
        <w:rPr>
          <w:spacing w:val="-14"/>
        </w:rPr>
        <w:t> </w:t>
      </w:r>
      <w:r>
        <w:rPr/>
        <w:t>significant</w:t>
      </w:r>
      <w:r>
        <w:rPr>
          <w:spacing w:val="-13"/>
        </w:rPr>
        <w:t> </w:t>
      </w:r>
      <w:r>
        <w:rPr/>
        <w:t>effect</w:t>
      </w:r>
      <w:r>
        <w:rPr>
          <w:spacing w:val="-13"/>
        </w:rPr>
        <w:t> </w:t>
      </w:r>
      <w:r>
        <w:rPr/>
        <w:t>for</w:t>
      </w:r>
      <w:r>
        <w:rPr>
          <w:spacing w:val="-15"/>
        </w:rPr>
        <w:t> </w:t>
      </w:r>
      <w:r>
        <w:rPr/>
        <w:t>at</w:t>
      </w:r>
      <w:r>
        <w:rPr>
          <w:spacing w:val="-13"/>
        </w:rPr>
        <w:t> </w:t>
      </w:r>
      <w:r>
        <w:rPr/>
        <w:t>least</w:t>
      </w:r>
      <w:r>
        <w:rPr>
          <w:spacing w:val="-12"/>
        </w:rPr>
        <w:t> </w:t>
      </w:r>
      <w:r>
        <w:rPr/>
        <w:t>one;</w:t>
      </w:r>
      <w:r>
        <w:rPr>
          <w:spacing w:val="-13"/>
        </w:rPr>
        <w:t> </w:t>
      </w:r>
      <w:r>
        <w:rPr/>
        <w:t>VREL</w:t>
      </w:r>
      <w:r>
        <w:rPr>
          <w:spacing w:val="-13"/>
        </w:rPr>
        <w:t> </w:t>
      </w:r>
      <w:r>
        <w:rPr/>
        <w:t>and</w:t>
      </w:r>
      <w:r>
        <w:rPr>
          <w:spacing w:val="-13"/>
        </w:rPr>
        <w:t> </w:t>
      </w:r>
      <w:r>
        <w:rPr/>
        <w:t>hence, </w:t>
      </w:r>
      <w:r>
        <w:rPr>
          <w:position w:val="2"/>
        </w:rPr>
        <w:t>the</w:t>
      </w:r>
      <w:r>
        <w:rPr>
          <w:spacing w:val="-8"/>
          <w:position w:val="2"/>
        </w:rPr>
        <w:t> </w:t>
      </w:r>
      <w:r>
        <w:rPr>
          <w:position w:val="2"/>
        </w:rPr>
        <w:t>null</w:t>
      </w:r>
      <w:r>
        <w:rPr>
          <w:spacing w:val="-7"/>
          <w:position w:val="2"/>
        </w:rPr>
        <w:t> </w:t>
      </w:r>
      <w:r>
        <w:rPr>
          <w:position w:val="2"/>
        </w:rPr>
        <w:t>hypothesis</w:t>
      </w:r>
      <w:r>
        <w:rPr>
          <w:spacing w:val="-7"/>
          <w:position w:val="2"/>
        </w:rPr>
        <w:t> </w:t>
      </w:r>
      <w:r>
        <w:rPr>
          <w:position w:val="2"/>
        </w:rPr>
        <w:t>that</w:t>
      </w:r>
      <w:r>
        <w:rPr>
          <w:spacing w:val="-5"/>
          <w:position w:val="2"/>
        </w:rPr>
        <w:t> </w:t>
      </w:r>
      <w:r>
        <w:rPr>
          <w:position w:val="2"/>
        </w:rPr>
        <w:t>H</w:t>
      </w:r>
      <w:r>
        <w:rPr>
          <w:sz w:val="16"/>
        </w:rPr>
        <w:t>05</w:t>
      </w:r>
      <w:r>
        <w:rPr>
          <w:position w:val="2"/>
        </w:rPr>
        <w:t>:</w:t>
      </w:r>
      <w:r>
        <w:rPr>
          <w:spacing w:val="-7"/>
          <w:position w:val="2"/>
        </w:rPr>
        <w:t> </w:t>
      </w:r>
      <w:r>
        <w:rPr>
          <w:i/>
          <w:position w:val="2"/>
        </w:rPr>
        <w:t>institutional</w:t>
      </w:r>
      <w:r>
        <w:rPr>
          <w:i/>
          <w:spacing w:val="-7"/>
          <w:position w:val="2"/>
        </w:rPr>
        <w:t> </w:t>
      </w:r>
      <w:r>
        <w:rPr>
          <w:i/>
          <w:position w:val="2"/>
        </w:rPr>
        <w:t>ownership</w:t>
      </w:r>
      <w:r>
        <w:rPr>
          <w:i/>
          <w:spacing w:val="-7"/>
          <w:position w:val="2"/>
        </w:rPr>
        <w:t> </w:t>
      </w:r>
      <w:r>
        <w:rPr>
          <w:i/>
          <w:position w:val="2"/>
        </w:rPr>
        <w:t>has</w:t>
      </w:r>
      <w:r>
        <w:rPr>
          <w:i/>
          <w:spacing w:val="-7"/>
          <w:position w:val="2"/>
        </w:rPr>
        <w:t> </w:t>
      </w:r>
      <w:r>
        <w:rPr>
          <w:i/>
          <w:position w:val="2"/>
        </w:rPr>
        <w:t>no</w:t>
      </w:r>
      <w:r>
        <w:rPr>
          <w:i/>
          <w:spacing w:val="-7"/>
          <w:position w:val="2"/>
        </w:rPr>
        <w:t> </w:t>
      </w:r>
      <w:r>
        <w:rPr>
          <w:i/>
          <w:position w:val="2"/>
        </w:rPr>
        <w:t>significant</w:t>
      </w:r>
      <w:r>
        <w:rPr>
          <w:i/>
          <w:spacing w:val="-7"/>
          <w:position w:val="2"/>
        </w:rPr>
        <w:t> </w:t>
      </w:r>
      <w:r>
        <w:rPr>
          <w:i/>
          <w:position w:val="2"/>
        </w:rPr>
        <w:t>impact</w:t>
      </w:r>
      <w:r>
        <w:rPr>
          <w:i/>
          <w:spacing w:val="-7"/>
          <w:position w:val="2"/>
        </w:rPr>
        <w:t> </w:t>
      </w:r>
      <w:r>
        <w:rPr>
          <w:i/>
          <w:position w:val="2"/>
        </w:rPr>
        <w:t>on</w:t>
      </w:r>
      <w:r>
        <w:rPr>
          <w:i/>
          <w:spacing w:val="-4"/>
          <w:position w:val="2"/>
        </w:rPr>
        <w:t> </w:t>
      </w:r>
      <w:r>
        <w:rPr>
          <w:i/>
          <w:position w:val="2"/>
        </w:rPr>
        <w:t>the</w:t>
      </w:r>
      <w:r>
        <w:rPr>
          <w:i/>
          <w:spacing w:val="-5"/>
          <w:position w:val="2"/>
        </w:rPr>
        <w:t> </w:t>
      </w:r>
      <w:r>
        <w:rPr>
          <w:i/>
          <w:position w:val="2"/>
        </w:rPr>
        <w:t>reporting </w:t>
      </w:r>
      <w:r>
        <w:rPr>
          <w:i/>
        </w:rPr>
        <w:t>quality</w:t>
      </w:r>
      <w:r>
        <w:rPr>
          <w:i/>
          <w:spacing w:val="-1"/>
        </w:rPr>
        <w:t> </w:t>
      </w:r>
      <w:r>
        <w:rPr>
          <w:i/>
        </w:rPr>
        <w:t>of listed</w:t>
      </w:r>
      <w:r>
        <w:rPr>
          <w:i/>
          <w:spacing w:val="-1"/>
        </w:rPr>
        <w:t> </w:t>
      </w:r>
      <w:r>
        <w:rPr>
          <w:i/>
        </w:rPr>
        <w:t>companies on the</w:t>
      </w:r>
      <w:r>
        <w:rPr>
          <w:i/>
          <w:spacing w:val="-1"/>
        </w:rPr>
        <w:t> </w:t>
      </w:r>
      <w:r>
        <w:rPr>
          <w:i/>
        </w:rPr>
        <w:t>Nigerian Stock</w:t>
      </w:r>
      <w:r>
        <w:rPr>
          <w:i/>
          <w:spacing w:val="-2"/>
        </w:rPr>
        <w:t> </w:t>
      </w:r>
      <w:r>
        <w:rPr>
          <w:i/>
        </w:rPr>
        <w:t>Exchange</w:t>
      </w:r>
      <w:r>
        <w:rPr>
          <w:i/>
          <w:spacing w:val="-1"/>
        </w:rPr>
        <w:t> </w:t>
      </w:r>
      <w:r>
        <w:rPr>
          <w:i/>
        </w:rPr>
        <w:t>(NSE)</w:t>
      </w:r>
      <w:r>
        <w:rPr>
          <w:i/>
          <w:spacing w:val="-1"/>
        </w:rPr>
        <w:t> </w:t>
      </w:r>
      <w:r>
        <w:rPr>
          <w:i/>
        </w:rPr>
        <w:t>in a post-IFRS</w:t>
      </w:r>
      <w:r>
        <w:rPr>
          <w:i/>
          <w:spacing w:val="-1"/>
        </w:rPr>
        <w:t> </w:t>
      </w:r>
      <w:r>
        <w:rPr>
          <w:i/>
        </w:rPr>
        <w:t>regime</w:t>
      </w:r>
      <w:r>
        <w:rPr>
          <w:i/>
          <w:spacing w:val="-1"/>
        </w:rPr>
        <w:t> </w:t>
      </w:r>
      <w:r>
        <w:rPr/>
        <w:t>was </w:t>
      </w:r>
      <w:r>
        <w:rPr>
          <w:spacing w:val="-2"/>
        </w:rPr>
        <w:t>rejected.</w:t>
      </w:r>
    </w:p>
    <w:p>
      <w:pPr>
        <w:spacing w:after="0" w:line="480" w:lineRule="auto"/>
        <w:jc w:val="both"/>
        <w:sectPr>
          <w:pgSz w:w="11910" w:h="16840"/>
          <w:pgMar w:header="0" w:footer="971" w:top="1900" w:bottom="1160" w:left="500" w:right="0"/>
        </w:sectPr>
      </w:pPr>
    </w:p>
    <w:p>
      <w:pPr>
        <w:pStyle w:val="Heading3"/>
        <w:spacing w:line="480" w:lineRule="auto" w:before="60"/>
        <w:ind w:right="1442"/>
      </w:pPr>
      <w:r>
        <w:rPr>
          <w:position w:val="1"/>
        </w:rPr>
        <w:t>H</w:t>
      </w:r>
      <w:r>
        <w:rPr>
          <w:sz w:val="16"/>
        </w:rPr>
        <w:t>06</w:t>
      </w:r>
      <w:r>
        <w:rPr>
          <w:position w:val="1"/>
        </w:rPr>
        <w:t>: Managerial Ownership has no significant impact on reporting quality of listed </w:t>
      </w:r>
      <w:r>
        <w:rPr/>
        <w:t>companies in the Nigerian Stock Exchange (NSE) in a post-IFRS regime</w:t>
      </w:r>
    </w:p>
    <w:p>
      <w:pPr>
        <w:pStyle w:val="BodyText"/>
        <w:spacing w:line="480" w:lineRule="auto" w:before="1"/>
        <w:ind w:left="940" w:right="1434"/>
        <w:jc w:val="both"/>
      </w:pPr>
      <w:r>
        <w:rPr/>
        <w:drawing>
          <wp:anchor distT="0" distB="0" distL="0" distR="0" allowOverlap="1" layoutInCell="1" locked="0" behindDoc="1" simplePos="0" relativeHeight="477755904">
            <wp:simplePos x="0" y="0"/>
            <wp:positionH relativeFrom="page">
              <wp:posOffset>1095451</wp:posOffset>
            </wp:positionH>
            <wp:positionV relativeFrom="paragraph">
              <wp:posOffset>1111690</wp:posOffset>
            </wp:positionV>
            <wp:extent cx="5106847" cy="5238115"/>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3"/>
        </w:rPr>
        <w:t> </w:t>
      </w:r>
      <w:r>
        <w:rPr/>
        <w:t>estimations</w:t>
      </w:r>
      <w:r>
        <w:rPr>
          <w:spacing w:val="-1"/>
        </w:rPr>
        <w:t> </w:t>
      </w:r>
      <w:r>
        <w:rPr/>
        <w:t>revealed that</w:t>
      </w:r>
      <w:r>
        <w:rPr>
          <w:spacing w:val="-1"/>
        </w:rPr>
        <w:t> </w:t>
      </w:r>
      <w:r>
        <w:rPr/>
        <w:t>MOWN</w:t>
      </w:r>
      <w:r>
        <w:rPr>
          <w:spacing w:val="-2"/>
        </w:rPr>
        <w:t> </w:t>
      </w:r>
      <w:r>
        <w:rPr/>
        <w:t>had</w:t>
      </w:r>
      <w:r>
        <w:rPr>
          <w:spacing w:val="-1"/>
        </w:rPr>
        <w:t> </w:t>
      </w:r>
      <w:r>
        <w:rPr/>
        <w:t>a</w:t>
      </w:r>
      <w:r>
        <w:rPr>
          <w:spacing w:val="-2"/>
        </w:rPr>
        <w:t> </w:t>
      </w:r>
      <w:r>
        <w:rPr/>
        <w:t>positive</w:t>
      </w:r>
      <w:r>
        <w:rPr>
          <w:spacing w:val="-2"/>
        </w:rPr>
        <w:t> </w:t>
      </w:r>
      <w:r>
        <w:rPr/>
        <w:t>effect</w:t>
      </w:r>
      <w:r>
        <w:rPr>
          <w:spacing w:val="-1"/>
        </w:rPr>
        <w:t> </w:t>
      </w:r>
      <w:r>
        <w:rPr/>
        <w:t>on</w:t>
      </w:r>
      <w:r>
        <w:rPr>
          <w:spacing w:val="-1"/>
        </w:rPr>
        <w:t> </w:t>
      </w:r>
      <w:r>
        <w:rPr/>
        <w:t>QUA-FRQ</w:t>
      </w:r>
      <w:r>
        <w:rPr>
          <w:spacing w:val="-2"/>
        </w:rPr>
        <w:t> </w:t>
      </w:r>
      <w:r>
        <w:rPr/>
        <w:t>and was</w:t>
      </w:r>
      <w:r>
        <w:rPr>
          <w:spacing w:val="-1"/>
        </w:rPr>
        <w:t> </w:t>
      </w:r>
      <w:r>
        <w:rPr/>
        <w:t>significant at 5% (0.005, p=0.2319) however, the interaction Post-IFRS*MOWN testing the presence of incremental IFRS adoption effect also did not show that MOWN had any significant incremental effect on QUA-FRQ resulting from IFRS adoption (0.0005, p=0.2696). The estimations</w:t>
      </w:r>
      <w:r>
        <w:rPr>
          <w:spacing w:val="-1"/>
        </w:rPr>
        <w:t> </w:t>
      </w:r>
      <w:r>
        <w:rPr/>
        <w:t>revealed</w:t>
      </w:r>
      <w:r>
        <w:rPr>
          <w:spacing w:val="-1"/>
        </w:rPr>
        <w:t> </w:t>
      </w:r>
      <w:r>
        <w:rPr/>
        <w:t>that MOWN</w:t>
      </w:r>
      <w:r>
        <w:rPr>
          <w:spacing w:val="-2"/>
        </w:rPr>
        <w:t> </w:t>
      </w:r>
      <w:r>
        <w:rPr/>
        <w:t>had</w:t>
      </w:r>
      <w:r>
        <w:rPr>
          <w:spacing w:val="-1"/>
        </w:rPr>
        <w:t> </w:t>
      </w:r>
      <w:r>
        <w:rPr/>
        <w:t>a</w:t>
      </w:r>
      <w:r>
        <w:rPr>
          <w:spacing w:val="-2"/>
        </w:rPr>
        <w:t> </w:t>
      </w:r>
      <w:r>
        <w:rPr/>
        <w:t>positive</w:t>
      </w:r>
      <w:r>
        <w:rPr>
          <w:spacing w:val="-2"/>
        </w:rPr>
        <w:t> </w:t>
      </w:r>
      <w:r>
        <w:rPr/>
        <w:t>effect</w:t>
      </w:r>
      <w:r>
        <w:rPr>
          <w:spacing w:val="-1"/>
        </w:rPr>
        <w:t> </w:t>
      </w:r>
      <w:r>
        <w:rPr/>
        <w:t>on</w:t>
      </w:r>
      <w:r>
        <w:rPr>
          <w:spacing w:val="-1"/>
        </w:rPr>
        <w:t> </w:t>
      </w:r>
      <w:r>
        <w:rPr/>
        <w:t>DISACC</w:t>
      </w:r>
      <w:r>
        <w:rPr>
          <w:spacing w:val="-1"/>
        </w:rPr>
        <w:t> </w:t>
      </w:r>
      <w:r>
        <w:rPr/>
        <w:t>and was significant</w:t>
      </w:r>
      <w:r>
        <w:rPr>
          <w:spacing w:val="-1"/>
        </w:rPr>
        <w:t> </w:t>
      </w:r>
      <w:r>
        <w:rPr/>
        <w:t>at</w:t>
      </w:r>
      <w:r>
        <w:rPr>
          <w:spacing w:val="-1"/>
        </w:rPr>
        <w:t> </w:t>
      </w:r>
      <w:r>
        <w:rPr/>
        <w:t>5% (0.010, p=0.0468) however, the interaction Post-IFRS*MOWN testing the presence of incremental IFRS adoption effect also did not show that MOWN had any significant incremental</w:t>
      </w:r>
      <w:r>
        <w:rPr>
          <w:spacing w:val="-15"/>
        </w:rPr>
        <w:t> </w:t>
      </w:r>
      <w:r>
        <w:rPr/>
        <w:t>effect</w:t>
      </w:r>
      <w:r>
        <w:rPr>
          <w:spacing w:val="-15"/>
        </w:rPr>
        <w:t> </w:t>
      </w:r>
      <w:r>
        <w:rPr/>
        <w:t>on</w:t>
      </w:r>
      <w:r>
        <w:rPr>
          <w:spacing w:val="-15"/>
        </w:rPr>
        <w:t> </w:t>
      </w:r>
      <w:r>
        <w:rPr/>
        <w:t>DISACC</w:t>
      </w:r>
      <w:r>
        <w:rPr>
          <w:spacing w:val="-15"/>
        </w:rPr>
        <w:t> </w:t>
      </w:r>
      <w:r>
        <w:rPr/>
        <w:t>resulting</w:t>
      </w:r>
      <w:r>
        <w:rPr>
          <w:spacing w:val="-15"/>
        </w:rPr>
        <w:t> </w:t>
      </w:r>
      <w:r>
        <w:rPr/>
        <w:t>from</w:t>
      </w:r>
      <w:r>
        <w:rPr>
          <w:spacing w:val="-15"/>
        </w:rPr>
        <w:t> </w:t>
      </w:r>
      <w:r>
        <w:rPr/>
        <w:t>IFRS</w:t>
      </w:r>
      <w:r>
        <w:rPr>
          <w:spacing w:val="-15"/>
        </w:rPr>
        <w:t> </w:t>
      </w:r>
      <w:r>
        <w:rPr/>
        <w:t>adoption</w:t>
      </w:r>
      <w:r>
        <w:rPr>
          <w:spacing w:val="-15"/>
        </w:rPr>
        <w:t> </w:t>
      </w:r>
      <w:r>
        <w:rPr/>
        <w:t>(0.0018,</w:t>
      </w:r>
      <w:r>
        <w:rPr>
          <w:spacing w:val="-15"/>
        </w:rPr>
        <w:t> </w:t>
      </w:r>
      <w:r>
        <w:rPr/>
        <w:t>p=0.7849).</w:t>
      </w:r>
      <w:r>
        <w:rPr>
          <w:spacing w:val="-15"/>
        </w:rPr>
        <w:t> </w:t>
      </w:r>
      <w:r>
        <w:rPr/>
        <w:t>Furthermore, MOWN had a negative effect on value relevance although not significant at 5% (-0.0172, p=0.6707) however, the interaction Post-IFRS*MOWN testing the presence of incremental IFRS</w:t>
      </w:r>
      <w:r>
        <w:rPr>
          <w:spacing w:val="-3"/>
        </w:rPr>
        <w:t> </w:t>
      </w:r>
      <w:r>
        <w:rPr/>
        <w:t>adoption</w:t>
      </w:r>
      <w:r>
        <w:rPr>
          <w:spacing w:val="-1"/>
        </w:rPr>
        <w:t> </w:t>
      </w:r>
      <w:r>
        <w:rPr/>
        <w:t>effect</w:t>
      </w:r>
      <w:r>
        <w:rPr>
          <w:spacing w:val="-1"/>
        </w:rPr>
        <w:t> </w:t>
      </w:r>
      <w:r>
        <w:rPr/>
        <w:t>also</w:t>
      </w:r>
      <w:r>
        <w:rPr>
          <w:spacing w:val="-3"/>
        </w:rPr>
        <w:t> </w:t>
      </w:r>
      <w:r>
        <w:rPr/>
        <w:t>did</w:t>
      </w:r>
      <w:r>
        <w:rPr>
          <w:spacing w:val="-3"/>
        </w:rPr>
        <w:t> </w:t>
      </w:r>
      <w:r>
        <w:rPr/>
        <w:t>not</w:t>
      </w:r>
      <w:r>
        <w:rPr>
          <w:spacing w:val="-3"/>
        </w:rPr>
        <w:t> </w:t>
      </w:r>
      <w:r>
        <w:rPr/>
        <w:t>show</w:t>
      </w:r>
      <w:r>
        <w:rPr>
          <w:spacing w:val="-2"/>
        </w:rPr>
        <w:t> </w:t>
      </w:r>
      <w:r>
        <w:rPr/>
        <w:t>that</w:t>
      </w:r>
      <w:r>
        <w:rPr>
          <w:spacing w:val="-3"/>
        </w:rPr>
        <w:t> </w:t>
      </w:r>
      <w:r>
        <w:rPr/>
        <w:t>MOWN</w:t>
      </w:r>
      <w:r>
        <w:rPr>
          <w:spacing w:val="-3"/>
        </w:rPr>
        <w:t> </w:t>
      </w:r>
      <w:r>
        <w:rPr/>
        <w:t>had any</w:t>
      </w:r>
      <w:r>
        <w:rPr>
          <w:spacing w:val="-1"/>
        </w:rPr>
        <w:t> </w:t>
      </w:r>
      <w:r>
        <w:rPr/>
        <w:t>significant</w:t>
      </w:r>
      <w:r>
        <w:rPr>
          <w:spacing w:val="-3"/>
        </w:rPr>
        <w:t> </w:t>
      </w:r>
      <w:r>
        <w:rPr/>
        <w:t>incremental</w:t>
      </w:r>
      <w:r>
        <w:rPr>
          <w:spacing w:val="-1"/>
        </w:rPr>
        <w:t> </w:t>
      </w:r>
      <w:r>
        <w:rPr/>
        <w:t>effect</w:t>
      </w:r>
      <w:r>
        <w:rPr>
          <w:spacing w:val="-1"/>
        </w:rPr>
        <w:t> </w:t>
      </w:r>
      <w:r>
        <w:rPr/>
        <w:t>on value</w:t>
      </w:r>
      <w:r>
        <w:rPr>
          <w:spacing w:val="-10"/>
        </w:rPr>
        <w:t> </w:t>
      </w:r>
      <w:r>
        <w:rPr/>
        <w:t>relevance</w:t>
      </w:r>
      <w:r>
        <w:rPr>
          <w:spacing w:val="-9"/>
        </w:rPr>
        <w:t> </w:t>
      </w:r>
      <w:r>
        <w:rPr/>
        <w:t>resulting</w:t>
      </w:r>
      <w:r>
        <w:rPr>
          <w:spacing w:val="-8"/>
        </w:rPr>
        <w:t> </w:t>
      </w:r>
      <w:r>
        <w:rPr/>
        <w:t>from</w:t>
      </w:r>
      <w:r>
        <w:rPr>
          <w:spacing w:val="-8"/>
        </w:rPr>
        <w:t> </w:t>
      </w:r>
      <w:r>
        <w:rPr/>
        <w:t>IFRS</w:t>
      </w:r>
      <w:r>
        <w:rPr>
          <w:spacing w:val="-9"/>
        </w:rPr>
        <w:t> </w:t>
      </w:r>
      <w:r>
        <w:rPr/>
        <w:t>adoption</w:t>
      </w:r>
      <w:r>
        <w:rPr>
          <w:spacing w:val="-10"/>
        </w:rPr>
        <w:t> </w:t>
      </w:r>
      <w:r>
        <w:rPr/>
        <w:t>(0.0129,</w:t>
      </w:r>
      <w:r>
        <w:rPr>
          <w:spacing w:val="-10"/>
        </w:rPr>
        <w:t> </w:t>
      </w:r>
      <w:r>
        <w:rPr/>
        <w:t>p=0.6857).</w:t>
      </w:r>
      <w:r>
        <w:rPr>
          <w:spacing w:val="40"/>
        </w:rPr>
        <w:t> </w:t>
      </w:r>
      <w:r>
        <w:rPr/>
        <w:t>In</w:t>
      </w:r>
      <w:r>
        <w:rPr>
          <w:spacing w:val="-9"/>
        </w:rPr>
        <w:t> </w:t>
      </w:r>
      <w:r>
        <w:rPr/>
        <w:t>conclusion,</w:t>
      </w:r>
      <w:r>
        <w:rPr>
          <w:spacing w:val="-10"/>
        </w:rPr>
        <w:t> </w:t>
      </w:r>
      <w:r>
        <w:rPr/>
        <w:t>based</w:t>
      </w:r>
      <w:r>
        <w:rPr>
          <w:spacing w:val="-10"/>
        </w:rPr>
        <w:t> </w:t>
      </w:r>
      <w:r>
        <w:rPr/>
        <w:t>on</w:t>
      </w:r>
      <w:r>
        <w:rPr>
          <w:spacing w:val="-9"/>
        </w:rPr>
        <w:t> </w:t>
      </w:r>
      <w:r>
        <w:rPr/>
        <w:t>the three measures of financial reporting used in this study, managerial ownership was found to </w:t>
      </w:r>
      <w:r>
        <w:rPr>
          <w:position w:val="2"/>
        </w:rPr>
        <w:t>have an insignificant effect across all measures and hence, the null hypothesis that H</w:t>
      </w:r>
      <w:r>
        <w:rPr>
          <w:sz w:val="16"/>
        </w:rPr>
        <w:t>06</w:t>
      </w:r>
      <w:r>
        <w:rPr>
          <w:position w:val="2"/>
        </w:rPr>
        <w:t>: </w:t>
      </w:r>
      <w:r>
        <w:rPr>
          <w:i/>
        </w:rPr>
        <w:t>managerial ownership has no significant impact on the reporting quality of listed companies on the Nigerian Stock Exchange (NSE) in a post-IFRS regime </w:t>
      </w:r>
      <w:r>
        <w:rPr/>
        <w:t>was accepted.</w:t>
      </w:r>
    </w:p>
    <w:p>
      <w:pPr>
        <w:pStyle w:val="Heading3"/>
        <w:spacing w:line="480" w:lineRule="auto"/>
        <w:ind w:right="1440"/>
      </w:pPr>
      <w:r>
        <w:rPr>
          <w:position w:val="1"/>
        </w:rPr>
        <w:t>H</w:t>
      </w:r>
      <w:r>
        <w:rPr>
          <w:sz w:val="16"/>
        </w:rPr>
        <w:t>07</w:t>
      </w:r>
      <w:r>
        <w:rPr>
          <w:position w:val="1"/>
        </w:rPr>
        <w:t>: Foreign Ownership has no significant impact on the reporting quality of listed </w:t>
      </w:r>
      <w:r>
        <w:rPr/>
        <w:t>companies on the Nigerian Stock Exchange (NSE) in a post-IFRS regime</w:t>
      </w:r>
    </w:p>
    <w:p>
      <w:pPr>
        <w:pStyle w:val="BodyText"/>
        <w:spacing w:line="480" w:lineRule="auto"/>
        <w:ind w:left="940" w:right="1437"/>
        <w:jc w:val="both"/>
      </w:pPr>
      <w:r>
        <w:rPr/>
        <w:t>FOWN</w:t>
      </w:r>
      <w:r>
        <w:rPr>
          <w:spacing w:val="-2"/>
        </w:rPr>
        <w:t> </w:t>
      </w:r>
      <w:r>
        <w:rPr/>
        <w:t>had</w:t>
      </w:r>
      <w:r>
        <w:rPr>
          <w:spacing w:val="-1"/>
        </w:rPr>
        <w:t> </w:t>
      </w:r>
      <w:r>
        <w:rPr/>
        <w:t>a</w:t>
      </w:r>
      <w:r>
        <w:rPr>
          <w:spacing w:val="-2"/>
        </w:rPr>
        <w:t> </w:t>
      </w:r>
      <w:r>
        <w:rPr/>
        <w:t>positive</w:t>
      </w:r>
      <w:r>
        <w:rPr>
          <w:spacing w:val="-2"/>
        </w:rPr>
        <w:t> </w:t>
      </w:r>
      <w:r>
        <w:rPr/>
        <w:t>effect</w:t>
      </w:r>
      <w:r>
        <w:rPr>
          <w:spacing w:val="-1"/>
        </w:rPr>
        <w:t> </w:t>
      </w:r>
      <w:r>
        <w:rPr/>
        <w:t>on</w:t>
      </w:r>
      <w:r>
        <w:rPr>
          <w:spacing w:val="-1"/>
        </w:rPr>
        <w:t> </w:t>
      </w:r>
      <w:r>
        <w:rPr/>
        <w:t>QUA-FRQ</w:t>
      </w:r>
      <w:r>
        <w:rPr>
          <w:spacing w:val="-1"/>
        </w:rPr>
        <w:t> </w:t>
      </w:r>
      <w:r>
        <w:rPr/>
        <w:t>although</w:t>
      </w:r>
      <w:r>
        <w:rPr>
          <w:spacing w:val="-1"/>
        </w:rPr>
        <w:t> </w:t>
      </w:r>
      <w:r>
        <w:rPr/>
        <w:t>not</w:t>
      </w:r>
      <w:r>
        <w:rPr>
          <w:spacing w:val="-1"/>
        </w:rPr>
        <w:t> </w:t>
      </w:r>
      <w:r>
        <w:rPr/>
        <w:t>significant</w:t>
      </w:r>
      <w:r>
        <w:rPr>
          <w:spacing w:val="-1"/>
        </w:rPr>
        <w:t> </w:t>
      </w:r>
      <w:r>
        <w:rPr/>
        <w:t>at</w:t>
      </w:r>
      <w:r>
        <w:rPr>
          <w:spacing w:val="-1"/>
        </w:rPr>
        <w:t> </w:t>
      </w:r>
      <w:r>
        <w:rPr/>
        <w:t>5%</w:t>
      </w:r>
      <w:r>
        <w:rPr>
          <w:spacing w:val="-2"/>
        </w:rPr>
        <w:t> </w:t>
      </w:r>
      <w:r>
        <w:rPr/>
        <w:t>(0.0001,</w:t>
      </w:r>
      <w:r>
        <w:rPr>
          <w:spacing w:val="-1"/>
        </w:rPr>
        <w:t> </w:t>
      </w:r>
      <w:r>
        <w:rPr/>
        <w:t>p=0.7640) and</w:t>
      </w:r>
      <w:r>
        <w:rPr>
          <w:spacing w:val="-15"/>
        </w:rPr>
        <w:t> </w:t>
      </w:r>
      <w:r>
        <w:rPr/>
        <w:t>the</w:t>
      </w:r>
      <w:r>
        <w:rPr>
          <w:spacing w:val="-15"/>
        </w:rPr>
        <w:t> </w:t>
      </w:r>
      <w:r>
        <w:rPr/>
        <w:t>interaction</w:t>
      </w:r>
      <w:r>
        <w:rPr>
          <w:spacing w:val="-15"/>
        </w:rPr>
        <w:t> </w:t>
      </w:r>
      <w:r>
        <w:rPr/>
        <w:t>Post-IFRS*FOWN</w:t>
      </w:r>
      <w:r>
        <w:rPr>
          <w:spacing w:val="-14"/>
        </w:rPr>
        <w:t> </w:t>
      </w:r>
      <w:r>
        <w:rPr/>
        <w:t>testing</w:t>
      </w:r>
      <w:r>
        <w:rPr>
          <w:spacing w:val="-15"/>
        </w:rPr>
        <w:t> </w:t>
      </w:r>
      <w:r>
        <w:rPr/>
        <w:t>the</w:t>
      </w:r>
      <w:r>
        <w:rPr>
          <w:spacing w:val="-15"/>
        </w:rPr>
        <w:t> </w:t>
      </w:r>
      <w:r>
        <w:rPr/>
        <w:t>presence</w:t>
      </w:r>
      <w:r>
        <w:rPr>
          <w:spacing w:val="-15"/>
        </w:rPr>
        <w:t> </w:t>
      </w:r>
      <w:r>
        <w:rPr/>
        <w:t>of</w:t>
      </w:r>
      <w:r>
        <w:rPr>
          <w:spacing w:val="-14"/>
        </w:rPr>
        <w:t> </w:t>
      </w:r>
      <w:r>
        <w:rPr/>
        <w:t>incremental</w:t>
      </w:r>
      <w:r>
        <w:rPr>
          <w:spacing w:val="-13"/>
        </w:rPr>
        <w:t> </w:t>
      </w:r>
      <w:r>
        <w:rPr/>
        <w:t>IFRS</w:t>
      </w:r>
      <w:r>
        <w:rPr>
          <w:spacing w:val="-15"/>
        </w:rPr>
        <w:t> </w:t>
      </w:r>
      <w:r>
        <w:rPr/>
        <w:t>adoption</w:t>
      </w:r>
      <w:r>
        <w:rPr>
          <w:spacing w:val="-15"/>
        </w:rPr>
        <w:t> </w:t>
      </w:r>
      <w:r>
        <w:rPr/>
        <w:t>effect also did show that FOWN had a significant incremental effect on QUA-FRQ resulting from IFRS adoption (0.0009, p=0.0153). Furthermore, the estimations revealed that FOWN had a positive</w:t>
      </w:r>
      <w:r>
        <w:rPr>
          <w:spacing w:val="62"/>
        </w:rPr>
        <w:t> </w:t>
      </w:r>
      <w:r>
        <w:rPr/>
        <w:t>effect</w:t>
      </w:r>
      <w:r>
        <w:rPr>
          <w:spacing w:val="66"/>
        </w:rPr>
        <w:t> </w:t>
      </w:r>
      <w:r>
        <w:rPr/>
        <w:t>on</w:t>
      </w:r>
      <w:r>
        <w:rPr>
          <w:spacing w:val="64"/>
        </w:rPr>
        <w:t> </w:t>
      </w:r>
      <w:r>
        <w:rPr/>
        <w:t>DISACC</w:t>
      </w:r>
      <w:r>
        <w:rPr>
          <w:spacing w:val="68"/>
        </w:rPr>
        <w:t> </w:t>
      </w:r>
      <w:r>
        <w:rPr/>
        <w:t>although</w:t>
      </w:r>
      <w:r>
        <w:rPr>
          <w:spacing w:val="66"/>
        </w:rPr>
        <w:t> </w:t>
      </w:r>
      <w:r>
        <w:rPr/>
        <w:t>not</w:t>
      </w:r>
      <w:r>
        <w:rPr>
          <w:spacing w:val="65"/>
        </w:rPr>
        <w:t> </w:t>
      </w:r>
      <w:r>
        <w:rPr/>
        <w:t>significant</w:t>
      </w:r>
      <w:r>
        <w:rPr>
          <w:spacing w:val="66"/>
        </w:rPr>
        <w:t> </w:t>
      </w:r>
      <w:r>
        <w:rPr/>
        <w:t>at</w:t>
      </w:r>
      <w:r>
        <w:rPr>
          <w:spacing w:val="65"/>
        </w:rPr>
        <w:t> </w:t>
      </w:r>
      <w:r>
        <w:rPr/>
        <w:t>5%</w:t>
      </w:r>
      <w:r>
        <w:rPr>
          <w:spacing w:val="65"/>
        </w:rPr>
        <w:t> </w:t>
      </w:r>
      <w:r>
        <w:rPr/>
        <w:t>(0.0022,</w:t>
      </w:r>
      <w:r>
        <w:rPr>
          <w:spacing w:val="62"/>
        </w:rPr>
        <w:t> </w:t>
      </w:r>
      <w:r>
        <w:rPr/>
        <w:t>p=0.6559)</w:t>
      </w:r>
      <w:r>
        <w:rPr>
          <w:spacing w:val="65"/>
        </w:rPr>
        <w:t> </w:t>
      </w:r>
      <w:r>
        <w:rPr/>
        <w:t>and</w:t>
      </w:r>
      <w:r>
        <w:rPr>
          <w:spacing w:val="65"/>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756416">
            <wp:simplePos x="0" y="0"/>
            <wp:positionH relativeFrom="page">
              <wp:posOffset>1095451</wp:posOffset>
            </wp:positionH>
            <wp:positionV relativeFrom="paragraph">
              <wp:posOffset>1850770</wp:posOffset>
            </wp:positionV>
            <wp:extent cx="5106847" cy="5238115"/>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5" cstate="print"/>
                    <a:stretch>
                      <a:fillRect/>
                    </a:stretch>
                  </pic:blipFill>
                  <pic:spPr>
                    <a:xfrm>
                      <a:off x="0" y="0"/>
                      <a:ext cx="5106847" cy="5238115"/>
                    </a:xfrm>
                    <a:prstGeom prst="rect">
                      <a:avLst/>
                    </a:prstGeom>
                  </pic:spPr>
                </pic:pic>
              </a:graphicData>
            </a:graphic>
          </wp:anchor>
        </w:drawing>
      </w:r>
      <w:r>
        <w:rPr/>
        <w:t>interaction Post-IFRS*FOWN testing the presence of incremental IFRS adoption effect also did not show that FOWN had any significant incremental effect on DISACC resulting from IFRS adoption (0.008, p=0.1715). Finally, FOWN had a negative effect on value relevance although significant at 5% (-0.1587p=0.0042) and the interaction Post-IFRS*FOWN testing the presence of incremental IFRS adoption effect also did show that FOWN had a significant incremental effect on value relevance (0.0852, p=0.0401). In conclusion, based on the three measures of financial reporting used in this study, foreign ownership was found to have an </w:t>
      </w:r>
      <w:r>
        <w:rPr>
          <w:position w:val="2"/>
        </w:rPr>
        <w:t>insignificant effect across all measures and hence, the null hypothesis that H</w:t>
      </w:r>
      <w:r>
        <w:rPr>
          <w:sz w:val="16"/>
        </w:rPr>
        <w:t>07</w:t>
      </w:r>
      <w:r>
        <w:rPr>
          <w:position w:val="2"/>
        </w:rPr>
        <w:t>: </w:t>
      </w:r>
      <w:r>
        <w:rPr>
          <w:i/>
          <w:position w:val="2"/>
        </w:rPr>
        <w:t>foreign </w:t>
      </w:r>
      <w:r>
        <w:rPr>
          <w:i/>
        </w:rPr>
        <w:t>ownership has no significant impact on the reporting quality of listed companies on the Nigerian Stock Exchange (NSE) in a post-IFRS regime </w:t>
      </w:r>
      <w:r>
        <w:rPr/>
        <w:t>was accepted.</w:t>
      </w:r>
    </w:p>
    <w:p>
      <w:pPr>
        <w:pStyle w:val="Heading3"/>
        <w:spacing w:line="480" w:lineRule="auto"/>
        <w:ind w:right="1439"/>
      </w:pPr>
      <w:r>
        <w:rPr>
          <w:position w:val="1"/>
        </w:rPr>
        <w:t>H</w:t>
      </w:r>
      <w:r>
        <w:rPr>
          <w:sz w:val="16"/>
        </w:rPr>
        <w:t>08</w:t>
      </w:r>
      <w:r>
        <w:rPr>
          <w:position w:val="1"/>
        </w:rPr>
        <w:t>: Block Ownership has no significant impact on the reporting quality of listed </w:t>
      </w:r>
      <w:r>
        <w:rPr/>
        <w:t>companies on the Nigerian Stock Exchange (NSE) in a post-IFRS regime</w:t>
      </w:r>
    </w:p>
    <w:p>
      <w:pPr>
        <w:pStyle w:val="BodyText"/>
        <w:spacing w:line="480" w:lineRule="auto"/>
        <w:ind w:left="940" w:right="1436"/>
        <w:jc w:val="both"/>
      </w:pPr>
      <w:r>
        <w:rPr/>
        <w:t>BLOWN had a positive effect on QUA-FRQ although not significant at 5% (-5.01e-05, p=0.8254) and the interaction Post-IFRS*BLOWN was negative and significant at 5% (- 0.0006, p=0.0233).</w:t>
      </w:r>
      <w:r>
        <w:rPr>
          <w:spacing w:val="40"/>
        </w:rPr>
        <w:t> </w:t>
      </w:r>
      <w:r>
        <w:rPr/>
        <w:t>Hence, in testing the presence of incremental IFRS adoption effect, BLOWN showed evidence of a significant decremental effect on QUA-FRQ resulting from IFRS adoption (-0.0006, p=0.0233) indicating that the increase in block ownership significantly declined the qualitative attributes of FRQ after the adoption of IFRS. The estimations revealed that BLOWN had a positive effect on DISACC although not significant at 5% (-0.0034, p=0.5529) and the interaction Post-IFRS*BLOWN testing the presence of incremental IFRS adoption effect also did not show that BLOWN had any significant incremental effect on DISACC resulting from IFRS adoption (-0.00496, p=0.4869).</w:t>
      </w:r>
      <w:r>
        <w:rPr>
          <w:spacing w:val="40"/>
        </w:rPr>
        <w:t> </w:t>
      </w:r>
      <w:r>
        <w:rPr/>
        <w:t>The estimations revealed that BLOWN had a negative effect on value relevance although not significant at 5% (-0.0183, p=0.3489) but the interaction; Post-IFRS*BLOWN, testing the presence</w:t>
      </w:r>
      <w:r>
        <w:rPr>
          <w:spacing w:val="32"/>
        </w:rPr>
        <w:t> </w:t>
      </w:r>
      <w:r>
        <w:rPr/>
        <w:t>of</w:t>
      </w:r>
      <w:r>
        <w:rPr>
          <w:spacing w:val="36"/>
        </w:rPr>
        <w:t> </w:t>
      </w:r>
      <w:r>
        <w:rPr/>
        <w:t>incremental</w:t>
      </w:r>
      <w:r>
        <w:rPr>
          <w:spacing w:val="42"/>
        </w:rPr>
        <w:t> </w:t>
      </w:r>
      <w:r>
        <w:rPr/>
        <w:t>IFRS</w:t>
      </w:r>
      <w:r>
        <w:rPr>
          <w:spacing w:val="34"/>
        </w:rPr>
        <w:t> </w:t>
      </w:r>
      <w:r>
        <w:rPr/>
        <w:t>adoption</w:t>
      </w:r>
      <w:r>
        <w:rPr>
          <w:spacing w:val="37"/>
        </w:rPr>
        <w:t> </w:t>
      </w:r>
      <w:r>
        <w:rPr/>
        <w:t>effect</w:t>
      </w:r>
      <w:r>
        <w:rPr>
          <w:spacing w:val="37"/>
        </w:rPr>
        <w:t> </w:t>
      </w:r>
      <w:r>
        <w:rPr/>
        <w:t>also</w:t>
      </w:r>
      <w:r>
        <w:rPr>
          <w:spacing w:val="35"/>
        </w:rPr>
        <w:t> </w:t>
      </w:r>
      <w:r>
        <w:rPr/>
        <w:t>did</w:t>
      </w:r>
      <w:r>
        <w:rPr>
          <w:spacing w:val="34"/>
        </w:rPr>
        <w:t> </w:t>
      </w:r>
      <w:r>
        <w:rPr/>
        <w:t>show</w:t>
      </w:r>
      <w:r>
        <w:rPr>
          <w:spacing w:val="34"/>
        </w:rPr>
        <w:t> </w:t>
      </w:r>
      <w:r>
        <w:rPr/>
        <w:t>that</w:t>
      </w:r>
      <w:r>
        <w:rPr>
          <w:spacing w:val="34"/>
        </w:rPr>
        <w:t> </w:t>
      </w:r>
      <w:r>
        <w:rPr/>
        <w:t>BLOWN</w:t>
      </w:r>
      <w:r>
        <w:rPr>
          <w:spacing w:val="34"/>
        </w:rPr>
        <w:t> </w:t>
      </w:r>
      <w:r>
        <w:rPr/>
        <w:t>had</w:t>
      </w:r>
      <w:r>
        <w:rPr>
          <w:spacing w:val="40"/>
        </w:rPr>
        <w:t> </w:t>
      </w:r>
      <w:r>
        <w:rPr>
          <w:spacing w:val="-2"/>
        </w:rPr>
        <w:t>significant</w:t>
      </w:r>
    </w:p>
    <w:p>
      <w:pPr>
        <w:spacing w:after="0" w:line="480" w:lineRule="auto"/>
        <w:jc w:val="both"/>
        <w:sectPr>
          <w:pgSz w:w="11910" w:h="16840"/>
          <w:pgMar w:header="0" w:footer="971" w:top="1360" w:bottom="1160" w:left="500" w:right="0"/>
        </w:sectPr>
      </w:pPr>
    </w:p>
    <w:p>
      <w:pPr>
        <w:spacing w:line="480" w:lineRule="auto" w:before="61"/>
        <w:ind w:left="940" w:right="1434" w:firstLine="0"/>
        <w:jc w:val="both"/>
        <w:rPr>
          <w:sz w:val="24"/>
        </w:rPr>
      </w:pPr>
      <w:r>
        <w:rPr/>
        <w:drawing>
          <wp:anchor distT="0" distB="0" distL="0" distR="0" allowOverlap="1" layoutInCell="1" locked="0" behindDoc="1" simplePos="0" relativeHeight="477756928">
            <wp:simplePos x="0" y="0"/>
            <wp:positionH relativeFrom="page">
              <wp:posOffset>1095451</wp:posOffset>
            </wp:positionH>
            <wp:positionV relativeFrom="paragraph">
              <wp:posOffset>1850770</wp:posOffset>
            </wp:positionV>
            <wp:extent cx="5106847" cy="5238115"/>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incremental effect on DISACC (0.1485, p=0.0003). Hence, block ownership was found to improve value relevance in the post-IFRS regime. The outcome could suggest that investors and the market were giving more positive ratings and weights to firms with more block ownership</w:t>
      </w:r>
      <w:r>
        <w:rPr>
          <w:spacing w:val="-12"/>
          <w:sz w:val="24"/>
        </w:rPr>
        <w:t> </w:t>
      </w:r>
      <w:r>
        <w:rPr>
          <w:sz w:val="24"/>
        </w:rPr>
        <w:t>and</w:t>
      </w:r>
      <w:r>
        <w:rPr>
          <w:spacing w:val="-10"/>
          <w:sz w:val="24"/>
        </w:rPr>
        <w:t> </w:t>
      </w:r>
      <w:r>
        <w:rPr>
          <w:sz w:val="24"/>
        </w:rPr>
        <w:t>presence.</w:t>
      </w:r>
      <w:r>
        <w:rPr>
          <w:spacing w:val="-10"/>
          <w:sz w:val="24"/>
        </w:rPr>
        <w:t> </w:t>
      </w:r>
      <w:r>
        <w:rPr>
          <w:sz w:val="24"/>
        </w:rPr>
        <w:t>In</w:t>
      </w:r>
      <w:r>
        <w:rPr>
          <w:spacing w:val="-10"/>
          <w:sz w:val="24"/>
        </w:rPr>
        <w:t> </w:t>
      </w:r>
      <w:r>
        <w:rPr>
          <w:sz w:val="24"/>
        </w:rPr>
        <w:t>conclusion,</w:t>
      </w:r>
      <w:r>
        <w:rPr>
          <w:spacing w:val="-12"/>
          <w:sz w:val="24"/>
        </w:rPr>
        <w:t> </w:t>
      </w:r>
      <w:r>
        <w:rPr>
          <w:sz w:val="24"/>
        </w:rPr>
        <w:t>based</w:t>
      </w:r>
      <w:r>
        <w:rPr>
          <w:spacing w:val="-10"/>
          <w:sz w:val="24"/>
        </w:rPr>
        <w:t> </w:t>
      </w:r>
      <w:r>
        <w:rPr>
          <w:sz w:val="24"/>
        </w:rPr>
        <w:t>on</w:t>
      </w:r>
      <w:r>
        <w:rPr>
          <w:spacing w:val="-12"/>
          <w:sz w:val="24"/>
        </w:rPr>
        <w:t> </w:t>
      </w:r>
      <w:r>
        <w:rPr>
          <w:sz w:val="24"/>
        </w:rPr>
        <w:t>the</w:t>
      </w:r>
      <w:r>
        <w:rPr>
          <w:spacing w:val="-13"/>
          <w:sz w:val="24"/>
        </w:rPr>
        <w:t> </w:t>
      </w:r>
      <w:r>
        <w:rPr>
          <w:sz w:val="24"/>
        </w:rPr>
        <w:t>three</w:t>
      </w:r>
      <w:r>
        <w:rPr>
          <w:spacing w:val="-13"/>
          <w:sz w:val="24"/>
        </w:rPr>
        <w:t> </w:t>
      </w:r>
      <w:r>
        <w:rPr>
          <w:sz w:val="24"/>
        </w:rPr>
        <w:t>measures</w:t>
      </w:r>
      <w:r>
        <w:rPr>
          <w:spacing w:val="-10"/>
          <w:sz w:val="24"/>
        </w:rPr>
        <w:t> </w:t>
      </w:r>
      <w:r>
        <w:rPr>
          <w:sz w:val="24"/>
        </w:rPr>
        <w:t>of</w:t>
      </w:r>
      <w:r>
        <w:rPr>
          <w:spacing w:val="-10"/>
          <w:sz w:val="24"/>
        </w:rPr>
        <w:t> </w:t>
      </w:r>
      <w:r>
        <w:rPr>
          <w:sz w:val="24"/>
        </w:rPr>
        <w:t>financial</w:t>
      </w:r>
      <w:r>
        <w:rPr>
          <w:spacing w:val="-12"/>
          <w:sz w:val="24"/>
        </w:rPr>
        <w:t> </w:t>
      </w:r>
      <w:r>
        <w:rPr>
          <w:sz w:val="24"/>
        </w:rPr>
        <w:t>reporting</w:t>
      </w:r>
      <w:r>
        <w:rPr>
          <w:spacing w:val="-12"/>
          <w:sz w:val="24"/>
        </w:rPr>
        <w:t> </w:t>
      </w:r>
      <w:r>
        <w:rPr>
          <w:sz w:val="24"/>
        </w:rPr>
        <w:t>used in this study, block ownership was found to have a significant effect across QUA-FRQ and </w:t>
      </w:r>
      <w:r>
        <w:rPr>
          <w:position w:val="2"/>
          <w:sz w:val="24"/>
        </w:rPr>
        <w:t>VREL measures and hence, the null hypothesis that H</w:t>
      </w:r>
      <w:r>
        <w:rPr>
          <w:sz w:val="16"/>
        </w:rPr>
        <w:t>08</w:t>
      </w:r>
      <w:r>
        <w:rPr>
          <w:position w:val="2"/>
          <w:sz w:val="24"/>
        </w:rPr>
        <w:t>: </w:t>
      </w:r>
      <w:r>
        <w:rPr>
          <w:i/>
          <w:position w:val="2"/>
          <w:sz w:val="24"/>
        </w:rPr>
        <w:t>block ownership has no significant </w:t>
      </w:r>
      <w:r>
        <w:rPr>
          <w:i/>
          <w:sz w:val="24"/>
        </w:rPr>
        <w:t>impact on the reporting quality of listed companies on the Nigerian Stock Exchange (NSE) in a post-IFRS regime </w:t>
      </w:r>
      <w:r>
        <w:rPr>
          <w:sz w:val="24"/>
        </w:rPr>
        <w:t>was rejected.</w:t>
      </w:r>
    </w:p>
    <w:p>
      <w:pPr>
        <w:pStyle w:val="Heading3"/>
        <w:numPr>
          <w:ilvl w:val="1"/>
          <w:numId w:val="30"/>
        </w:numPr>
        <w:tabs>
          <w:tab w:pos="1360" w:val="left" w:leader="none"/>
        </w:tabs>
        <w:spacing w:line="274" w:lineRule="exact" w:before="0" w:after="0"/>
        <w:ind w:left="1360" w:right="0" w:hanging="420"/>
        <w:jc w:val="left"/>
      </w:pPr>
      <w:bookmarkStart w:name="_TOC_250015" w:id="55"/>
      <w:r>
        <w:rPr/>
        <w:t>Discussion</w:t>
      </w:r>
      <w:r>
        <w:rPr>
          <w:spacing w:val="-1"/>
        </w:rPr>
        <w:t> </w:t>
      </w:r>
      <w:r>
        <w:rPr/>
        <w:t>of </w:t>
      </w:r>
      <w:bookmarkEnd w:id="55"/>
      <w:r>
        <w:rPr>
          <w:spacing w:val="-2"/>
        </w:rPr>
        <w:t>Result</w:t>
      </w:r>
    </w:p>
    <w:p>
      <w:pPr>
        <w:pStyle w:val="BodyText"/>
        <w:rPr>
          <w:b/>
        </w:rPr>
      </w:pPr>
    </w:p>
    <w:p>
      <w:pPr>
        <w:pStyle w:val="Heading3"/>
        <w:numPr>
          <w:ilvl w:val="2"/>
          <w:numId w:val="30"/>
        </w:numPr>
        <w:tabs>
          <w:tab w:pos="1540" w:val="left" w:leader="none"/>
        </w:tabs>
        <w:spacing w:line="240" w:lineRule="auto" w:before="0" w:after="0"/>
        <w:ind w:left="1540" w:right="0" w:hanging="600"/>
        <w:jc w:val="left"/>
      </w:pPr>
      <w:bookmarkStart w:name="_TOC_250014" w:id="56"/>
      <w:r>
        <w:rPr/>
        <w:t>Post-IFRS</w:t>
      </w:r>
      <w:r>
        <w:rPr>
          <w:spacing w:val="-2"/>
        </w:rPr>
        <w:t> </w:t>
      </w:r>
      <w:r>
        <w:rPr/>
        <w:t>Regime</w:t>
      </w:r>
      <w:r>
        <w:rPr>
          <w:spacing w:val="-3"/>
        </w:rPr>
        <w:t> </w:t>
      </w:r>
      <w:r>
        <w:rPr/>
        <w:t>and</w:t>
      </w:r>
      <w:r>
        <w:rPr>
          <w:spacing w:val="-2"/>
        </w:rPr>
        <w:t> </w:t>
      </w:r>
      <w:r>
        <w:rPr/>
        <w:t>Financial</w:t>
      </w:r>
      <w:r>
        <w:rPr>
          <w:spacing w:val="-2"/>
        </w:rPr>
        <w:t> </w:t>
      </w:r>
      <w:r>
        <w:rPr/>
        <w:t>Reporting</w:t>
      </w:r>
      <w:bookmarkEnd w:id="56"/>
      <w:r>
        <w:rPr>
          <w:spacing w:val="-2"/>
        </w:rPr>
        <w:t> Quality</w:t>
      </w:r>
    </w:p>
    <w:p>
      <w:pPr>
        <w:pStyle w:val="BodyText"/>
        <w:rPr>
          <w:b/>
        </w:rPr>
      </w:pPr>
    </w:p>
    <w:p>
      <w:pPr>
        <w:pStyle w:val="BodyText"/>
        <w:spacing w:line="480" w:lineRule="auto"/>
        <w:ind w:left="940" w:right="1436"/>
        <w:jc w:val="both"/>
      </w:pPr>
      <w:r>
        <w:rPr/>
        <w:t>The</w:t>
      </w:r>
      <w:r>
        <w:rPr>
          <w:spacing w:val="-12"/>
        </w:rPr>
        <w:t> </w:t>
      </w:r>
      <w:r>
        <w:rPr/>
        <w:t>study</w:t>
      </w:r>
      <w:r>
        <w:rPr>
          <w:spacing w:val="-10"/>
        </w:rPr>
        <w:t> </w:t>
      </w:r>
      <w:r>
        <w:rPr/>
        <w:t>employs</w:t>
      </w:r>
      <w:r>
        <w:rPr>
          <w:spacing w:val="-10"/>
        </w:rPr>
        <w:t> </w:t>
      </w:r>
      <w:r>
        <w:rPr/>
        <w:t>three</w:t>
      </w:r>
      <w:r>
        <w:rPr>
          <w:spacing w:val="-12"/>
        </w:rPr>
        <w:t> </w:t>
      </w:r>
      <w:r>
        <w:rPr/>
        <w:t>proxies</w:t>
      </w:r>
      <w:r>
        <w:rPr>
          <w:spacing w:val="-10"/>
        </w:rPr>
        <w:t> </w:t>
      </w:r>
      <w:r>
        <w:rPr/>
        <w:t>for</w:t>
      </w:r>
      <w:r>
        <w:rPr>
          <w:spacing w:val="-12"/>
        </w:rPr>
        <w:t> </w:t>
      </w:r>
      <w:r>
        <w:rPr/>
        <w:t>financial</w:t>
      </w:r>
      <w:r>
        <w:rPr>
          <w:spacing w:val="-11"/>
        </w:rPr>
        <w:t> </w:t>
      </w:r>
      <w:r>
        <w:rPr/>
        <w:t>reporting</w:t>
      </w:r>
      <w:r>
        <w:rPr>
          <w:spacing w:val="-10"/>
        </w:rPr>
        <w:t> </w:t>
      </w:r>
      <w:r>
        <w:rPr/>
        <w:t>quality,</w:t>
      </w:r>
      <w:r>
        <w:rPr>
          <w:spacing w:val="-11"/>
        </w:rPr>
        <w:t> </w:t>
      </w:r>
      <w:r>
        <w:rPr/>
        <w:t>namely,</w:t>
      </w:r>
      <w:r>
        <w:rPr>
          <w:spacing w:val="-10"/>
        </w:rPr>
        <w:t> </w:t>
      </w:r>
      <w:r>
        <w:rPr/>
        <w:t>qualitative</w:t>
      </w:r>
      <w:r>
        <w:rPr>
          <w:spacing w:val="-11"/>
        </w:rPr>
        <w:t> </w:t>
      </w:r>
      <w:r>
        <w:rPr/>
        <w:t>measure</w:t>
      </w:r>
      <w:r>
        <w:rPr>
          <w:spacing w:val="-12"/>
        </w:rPr>
        <w:t> </w:t>
      </w:r>
      <w:r>
        <w:rPr/>
        <w:t>of reporting quality (QUA-FRQ), discretionary accrual measure and value relevance measure (VREL).</w:t>
      </w:r>
      <w:r>
        <w:rPr>
          <w:spacing w:val="-1"/>
        </w:rPr>
        <w:t> </w:t>
      </w:r>
      <w:r>
        <w:rPr/>
        <w:t>If</w:t>
      </w:r>
      <w:r>
        <w:rPr>
          <w:spacing w:val="-2"/>
        </w:rPr>
        <w:t> </w:t>
      </w:r>
      <w:r>
        <w:rPr/>
        <w:t>IFRS</w:t>
      </w:r>
      <w:r>
        <w:rPr>
          <w:spacing w:val="-3"/>
        </w:rPr>
        <w:t> </w:t>
      </w:r>
      <w:r>
        <w:rPr/>
        <w:t>led</w:t>
      </w:r>
      <w:r>
        <w:rPr>
          <w:spacing w:val="-3"/>
        </w:rPr>
        <w:t> </w:t>
      </w:r>
      <w:r>
        <w:rPr/>
        <w:t>to</w:t>
      </w:r>
      <w:r>
        <w:rPr>
          <w:spacing w:val="-3"/>
        </w:rPr>
        <w:t> </w:t>
      </w:r>
      <w:r>
        <w:rPr/>
        <w:t>higher</w:t>
      </w:r>
      <w:r>
        <w:rPr>
          <w:spacing w:val="-5"/>
        </w:rPr>
        <w:t> </w:t>
      </w:r>
      <w:r>
        <w:rPr/>
        <w:t>QUA-FRQ,</w:t>
      </w:r>
      <w:r>
        <w:rPr>
          <w:spacing w:val="-3"/>
        </w:rPr>
        <w:t> </w:t>
      </w:r>
      <w:r>
        <w:rPr/>
        <w:t>we</w:t>
      </w:r>
      <w:r>
        <w:rPr>
          <w:spacing w:val="-4"/>
        </w:rPr>
        <w:t> </w:t>
      </w:r>
      <w:r>
        <w:rPr/>
        <w:t>would</w:t>
      </w:r>
      <w:r>
        <w:rPr>
          <w:spacing w:val="-3"/>
        </w:rPr>
        <w:t> </w:t>
      </w:r>
      <w:r>
        <w:rPr/>
        <w:t>expect</w:t>
      </w:r>
      <w:r>
        <w:rPr>
          <w:spacing w:val="-3"/>
        </w:rPr>
        <w:t> </w:t>
      </w:r>
      <w:r>
        <w:rPr/>
        <w:t>a</w:t>
      </w:r>
      <w:r>
        <w:rPr>
          <w:spacing w:val="-3"/>
        </w:rPr>
        <w:t> </w:t>
      </w:r>
      <w:r>
        <w:rPr/>
        <w:t>positive</w:t>
      </w:r>
      <w:r>
        <w:rPr>
          <w:spacing w:val="-4"/>
        </w:rPr>
        <w:t> </w:t>
      </w:r>
      <w:r>
        <w:rPr/>
        <w:t>coefficient</w:t>
      </w:r>
      <w:r>
        <w:rPr>
          <w:spacing w:val="-3"/>
        </w:rPr>
        <w:t> </w:t>
      </w:r>
      <w:r>
        <w:rPr/>
        <w:t>for</w:t>
      </w:r>
      <w:r>
        <w:rPr>
          <w:spacing w:val="-3"/>
        </w:rPr>
        <w:t> </w:t>
      </w:r>
      <w:r>
        <w:rPr/>
        <w:t>the</w:t>
      </w:r>
      <w:r>
        <w:rPr>
          <w:spacing w:val="-5"/>
        </w:rPr>
        <w:t> </w:t>
      </w:r>
      <w:r>
        <w:rPr/>
        <w:t>DID and, as observed from the estimations, the D-I-D coefficient was positive as expected and significant (0.0550, p=0.000) at 5%. Hence, the adoption of IFRS significantly improved financial</w:t>
      </w:r>
      <w:r>
        <w:rPr>
          <w:spacing w:val="-6"/>
        </w:rPr>
        <w:t> </w:t>
      </w:r>
      <w:r>
        <w:rPr/>
        <w:t>reporting</w:t>
      </w:r>
      <w:r>
        <w:rPr>
          <w:spacing w:val="-6"/>
        </w:rPr>
        <w:t> </w:t>
      </w:r>
      <w:r>
        <w:rPr/>
        <w:t>quality</w:t>
      </w:r>
      <w:r>
        <w:rPr>
          <w:spacing w:val="-5"/>
        </w:rPr>
        <w:t> </w:t>
      </w:r>
      <w:r>
        <w:rPr/>
        <w:t>and</w:t>
      </w:r>
      <w:r>
        <w:rPr>
          <w:spacing w:val="-6"/>
        </w:rPr>
        <w:t> </w:t>
      </w:r>
      <w:r>
        <w:rPr/>
        <w:t>accounts</w:t>
      </w:r>
      <w:r>
        <w:rPr>
          <w:spacing w:val="-5"/>
        </w:rPr>
        <w:t> </w:t>
      </w:r>
      <w:r>
        <w:rPr/>
        <w:t>for</w:t>
      </w:r>
      <w:r>
        <w:rPr>
          <w:spacing w:val="-7"/>
        </w:rPr>
        <w:t> </w:t>
      </w:r>
      <w:r>
        <w:rPr/>
        <w:t>incremental</w:t>
      </w:r>
      <w:r>
        <w:rPr>
          <w:spacing w:val="-5"/>
        </w:rPr>
        <w:t> </w:t>
      </w:r>
      <w:r>
        <w:rPr/>
        <w:t>changes</w:t>
      </w:r>
      <w:r>
        <w:rPr>
          <w:spacing w:val="-6"/>
        </w:rPr>
        <w:t> </w:t>
      </w:r>
      <w:r>
        <w:rPr/>
        <w:t>in</w:t>
      </w:r>
      <w:r>
        <w:rPr>
          <w:spacing w:val="-5"/>
        </w:rPr>
        <w:t> </w:t>
      </w:r>
      <w:r>
        <w:rPr/>
        <w:t>QUA-FRQ</w:t>
      </w:r>
      <w:r>
        <w:rPr>
          <w:spacing w:val="-6"/>
        </w:rPr>
        <w:t> </w:t>
      </w:r>
      <w:r>
        <w:rPr/>
        <w:t>for</w:t>
      </w:r>
      <w:r>
        <w:rPr>
          <w:spacing w:val="-7"/>
        </w:rPr>
        <w:t> </w:t>
      </w:r>
      <w:r>
        <w:rPr/>
        <w:t>the</w:t>
      </w:r>
      <w:r>
        <w:rPr>
          <w:spacing w:val="-3"/>
        </w:rPr>
        <w:t> </w:t>
      </w:r>
      <w:r>
        <w:rPr/>
        <w:t>firms</w:t>
      </w:r>
      <w:r>
        <w:rPr>
          <w:spacing w:val="-5"/>
        </w:rPr>
        <w:t> </w:t>
      </w:r>
      <w:r>
        <w:rPr/>
        <w:t>in the sample, at least in terms of the qualitative characteristics. According to the new IASB Conceptual Framework for Financial Reporting (2010), the qualitative characteristics of financial</w:t>
      </w:r>
      <w:r>
        <w:rPr>
          <w:spacing w:val="-14"/>
        </w:rPr>
        <w:t> </w:t>
      </w:r>
      <w:r>
        <w:rPr/>
        <w:t>information</w:t>
      </w:r>
      <w:r>
        <w:rPr>
          <w:spacing w:val="-14"/>
        </w:rPr>
        <w:t> </w:t>
      </w:r>
      <w:r>
        <w:rPr/>
        <w:t>are</w:t>
      </w:r>
      <w:r>
        <w:rPr>
          <w:spacing w:val="-11"/>
        </w:rPr>
        <w:t> </w:t>
      </w:r>
      <w:r>
        <w:rPr/>
        <w:t>categorized</w:t>
      </w:r>
      <w:r>
        <w:rPr>
          <w:spacing w:val="-14"/>
        </w:rPr>
        <w:t> </w:t>
      </w:r>
      <w:r>
        <w:rPr/>
        <w:t>into:</w:t>
      </w:r>
      <w:r>
        <w:rPr>
          <w:spacing w:val="-14"/>
        </w:rPr>
        <w:t> </w:t>
      </w:r>
      <w:r>
        <w:rPr/>
        <w:t>fundamental</w:t>
      </w:r>
      <w:r>
        <w:rPr>
          <w:spacing w:val="-14"/>
        </w:rPr>
        <w:t> </w:t>
      </w:r>
      <w:r>
        <w:rPr/>
        <w:t>(relevance</w:t>
      </w:r>
      <w:r>
        <w:rPr>
          <w:spacing w:val="-15"/>
        </w:rPr>
        <w:t> </w:t>
      </w:r>
      <w:r>
        <w:rPr/>
        <w:t>and</w:t>
      </w:r>
      <w:r>
        <w:rPr>
          <w:spacing w:val="-12"/>
        </w:rPr>
        <w:t> </w:t>
      </w:r>
      <w:r>
        <w:rPr/>
        <w:t>faithful</w:t>
      </w:r>
      <w:r>
        <w:rPr>
          <w:spacing w:val="-14"/>
        </w:rPr>
        <w:t> </w:t>
      </w:r>
      <w:r>
        <w:rPr/>
        <w:t>representation); and enhancing (understandability, comparability, verifiability and timeliness). The fundamental characteristics are most important and they determine the content of financial reporting.</w:t>
      </w:r>
      <w:r>
        <w:rPr>
          <w:spacing w:val="-4"/>
        </w:rPr>
        <w:t> </w:t>
      </w:r>
      <w:r>
        <w:rPr/>
        <w:t>The</w:t>
      </w:r>
      <w:r>
        <w:rPr>
          <w:spacing w:val="-5"/>
        </w:rPr>
        <w:t> </w:t>
      </w:r>
      <w:r>
        <w:rPr/>
        <w:t>enhancing</w:t>
      </w:r>
      <w:r>
        <w:rPr>
          <w:spacing w:val="-2"/>
        </w:rPr>
        <w:t> </w:t>
      </w:r>
      <w:r>
        <w:rPr/>
        <w:t>qualitative</w:t>
      </w:r>
      <w:r>
        <w:rPr>
          <w:spacing w:val="-4"/>
        </w:rPr>
        <w:t> </w:t>
      </w:r>
      <w:r>
        <w:rPr/>
        <w:t>characteristics</w:t>
      </w:r>
      <w:r>
        <w:rPr>
          <w:spacing w:val="-4"/>
        </w:rPr>
        <w:t> </w:t>
      </w:r>
      <w:r>
        <w:rPr/>
        <w:t>can</w:t>
      </w:r>
      <w:r>
        <w:rPr>
          <w:spacing w:val="-4"/>
        </w:rPr>
        <w:t> </w:t>
      </w:r>
      <w:r>
        <w:rPr/>
        <w:t>improve</w:t>
      </w:r>
      <w:r>
        <w:rPr>
          <w:spacing w:val="-6"/>
        </w:rPr>
        <w:t> </w:t>
      </w:r>
      <w:r>
        <w:rPr/>
        <w:t>decision</w:t>
      </w:r>
      <w:r>
        <w:rPr>
          <w:spacing w:val="-4"/>
        </w:rPr>
        <w:t> </w:t>
      </w:r>
      <w:r>
        <w:rPr/>
        <w:t>usefulness</w:t>
      </w:r>
      <w:r>
        <w:rPr>
          <w:spacing w:val="-4"/>
        </w:rPr>
        <w:t> </w:t>
      </w:r>
      <w:r>
        <w:rPr/>
        <w:t>when</w:t>
      </w:r>
      <w:r>
        <w:rPr>
          <w:spacing w:val="-4"/>
        </w:rPr>
        <w:t> </w:t>
      </w:r>
      <w:r>
        <w:rPr/>
        <w:t>the fundamental qualitative characteristics are established. However, they cannot determine financial reporting quality on their own.</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57440">
            <wp:simplePos x="0" y="0"/>
            <wp:positionH relativeFrom="page">
              <wp:posOffset>1095451</wp:posOffset>
            </wp:positionH>
            <wp:positionV relativeFrom="paragraph">
              <wp:posOffset>1850770</wp:posOffset>
            </wp:positionV>
            <wp:extent cx="5106847" cy="5238115"/>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5" cstate="print"/>
                    <a:stretch>
                      <a:fillRect/>
                    </a:stretch>
                  </pic:blipFill>
                  <pic:spPr>
                    <a:xfrm>
                      <a:off x="0" y="0"/>
                      <a:ext cx="5106847" cy="5238115"/>
                    </a:xfrm>
                    <a:prstGeom prst="rect">
                      <a:avLst/>
                    </a:prstGeom>
                  </pic:spPr>
                </pic:pic>
              </a:graphicData>
            </a:graphic>
          </wp:anchor>
        </w:drawing>
      </w:r>
      <w:r>
        <w:rPr/>
        <w:t>If IFRS led to higher FRQ resulting from lower discretionary accruals, we would expect a negative coefficient for the DID and, as observed from the estimations, the D-I-D coefficient was positively at variance with theoretical expectation and was significant (0.3509, p=0.000) at 5%. Hence, adoption of IFRS significantly increased discretionary accruals and reduced financial reporting quality in relation to accruals. The findings were supported by those of Akpata</w:t>
      </w:r>
      <w:r>
        <w:rPr>
          <w:spacing w:val="-8"/>
        </w:rPr>
        <w:t> </w:t>
      </w:r>
      <w:r>
        <w:rPr/>
        <w:t>(2015)</w:t>
      </w:r>
      <w:r>
        <w:rPr>
          <w:spacing w:val="-8"/>
        </w:rPr>
        <w:t> </w:t>
      </w:r>
      <w:r>
        <w:rPr/>
        <w:t>which</w:t>
      </w:r>
      <w:r>
        <w:rPr>
          <w:spacing w:val="-5"/>
        </w:rPr>
        <w:t> </w:t>
      </w:r>
      <w:r>
        <w:rPr/>
        <w:t>examined</w:t>
      </w:r>
      <w:r>
        <w:rPr>
          <w:spacing w:val="-7"/>
        </w:rPr>
        <w:t> </w:t>
      </w:r>
      <w:r>
        <w:rPr/>
        <w:t>IFRS</w:t>
      </w:r>
      <w:r>
        <w:rPr>
          <w:spacing w:val="-7"/>
        </w:rPr>
        <w:t> </w:t>
      </w:r>
      <w:r>
        <w:rPr/>
        <w:t>adoption</w:t>
      </w:r>
      <w:r>
        <w:rPr>
          <w:spacing w:val="-7"/>
        </w:rPr>
        <w:t> </w:t>
      </w:r>
      <w:r>
        <w:rPr/>
        <w:t>and</w:t>
      </w:r>
      <w:r>
        <w:rPr>
          <w:spacing w:val="-7"/>
        </w:rPr>
        <w:t> </w:t>
      </w:r>
      <w:r>
        <w:rPr/>
        <w:t>value</w:t>
      </w:r>
      <w:r>
        <w:rPr>
          <w:spacing w:val="-8"/>
        </w:rPr>
        <w:t> </w:t>
      </w:r>
      <w:r>
        <w:rPr/>
        <w:t>relevance</w:t>
      </w:r>
      <w:r>
        <w:rPr>
          <w:spacing w:val="-8"/>
        </w:rPr>
        <w:t> </w:t>
      </w:r>
      <w:r>
        <w:rPr/>
        <w:t>of</w:t>
      </w:r>
      <w:r>
        <w:rPr>
          <w:spacing w:val="-8"/>
        </w:rPr>
        <w:t> </w:t>
      </w:r>
      <w:r>
        <w:rPr/>
        <w:t>financial</w:t>
      </w:r>
      <w:r>
        <w:rPr>
          <w:spacing w:val="-7"/>
        </w:rPr>
        <w:t> </w:t>
      </w:r>
      <w:r>
        <w:rPr/>
        <w:t>information</w:t>
      </w:r>
      <w:r>
        <w:rPr>
          <w:spacing w:val="-7"/>
        </w:rPr>
        <w:t> </w:t>
      </w:r>
      <w:r>
        <w:rPr/>
        <w:t>of listed</w:t>
      </w:r>
      <w:r>
        <w:rPr>
          <w:spacing w:val="-5"/>
        </w:rPr>
        <w:t> </w:t>
      </w:r>
      <w:r>
        <w:rPr/>
        <w:t>deposit</w:t>
      </w:r>
      <w:r>
        <w:rPr>
          <w:spacing w:val="-4"/>
        </w:rPr>
        <w:t> </w:t>
      </w:r>
      <w:r>
        <w:rPr/>
        <w:t>money</w:t>
      </w:r>
      <w:r>
        <w:rPr>
          <w:spacing w:val="-5"/>
        </w:rPr>
        <w:t> </w:t>
      </w:r>
      <w:r>
        <w:rPr/>
        <w:t>banks</w:t>
      </w:r>
      <w:r>
        <w:rPr>
          <w:spacing w:val="-5"/>
        </w:rPr>
        <w:t> </w:t>
      </w:r>
      <w:r>
        <w:rPr/>
        <w:t>in</w:t>
      </w:r>
      <w:r>
        <w:rPr>
          <w:spacing w:val="-4"/>
        </w:rPr>
        <w:t> </w:t>
      </w:r>
      <w:r>
        <w:rPr/>
        <w:t>Nigeria.</w:t>
      </w:r>
      <w:r>
        <w:rPr>
          <w:spacing w:val="-3"/>
        </w:rPr>
        <w:t> </w:t>
      </w:r>
      <w:r>
        <w:rPr/>
        <w:t>The</w:t>
      </w:r>
      <w:r>
        <w:rPr>
          <w:spacing w:val="-4"/>
        </w:rPr>
        <w:t> </w:t>
      </w:r>
      <w:r>
        <w:rPr/>
        <w:t>study</w:t>
      </w:r>
      <w:r>
        <w:rPr>
          <w:spacing w:val="-4"/>
        </w:rPr>
        <w:t> </w:t>
      </w:r>
      <w:r>
        <w:rPr/>
        <w:t>revealed</w:t>
      </w:r>
      <w:r>
        <w:rPr>
          <w:spacing w:val="-3"/>
        </w:rPr>
        <w:t> </w:t>
      </w:r>
      <w:r>
        <w:rPr/>
        <w:t>that</w:t>
      </w:r>
      <w:r>
        <w:rPr>
          <w:spacing w:val="-5"/>
        </w:rPr>
        <w:t> </w:t>
      </w:r>
      <w:r>
        <w:rPr/>
        <w:t>pre-IFRS</w:t>
      </w:r>
      <w:r>
        <w:rPr>
          <w:spacing w:val="-4"/>
        </w:rPr>
        <w:t> </w:t>
      </w:r>
      <w:r>
        <w:rPr/>
        <w:t>financial</w:t>
      </w:r>
      <w:r>
        <w:rPr>
          <w:spacing w:val="-5"/>
        </w:rPr>
        <w:t> </w:t>
      </w:r>
      <w:r>
        <w:rPr/>
        <w:t>information was relevant, post-IFRS financial information had very weak value relevance and post-IFRS financial information had no value relevance over pre-IFRS financial information. Umubong and Akani (2015) investigated IFRS adoption and accounting quality of using a sample of manufacturing firms in Nigeria over a five year period. The result revealed that there was a decline in accounting quality using earnings management, value relevance and timely loss recognition</w:t>
      </w:r>
      <w:r>
        <w:rPr>
          <w:spacing w:val="-1"/>
        </w:rPr>
        <w:t> </w:t>
      </w:r>
      <w:r>
        <w:rPr/>
        <w:t>as</w:t>
      </w:r>
      <w:r>
        <w:rPr>
          <w:spacing w:val="-1"/>
        </w:rPr>
        <w:t> </w:t>
      </w:r>
      <w:r>
        <w:rPr/>
        <w:t>independent</w:t>
      </w:r>
      <w:r>
        <w:rPr>
          <w:spacing w:val="-1"/>
        </w:rPr>
        <w:t> </w:t>
      </w:r>
      <w:r>
        <w:rPr/>
        <w:t>variables.</w:t>
      </w:r>
      <w:r>
        <w:rPr>
          <w:spacing w:val="-2"/>
        </w:rPr>
        <w:t> </w:t>
      </w:r>
      <w:r>
        <w:rPr/>
        <w:t>Also,</w:t>
      </w:r>
      <w:r>
        <w:rPr>
          <w:spacing w:val="-1"/>
        </w:rPr>
        <w:t> </w:t>
      </w:r>
      <w:r>
        <w:rPr/>
        <w:t>Mikova</w:t>
      </w:r>
      <w:r>
        <w:rPr>
          <w:spacing w:val="-2"/>
        </w:rPr>
        <w:t> </w:t>
      </w:r>
      <w:r>
        <w:rPr/>
        <w:t>(2014)</w:t>
      </w:r>
      <w:r>
        <w:rPr>
          <w:spacing w:val="-2"/>
        </w:rPr>
        <w:t> </w:t>
      </w:r>
      <w:r>
        <w:rPr/>
        <w:t>investigated</w:t>
      </w:r>
      <w:r>
        <w:rPr>
          <w:spacing w:val="-2"/>
        </w:rPr>
        <w:t> </w:t>
      </w:r>
      <w:r>
        <w:rPr/>
        <w:t>the influence</w:t>
      </w:r>
      <w:r>
        <w:rPr>
          <w:spacing w:val="-2"/>
        </w:rPr>
        <w:t> </w:t>
      </w:r>
      <w:r>
        <w:rPr/>
        <w:t>of IFRS on earnings manipulation, evidence from the European Union. The study did not support the idea that convergence to international accounting standards ensured lower earnings management implying an improvement in reporting quality. Furthermore, Uyar (2013) investigated</w:t>
      </w:r>
      <w:r>
        <w:rPr>
          <w:spacing w:val="-3"/>
        </w:rPr>
        <w:t> </w:t>
      </w:r>
      <w:r>
        <w:rPr/>
        <w:t>the</w:t>
      </w:r>
      <w:r>
        <w:rPr>
          <w:spacing w:val="-4"/>
        </w:rPr>
        <w:t> </w:t>
      </w:r>
      <w:r>
        <w:rPr/>
        <w:t>relationship</w:t>
      </w:r>
      <w:r>
        <w:rPr>
          <w:spacing w:val="-3"/>
        </w:rPr>
        <w:t> </w:t>
      </w:r>
      <w:r>
        <w:rPr/>
        <w:t>between</w:t>
      </w:r>
      <w:r>
        <w:rPr>
          <w:spacing w:val="-1"/>
        </w:rPr>
        <w:t> </w:t>
      </w:r>
      <w:r>
        <w:rPr/>
        <w:t>IFSR</w:t>
      </w:r>
      <w:r>
        <w:rPr>
          <w:spacing w:val="-3"/>
        </w:rPr>
        <w:t> </w:t>
      </w:r>
      <w:r>
        <w:rPr/>
        <w:t>adoption</w:t>
      </w:r>
      <w:r>
        <w:rPr>
          <w:spacing w:val="-3"/>
        </w:rPr>
        <w:t> </w:t>
      </w:r>
      <w:r>
        <w:rPr/>
        <w:t>and</w:t>
      </w:r>
      <w:r>
        <w:rPr>
          <w:spacing w:val="-3"/>
        </w:rPr>
        <w:t> </w:t>
      </w:r>
      <w:r>
        <w:rPr/>
        <w:t>accounting</w:t>
      </w:r>
      <w:r>
        <w:rPr>
          <w:spacing w:val="-3"/>
        </w:rPr>
        <w:t> </w:t>
      </w:r>
      <w:r>
        <w:rPr/>
        <w:t>quality</w:t>
      </w:r>
      <w:r>
        <w:rPr>
          <w:spacing w:val="-3"/>
        </w:rPr>
        <w:t> </w:t>
      </w:r>
      <w:r>
        <w:rPr/>
        <w:t>using</w:t>
      </w:r>
      <w:r>
        <w:rPr>
          <w:spacing w:val="-3"/>
        </w:rPr>
        <w:t> </w:t>
      </w:r>
      <w:r>
        <w:rPr/>
        <w:t>a</w:t>
      </w:r>
      <w:r>
        <w:rPr>
          <w:spacing w:val="-4"/>
        </w:rPr>
        <w:t> </w:t>
      </w:r>
      <w:r>
        <w:rPr/>
        <w:t>sample</w:t>
      </w:r>
      <w:r>
        <w:rPr>
          <w:spacing w:val="-4"/>
        </w:rPr>
        <w:t> </w:t>
      </w:r>
      <w:r>
        <w:rPr/>
        <w:t>of firms listed on the Istanbul Stock Exchange. The study revealed that there was an increase in income smoothing. The study of Aubert and Grudnitski (2011) examined the impact of mandatory adoption of IFRS in the EU firms (20 industries in 13 European countries). The result revealed that the quality of discretionary accruals was significantly higher under IFRS for firms in Finland, Greece and Sweden.</w:t>
      </w:r>
    </w:p>
    <w:p>
      <w:pPr>
        <w:pStyle w:val="BodyText"/>
        <w:spacing w:line="480" w:lineRule="auto" w:before="2"/>
        <w:ind w:left="940" w:right="1437"/>
        <w:jc w:val="both"/>
      </w:pPr>
      <w:r>
        <w:rPr/>
        <w:t>Finally,</w:t>
      </w:r>
      <w:r>
        <w:rPr>
          <w:spacing w:val="-12"/>
        </w:rPr>
        <w:t> </w:t>
      </w:r>
      <w:r>
        <w:rPr/>
        <w:t>if</w:t>
      </w:r>
      <w:r>
        <w:rPr>
          <w:spacing w:val="-12"/>
        </w:rPr>
        <w:t> </w:t>
      </w:r>
      <w:r>
        <w:rPr/>
        <w:t>IFRS</w:t>
      </w:r>
      <w:r>
        <w:rPr>
          <w:spacing w:val="-11"/>
        </w:rPr>
        <w:t> </w:t>
      </w:r>
      <w:r>
        <w:rPr/>
        <w:t>led</w:t>
      </w:r>
      <w:r>
        <w:rPr>
          <w:spacing w:val="-13"/>
        </w:rPr>
        <w:t> </w:t>
      </w:r>
      <w:r>
        <w:rPr/>
        <w:t>to</w:t>
      </w:r>
      <w:r>
        <w:rPr>
          <w:spacing w:val="-12"/>
        </w:rPr>
        <w:t> </w:t>
      </w:r>
      <w:r>
        <w:rPr/>
        <w:t>higher</w:t>
      </w:r>
      <w:r>
        <w:rPr>
          <w:spacing w:val="-13"/>
        </w:rPr>
        <w:t> </w:t>
      </w:r>
      <w:r>
        <w:rPr/>
        <w:t>value</w:t>
      </w:r>
      <w:r>
        <w:rPr>
          <w:spacing w:val="-13"/>
        </w:rPr>
        <w:t> </w:t>
      </w:r>
      <w:r>
        <w:rPr/>
        <w:t>relevance</w:t>
      </w:r>
      <w:r>
        <w:rPr>
          <w:spacing w:val="-13"/>
        </w:rPr>
        <w:t> </w:t>
      </w:r>
      <w:r>
        <w:rPr/>
        <w:t>of</w:t>
      </w:r>
      <w:r>
        <w:rPr>
          <w:spacing w:val="-13"/>
        </w:rPr>
        <w:t> </w:t>
      </w:r>
      <w:r>
        <w:rPr/>
        <w:t>financial</w:t>
      </w:r>
      <w:r>
        <w:rPr>
          <w:spacing w:val="-12"/>
        </w:rPr>
        <w:t> </w:t>
      </w:r>
      <w:r>
        <w:rPr/>
        <w:t>reporting,</w:t>
      </w:r>
      <w:r>
        <w:rPr>
          <w:spacing w:val="-12"/>
        </w:rPr>
        <w:t> </w:t>
      </w:r>
      <w:r>
        <w:rPr/>
        <w:t>we</w:t>
      </w:r>
      <w:r>
        <w:rPr>
          <w:spacing w:val="-14"/>
        </w:rPr>
        <w:t> </w:t>
      </w:r>
      <w:r>
        <w:rPr/>
        <w:t>would</w:t>
      </w:r>
      <w:r>
        <w:rPr>
          <w:spacing w:val="-12"/>
        </w:rPr>
        <w:t> </w:t>
      </w:r>
      <w:r>
        <w:rPr/>
        <w:t>expect</w:t>
      </w:r>
      <w:r>
        <w:rPr>
          <w:spacing w:val="-12"/>
        </w:rPr>
        <w:t> </w:t>
      </w:r>
      <w:r>
        <w:rPr/>
        <w:t>a</w:t>
      </w:r>
      <w:r>
        <w:rPr>
          <w:spacing w:val="-13"/>
        </w:rPr>
        <w:t> </w:t>
      </w:r>
      <w:r>
        <w:rPr/>
        <w:t>positive coefficient for the DID and, as observed, the D-I-D coefficient although positive as expected, it</w:t>
      </w:r>
      <w:r>
        <w:rPr>
          <w:spacing w:val="7"/>
        </w:rPr>
        <w:t> </w:t>
      </w:r>
      <w:r>
        <w:rPr/>
        <w:t>was</w:t>
      </w:r>
      <w:r>
        <w:rPr>
          <w:spacing w:val="8"/>
        </w:rPr>
        <w:t> </w:t>
      </w:r>
      <w:r>
        <w:rPr/>
        <w:t>not</w:t>
      </w:r>
      <w:r>
        <w:rPr>
          <w:spacing w:val="8"/>
        </w:rPr>
        <w:t> </w:t>
      </w:r>
      <w:r>
        <w:rPr/>
        <w:t>significant</w:t>
      </w:r>
      <w:r>
        <w:rPr>
          <w:spacing w:val="8"/>
        </w:rPr>
        <w:t> </w:t>
      </w:r>
      <w:r>
        <w:rPr/>
        <w:t>(8.5416,</w:t>
      </w:r>
      <w:r>
        <w:rPr>
          <w:spacing w:val="8"/>
        </w:rPr>
        <w:t> </w:t>
      </w:r>
      <w:r>
        <w:rPr/>
        <w:t>p=0.3407)</w:t>
      </w:r>
      <w:r>
        <w:rPr>
          <w:spacing w:val="7"/>
        </w:rPr>
        <w:t> </w:t>
      </w:r>
      <w:r>
        <w:rPr/>
        <w:t>at</w:t>
      </w:r>
      <w:r>
        <w:rPr>
          <w:spacing w:val="8"/>
        </w:rPr>
        <w:t> </w:t>
      </w:r>
      <w:r>
        <w:rPr/>
        <w:t>5%.</w:t>
      </w:r>
      <w:r>
        <w:rPr>
          <w:spacing w:val="10"/>
        </w:rPr>
        <w:t> </w:t>
      </w:r>
      <w:r>
        <w:rPr/>
        <w:t>Hence,</w:t>
      </w:r>
      <w:r>
        <w:rPr>
          <w:spacing w:val="14"/>
        </w:rPr>
        <w:t> </w:t>
      </w:r>
      <w:r>
        <w:rPr/>
        <w:t>although</w:t>
      </w:r>
      <w:r>
        <w:rPr>
          <w:spacing w:val="8"/>
        </w:rPr>
        <w:t> </w:t>
      </w:r>
      <w:r>
        <w:rPr/>
        <w:t>the</w:t>
      </w:r>
      <w:r>
        <w:rPr>
          <w:spacing w:val="7"/>
        </w:rPr>
        <w:t> </w:t>
      </w:r>
      <w:r>
        <w:rPr/>
        <w:t>adoption</w:t>
      </w:r>
      <w:r>
        <w:rPr>
          <w:spacing w:val="8"/>
        </w:rPr>
        <w:t> </w:t>
      </w:r>
      <w:r>
        <w:rPr/>
        <w:t>of</w:t>
      </w:r>
      <w:r>
        <w:rPr>
          <w:spacing w:val="9"/>
        </w:rPr>
        <w:t> </w:t>
      </w:r>
      <w:r>
        <w:rPr/>
        <w:t>IFRS</w:t>
      </w:r>
      <w:r>
        <w:rPr>
          <w:spacing w:val="9"/>
        </w:rPr>
        <w:t> </w:t>
      </w:r>
      <w:r>
        <w:rPr/>
        <w:t>had</w:t>
      </w:r>
      <w:r>
        <w:rPr>
          <w:spacing w:val="10"/>
        </w:rPr>
        <w:t> </w:t>
      </w:r>
      <w:r>
        <w:rPr>
          <w:spacing w:val="-10"/>
        </w:rPr>
        <w:t>a</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757952">
            <wp:simplePos x="0" y="0"/>
            <wp:positionH relativeFrom="page">
              <wp:posOffset>1095451</wp:posOffset>
            </wp:positionH>
            <wp:positionV relativeFrom="paragraph">
              <wp:posOffset>1850770</wp:posOffset>
            </wp:positionV>
            <wp:extent cx="5106847" cy="5238115"/>
            <wp:effectExtent l="0" t="0" r="0" b="0"/>
            <wp:wrapNone/>
            <wp:docPr id="230" name="Image 230"/>
            <wp:cNvGraphicFramePr>
              <a:graphicFrameLocks/>
            </wp:cNvGraphicFramePr>
            <a:graphic>
              <a:graphicData uri="http://schemas.openxmlformats.org/drawingml/2006/picture">
                <pic:pic>
                  <pic:nvPicPr>
                    <pic:cNvPr id="230" name="Image 230"/>
                    <pic:cNvPicPr/>
                  </pic:nvPicPr>
                  <pic:blipFill>
                    <a:blip r:embed="rId5" cstate="print"/>
                    <a:stretch>
                      <a:fillRect/>
                    </a:stretch>
                  </pic:blipFill>
                  <pic:spPr>
                    <a:xfrm>
                      <a:off x="0" y="0"/>
                      <a:ext cx="5106847" cy="5238115"/>
                    </a:xfrm>
                    <a:prstGeom prst="rect">
                      <a:avLst/>
                    </a:prstGeom>
                  </pic:spPr>
                </pic:pic>
              </a:graphicData>
            </a:graphic>
          </wp:anchor>
        </w:drawing>
      </w:r>
      <w:r>
        <w:rPr/>
        <w:t>positive effect on changes in value relevance in the pre and post periods, the effect was weak and far from significant. The findings which were supported by Ames (2013) examined IFRS adoption</w:t>
      </w:r>
      <w:r>
        <w:rPr>
          <w:spacing w:val="-5"/>
        </w:rPr>
        <w:t> </w:t>
      </w:r>
      <w:r>
        <w:rPr/>
        <w:t>and</w:t>
      </w:r>
      <w:r>
        <w:rPr>
          <w:spacing w:val="-5"/>
        </w:rPr>
        <w:t> </w:t>
      </w:r>
      <w:r>
        <w:rPr/>
        <w:t>accounting</w:t>
      </w:r>
      <w:r>
        <w:rPr>
          <w:spacing w:val="-5"/>
        </w:rPr>
        <w:t> </w:t>
      </w:r>
      <w:r>
        <w:rPr/>
        <w:t>quality</w:t>
      </w:r>
      <w:r>
        <w:rPr>
          <w:spacing w:val="-4"/>
        </w:rPr>
        <w:t> </w:t>
      </w:r>
      <w:r>
        <w:rPr/>
        <w:t>using</w:t>
      </w:r>
      <w:r>
        <w:rPr>
          <w:spacing w:val="-5"/>
        </w:rPr>
        <w:t> </w:t>
      </w:r>
      <w:r>
        <w:rPr/>
        <w:t>a</w:t>
      </w:r>
      <w:r>
        <w:rPr>
          <w:spacing w:val="-6"/>
        </w:rPr>
        <w:t> </w:t>
      </w:r>
      <w:r>
        <w:rPr/>
        <w:t>sample</w:t>
      </w:r>
      <w:r>
        <w:rPr>
          <w:spacing w:val="-6"/>
        </w:rPr>
        <w:t> </w:t>
      </w:r>
      <w:r>
        <w:rPr/>
        <w:t>of</w:t>
      </w:r>
      <w:r>
        <w:rPr>
          <w:spacing w:val="-3"/>
        </w:rPr>
        <w:t> </w:t>
      </w:r>
      <w:r>
        <w:rPr/>
        <w:t>South</w:t>
      </w:r>
      <w:r>
        <w:rPr>
          <w:spacing w:val="-4"/>
        </w:rPr>
        <w:t> </w:t>
      </w:r>
      <w:r>
        <w:rPr/>
        <w:t>Africa</w:t>
      </w:r>
      <w:r>
        <w:rPr>
          <w:spacing w:val="-6"/>
        </w:rPr>
        <w:t> </w:t>
      </w:r>
      <w:r>
        <w:rPr/>
        <w:t>firms.</w:t>
      </w:r>
      <w:r>
        <w:rPr>
          <w:spacing w:val="-4"/>
        </w:rPr>
        <w:t> </w:t>
      </w:r>
      <w:r>
        <w:rPr/>
        <w:t>The</w:t>
      </w:r>
      <w:r>
        <w:rPr>
          <w:spacing w:val="-3"/>
        </w:rPr>
        <w:t> </w:t>
      </w:r>
      <w:r>
        <w:rPr/>
        <w:t>study</w:t>
      </w:r>
      <w:r>
        <w:rPr>
          <w:spacing w:val="-4"/>
        </w:rPr>
        <w:t> </w:t>
      </w:r>
      <w:r>
        <w:rPr/>
        <w:t>revealed</w:t>
      </w:r>
      <w:r>
        <w:rPr>
          <w:spacing w:val="-5"/>
        </w:rPr>
        <w:t> </w:t>
      </w:r>
      <w:r>
        <w:rPr/>
        <w:t>that although</w:t>
      </w:r>
      <w:r>
        <w:rPr>
          <w:spacing w:val="-3"/>
        </w:rPr>
        <w:t> </w:t>
      </w:r>
      <w:r>
        <w:rPr/>
        <w:t>the</w:t>
      </w:r>
      <w:r>
        <w:rPr>
          <w:spacing w:val="-3"/>
        </w:rPr>
        <w:t> </w:t>
      </w:r>
      <w:r>
        <w:rPr/>
        <w:t>value</w:t>
      </w:r>
      <w:r>
        <w:rPr>
          <w:spacing w:val="-3"/>
        </w:rPr>
        <w:t> </w:t>
      </w:r>
      <w:r>
        <w:rPr/>
        <w:t>relevance</w:t>
      </w:r>
      <w:r>
        <w:rPr>
          <w:spacing w:val="-4"/>
        </w:rPr>
        <w:t> </w:t>
      </w:r>
      <w:r>
        <w:rPr/>
        <w:t>of</w:t>
      </w:r>
      <w:r>
        <w:rPr>
          <w:spacing w:val="-3"/>
        </w:rPr>
        <w:t> </w:t>
      </w:r>
      <w:r>
        <w:rPr/>
        <w:t>major</w:t>
      </w:r>
      <w:r>
        <w:rPr>
          <w:spacing w:val="-3"/>
        </w:rPr>
        <w:t> </w:t>
      </w:r>
      <w:r>
        <w:rPr/>
        <w:t>statements</w:t>
      </w:r>
      <w:r>
        <w:rPr>
          <w:spacing w:val="-1"/>
        </w:rPr>
        <w:t> </w:t>
      </w:r>
      <w:r>
        <w:rPr/>
        <w:t>of</w:t>
      </w:r>
      <w:r>
        <w:rPr>
          <w:spacing w:val="-3"/>
        </w:rPr>
        <w:t> </w:t>
      </w:r>
      <w:r>
        <w:rPr/>
        <w:t>financial</w:t>
      </w:r>
      <w:r>
        <w:rPr>
          <w:spacing w:val="-3"/>
        </w:rPr>
        <w:t> </w:t>
      </w:r>
      <w:r>
        <w:rPr/>
        <w:t>position</w:t>
      </w:r>
      <w:r>
        <w:rPr>
          <w:spacing w:val="-3"/>
        </w:rPr>
        <w:t> </w:t>
      </w:r>
      <w:r>
        <w:rPr/>
        <w:t>components</w:t>
      </w:r>
      <w:r>
        <w:rPr>
          <w:spacing w:val="-3"/>
        </w:rPr>
        <w:t> </w:t>
      </w:r>
      <w:r>
        <w:rPr/>
        <w:t>changed</w:t>
      </w:r>
      <w:r>
        <w:rPr>
          <w:spacing w:val="-3"/>
        </w:rPr>
        <w:t> </w:t>
      </w:r>
      <w:r>
        <w:rPr/>
        <w:t>in post IFRS regime, however, the earnings quality was not significantly improved in post IFRS adoption. Outa (2011) examined the impact of IFRS adoption on the accounting quality of listed companies in Kenya. The result revealed that three out of the eight metrics used in measuring accounting quality showed evidence of a marginal improvement in accounting quality</w:t>
      </w:r>
      <w:r>
        <w:rPr>
          <w:spacing w:val="-13"/>
        </w:rPr>
        <w:t> </w:t>
      </w:r>
      <w:r>
        <w:rPr/>
        <w:t>while</w:t>
      </w:r>
      <w:r>
        <w:rPr>
          <w:spacing w:val="-14"/>
        </w:rPr>
        <w:t> </w:t>
      </w:r>
      <w:r>
        <w:rPr/>
        <w:t>the</w:t>
      </w:r>
      <w:r>
        <w:rPr>
          <w:spacing w:val="-14"/>
        </w:rPr>
        <w:t> </w:t>
      </w:r>
      <w:r>
        <w:rPr/>
        <w:t>remaining</w:t>
      </w:r>
      <w:r>
        <w:rPr>
          <w:spacing w:val="-13"/>
        </w:rPr>
        <w:t> </w:t>
      </w:r>
      <w:r>
        <w:rPr/>
        <w:t>five</w:t>
      </w:r>
      <w:r>
        <w:rPr>
          <w:spacing w:val="-14"/>
        </w:rPr>
        <w:t> </w:t>
      </w:r>
      <w:r>
        <w:rPr/>
        <w:t>metrics</w:t>
      </w:r>
      <w:r>
        <w:rPr>
          <w:spacing w:val="-13"/>
        </w:rPr>
        <w:t> </w:t>
      </w:r>
      <w:r>
        <w:rPr/>
        <w:t>indicated</w:t>
      </w:r>
      <w:r>
        <w:rPr>
          <w:spacing w:val="-11"/>
        </w:rPr>
        <w:t> </w:t>
      </w:r>
      <w:r>
        <w:rPr/>
        <w:t>that</w:t>
      </w:r>
      <w:r>
        <w:rPr>
          <w:spacing w:val="-13"/>
        </w:rPr>
        <w:t> </w:t>
      </w:r>
      <w:r>
        <w:rPr/>
        <w:t>it</w:t>
      </w:r>
      <w:r>
        <w:rPr>
          <w:spacing w:val="-12"/>
        </w:rPr>
        <w:t> </w:t>
      </w:r>
      <w:r>
        <w:rPr/>
        <w:t>had</w:t>
      </w:r>
      <w:r>
        <w:rPr>
          <w:spacing w:val="-13"/>
        </w:rPr>
        <w:t> </w:t>
      </w:r>
      <w:r>
        <w:rPr/>
        <w:t>marginally</w:t>
      </w:r>
      <w:r>
        <w:rPr>
          <w:spacing w:val="-13"/>
        </w:rPr>
        <w:t> </w:t>
      </w:r>
      <w:r>
        <w:rPr/>
        <w:t>declined.</w:t>
      </w:r>
      <w:r>
        <w:rPr>
          <w:spacing w:val="-13"/>
        </w:rPr>
        <w:t> </w:t>
      </w:r>
      <w:r>
        <w:rPr/>
        <w:t>Maggina</w:t>
      </w:r>
      <w:r>
        <w:rPr>
          <w:spacing w:val="-14"/>
        </w:rPr>
        <w:t> </w:t>
      </w:r>
      <w:r>
        <w:rPr/>
        <w:t>and Tsaklanganos</w:t>
      </w:r>
      <w:r>
        <w:rPr>
          <w:spacing w:val="-14"/>
        </w:rPr>
        <w:t> </w:t>
      </w:r>
      <w:r>
        <w:rPr/>
        <w:t>(2011)</w:t>
      </w:r>
      <w:r>
        <w:rPr>
          <w:spacing w:val="-15"/>
        </w:rPr>
        <w:t> </w:t>
      </w:r>
      <w:r>
        <w:rPr/>
        <w:t>examined</w:t>
      </w:r>
      <w:r>
        <w:rPr>
          <w:spacing w:val="-14"/>
        </w:rPr>
        <w:t> </w:t>
      </w:r>
      <w:r>
        <w:rPr/>
        <w:t>the</w:t>
      </w:r>
      <w:r>
        <w:rPr>
          <w:spacing w:val="-15"/>
        </w:rPr>
        <w:t> </w:t>
      </w:r>
      <w:r>
        <w:rPr/>
        <w:t>relationship</w:t>
      </w:r>
      <w:r>
        <w:rPr>
          <w:spacing w:val="-14"/>
        </w:rPr>
        <w:t> </w:t>
      </w:r>
      <w:r>
        <w:rPr/>
        <w:t>between</w:t>
      </w:r>
      <w:r>
        <w:rPr>
          <w:spacing w:val="-12"/>
        </w:rPr>
        <w:t> </w:t>
      </w:r>
      <w:r>
        <w:rPr/>
        <w:t>IFRS</w:t>
      </w:r>
      <w:r>
        <w:rPr>
          <w:spacing w:val="-13"/>
        </w:rPr>
        <w:t> </w:t>
      </w:r>
      <w:r>
        <w:rPr/>
        <w:t>adoption</w:t>
      </w:r>
      <w:r>
        <w:rPr>
          <w:spacing w:val="-14"/>
        </w:rPr>
        <w:t> </w:t>
      </w:r>
      <w:r>
        <w:rPr/>
        <w:t>and</w:t>
      </w:r>
      <w:r>
        <w:rPr>
          <w:spacing w:val="-14"/>
        </w:rPr>
        <w:t> </w:t>
      </w:r>
      <w:r>
        <w:rPr/>
        <w:t>accounting</w:t>
      </w:r>
      <w:r>
        <w:rPr>
          <w:spacing w:val="-14"/>
        </w:rPr>
        <w:t> </w:t>
      </w:r>
      <w:r>
        <w:rPr/>
        <w:t>quality in Greece. Using value relevance as a metric for reporting quality, the study found that voluntary IFRS adoption gave firms the discretion used for earnings management purposes.</w:t>
      </w:r>
    </w:p>
    <w:p>
      <w:pPr>
        <w:pStyle w:val="BodyText"/>
        <w:spacing w:line="480" w:lineRule="auto" w:before="1"/>
        <w:ind w:left="940" w:right="1435"/>
        <w:jc w:val="both"/>
      </w:pPr>
      <w:r>
        <w:rPr/>
        <w:t>Generally, an over view of the state of prior empirics suggested a dichotomous view on the impact of IFRS adoption on reporting quality. Although some studies didn’t find an improvement in reporting quality after mandatory IFRS adoption (Adeyemi, 2016; Ahmad et al., 2013; Akpata, 2015; Ames, 2013; Andre &amp; Filip, 2012; Aubert &amp; Grudnitski, 2011; Cameran</w:t>
      </w:r>
      <w:r>
        <w:rPr>
          <w:spacing w:val="-11"/>
        </w:rPr>
        <w:t> </w:t>
      </w:r>
      <w:r>
        <w:rPr/>
        <w:t>et</w:t>
      </w:r>
      <w:r>
        <w:rPr>
          <w:spacing w:val="-10"/>
        </w:rPr>
        <w:t> </w:t>
      </w:r>
      <w:r>
        <w:rPr/>
        <w:t>al.,</w:t>
      </w:r>
      <w:r>
        <w:rPr>
          <w:spacing w:val="-10"/>
        </w:rPr>
        <w:t> </w:t>
      </w:r>
      <w:r>
        <w:rPr/>
        <w:t>n.d.;</w:t>
      </w:r>
      <w:r>
        <w:rPr>
          <w:spacing w:val="-10"/>
        </w:rPr>
        <w:t> </w:t>
      </w:r>
      <w:r>
        <w:rPr/>
        <w:t>Elbannan,</w:t>
      </w:r>
      <w:r>
        <w:rPr>
          <w:spacing w:val="-11"/>
        </w:rPr>
        <w:t> </w:t>
      </w:r>
      <w:r>
        <w:rPr/>
        <w:t>2010;</w:t>
      </w:r>
      <w:r>
        <w:rPr>
          <w:spacing w:val="-10"/>
        </w:rPr>
        <w:t> </w:t>
      </w:r>
      <w:r>
        <w:rPr/>
        <w:t>Hellmand,</w:t>
      </w:r>
      <w:r>
        <w:rPr>
          <w:spacing w:val="-11"/>
        </w:rPr>
        <w:t> </w:t>
      </w:r>
      <w:r>
        <w:rPr/>
        <w:t>2011;</w:t>
      </w:r>
      <w:r>
        <w:rPr>
          <w:spacing w:val="-10"/>
        </w:rPr>
        <w:t> </w:t>
      </w:r>
      <w:r>
        <w:rPr/>
        <w:t>Hui-Sung</w:t>
      </w:r>
      <w:r>
        <w:rPr>
          <w:spacing w:val="-11"/>
        </w:rPr>
        <w:t> </w:t>
      </w:r>
      <w:r>
        <w:rPr/>
        <w:t>&amp;</w:t>
      </w:r>
      <w:r>
        <w:rPr>
          <w:spacing w:val="-10"/>
        </w:rPr>
        <w:t> </w:t>
      </w:r>
      <w:r>
        <w:rPr/>
        <w:t>Tzu-Han,</w:t>
      </w:r>
      <w:r>
        <w:rPr>
          <w:spacing w:val="-11"/>
        </w:rPr>
        <w:t> </w:t>
      </w:r>
      <w:r>
        <w:rPr/>
        <w:t>2014;</w:t>
      </w:r>
      <w:r>
        <w:rPr>
          <w:spacing w:val="-10"/>
        </w:rPr>
        <w:t> </w:t>
      </w:r>
      <w:r>
        <w:rPr/>
        <w:t>Klimczak, 2011; Mikova, 2014; Maggina &amp; Tsaklanganos, 2011; Morais &amp; Curto, 2008; Outa 2011; Umubong</w:t>
      </w:r>
      <w:r>
        <w:rPr>
          <w:spacing w:val="-5"/>
        </w:rPr>
        <w:t> </w:t>
      </w:r>
      <w:r>
        <w:rPr/>
        <w:t>&amp;</w:t>
      </w:r>
      <w:r>
        <w:rPr>
          <w:spacing w:val="-4"/>
        </w:rPr>
        <w:t> </w:t>
      </w:r>
      <w:r>
        <w:rPr/>
        <w:t>Akani,</w:t>
      </w:r>
      <w:r>
        <w:rPr>
          <w:spacing w:val="-2"/>
        </w:rPr>
        <w:t> </w:t>
      </w:r>
      <w:r>
        <w:rPr/>
        <w:t>2015;</w:t>
      </w:r>
      <w:r>
        <w:rPr>
          <w:spacing w:val="-4"/>
        </w:rPr>
        <w:t> </w:t>
      </w:r>
      <w:r>
        <w:rPr/>
        <w:t>Zhou</w:t>
      </w:r>
      <w:r>
        <w:rPr>
          <w:spacing w:val="-5"/>
        </w:rPr>
        <w:t> </w:t>
      </w:r>
      <w:r>
        <w:rPr/>
        <w:t>et</w:t>
      </w:r>
      <w:r>
        <w:rPr>
          <w:spacing w:val="-2"/>
        </w:rPr>
        <w:t> </w:t>
      </w:r>
      <w:r>
        <w:rPr/>
        <w:t>al.,</w:t>
      </w:r>
      <w:r>
        <w:rPr>
          <w:spacing w:val="-5"/>
        </w:rPr>
        <w:t> </w:t>
      </w:r>
      <w:r>
        <w:rPr/>
        <w:t>2009),</w:t>
      </w:r>
      <w:r>
        <w:rPr>
          <w:spacing w:val="-3"/>
        </w:rPr>
        <w:t> </w:t>
      </w:r>
      <w:r>
        <w:rPr/>
        <w:t>however,</w:t>
      </w:r>
      <w:r>
        <w:rPr>
          <w:spacing w:val="-2"/>
        </w:rPr>
        <w:t> </w:t>
      </w:r>
      <w:r>
        <w:rPr/>
        <w:t>majority</w:t>
      </w:r>
      <w:r>
        <w:rPr>
          <w:spacing w:val="-5"/>
        </w:rPr>
        <w:t> </w:t>
      </w:r>
      <w:r>
        <w:rPr/>
        <w:t>of</w:t>
      </w:r>
      <w:r>
        <w:rPr>
          <w:spacing w:val="-3"/>
        </w:rPr>
        <w:t> </w:t>
      </w:r>
      <w:r>
        <w:rPr/>
        <w:t>the</w:t>
      </w:r>
      <w:r>
        <w:rPr>
          <w:spacing w:val="-5"/>
        </w:rPr>
        <w:t> </w:t>
      </w:r>
      <w:r>
        <w:rPr/>
        <w:t>studies</w:t>
      </w:r>
      <w:r>
        <w:rPr>
          <w:spacing w:val="-4"/>
        </w:rPr>
        <w:t> </w:t>
      </w:r>
      <w:r>
        <w:rPr/>
        <w:t>found</w:t>
      </w:r>
      <w:r>
        <w:rPr>
          <w:spacing w:val="-3"/>
        </w:rPr>
        <w:t> </w:t>
      </w:r>
      <w:r>
        <w:rPr/>
        <w:t>evidence to support the relationship (Armstrong et al., 2008; Bath et al., 2006; Bouchareb et al., 2014; Boumediene et al., 2014; Chen et al., 2010; Horton et al., 2012;</w:t>
      </w:r>
      <w:r>
        <w:rPr>
          <w:spacing w:val="40"/>
        </w:rPr>
        <w:t> </w:t>
      </w:r>
      <w:r>
        <w:rPr/>
        <w:t>Houque et al., 2010; Kargin, 2013;</w:t>
      </w:r>
      <w:r>
        <w:rPr>
          <w:spacing w:val="-4"/>
        </w:rPr>
        <w:t> </w:t>
      </w:r>
      <w:r>
        <w:rPr/>
        <w:t>Masoud,</w:t>
      </w:r>
      <w:r>
        <w:rPr>
          <w:spacing w:val="-5"/>
        </w:rPr>
        <w:t> </w:t>
      </w:r>
      <w:r>
        <w:rPr/>
        <w:t>2017;</w:t>
      </w:r>
      <w:r>
        <w:rPr>
          <w:spacing w:val="-4"/>
        </w:rPr>
        <w:t> </w:t>
      </w:r>
      <w:r>
        <w:rPr/>
        <w:t>Nartktabtee</w:t>
      </w:r>
      <w:r>
        <w:rPr>
          <w:spacing w:val="-6"/>
        </w:rPr>
        <w:t> </w:t>
      </w:r>
      <w:r>
        <w:rPr/>
        <w:t>&amp;</w:t>
      </w:r>
      <w:r>
        <w:rPr>
          <w:spacing w:val="-4"/>
        </w:rPr>
        <w:t> </w:t>
      </w:r>
      <w:r>
        <w:rPr/>
        <w:t>Patpanichchot,</w:t>
      </w:r>
      <w:r>
        <w:rPr>
          <w:spacing w:val="-4"/>
        </w:rPr>
        <w:t> </w:t>
      </w:r>
      <w:r>
        <w:rPr/>
        <w:t>2011a;</w:t>
      </w:r>
      <w:r>
        <w:rPr>
          <w:spacing w:val="-4"/>
        </w:rPr>
        <w:t> </w:t>
      </w:r>
      <w:r>
        <w:rPr/>
        <w:t>Nulla,</w:t>
      </w:r>
      <w:r>
        <w:rPr>
          <w:spacing w:val="-5"/>
        </w:rPr>
        <w:t> </w:t>
      </w:r>
      <w:r>
        <w:rPr/>
        <w:t>2014;</w:t>
      </w:r>
      <w:r>
        <w:rPr>
          <w:spacing w:val="-3"/>
        </w:rPr>
        <w:t> </w:t>
      </w:r>
      <w:r>
        <w:rPr/>
        <w:t>Nikolaos</w:t>
      </w:r>
      <w:r>
        <w:rPr>
          <w:spacing w:val="-5"/>
        </w:rPr>
        <w:t> </w:t>
      </w:r>
      <w:r>
        <w:rPr/>
        <w:t>et</w:t>
      </w:r>
      <w:r>
        <w:rPr>
          <w:spacing w:val="-4"/>
        </w:rPr>
        <w:t> </w:t>
      </w:r>
      <w:r>
        <w:rPr/>
        <w:t>al.,</w:t>
      </w:r>
      <w:r>
        <w:rPr>
          <w:spacing w:val="-4"/>
        </w:rPr>
        <w:t> </w:t>
      </w:r>
      <w:r>
        <w:rPr/>
        <w:t>2009; Ogundana</w:t>
      </w:r>
      <w:r>
        <w:rPr>
          <w:spacing w:val="-12"/>
        </w:rPr>
        <w:t> </w:t>
      </w:r>
      <w:r>
        <w:rPr/>
        <w:t>et</w:t>
      </w:r>
      <w:r>
        <w:rPr>
          <w:spacing w:val="-10"/>
        </w:rPr>
        <w:t> </w:t>
      </w:r>
      <w:r>
        <w:rPr/>
        <w:t>al.,</w:t>
      </w:r>
      <w:r>
        <w:rPr>
          <w:spacing w:val="-11"/>
        </w:rPr>
        <w:t> </w:t>
      </w:r>
      <w:r>
        <w:rPr/>
        <w:t>2017;</w:t>
      </w:r>
      <w:r>
        <w:rPr>
          <w:spacing w:val="-10"/>
        </w:rPr>
        <w:t> </w:t>
      </w:r>
      <w:r>
        <w:rPr/>
        <w:t>Patro</w:t>
      </w:r>
      <w:r>
        <w:rPr>
          <w:spacing w:val="-11"/>
        </w:rPr>
        <w:t> </w:t>
      </w:r>
      <w:r>
        <w:rPr/>
        <w:t>&amp;</w:t>
      </w:r>
      <w:r>
        <w:rPr>
          <w:spacing w:val="-10"/>
        </w:rPr>
        <w:t> </w:t>
      </w:r>
      <w:r>
        <w:rPr/>
        <w:t>Gupta,</w:t>
      </w:r>
      <w:r>
        <w:rPr>
          <w:spacing w:val="-11"/>
        </w:rPr>
        <w:t> </w:t>
      </w:r>
      <w:r>
        <w:rPr/>
        <w:t>2016;</w:t>
      </w:r>
      <w:r>
        <w:rPr>
          <w:spacing w:val="-10"/>
        </w:rPr>
        <w:t> </w:t>
      </w:r>
      <w:r>
        <w:rPr/>
        <w:t>Qu</w:t>
      </w:r>
      <w:r>
        <w:rPr>
          <w:spacing w:val="-12"/>
        </w:rPr>
        <w:t> </w:t>
      </w:r>
      <w:r>
        <w:rPr/>
        <w:t>et</w:t>
      </w:r>
      <w:r>
        <w:rPr>
          <w:spacing w:val="-10"/>
        </w:rPr>
        <w:t> </w:t>
      </w:r>
      <w:r>
        <w:rPr/>
        <w:t>al.,</w:t>
      </w:r>
      <w:r>
        <w:rPr>
          <w:spacing w:val="-11"/>
        </w:rPr>
        <w:t> </w:t>
      </w:r>
      <w:r>
        <w:rPr/>
        <w:t>2012;</w:t>
      </w:r>
      <w:r>
        <w:rPr>
          <w:spacing w:val="-10"/>
        </w:rPr>
        <w:t> </w:t>
      </w:r>
      <w:r>
        <w:rPr/>
        <w:t>Uyar,</w:t>
      </w:r>
      <w:r>
        <w:rPr>
          <w:spacing w:val="-12"/>
        </w:rPr>
        <w:t> </w:t>
      </w:r>
      <w:r>
        <w:rPr/>
        <w:t>2013;</w:t>
      </w:r>
      <w:r>
        <w:rPr>
          <w:spacing w:val="-10"/>
        </w:rPr>
        <w:t> </w:t>
      </w:r>
      <w:r>
        <w:rPr/>
        <w:t>Yurt</w:t>
      </w:r>
      <w:r>
        <w:rPr>
          <w:spacing w:val="-11"/>
        </w:rPr>
        <w:t> </w:t>
      </w:r>
      <w:r>
        <w:rPr/>
        <w:t>&amp;</w:t>
      </w:r>
      <w:r>
        <w:rPr>
          <w:spacing w:val="-10"/>
        </w:rPr>
        <w:t> </w:t>
      </w:r>
      <w:r>
        <w:rPr/>
        <w:t>Ergun,</w:t>
      </w:r>
      <w:r>
        <w:rPr>
          <w:spacing w:val="-10"/>
        </w:rPr>
        <w:t> </w:t>
      </w:r>
      <w:r>
        <w:rPr>
          <w:spacing w:val="-2"/>
        </w:rPr>
        <w:t>2015).</w:t>
      </w:r>
    </w:p>
    <w:p>
      <w:pPr>
        <w:pStyle w:val="Heading3"/>
        <w:numPr>
          <w:ilvl w:val="2"/>
          <w:numId w:val="30"/>
        </w:numPr>
        <w:tabs>
          <w:tab w:pos="1540" w:val="left" w:leader="none"/>
        </w:tabs>
        <w:spacing w:line="240" w:lineRule="auto" w:before="2" w:after="0"/>
        <w:ind w:left="1540" w:right="0" w:hanging="600"/>
        <w:jc w:val="both"/>
      </w:pPr>
      <w:bookmarkStart w:name="_TOC_250013" w:id="57"/>
      <w:r>
        <w:rPr/>
        <w:t>Board</w:t>
      </w:r>
      <w:r>
        <w:rPr>
          <w:spacing w:val="-2"/>
        </w:rPr>
        <w:t> </w:t>
      </w:r>
      <w:r>
        <w:rPr/>
        <w:t>of</w:t>
      </w:r>
      <w:r>
        <w:rPr>
          <w:spacing w:val="-1"/>
        </w:rPr>
        <w:t> </w:t>
      </w:r>
      <w:r>
        <w:rPr/>
        <w:t>Director</w:t>
      </w:r>
      <w:r>
        <w:rPr>
          <w:spacing w:val="-2"/>
        </w:rPr>
        <w:t> </w:t>
      </w:r>
      <w:r>
        <w:rPr/>
        <w:t>Size</w:t>
      </w:r>
      <w:r>
        <w:rPr>
          <w:spacing w:val="-3"/>
        </w:rPr>
        <w:t> </w:t>
      </w:r>
      <w:r>
        <w:rPr/>
        <w:t>and</w:t>
      </w:r>
      <w:r>
        <w:rPr>
          <w:spacing w:val="-2"/>
        </w:rPr>
        <w:t> </w:t>
      </w:r>
      <w:r>
        <w:rPr/>
        <w:t>Financial</w:t>
      </w:r>
      <w:r>
        <w:rPr>
          <w:spacing w:val="-1"/>
        </w:rPr>
        <w:t> </w:t>
      </w:r>
      <w:r>
        <w:rPr/>
        <w:t>Reporting</w:t>
      </w:r>
      <w:r>
        <w:rPr>
          <w:spacing w:val="-1"/>
        </w:rPr>
        <w:t> </w:t>
      </w:r>
      <w:bookmarkEnd w:id="57"/>
      <w:r>
        <w:rPr>
          <w:spacing w:val="-2"/>
        </w:rPr>
        <w:t>Quality</w:t>
      </w:r>
    </w:p>
    <w:p>
      <w:pPr>
        <w:spacing w:after="0" w:line="24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58464">
            <wp:simplePos x="0" y="0"/>
            <wp:positionH relativeFrom="page">
              <wp:posOffset>1095451</wp:posOffset>
            </wp:positionH>
            <wp:positionV relativeFrom="paragraph">
              <wp:posOffset>1850770</wp:posOffset>
            </wp:positionV>
            <wp:extent cx="5106847" cy="5238115"/>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14"/>
        </w:rPr>
        <w:t> </w:t>
      </w:r>
      <w:r>
        <w:rPr/>
        <w:t>estimations</w:t>
      </w:r>
      <w:r>
        <w:rPr>
          <w:spacing w:val="-12"/>
        </w:rPr>
        <w:t> </w:t>
      </w:r>
      <w:r>
        <w:rPr/>
        <w:t>revealed</w:t>
      </w:r>
      <w:r>
        <w:rPr>
          <w:spacing w:val="-13"/>
        </w:rPr>
        <w:t> </w:t>
      </w:r>
      <w:r>
        <w:rPr/>
        <w:t>that</w:t>
      </w:r>
      <w:r>
        <w:rPr>
          <w:spacing w:val="-13"/>
        </w:rPr>
        <w:t> </w:t>
      </w:r>
      <w:r>
        <w:rPr/>
        <w:t>BDS</w:t>
      </w:r>
      <w:r>
        <w:rPr>
          <w:spacing w:val="-13"/>
        </w:rPr>
        <w:t> </w:t>
      </w:r>
      <w:r>
        <w:rPr/>
        <w:t>had</w:t>
      </w:r>
      <w:r>
        <w:rPr>
          <w:spacing w:val="-13"/>
        </w:rPr>
        <w:t> </w:t>
      </w:r>
      <w:r>
        <w:rPr/>
        <w:t>a</w:t>
      </w:r>
      <w:r>
        <w:rPr>
          <w:spacing w:val="-14"/>
        </w:rPr>
        <w:t> </w:t>
      </w:r>
      <w:r>
        <w:rPr/>
        <w:t>negative</w:t>
      </w:r>
      <w:r>
        <w:rPr>
          <w:spacing w:val="-14"/>
        </w:rPr>
        <w:t> </w:t>
      </w:r>
      <w:r>
        <w:rPr/>
        <w:t>effect</w:t>
      </w:r>
      <w:r>
        <w:rPr>
          <w:spacing w:val="-13"/>
        </w:rPr>
        <w:t> </w:t>
      </w:r>
      <w:r>
        <w:rPr/>
        <w:t>on</w:t>
      </w:r>
      <w:r>
        <w:rPr>
          <w:spacing w:val="-13"/>
        </w:rPr>
        <w:t> </w:t>
      </w:r>
      <w:r>
        <w:rPr/>
        <w:t>QUA-FRQ</w:t>
      </w:r>
      <w:r>
        <w:rPr>
          <w:spacing w:val="-13"/>
        </w:rPr>
        <w:t> </w:t>
      </w:r>
      <w:r>
        <w:rPr/>
        <w:t>although</w:t>
      </w:r>
      <w:r>
        <w:rPr>
          <w:spacing w:val="-13"/>
        </w:rPr>
        <w:t> </w:t>
      </w:r>
      <w:r>
        <w:rPr/>
        <w:t>not</w:t>
      </w:r>
      <w:r>
        <w:rPr>
          <w:spacing w:val="-13"/>
        </w:rPr>
        <w:t> </w:t>
      </w:r>
      <w:r>
        <w:rPr/>
        <w:t>significant at 5% (-0.0009, p=0.5163) and the interaction Post-IFRS*BDS testing the presence of incremental IFRS adoption effect also did not show that board size had a significant incremental</w:t>
      </w:r>
      <w:r>
        <w:rPr>
          <w:spacing w:val="-15"/>
        </w:rPr>
        <w:t> </w:t>
      </w:r>
      <w:r>
        <w:rPr/>
        <w:t>effect</w:t>
      </w:r>
      <w:r>
        <w:rPr>
          <w:spacing w:val="-15"/>
        </w:rPr>
        <w:t> </w:t>
      </w:r>
      <w:r>
        <w:rPr/>
        <w:t>on</w:t>
      </w:r>
      <w:r>
        <w:rPr>
          <w:spacing w:val="-15"/>
        </w:rPr>
        <w:t> </w:t>
      </w:r>
      <w:r>
        <w:rPr/>
        <w:t>QUA-FRQ</w:t>
      </w:r>
      <w:r>
        <w:rPr>
          <w:spacing w:val="-15"/>
        </w:rPr>
        <w:t> </w:t>
      </w:r>
      <w:r>
        <w:rPr/>
        <w:t>resulting</w:t>
      </w:r>
      <w:r>
        <w:rPr>
          <w:spacing w:val="-15"/>
        </w:rPr>
        <w:t> </w:t>
      </w:r>
      <w:r>
        <w:rPr/>
        <w:t>from</w:t>
      </w:r>
      <w:r>
        <w:rPr>
          <w:spacing w:val="-15"/>
        </w:rPr>
        <w:t> </w:t>
      </w:r>
      <w:r>
        <w:rPr/>
        <w:t>IFRS</w:t>
      </w:r>
      <w:r>
        <w:rPr>
          <w:spacing w:val="-15"/>
        </w:rPr>
        <w:t> </w:t>
      </w:r>
      <w:r>
        <w:rPr/>
        <w:t>adoption</w:t>
      </w:r>
      <w:r>
        <w:rPr>
          <w:spacing w:val="-15"/>
        </w:rPr>
        <w:t> </w:t>
      </w:r>
      <w:r>
        <w:rPr/>
        <w:t>(-0.00115,</w:t>
      </w:r>
      <w:r>
        <w:rPr>
          <w:spacing w:val="-15"/>
        </w:rPr>
        <w:t> </w:t>
      </w:r>
      <w:r>
        <w:rPr/>
        <w:t>p=0.5851).</w:t>
      </w:r>
      <w:r>
        <w:rPr>
          <w:spacing w:val="-15"/>
        </w:rPr>
        <w:t> </w:t>
      </w:r>
      <w:r>
        <w:rPr/>
        <w:t>BDS</w:t>
      </w:r>
      <w:r>
        <w:rPr>
          <w:spacing w:val="-15"/>
        </w:rPr>
        <w:t> </w:t>
      </w:r>
      <w:r>
        <w:rPr/>
        <w:t>had a negative effect on DISACC although not significant at 5% (-0.0283, p=0.1130) and the interaction Post-IFRS*BDS testing the presence of incremental IFRS adoption effect also did not</w:t>
      </w:r>
      <w:r>
        <w:rPr>
          <w:spacing w:val="-2"/>
        </w:rPr>
        <w:t> </w:t>
      </w:r>
      <w:r>
        <w:rPr/>
        <w:t>show</w:t>
      </w:r>
      <w:r>
        <w:rPr>
          <w:spacing w:val="-2"/>
        </w:rPr>
        <w:t> </w:t>
      </w:r>
      <w:r>
        <w:rPr/>
        <w:t>that</w:t>
      </w:r>
      <w:r>
        <w:rPr>
          <w:spacing w:val="-2"/>
        </w:rPr>
        <w:t> </w:t>
      </w:r>
      <w:r>
        <w:rPr/>
        <w:t>board</w:t>
      </w:r>
      <w:r>
        <w:rPr>
          <w:spacing w:val="-3"/>
        </w:rPr>
        <w:t> </w:t>
      </w:r>
      <w:r>
        <w:rPr/>
        <w:t>size</w:t>
      </w:r>
      <w:r>
        <w:rPr>
          <w:spacing w:val="-1"/>
        </w:rPr>
        <w:t> </w:t>
      </w:r>
      <w:r>
        <w:rPr/>
        <w:t>had</w:t>
      </w:r>
      <w:r>
        <w:rPr>
          <w:spacing w:val="-2"/>
        </w:rPr>
        <w:t> </w:t>
      </w:r>
      <w:r>
        <w:rPr/>
        <w:t>a</w:t>
      </w:r>
      <w:r>
        <w:rPr>
          <w:spacing w:val="-1"/>
        </w:rPr>
        <w:t> </w:t>
      </w:r>
      <w:r>
        <w:rPr/>
        <w:t>significant</w:t>
      </w:r>
      <w:r>
        <w:rPr>
          <w:spacing w:val="-2"/>
        </w:rPr>
        <w:t> </w:t>
      </w:r>
      <w:r>
        <w:rPr/>
        <w:t>incremental</w:t>
      </w:r>
      <w:r>
        <w:rPr>
          <w:spacing w:val="-2"/>
        </w:rPr>
        <w:t> </w:t>
      </w:r>
      <w:r>
        <w:rPr/>
        <w:t>effect</w:t>
      </w:r>
      <w:r>
        <w:rPr>
          <w:spacing w:val="-2"/>
        </w:rPr>
        <w:t> </w:t>
      </w:r>
      <w:r>
        <w:rPr/>
        <w:t>on DISACC</w:t>
      </w:r>
      <w:r>
        <w:rPr>
          <w:spacing w:val="-2"/>
        </w:rPr>
        <w:t> </w:t>
      </w:r>
      <w:r>
        <w:rPr/>
        <w:t>resulting</w:t>
      </w:r>
      <w:r>
        <w:rPr>
          <w:spacing w:val="-2"/>
        </w:rPr>
        <w:t> </w:t>
      </w:r>
      <w:r>
        <w:rPr/>
        <w:t>from IFRS adoption (-0.006, p=0.7260). BDS had a positive effect on VREL although not significant at 5% (0.3607, p=0.1273) and the interaction Post-IFRS*BDS, testing the presence of incremental IFRS adoption effect also did not show that board size had a significant incremental</w:t>
      </w:r>
      <w:r>
        <w:rPr>
          <w:spacing w:val="-8"/>
        </w:rPr>
        <w:t> </w:t>
      </w:r>
      <w:r>
        <w:rPr/>
        <w:t>effect</w:t>
      </w:r>
      <w:r>
        <w:rPr>
          <w:spacing w:val="-10"/>
        </w:rPr>
        <w:t> </w:t>
      </w:r>
      <w:r>
        <w:rPr/>
        <w:t>on</w:t>
      </w:r>
      <w:r>
        <w:rPr>
          <w:spacing w:val="-9"/>
        </w:rPr>
        <w:t> </w:t>
      </w:r>
      <w:r>
        <w:rPr/>
        <w:t>VREL</w:t>
      </w:r>
      <w:r>
        <w:rPr>
          <w:spacing w:val="-11"/>
        </w:rPr>
        <w:t> </w:t>
      </w:r>
      <w:r>
        <w:rPr/>
        <w:t>resulting</w:t>
      </w:r>
      <w:r>
        <w:rPr>
          <w:spacing w:val="-10"/>
        </w:rPr>
        <w:t> </w:t>
      </w:r>
      <w:r>
        <w:rPr/>
        <w:t>from</w:t>
      </w:r>
      <w:r>
        <w:rPr>
          <w:spacing w:val="-9"/>
        </w:rPr>
        <w:t> </w:t>
      </w:r>
      <w:r>
        <w:rPr/>
        <w:t>IFRS</w:t>
      </w:r>
      <w:r>
        <w:rPr>
          <w:spacing w:val="-10"/>
        </w:rPr>
        <w:t> </w:t>
      </w:r>
      <w:r>
        <w:rPr/>
        <w:t>adoption</w:t>
      </w:r>
      <w:r>
        <w:rPr>
          <w:spacing w:val="-11"/>
        </w:rPr>
        <w:t> </w:t>
      </w:r>
      <w:r>
        <w:rPr/>
        <w:t>(-0.4814,</w:t>
      </w:r>
      <w:r>
        <w:rPr>
          <w:spacing w:val="-11"/>
        </w:rPr>
        <w:t> </w:t>
      </w:r>
      <w:r>
        <w:rPr/>
        <w:t>p=0.7260).</w:t>
      </w:r>
      <w:r>
        <w:rPr>
          <w:spacing w:val="-9"/>
        </w:rPr>
        <w:t> </w:t>
      </w:r>
      <w:r>
        <w:rPr/>
        <w:t>In</w:t>
      </w:r>
      <w:r>
        <w:rPr>
          <w:spacing w:val="-9"/>
        </w:rPr>
        <w:t> </w:t>
      </w:r>
      <w:r>
        <w:rPr/>
        <w:t>conclusion, based on the three measures of financial reporting used in this study, board size was found to have an insignificant effect across all measures. From the DID perspective, no evidence of an IFRS</w:t>
      </w:r>
      <w:r>
        <w:rPr>
          <w:spacing w:val="-7"/>
        </w:rPr>
        <w:t> </w:t>
      </w:r>
      <w:r>
        <w:rPr/>
        <w:t>incremental</w:t>
      </w:r>
      <w:r>
        <w:rPr>
          <w:spacing w:val="-5"/>
        </w:rPr>
        <w:t> </w:t>
      </w:r>
      <w:r>
        <w:rPr/>
        <w:t>effect</w:t>
      </w:r>
      <w:r>
        <w:rPr>
          <w:spacing w:val="-5"/>
        </w:rPr>
        <w:t> </w:t>
      </w:r>
      <w:r>
        <w:rPr/>
        <w:t>was</w:t>
      </w:r>
      <w:r>
        <w:rPr>
          <w:spacing w:val="-7"/>
        </w:rPr>
        <w:t> </w:t>
      </w:r>
      <w:r>
        <w:rPr/>
        <w:t>present</w:t>
      </w:r>
      <w:r>
        <w:rPr>
          <w:spacing w:val="-7"/>
        </w:rPr>
        <w:t> </w:t>
      </w:r>
      <w:r>
        <w:rPr/>
        <w:t>for</w:t>
      </w:r>
      <w:r>
        <w:rPr>
          <w:spacing w:val="-9"/>
        </w:rPr>
        <w:t> </w:t>
      </w:r>
      <w:r>
        <w:rPr/>
        <w:t>VREL</w:t>
      </w:r>
      <w:r>
        <w:rPr>
          <w:spacing w:val="-7"/>
        </w:rPr>
        <w:t> </w:t>
      </w:r>
      <w:r>
        <w:rPr/>
        <w:t>although</w:t>
      </w:r>
      <w:r>
        <w:rPr>
          <w:spacing w:val="-7"/>
        </w:rPr>
        <w:t> </w:t>
      </w:r>
      <w:r>
        <w:rPr/>
        <w:t>it</w:t>
      </w:r>
      <w:r>
        <w:rPr>
          <w:spacing w:val="-7"/>
        </w:rPr>
        <w:t> </w:t>
      </w:r>
      <w:r>
        <w:rPr/>
        <w:t>tends</w:t>
      </w:r>
      <w:r>
        <w:rPr>
          <w:spacing w:val="-8"/>
        </w:rPr>
        <w:t> </w:t>
      </w:r>
      <w:r>
        <w:rPr/>
        <w:t>to</w:t>
      </w:r>
      <w:r>
        <w:rPr>
          <w:spacing w:val="-7"/>
        </w:rPr>
        <w:t> </w:t>
      </w:r>
      <w:r>
        <w:rPr/>
        <w:t>have</w:t>
      </w:r>
      <w:r>
        <w:rPr>
          <w:spacing w:val="-8"/>
        </w:rPr>
        <w:t> </w:t>
      </w:r>
      <w:r>
        <w:rPr/>
        <w:t>declined</w:t>
      </w:r>
      <w:r>
        <w:rPr>
          <w:spacing w:val="-7"/>
        </w:rPr>
        <w:t> </w:t>
      </w:r>
      <w:r>
        <w:rPr/>
        <w:t>in</w:t>
      </w:r>
      <w:r>
        <w:rPr>
          <w:spacing w:val="-7"/>
        </w:rPr>
        <w:t> </w:t>
      </w:r>
      <w:r>
        <w:rPr/>
        <w:t>relation</w:t>
      </w:r>
      <w:r>
        <w:rPr>
          <w:spacing w:val="-7"/>
        </w:rPr>
        <w:t> </w:t>
      </w:r>
      <w:r>
        <w:rPr/>
        <w:t>to FRQ and DISACC measures but supported the outcome of no evidence of incremental effect </w:t>
      </w:r>
      <w:r>
        <w:rPr>
          <w:position w:val="2"/>
        </w:rPr>
        <w:t>of</w:t>
      </w:r>
      <w:r>
        <w:rPr>
          <w:spacing w:val="-2"/>
          <w:position w:val="2"/>
        </w:rPr>
        <w:t> </w:t>
      </w:r>
      <w:r>
        <w:rPr>
          <w:position w:val="2"/>
        </w:rPr>
        <w:t>board</w:t>
      </w:r>
      <w:r>
        <w:rPr>
          <w:spacing w:val="-2"/>
          <w:position w:val="2"/>
        </w:rPr>
        <w:t> </w:t>
      </w:r>
      <w:r>
        <w:rPr>
          <w:position w:val="2"/>
        </w:rPr>
        <w:t>size.</w:t>
      </w:r>
      <w:r>
        <w:rPr>
          <w:spacing w:val="-2"/>
          <w:position w:val="2"/>
        </w:rPr>
        <w:t> </w:t>
      </w:r>
      <w:r>
        <w:rPr>
          <w:position w:val="2"/>
        </w:rPr>
        <w:t>Hence,</w:t>
      </w:r>
      <w:r>
        <w:rPr>
          <w:spacing w:val="-2"/>
          <w:position w:val="2"/>
        </w:rPr>
        <w:t> </w:t>
      </w:r>
      <w:r>
        <w:rPr>
          <w:position w:val="2"/>
        </w:rPr>
        <w:t>the</w:t>
      </w:r>
      <w:r>
        <w:rPr>
          <w:spacing w:val="-1"/>
          <w:position w:val="2"/>
        </w:rPr>
        <w:t> </w:t>
      </w:r>
      <w:r>
        <w:rPr>
          <w:position w:val="2"/>
        </w:rPr>
        <w:t>null</w:t>
      </w:r>
      <w:r>
        <w:rPr>
          <w:spacing w:val="-2"/>
          <w:position w:val="2"/>
        </w:rPr>
        <w:t> </w:t>
      </w:r>
      <w:r>
        <w:rPr>
          <w:position w:val="2"/>
        </w:rPr>
        <w:t>hypothesis</w:t>
      </w:r>
      <w:r>
        <w:rPr>
          <w:spacing w:val="-2"/>
          <w:position w:val="2"/>
        </w:rPr>
        <w:t> </w:t>
      </w:r>
      <w:r>
        <w:rPr>
          <w:position w:val="2"/>
        </w:rPr>
        <w:t>that</w:t>
      </w:r>
      <w:r>
        <w:rPr>
          <w:spacing w:val="-2"/>
          <w:position w:val="2"/>
        </w:rPr>
        <w:t> </w:t>
      </w:r>
      <w:r>
        <w:rPr>
          <w:position w:val="2"/>
        </w:rPr>
        <w:t>H</w:t>
      </w:r>
      <w:r>
        <w:rPr>
          <w:sz w:val="16"/>
        </w:rPr>
        <w:t>02</w:t>
      </w:r>
      <w:r>
        <w:rPr>
          <w:position w:val="2"/>
        </w:rPr>
        <w:t>:</w:t>
      </w:r>
      <w:r>
        <w:rPr>
          <w:spacing w:val="-4"/>
          <w:position w:val="2"/>
        </w:rPr>
        <w:t> </w:t>
      </w:r>
      <w:r>
        <w:rPr>
          <w:position w:val="2"/>
        </w:rPr>
        <w:t>Board</w:t>
      </w:r>
      <w:r>
        <w:rPr>
          <w:spacing w:val="-2"/>
          <w:position w:val="2"/>
        </w:rPr>
        <w:t> </w:t>
      </w:r>
      <w:r>
        <w:rPr>
          <w:position w:val="2"/>
        </w:rPr>
        <w:t>Size</w:t>
      </w:r>
      <w:r>
        <w:rPr>
          <w:spacing w:val="-3"/>
          <w:position w:val="2"/>
        </w:rPr>
        <w:t> </w:t>
      </w:r>
      <w:r>
        <w:rPr>
          <w:position w:val="2"/>
        </w:rPr>
        <w:t>has</w:t>
      </w:r>
      <w:r>
        <w:rPr>
          <w:spacing w:val="-2"/>
          <w:position w:val="2"/>
        </w:rPr>
        <w:t> </w:t>
      </w:r>
      <w:r>
        <w:rPr>
          <w:position w:val="2"/>
        </w:rPr>
        <w:t>no</w:t>
      </w:r>
      <w:r>
        <w:rPr>
          <w:spacing w:val="-2"/>
          <w:position w:val="2"/>
        </w:rPr>
        <w:t> </w:t>
      </w:r>
      <w:r>
        <w:rPr>
          <w:position w:val="2"/>
        </w:rPr>
        <w:t>significant</w:t>
      </w:r>
      <w:r>
        <w:rPr>
          <w:spacing w:val="-2"/>
          <w:position w:val="2"/>
        </w:rPr>
        <w:t> </w:t>
      </w:r>
      <w:r>
        <w:rPr>
          <w:position w:val="2"/>
        </w:rPr>
        <w:t>impact</w:t>
      </w:r>
      <w:r>
        <w:rPr>
          <w:spacing w:val="-2"/>
          <w:position w:val="2"/>
        </w:rPr>
        <w:t> </w:t>
      </w:r>
      <w:r>
        <w:rPr>
          <w:position w:val="2"/>
        </w:rPr>
        <w:t>on the </w:t>
      </w:r>
      <w:r>
        <w:rPr/>
        <w:t>reporting quality of listed companies on the Nigerian Stock Exchange (NSE) in a post-IFRS regime was rejected.</w:t>
      </w:r>
    </w:p>
    <w:p>
      <w:pPr>
        <w:pStyle w:val="BodyText"/>
        <w:spacing w:line="480" w:lineRule="auto"/>
        <w:ind w:left="940" w:right="1435"/>
        <w:jc w:val="both"/>
      </w:pPr>
      <w:r>
        <w:rPr/>
        <w:t>The results which were in tandem with Ibrahim and Jehu’s work (2018) examined the relationship between board composition and financial reporting quality. The results from the multivariate regression analyses suggested that board size exhibited an insignificant inverse relationship with abnormal accruals. In a similar study, Nugroho and Eko (2011) found that board size did not affect earnings management of firms listed on the Indonesian Stock Exchange. However,</w:t>
      </w:r>
      <w:r>
        <w:rPr>
          <w:spacing w:val="-15"/>
        </w:rPr>
        <w:t> </w:t>
      </w:r>
      <w:r>
        <w:rPr/>
        <w:t>in</w:t>
      </w:r>
      <w:r>
        <w:rPr>
          <w:spacing w:val="-15"/>
        </w:rPr>
        <w:t> </w:t>
      </w:r>
      <w:r>
        <w:rPr/>
        <w:t>contrast,</w:t>
      </w:r>
      <w:r>
        <w:rPr>
          <w:spacing w:val="-15"/>
        </w:rPr>
        <w:t> </w:t>
      </w:r>
      <w:r>
        <w:rPr/>
        <w:t>Adebiyi</w:t>
      </w:r>
      <w:r>
        <w:rPr>
          <w:spacing w:val="-15"/>
        </w:rPr>
        <w:t> </w:t>
      </w:r>
      <w:r>
        <w:rPr/>
        <w:t>(2017)</w:t>
      </w:r>
      <w:r>
        <w:rPr>
          <w:spacing w:val="-15"/>
        </w:rPr>
        <w:t> </w:t>
      </w:r>
      <w:r>
        <w:rPr/>
        <w:t>investigated</w:t>
      </w:r>
      <w:r>
        <w:rPr>
          <w:spacing w:val="-15"/>
        </w:rPr>
        <w:t> </w:t>
      </w:r>
      <w:r>
        <w:rPr/>
        <w:t>a</w:t>
      </w:r>
      <w:r>
        <w:rPr>
          <w:spacing w:val="-15"/>
        </w:rPr>
        <w:t> </w:t>
      </w:r>
      <w:r>
        <w:rPr/>
        <w:t>board</w:t>
      </w:r>
      <w:r>
        <w:rPr>
          <w:spacing w:val="-15"/>
        </w:rPr>
        <w:t> </w:t>
      </w:r>
      <w:r>
        <w:rPr/>
        <w:t>of</w:t>
      </w:r>
      <w:r>
        <w:rPr>
          <w:spacing w:val="-15"/>
        </w:rPr>
        <w:t> </w:t>
      </w:r>
      <w:r>
        <w:rPr/>
        <w:t>directors’</w:t>
      </w:r>
      <w:r>
        <w:rPr>
          <w:spacing w:val="-15"/>
        </w:rPr>
        <w:t> </w:t>
      </w:r>
      <w:r>
        <w:rPr/>
        <w:t>composition and</w:t>
      </w:r>
      <w:r>
        <w:rPr>
          <w:spacing w:val="-4"/>
        </w:rPr>
        <w:t> </w:t>
      </w:r>
      <w:r>
        <w:rPr/>
        <w:t>financial</w:t>
      </w:r>
      <w:r>
        <w:rPr>
          <w:spacing w:val="-3"/>
        </w:rPr>
        <w:t> </w:t>
      </w:r>
      <w:r>
        <w:rPr/>
        <w:t>reporting</w:t>
      </w:r>
      <w:r>
        <w:rPr>
          <w:spacing w:val="-3"/>
        </w:rPr>
        <w:t> </w:t>
      </w:r>
      <w:r>
        <w:rPr/>
        <w:t>quality</w:t>
      </w:r>
      <w:r>
        <w:rPr>
          <w:spacing w:val="-2"/>
        </w:rPr>
        <w:t> </w:t>
      </w:r>
      <w:r>
        <w:rPr/>
        <w:t>of</w:t>
      </w:r>
      <w:r>
        <w:rPr>
          <w:spacing w:val="-4"/>
        </w:rPr>
        <w:t> </w:t>
      </w:r>
      <w:r>
        <w:rPr/>
        <w:t>deposit</w:t>
      </w:r>
      <w:r>
        <w:rPr>
          <w:spacing w:val="-3"/>
        </w:rPr>
        <w:t> </w:t>
      </w:r>
      <w:r>
        <w:rPr/>
        <w:t>money</w:t>
      </w:r>
      <w:r>
        <w:rPr>
          <w:spacing w:val="-3"/>
        </w:rPr>
        <w:t> </w:t>
      </w:r>
      <w:r>
        <w:rPr/>
        <w:t>banks</w:t>
      </w:r>
      <w:r>
        <w:rPr>
          <w:spacing w:val="-3"/>
        </w:rPr>
        <w:t> </w:t>
      </w:r>
      <w:r>
        <w:rPr/>
        <w:t>in</w:t>
      </w:r>
      <w:r>
        <w:rPr>
          <w:spacing w:val="-2"/>
        </w:rPr>
        <w:t> </w:t>
      </w:r>
      <w:r>
        <w:rPr/>
        <w:t>Nigeria.</w:t>
      </w:r>
      <w:r>
        <w:rPr>
          <w:spacing w:val="54"/>
        </w:rPr>
        <w:t> </w:t>
      </w:r>
      <w:r>
        <w:rPr/>
        <w:t>The</w:t>
      </w:r>
      <w:r>
        <w:rPr>
          <w:spacing w:val="-4"/>
        </w:rPr>
        <w:t> </w:t>
      </w:r>
      <w:r>
        <w:rPr/>
        <w:t>study</w:t>
      </w:r>
      <w:r>
        <w:rPr>
          <w:spacing w:val="-3"/>
        </w:rPr>
        <w:t> </w:t>
      </w:r>
      <w:r>
        <w:rPr/>
        <w:t>found</w:t>
      </w:r>
      <w:r>
        <w:rPr>
          <w:spacing w:val="-4"/>
        </w:rPr>
        <w:t> </w:t>
      </w:r>
      <w:r>
        <w:rPr/>
        <w:t>that</w:t>
      </w:r>
      <w:r>
        <w:rPr>
          <w:spacing w:val="-3"/>
        </w:rPr>
        <w:t> </w:t>
      </w:r>
      <w:r>
        <w:rPr>
          <w:spacing w:val="-2"/>
        </w:rPr>
        <w:t>board</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58976">
            <wp:simplePos x="0" y="0"/>
            <wp:positionH relativeFrom="page">
              <wp:posOffset>1095451</wp:posOffset>
            </wp:positionH>
            <wp:positionV relativeFrom="paragraph">
              <wp:posOffset>1850770</wp:posOffset>
            </wp:positionV>
            <wp:extent cx="5106847" cy="5238115"/>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5" cstate="print"/>
                    <a:stretch>
                      <a:fillRect/>
                    </a:stretch>
                  </pic:blipFill>
                  <pic:spPr>
                    <a:xfrm>
                      <a:off x="0" y="0"/>
                      <a:ext cx="5106847" cy="5238115"/>
                    </a:xfrm>
                    <a:prstGeom prst="rect">
                      <a:avLst/>
                    </a:prstGeom>
                  </pic:spPr>
                </pic:pic>
              </a:graphicData>
            </a:graphic>
          </wp:anchor>
        </w:drawing>
      </w:r>
      <w:r>
        <w:rPr/>
        <w:t>size</w:t>
      </w:r>
      <w:r>
        <w:rPr>
          <w:spacing w:val="-5"/>
        </w:rPr>
        <w:t> </w:t>
      </w:r>
      <w:r>
        <w:rPr/>
        <w:t>exhibited</w:t>
      </w:r>
      <w:r>
        <w:rPr>
          <w:spacing w:val="-3"/>
        </w:rPr>
        <w:t> </w:t>
      </w:r>
      <w:r>
        <w:rPr/>
        <w:t>a</w:t>
      </w:r>
      <w:r>
        <w:rPr>
          <w:spacing w:val="-4"/>
        </w:rPr>
        <w:t> </w:t>
      </w:r>
      <w:r>
        <w:rPr/>
        <w:t>positive</w:t>
      </w:r>
      <w:r>
        <w:rPr>
          <w:spacing w:val="-4"/>
        </w:rPr>
        <w:t> </w:t>
      </w:r>
      <w:r>
        <w:rPr/>
        <w:t>relationship</w:t>
      </w:r>
      <w:r>
        <w:rPr>
          <w:spacing w:val="-3"/>
        </w:rPr>
        <w:t> </w:t>
      </w:r>
      <w:r>
        <w:rPr/>
        <w:t>with</w:t>
      </w:r>
      <w:r>
        <w:rPr>
          <w:spacing w:val="-3"/>
        </w:rPr>
        <w:t> </w:t>
      </w:r>
      <w:r>
        <w:rPr/>
        <w:t>financial</w:t>
      </w:r>
      <w:r>
        <w:rPr>
          <w:spacing w:val="-1"/>
        </w:rPr>
        <w:t> </w:t>
      </w:r>
      <w:r>
        <w:rPr/>
        <w:t>reporting</w:t>
      </w:r>
      <w:r>
        <w:rPr>
          <w:spacing w:val="-3"/>
        </w:rPr>
        <w:t> </w:t>
      </w:r>
      <w:r>
        <w:rPr/>
        <w:t>quality.</w:t>
      </w:r>
      <w:r>
        <w:rPr>
          <w:spacing w:val="-3"/>
        </w:rPr>
        <w:t> </w:t>
      </w:r>
      <w:r>
        <w:rPr/>
        <w:t>Fodio,</w:t>
      </w:r>
      <w:r>
        <w:rPr>
          <w:spacing w:val="-1"/>
        </w:rPr>
        <w:t> </w:t>
      </w:r>
      <w:r>
        <w:rPr/>
        <w:t>Ibikunle</w:t>
      </w:r>
      <w:r>
        <w:rPr>
          <w:spacing w:val="-2"/>
        </w:rPr>
        <w:t> </w:t>
      </w:r>
      <w:r>
        <w:rPr/>
        <w:t>and</w:t>
      </w:r>
      <w:r>
        <w:rPr>
          <w:spacing w:val="-3"/>
        </w:rPr>
        <w:t> </w:t>
      </w:r>
      <w:r>
        <w:rPr/>
        <w:t>Oba (2013) investigated corporate governance mechanisms and reported earnings quality in listed insurance firms in Nigerian using a</w:t>
      </w:r>
      <w:r>
        <w:rPr>
          <w:spacing w:val="-1"/>
        </w:rPr>
        <w:t> </w:t>
      </w:r>
      <w:r>
        <w:rPr/>
        <w:t>study period</w:t>
      </w:r>
      <w:r>
        <w:rPr>
          <w:spacing w:val="-1"/>
        </w:rPr>
        <w:t> </w:t>
      </w:r>
      <w:r>
        <w:rPr/>
        <w:t>2007 to 20102, the</w:t>
      </w:r>
      <w:r>
        <w:rPr>
          <w:spacing w:val="-1"/>
        </w:rPr>
        <w:t> </w:t>
      </w:r>
      <w:r>
        <w:rPr/>
        <w:t>result revealed that board size exhibited a significant inverse relationship with earnings management. Rashidah and Fairuzana (2006) examined board, audit committee, culture and earnings management, evidence</w:t>
      </w:r>
      <w:r>
        <w:rPr>
          <w:spacing w:val="-7"/>
        </w:rPr>
        <w:t> </w:t>
      </w:r>
      <w:r>
        <w:rPr/>
        <w:t>from</w:t>
      </w:r>
      <w:r>
        <w:rPr>
          <w:spacing w:val="-8"/>
        </w:rPr>
        <w:t> </w:t>
      </w:r>
      <w:r>
        <w:rPr/>
        <w:t>Malaysian</w:t>
      </w:r>
      <w:r>
        <w:rPr>
          <w:spacing w:val="-6"/>
        </w:rPr>
        <w:t> </w:t>
      </w:r>
      <w:r>
        <w:rPr/>
        <w:t>firms.</w:t>
      </w:r>
      <w:r>
        <w:rPr>
          <w:spacing w:val="-8"/>
        </w:rPr>
        <w:t> </w:t>
      </w:r>
      <w:r>
        <w:rPr/>
        <w:t>The</w:t>
      </w:r>
      <w:r>
        <w:rPr>
          <w:spacing w:val="-9"/>
        </w:rPr>
        <w:t> </w:t>
      </w:r>
      <w:r>
        <w:rPr/>
        <w:t>study</w:t>
      </w:r>
      <w:r>
        <w:rPr>
          <w:spacing w:val="-5"/>
        </w:rPr>
        <w:t> </w:t>
      </w:r>
      <w:r>
        <w:rPr/>
        <w:t>found</w:t>
      </w:r>
      <w:r>
        <w:rPr>
          <w:spacing w:val="-9"/>
        </w:rPr>
        <w:t> </w:t>
      </w:r>
      <w:r>
        <w:rPr/>
        <w:t>that</w:t>
      </w:r>
      <w:r>
        <w:rPr>
          <w:spacing w:val="-5"/>
        </w:rPr>
        <w:t> </w:t>
      </w:r>
      <w:r>
        <w:rPr/>
        <w:t>a</w:t>
      </w:r>
      <w:r>
        <w:rPr>
          <w:spacing w:val="-9"/>
        </w:rPr>
        <w:t> </w:t>
      </w:r>
      <w:r>
        <w:rPr/>
        <w:t>larger</w:t>
      </w:r>
      <w:r>
        <w:rPr>
          <w:spacing w:val="-7"/>
        </w:rPr>
        <w:t> </w:t>
      </w:r>
      <w:r>
        <w:rPr/>
        <w:t>board</w:t>
      </w:r>
      <w:r>
        <w:rPr>
          <w:spacing w:val="-6"/>
        </w:rPr>
        <w:t> </w:t>
      </w:r>
      <w:r>
        <w:rPr/>
        <w:t>was</w:t>
      </w:r>
      <w:r>
        <w:rPr>
          <w:spacing w:val="-6"/>
        </w:rPr>
        <w:t> </w:t>
      </w:r>
      <w:r>
        <w:rPr/>
        <w:t>associated</w:t>
      </w:r>
      <w:r>
        <w:rPr>
          <w:spacing w:val="-8"/>
        </w:rPr>
        <w:t> </w:t>
      </w:r>
      <w:r>
        <w:rPr/>
        <w:t>with</w:t>
      </w:r>
      <w:r>
        <w:rPr>
          <w:spacing w:val="-8"/>
        </w:rPr>
        <w:t> </w:t>
      </w:r>
      <w:r>
        <w:rPr/>
        <w:t>lower levels of discretionary accruals. In the same vein, Xie, Davidson and Dalt’s (2003) findings revealed that board was associated with lower levels of discretionary accruals. The studies by Farber</w:t>
      </w:r>
      <w:r>
        <w:rPr>
          <w:spacing w:val="-14"/>
        </w:rPr>
        <w:t> </w:t>
      </w:r>
      <w:r>
        <w:rPr/>
        <w:t>(2005)</w:t>
      </w:r>
      <w:r>
        <w:rPr>
          <w:spacing w:val="-14"/>
        </w:rPr>
        <w:t> </w:t>
      </w:r>
      <w:r>
        <w:rPr/>
        <w:t>and</w:t>
      </w:r>
      <w:r>
        <w:rPr>
          <w:spacing w:val="-13"/>
        </w:rPr>
        <w:t> </w:t>
      </w:r>
      <w:r>
        <w:rPr/>
        <w:t>Carcello</w:t>
      </w:r>
      <w:r>
        <w:rPr>
          <w:spacing w:val="-13"/>
        </w:rPr>
        <w:t> </w:t>
      </w:r>
      <w:r>
        <w:rPr/>
        <w:t>and</w:t>
      </w:r>
      <w:r>
        <w:rPr>
          <w:spacing w:val="-13"/>
        </w:rPr>
        <w:t> </w:t>
      </w:r>
      <w:r>
        <w:rPr/>
        <w:t>Nagy</w:t>
      </w:r>
      <w:r>
        <w:rPr>
          <w:spacing w:val="-13"/>
        </w:rPr>
        <w:t> </w:t>
      </w:r>
      <w:r>
        <w:rPr/>
        <w:t>(2004)</w:t>
      </w:r>
      <w:r>
        <w:rPr>
          <w:spacing w:val="-14"/>
        </w:rPr>
        <w:t> </w:t>
      </w:r>
      <w:r>
        <w:rPr/>
        <w:t>found</w:t>
      </w:r>
      <w:r>
        <w:rPr>
          <w:spacing w:val="-14"/>
        </w:rPr>
        <w:t> </w:t>
      </w:r>
      <w:r>
        <w:rPr/>
        <w:t>inverse</w:t>
      </w:r>
      <w:r>
        <w:rPr>
          <w:spacing w:val="-14"/>
        </w:rPr>
        <w:t> </w:t>
      </w:r>
      <w:r>
        <w:rPr/>
        <w:t>relationship</w:t>
      </w:r>
      <w:r>
        <w:rPr>
          <w:spacing w:val="-13"/>
        </w:rPr>
        <w:t> </w:t>
      </w:r>
      <w:r>
        <w:rPr/>
        <w:t>between</w:t>
      </w:r>
      <w:r>
        <w:rPr>
          <w:spacing w:val="-13"/>
        </w:rPr>
        <w:t> </w:t>
      </w:r>
      <w:r>
        <w:rPr/>
        <w:t>board</w:t>
      </w:r>
      <w:r>
        <w:rPr>
          <w:spacing w:val="-14"/>
        </w:rPr>
        <w:t> </w:t>
      </w:r>
      <w:r>
        <w:rPr/>
        <w:t>size</w:t>
      </w:r>
      <w:r>
        <w:rPr>
          <w:spacing w:val="-14"/>
        </w:rPr>
        <w:t> </w:t>
      </w:r>
      <w:r>
        <w:rPr/>
        <w:t>and financial reporting quality.</w:t>
      </w:r>
    </w:p>
    <w:p>
      <w:pPr>
        <w:pStyle w:val="Heading3"/>
        <w:numPr>
          <w:ilvl w:val="2"/>
          <w:numId w:val="31"/>
        </w:numPr>
        <w:tabs>
          <w:tab w:pos="1480" w:val="left" w:leader="none"/>
        </w:tabs>
        <w:spacing w:line="240" w:lineRule="auto" w:before="1" w:after="0"/>
        <w:ind w:left="1480" w:right="0" w:hanging="540"/>
        <w:jc w:val="both"/>
      </w:pPr>
      <w:bookmarkStart w:name="_TOC_250012" w:id="58"/>
      <w:r>
        <w:rPr/>
        <w:t>Board</w:t>
      </w:r>
      <w:r>
        <w:rPr>
          <w:spacing w:val="-5"/>
        </w:rPr>
        <w:t> </w:t>
      </w:r>
      <w:r>
        <w:rPr/>
        <w:t>of</w:t>
      </w:r>
      <w:r>
        <w:rPr>
          <w:spacing w:val="-3"/>
        </w:rPr>
        <w:t> </w:t>
      </w:r>
      <w:r>
        <w:rPr/>
        <w:t>Director</w:t>
      </w:r>
      <w:r>
        <w:rPr>
          <w:spacing w:val="-2"/>
        </w:rPr>
        <w:t> </w:t>
      </w:r>
      <w:r>
        <w:rPr/>
        <w:t>Independence</w:t>
      </w:r>
      <w:r>
        <w:rPr>
          <w:spacing w:val="-4"/>
        </w:rPr>
        <w:t> </w:t>
      </w:r>
      <w:r>
        <w:rPr/>
        <w:t>and</w:t>
      </w:r>
      <w:r>
        <w:rPr>
          <w:spacing w:val="-2"/>
        </w:rPr>
        <w:t> </w:t>
      </w:r>
      <w:r>
        <w:rPr/>
        <w:t>Financial</w:t>
      </w:r>
      <w:r>
        <w:rPr>
          <w:spacing w:val="-3"/>
        </w:rPr>
        <w:t> </w:t>
      </w:r>
      <w:r>
        <w:rPr/>
        <w:t>Reporting</w:t>
      </w:r>
      <w:bookmarkEnd w:id="58"/>
      <w:r>
        <w:rPr>
          <w:spacing w:val="-2"/>
        </w:rPr>
        <w:t> Quality</w:t>
      </w:r>
    </w:p>
    <w:p>
      <w:pPr>
        <w:pStyle w:val="BodyText"/>
        <w:rPr>
          <w:b/>
        </w:rPr>
      </w:pPr>
    </w:p>
    <w:p>
      <w:pPr>
        <w:pStyle w:val="BodyText"/>
        <w:spacing w:line="480" w:lineRule="auto"/>
        <w:ind w:left="940" w:right="1435"/>
        <w:jc w:val="both"/>
      </w:pPr>
      <w:r>
        <w:rPr/>
        <w:t>BDIND had a negative coefficient (-0.0646) though not significant (p=-0.646) at 5%. The interaction; Post-IFRS*BDIND, testing the presence of incremental IFRS adoption effect however,</w:t>
      </w:r>
      <w:r>
        <w:rPr>
          <w:spacing w:val="-4"/>
        </w:rPr>
        <w:t> </w:t>
      </w:r>
      <w:r>
        <w:rPr/>
        <w:t>revealed</w:t>
      </w:r>
      <w:r>
        <w:rPr>
          <w:spacing w:val="-4"/>
        </w:rPr>
        <w:t> </w:t>
      </w:r>
      <w:r>
        <w:rPr/>
        <w:t>that</w:t>
      </w:r>
      <w:r>
        <w:rPr>
          <w:spacing w:val="-4"/>
        </w:rPr>
        <w:t> </w:t>
      </w:r>
      <w:r>
        <w:rPr/>
        <w:t>board</w:t>
      </w:r>
      <w:r>
        <w:rPr>
          <w:spacing w:val="-4"/>
        </w:rPr>
        <w:t> </w:t>
      </w:r>
      <w:r>
        <w:rPr/>
        <w:t>independence</w:t>
      </w:r>
      <w:r>
        <w:rPr>
          <w:spacing w:val="-5"/>
        </w:rPr>
        <w:t> </w:t>
      </w:r>
      <w:r>
        <w:rPr/>
        <w:t>had</w:t>
      </w:r>
      <w:r>
        <w:rPr>
          <w:spacing w:val="-3"/>
        </w:rPr>
        <w:t> </w:t>
      </w:r>
      <w:r>
        <w:rPr/>
        <w:t>a</w:t>
      </w:r>
      <w:r>
        <w:rPr>
          <w:spacing w:val="-3"/>
        </w:rPr>
        <w:t> </w:t>
      </w:r>
      <w:r>
        <w:rPr/>
        <w:t>significant</w:t>
      </w:r>
      <w:r>
        <w:rPr>
          <w:spacing w:val="-4"/>
        </w:rPr>
        <w:t> </w:t>
      </w:r>
      <w:r>
        <w:rPr/>
        <w:t>incremental</w:t>
      </w:r>
      <w:r>
        <w:rPr>
          <w:spacing w:val="-4"/>
        </w:rPr>
        <w:t> </w:t>
      </w:r>
      <w:r>
        <w:rPr/>
        <w:t>effect</w:t>
      </w:r>
      <w:r>
        <w:rPr>
          <w:spacing w:val="-4"/>
        </w:rPr>
        <w:t> </w:t>
      </w:r>
      <w:r>
        <w:rPr/>
        <w:t>on</w:t>
      </w:r>
      <w:r>
        <w:rPr>
          <w:spacing w:val="-4"/>
        </w:rPr>
        <w:t> </w:t>
      </w:r>
      <w:r>
        <w:rPr/>
        <w:t>QUA-FRQ resulting</w:t>
      </w:r>
      <w:r>
        <w:rPr>
          <w:spacing w:val="-1"/>
        </w:rPr>
        <w:t> </w:t>
      </w:r>
      <w:r>
        <w:rPr/>
        <w:t>from</w:t>
      </w:r>
      <w:r>
        <w:rPr>
          <w:spacing w:val="-1"/>
        </w:rPr>
        <w:t> </w:t>
      </w:r>
      <w:r>
        <w:rPr/>
        <w:t>IFRS</w:t>
      </w:r>
      <w:r>
        <w:rPr>
          <w:spacing w:val="-1"/>
        </w:rPr>
        <w:t> </w:t>
      </w:r>
      <w:r>
        <w:rPr/>
        <w:t>adoption</w:t>
      </w:r>
      <w:r>
        <w:rPr>
          <w:spacing w:val="-1"/>
        </w:rPr>
        <w:t> </w:t>
      </w:r>
      <w:r>
        <w:rPr/>
        <w:t>(0.1067,</w:t>
      </w:r>
      <w:r>
        <w:rPr>
          <w:spacing w:val="-1"/>
        </w:rPr>
        <w:t> </w:t>
      </w:r>
      <w:r>
        <w:rPr/>
        <w:t>p=0.033).</w:t>
      </w:r>
      <w:r>
        <w:rPr>
          <w:spacing w:val="-1"/>
        </w:rPr>
        <w:t> </w:t>
      </w:r>
      <w:r>
        <w:rPr/>
        <w:t>Hence,</w:t>
      </w:r>
      <w:r>
        <w:rPr>
          <w:spacing w:val="-1"/>
        </w:rPr>
        <w:t> </w:t>
      </w:r>
      <w:r>
        <w:rPr/>
        <w:t>the results</w:t>
      </w:r>
      <w:r>
        <w:rPr>
          <w:spacing w:val="-1"/>
        </w:rPr>
        <w:t> </w:t>
      </w:r>
      <w:r>
        <w:rPr/>
        <w:t>suggested</w:t>
      </w:r>
      <w:r>
        <w:rPr>
          <w:spacing w:val="-1"/>
        </w:rPr>
        <w:t> </w:t>
      </w:r>
      <w:r>
        <w:rPr/>
        <w:t>that</w:t>
      </w:r>
      <w:r>
        <w:rPr>
          <w:spacing w:val="-1"/>
        </w:rPr>
        <w:t> </w:t>
      </w:r>
      <w:r>
        <w:rPr/>
        <w:t>with</w:t>
      </w:r>
      <w:r>
        <w:rPr>
          <w:spacing w:val="-1"/>
        </w:rPr>
        <w:t> </w:t>
      </w:r>
      <w:r>
        <w:rPr/>
        <w:t>IFRS, board independence became effective in improving QUA-FRQ.</w:t>
      </w:r>
      <w:r>
        <w:rPr>
          <w:spacing w:val="40"/>
        </w:rPr>
        <w:t> </w:t>
      </w:r>
      <w:r>
        <w:rPr/>
        <w:t>For DISACC Measure, BDIND had a negative coefficient (-1.2307) and significant (p=0.0162) at 5% indicating that higher level of independent boards constrained rising discretionary accruals. The interaction Post-IFRS*BDIND testing the presence of incremental IFRS adoption effect also confirmed that board had a significant incremental effect on DISACC resulting from IFRS adoption (1.4173, p=0.006). For VREL measures, BDIND had a positive coefficient (11.300) and significant (p=0.0623) at 10% indicating that higher level of independent boards increases value relevance. The interaction coefficient; Post-IFRS*BDIND, testing the presence of incremental IFRS adoption effect also confirmed that board independence had a significant incremental</w:t>
      </w:r>
      <w:r>
        <w:rPr>
          <w:spacing w:val="15"/>
        </w:rPr>
        <w:t> </w:t>
      </w:r>
      <w:r>
        <w:rPr/>
        <w:t>effect</w:t>
      </w:r>
      <w:r>
        <w:rPr>
          <w:spacing w:val="16"/>
        </w:rPr>
        <w:t> </w:t>
      </w:r>
      <w:r>
        <w:rPr/>
        <w:t>on</w:t>
      </w:r>
      <w:r>
        <w:rPr>
          <w:spacing w:val="15"/>
        </w:rPr>
        <w:t> </w:t>
      </w:r>
      <w:r>
        <w:rPr/>
        <w:t>value</w:t>
      </w:r>
      <w:r>
        <w:rPr>
          <w:spacing w:val="14"/>
        </w:rPr>
        <w:t> </w:t>
      </w:r>
      <w:r>
        <w:rPr/>
        <w:t>relevance</w:t>
      </w:r>
      <w:r>
        <w:rPr>
          <w:spacing w:val="20"/>
        </w:rPr>
        <w:t> </w:t>
      </w:r>
      <w:r>
        <w:rPr/>
        <w:t>although</w:t>
      </w:r>
      <w:r>
        <w:rPr>
          <w:spacing w:val="15"/>
        </w:rPr>
        <w:t> </w:t>
      </w:r>
      <w:r>
        <w:rPr/>
        <w:t>surprisingly</w:t>
      </w:r>
      <w:r>
        <w:rPr>
          <w:spacing w:val="16"/>
        </w:rPr>
        <w:t> </w:t>
      </w:r>
      <w:r>
        <w:rPr/>
        <w:t>negative</w:t>
      </w:r>
      <w:r>
        <w:rPr>
          <w:spacing w:val="14"/>
        </w:rPr>
        <w:t> </w:t>
      </w:r>
      <w:r>
        <w:rPr/>
        <w:t>(-26.338,</w:t>
      </w:r>
      <w:r>
        <w:rPr>
          <w:spacing w:val="15"/>
        </w:rPr>
        <w:t> </w:t>
      </w:r>
      <w:r>
        <w:rPr/>
        <w:t>p=0.000)</w:t>
      </w:r>
      <w:r>
        <w:rPr>
          <w:spacing w:val="14"/>
        </w:rPr>
        <w:t> </w:t>
      </w:r>
      <w:r>
        <w:rPr>
          <w:spacing w:val="-5"/>
        </w:rPr>
        <w:t>and</w:t>
      </w:r>
    </w:p>
    <w:p>
      <w:pPr>
        <w:spacing w:after="0" w:line="480" w:lineRule="auto"/>
        <w:jc w:val="both"/>
        <w:sectPr>
          <w:pgSz w:w="11910" w:h="16840"/>
          <w:pgMar w:header="0" w:footer="971" w:top="1360" w:bottom="1160" w:left="500" w:right="0"/>
        </w:sectPr>
      </w:pPr>
    </w:p>
    <w:p>
      <w:pPr>
        <w:pStyle w:val="BodyText"/>
        <w:spacing w:line="480" w:lineRule="auto" w:before="61"/>
        <w:ind w:left="940" w:right="1444"/>
        <w:jc w:val="both"/>
      </w:pPr>
      <w:r>
        <w:rPr/>
        <w:t>significant at 1%.</w:t>
      </w:r>
      <w:r>
        <w:rPr>
          <w:spacing w:val="40"/>
        </w:rPr>
        <w:t> </w:t>
      </w:r>
      <w:r>
        <w:rPr/>
        <w:t>In conclusion, based on the three measures of financial reporting used in this study, board independence was found to have a significant effect across all measures.</w:t>
      </w:r>
    </w:p>
    <w:p>
      <w:pPr>
        <w:pStyle w:val="BodyText"/>
        <w:spacing w:line="480" w:lineRule="auto"/>
        <w:ind w:left="940" w:right="1433"/>
        <w:jc w:val="both"/>
      </w:pPr>
      <w:r>
        <w:rPr/>
        <w:drawing>
          <wp:anchor distT="0" distB="0" distL="0" distR="0" allowOverlap="1" layoutInCell="1" locked="0" behindDoc="1" simplePos="0" relativeHeight="477759488">
            <wp:simplePos x="0" y="0"/>
            <wp:positionH relativeFrom="page">
              <wp:posOffset>1095451</wp:posOffset>
            </wp:positionH>
            <wp:positionV relativeFrom="paragraph">
              <wp:posOffset>1111055</wp:posOffset>
            </wp:positionV>
            <wp:extent cx="5106847" cy="5238115"/>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5" cstate="print"/>
                    <a:stretch>
                      <a:fillRect/>
                    </a:stretch>
                  </pic:blipFill>
                  <pic:spPr>
                    <a:xfrm>
                      <a:off x="0" y="0"/>
                      <a:ext cx="5106847" cy="5238115"/>
                    </a:xfrm>
                    <a:prstGeom prst="rect">
                      <a:avLst/>
                    </a:prstGeom>
                  </pic:spPr>
                </pic:pic>
              </a:graphicData>
            </a:graphic>
          </wp:anchor>
        </w:drawing>
      </w:r>
      <w:r>
        <w:rPr/>
        <w:t>The results were in tandem with Ibrahim and Jehu’s (2018) that independent non-executive directors</w:t>
      </w:r>
      <w:r>
        <w:rPr>
          <w:spacing w:val="-15"/>
        </w:rPr>
        <w:t> </w:t>
      </w:r>
      <w:r>
        <w:rPr/>
        <w:t>had</w:t>
      </w:r>
      <w:r>
        <w:rPr>
          <w:spacing w:val="-15"/>
        </w:rPr>
        <w:t> </w:t>
      </w:r>
      <w:r>
        <w:rPr/>
        <w:t>a</w:t>
      </w:r>
      <w:r>
        <w:rPr>
          <w:spacing w:val="-15"/>
        </w:rPr>
        <w:t> </w:t>
      </w:r>
      <w:r>
        <w:rPr/>
        <w:t>significant</w:t>
      </w:r>
      <w:r>
        <w:rPr>
          <w:spacing w:val="-13"/>
        </w:rPr>
        <w:t> </w:t>
      </w:r>
      <w:r>
        <w:rPr/>
        <w:t>inverse</w:t>
      </w:r>
      <w:r>
        <w:rPr>
          <w:spacing w:val="-15"/>
        </w:rPr>
        <w:t> </w:t>
      </w:r>
      <w:r>
        <w:rPr/>
        <w:t>relationship</w:t>
      </w:r>
      <w:r>
        <w:rPr>
          <w:spacing w:val="-15"/>
        </w:rPr>
        <w:t> </w:t>
      </w:r>
      <w:r>
        <w:rPr/>
        <w:t>with</w:t>
      </w:r>
      <w:r>
        <w:rPr>
          <w:spacing w:val="-15"/>
        </w:rPr>
        <w:t> </w:t>
      </w:r>
      <w:r>
        <w:rPr/>
        <w:t>abnormal</w:t>
      </w:r>
      <w:r>
        <w:rPr>
          <w:spacing w:val="-15"/>
        </w:rPr>
        <w:t> </w:t>
      </w:r>
      <w:r>
        <w:rPr/>
        <w:t>accruals</w:t>
      </w:r>
      <w:r>
        <w:rPr>
          <w:spacing w:val="-15"/>
        </w:rPr>
        <w:t> </w:t>
      </w:r>
      <w:r>
        <w:rPr/>
        <w:t>which,</w:t>
      </w:r>
      <w:r>
        <w:rPr>
          <w:spacing w:val="-13"/>
        </w:rPr>
        <w:t> </w:t>
      </w:r>
      <w:r>
        <w:rPr/>
        <w:t>in</w:t>
      </w:r>
      <w:r>
        <w:rPr>
          <w:spacing w:val="-15"/>
        </w:rPr>
        <w:t> </w:t>
      </w:r>
      <w:r>
        <w:rPr/>
        <w:t>turn,</w:t>
      </w:r>
      <w:r>
        <w:rPr>
          <w:spacing w:val="-15"/>
        </w:rPr>
        <w:t> </w:t>
      </w:r>
      <w:r>
        <w:rPr/>
        <w:t>improved the quality of financial reporting. The study by Adebiyi (2017) examined board of directors’ composition and financial reporting quality of deposit money banks in Nigeria. The study found that board independence exhibited a positive relationship with financial reporting quality. Furthermore, Roodposhti and Chashmi (2011) investigated the impact of corporate governance</w:t>
      </w:r>
      <w:r>
        <w:rPr>
          <w:spacing w:val="-6"/>
        </w:rPr>
        <w:t> </w:t>
      </w:r>
      <w:r>
        <w:rPr/>
        <w:t>on</w:t>
      </w:r>
      <w:r>
        <w:rPr>
          <w:spacing w:val="-2"/>
        </w:rPr>
        <w:t> </w:t>
      </w:r>
      <w:r>
        <w:rPr/>
        <w:t>earnings</w:t>
      </w:r>
      <w:r>
        <w:rPr>
          <w:spacing w:val="-2"/>
        </w:rPr>
        <w:t> </w:t>
      </w:r>
      <w:r>
        <w:rPr/>
        <w:t>management</w:t>
      </w:r>
      <w:r>
        <w:rPr>
          <w:spacing w:val="-5"/>
        </w:rPr>
        <w:t> </w:t>
      </w:r>
      <w:r>
        <w:rPr/>
        <w:t>during</w:t>
      </w:r>
      <w:r>
        <w:rPr>
          <w:spacing w:val="-5"/>
        </w:rPr>
        <w:t> </w:t>
      </w:r>
      <w:r>
        <w:rPr/>
        <w:t>the</w:t>
      </w:r>
      <w:r>
        <w:rPr>
          <w:spacing w:val="-6"/>
        </w:rPr>
        <w:t> </w:t>
      </w:r>
      <w:r>
        <w:rPr/>
        <w:t>period</w:t>
      </w:r>
      <w:r>
        <w:rPr>
          <w:spacing w:val="-5"/>
        </w:rPr>
        <w:t> </w:t>
      </w:r>
      <w:r>
        <w:rPr/>
        <w:t>2004</w:t>
      </w:r>
      <w:r>
        <w:rPr>
          <w:spacing w:val="-5"/>
        </w:rPr>
        <w:t> </w:t>
      </w:r>
      <w:r>
        <w:rPr/>
        <w:t>to</w:t>
      </w:r>
      <w:r>
        <w:rPr>
          <w:spacing w:val="-4"/>
        </w:rPr>
        <w:t> </w:t>
      </w:r>
      <w:r>
        <w:rPr/>
        <w:t>2008.</w:t>
      </w:r>
      <w:r>
        <w:rPr>
          <w:spacing w:val="-5"/>
        </w:rPr>
        <w:t> </w:t>
      </w:r>
      <w:r>
        <w:rPr/>
        <w:t>The</w:t>
      </w:r>
      <w:r>
        <w:rPr>
          <w:spacing w:val="-6"/>
        </w:rPr>
        <w:t> </w:t>
      </w:r>
      <w:r>
        <w:rPr/>
        <w:t>result</w:t>
      </w:r>
      <w:r>
        <w:rPr>
          <w:spacing w:val="-4"/>
        </w:rPr>
        <w:t> </w:t>
      </w:r>
      <w:r>
        <w:rPr/>
        <w:t>indicated</w:t>
      </w:r>
      <w:r>
        <w:rPr>
          <w:spacing w:val="-5"/>
        </w:rPr>
        <w:t> </w:t>
      </w:r>
      <w:r>
        <w:rPr/>
        <w:t>that board composition exhibited a significant inverse relationship with earnings management. Fodio et al. (2013) investigated corporate governance mechanisms and reported earnings quality</w:t>
      </w:r>
      <w:r>
        <w:rPr>
          <w:spacing w:val="-9"/>
        </w:rPr>
        <w:t> </w:t>
      </w:r>
      <w:r>
        <w:rPr/>
        <w:t>in</w:t>
      </w:r>
      <w:r>
        <w:rPr>
          <w:spacing w:val="-9"/>
        </w:rPr>
        <w:t> </w:t>
      </w:r>
      <w:r>
        <w:rPr/>
        <w:t>listed</w:t>
      </w:r>
      <w:r>
        <w:rPr>
          <w:spacing w:val="-9"/>
        </w:rPr>
        <w:t> </w:t>
      </w:r>
      <w:r>
        <w:rPr/>
        <w:t>insurance</w:t>
      </w:r>
      <w:r>
        <w:rPr>
          <w:spacing w:val="-11"/>
        </w:rPr>
        <w:t> </w:t>
      </w:r>
      <w:r>
        <w:rPr/>
        <w:t>firms</w:t>
      </w:r>
      <w:r>
        <w:rPr>
          <w:spacing w:val="-9"/>
        </w:rPr>
        <w:t> </w:t>
      </w:r>
      <w:r>
        <w:rPr/>
        <w:t>in</w:t>
      </w:r>
      <w:r>
        <w:rPr>
          <w:spacing w:val="-9"/>
        </w:rPr>
        <w:t> </w:t>
      </w:r>
      <w:r>
        <w:rPr/>
        <w:t>Nigerian.</w:t>
      </w:r>
      <w:r>
        <w:rPr>
          <w:spacing w:val="-10"/>
        </w:rPr>
        <w:t> </w:t>
      </w:r>
      <w:r>
        <w:rPr/>
        <w:t>Using</w:t>
      </w:r>
      <w:r>
        <w:rPr>
          <w:spacing w:val="-9"/>
        </w:rPr>
        <w:t> </w:t>
      </w:r>
      <w:r>
        <w:rPr/>
        <w:t>a</w:t>
      </w:r>
      <w:r>
        <w:rPr>
          <w:spacing w:val="-11"/>
        </w:rPr>
        <w:t> </w:t>
      </w:r>
      <w:r>
        <w:rPr/>
        <w:t>time</w:t>
      </w:r>
      <w:r>
        <w:rPr>
          <w:spacing w:val="-10"/>
        </w:rPr>
        <w:t> </w:t>
      </w:r>
      <w:r>
        <w:rPr/>
        <w:t>period</w:t>
      </w:r>
      <w:r>
        <w:rPr>
          <w:spacing w:val="-10"/>
        </w:rPr>
        <w:t> </w:t>
      </w:r>
      <w:r>
        <w:rPr/>
        <w:t>2007</w:t>
      </w:r>
      <w:r>
        <w:rPr>
          <w:spacing w:val="-10"/>
        </w:rPr>
        <w:t> </w:t>
      </w:r>
      <w:r>
        <w:rPr/>
        <w:t>to</w:t>
      </w:r>
      <w:r>
        <w:rPr>
          <w:spacing w:val="-9"/>
        </w:rPr>
        <w:t> </w:t>
      </w:r>
      <w:r>
        <w:rPr/>
        <w:t>2010,</w:t>
      </w:r>
      <w:r>
        <w:rPr>
          <w:spacing w:val="-10"/>
        </w:rPr>
        <w:t> </w:t>
      </w:r>
      <w:r>
        <w:rPr/>
        <w:t>the</w:t>
      </w:r>
      <w:r>
        <w:rPr>
          <w:spacing w:val="-10"/>
        </w:rPr>
        <w:t> </w:t>
      </w:r>
      <w:r>
        <w:rPr/>
        <w:t>study</w:t>
      </w:r>
      <w:r>
        <w:rPr>
          <w:spacing w:val="-9"/>
        </w:rPr>
        <w:t> </w:t>
      </w:r>
      <w:r>
        <w:rPr/>
        <w:t>found that</w:t>
      </w:r>
      <w:r>
        <w:rPr>
          <w:spacing w:val="-13"/>
        </w:rPr>
        <w:t> </w:t>
      </w:r>
      <w:r>
        <w:rPr/>
        <w:t>board</w:t>
      </w:r>
      <w:r>
        <w:rPr>
          <w:spacing w:val="-14"/>
        </w:rPr>
        <w:t> </w:t>
      </w:r>
      <w:r>
        <w:rPr/>
        <w:t>composition</w:t>
      </w:r>
      <w:r>
        <w:rPr>
          <w:spacing w:val="-13"/>
        </w:rPr>
        <w:t> </w:t>
      </w:r>
      <w:r>
        <w:rPr/>
        <w:t>exhibited</w:t>
      </w:r>
      <w:r>
        <w:rPr>
          <w:spacing w:val="-14"/>
        </w:rPr>
        <w:t> </w:t>
      </w:r>
      <w:r>
        <w:rPr/>
        <w:t>a</w:t>
      </w:r>
      <w:r>
        <w:rPr>
          <w:spacing w:val="-12"/>
        </w:rPr>
        <w:t> </w:t>
      </w:r>
      <w:r>
        <w:rPr/>
        <w:t>significant</w:t>
      </w:r>
      <w:r>
        <w:rPr>
          <w:spacing w:val="-13"/>
        </w:rPr>
        <w:t> </w:t>
      </w:r>
      <w:r>
        <w:rPr/>
        <w:t>positive</w:t>
      </w:r>
      <w:r>
        <w:rPr>
          <w:spacing w:val="-14"/>
        </w:rPr>
        <w:t> </w:t>
      </w:r>
      <w:r>
        <w:rPr/>
        <w:t>relationship</w:t>
      </w:r>
      <w:r>
        <w:rPr>
          <w:spacing w:val="-13"/>
        </w:rPr>
        <w:t> </w:t>
      </w:r>
      <w:r>
        <w:rPr/>
        <w:t>with</w:t>
      </w:r>
      <w:r>
        <w:rPr>
          <w:spacing w:val="-13"/>
        </w:rPr>
        <w:t> </w:t>
      </w:r>
      <w:r>
        <w:rPr/>
        <w:t>earnings</w:t>
      </w:r>
      <w:r>
        <w:rPr>
          <w:spacing w:val="-13"/>
        </w:rPr>
        <w:t> </w:t>
      </w:r>
      <w:r>
        <w:rPr/>
        <w:t>management. The study by Firth, Fung and Rui (2007) indicated that the presence of independent directors improved the earnings quality of Chinese firms. The studies by Petra (2007), Bradbury, Mak and Klein (2002) and Peasnell, Pope and Young (2000) found that board independence mitigated earnings management. Vafeas (2005) investigated selected board attributes on earnings management. On the contrary, the study by Xie et al., (2003) which considered S&amp;P 500 companies during a similar period did not find a significant association between the percentage of outside directors and abnormal working capital accruals.</w:t>
      </w:r>
    </w:p>
    <w:p>
      <w:pPr>
        <w:pStyle w:val="BodyText"/>
      </w:pPr>
    </w:p>
    <w:p>
      <w:pPr>
        <w:pStyle w:val="BodyText"/>
      </w:pPr>
    </w:p>
    <w:p>
      <w:pPr>
        <w:pStyle w:val="BodyText"/>
      </w:pPr>
    </w:p>
    <w:p>
      <w:pPr>
        <w:pStyle w:val="BodyText"/>
        <w:spacing w:before="2"/>
      </w:pPr>
    </w:p>
    <w:p>
      <w:pPr>
        <w:pStyle w:val="Heading3"/>
        <w:numPr>
          <w:ilvl w:val="2"/>
          <w:numId w:val="31"/>
        </w:numPr>
        <w:tabs>
          <w:tab w:pos="1480" w:val="left" w:leader="none"/>
        </w:tabs>
        <w:spacing w:line="240" w:lineRule="auto" w:before="0" w:after="0"/>
        <w:ind w:left="1480" w:right="0" w:hanging="540"/>
        <w:jc w:val="left"/>
      </w:pPr>
      <w:bookmarkStart w:name="_TOC_250011" w:id="59"/>
      <w:r>
        <w:rPr/>
        <w:t>Board</w:t>
      </w:r>
      <w:r>
        <w:rPr>
          <w:spacing w:val="-1"/>
        </w:rPr>
        <w:t> </w:t>
      </w:r>
      <w:r>
        <w:rPr/>
        <w:t>Financial</w:t>
      </w:r>
      <w:r>
        <w:rPr>
          <w:spacing w:val="-2"/>
        </w:rPr>
        <w:t> </w:t>
      </w:r>
      <w:r>
        <w:rPr/>
        <w:t>Expertise</w:t>
      </w:r>
      <w:r>
        <w:rPr>
          <w:spacing w:val="-3"/>
        </w:rPr>
        <w:t> </w:t>
      </w:r>
      <w:r>
        <w:rPr/>
        <w:t>Reporting</w:t>
      </w:r>
      <w:r>
        <w:rPr>
          <w:spacing w:val="-1"/>
        </w:rPr>
        <w:t> </w:t>
      </w:r>
      <w:bookmarkEnd w:id="59"/>
      <w:r>
        <w:rPr>
          <w:spacing w:val="-2"/>
        </w:rPr>
        <w:t>Quality</w:t>
      </w:r>
    </w:p>
    <w:p>
      <w:pPr>
        <w:pStyle w:val="BodyText"/>
        <w:rPr>
          <w:b/>
        </w:rPr>
      </w:pPr>
    </w:p>
    <w:p>
      <w:pPr>
        <w:pStyle w:val="BodyText"/>
        <w:spacing w:line="480" w:lineRule="auto" w:before="1"/>
        <w:ind w:left="940" w:right="1437"/>
        <w:jc w:val="both"/>
      </w:pPr>
      <w:r>
        <w:rPr/>
        <w:t>The results revealed that BFEXP had a negative effect on QUA-FRQ although not significant at</w:t>
      </w:r>
      <w:r>
        <w:rPr>
          <w:spacing w:val="20"/>
        </w:rPr>
        <w:t> </w:t>
      </w:r>
      <w:r>
        <w:rPr/>
        <w:t>5%</w:t>
      </w:r>
      <w:r>
        <w:rPr>
          <w:spacing w:val="20"/>
        </w:rPr>
        <w:t> </w:t>
      </w:r>
      <w:r>
        <w:rPr/>
        <w:t>(-0.01458,</w:t>
      </w:r>
      <w:r>
        <w:rPr>
          <w:spacing w:val="20"/>
        </w:rPr>
        <w:t> </w:t>
      </w:r>
      <w:r>
        <w:rPr/>
        <w:t>p=0.2765)</w:t>
      </w:r>
      <w:r>
        <w:rPr>
          <w:spacing w:val="20"/>
        </w:rPr>
        <w:t> </w:t>
      </w:r>
      <w:r>
        <w:rPr/>
        <w:t>and</w:t>
      </w:r>
      <w:r>
        <w:rPr>
          <w:spacing w:val="20"/>
        </w:rPr>
        <w:t> </w:t>
      </w:r>
      <w:r>
        <w:rPr/>
        <w:t>the</w:t>
      </w:r>
      <w:r>
        <w:rPr>
          <w:spacing w:val="23"/>
        </w:rPr>
        <w:t> </w:t>
      </w:r>
      <w:r>
        <w:rPr/>
        <w:t>interaction;</w:t>
      </w:r>
      <w:r>
        <w:rPr>
          <w:spacing w:val="20"/>
        </w:rPr>
        <w:t> </w:t>
      </w:r>
      <w:r>
        <w:rPr/>
        <w:t>Post-IFRS*BFEXP,</w:t>
      </w:r>
      <w:r>
        <w:rPr>
          <w:spacing w:val="21"/>
        </w:rPr>
        <w:t> </w:t>
      </w:r>
      <w:r>
        <w:rPr/>
        <w:t>testing</w:t>
      </w:r>
      <w:r>
        <w:rPr>
          <w:spacing w:val="21"/>
        </w:rPr>
        <w:t> </w:t>
      </w:r>
      <w:r>
        <w:rPr/>
        <w:t>the</w:t>
      </w:r>
      <w:r>
        <w:rPr>
          <w:spacing w:val="20"/>
        </w:rPr>
        <w:t> </w:t>
      </w:r>
      <w:r>
        <w:rPr/>
        <w:t>presence</w:t>
      </w:r>
      <w:r>
        <w:rPr>
          <w:spacing w:val="20"/>
        </w:rPr>
        <w:t> </w:t>
      </w:r>
      <w:r>
        <w:rPr>
          <w:spacing w:val="-5"/>
        </w:rPr>
        <w:t>of</w:t>
      </w:r>
    </w:p>
    <w:p>
      <w:pPr>
        <w:spacing w:after="0" w:line="480" w:lineRule="auto"/>
        <w:jc w:val="both"/>
        <w:sectPr>
          <w:pgSz w:w="11910" w:h="16840"/>
          <w:pgMar w:header="0" w:footer="971" w:top="1360" w:bottom="1160" w:left="500" w:right="0"/>
        </w:sectPr>
      </w:pPr>
    </w:p>
    <w:p>
      <w:pPr>
        <w:pStyle w:val="BodyText"/>
        <w:spacing w:line="480" w:lineRule="auto" w:before="61"/>
        <w:ind w:left="940" w:right="1433"/>
        <w:jc w:val="both"/>
      </w:pPr>
      <w:r>
        <w:rPr/>
        <w:drawing>
          <wp:anchor distT="0" distB="0" distL="0" distR="0" allowOverlap="1" layoutInCell="1" locked="0" behindDoc="1" simplePos="0" relativeHeight="477760000">
            <wp:simplePos x="0" y="0"/>
            <wp:positionH relativeFrom="page">
              <wp:posOffset>1095451</wp:posOffset>
            </wp:positionH>
            <wp:positionV relativeFrom="paragraph">
              <wp:posOffset>1850770</wp:posOffset>
            </wp:positionV>
            <wp:extent cx="5106847" cy="5238115"/>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5" cstate="print"/>
                    <a:stretch>
                      <a:fillRect/>
                    </a:stretch>
                  </pic:blipFill>
                  <pic:spPr>
                    <a:xfrm>
                      <a:off x="0" y="0"/>
                      <a:ext cx="5106847" cy="5238115"/>
                    </a:xfrm>
                    <a:prstGeom prst="rect">
                      <a:avLst/>
                    </a:prstGeom>
                  </pic:spPr>
                </pic:pic>
              </a:graphicData>
            </a:graphic>
          </wp:anchor>
        </w:drawing>
      </w:r>
      <w:r>
        <w:rPr/>
        <w:t>incremental</w:t>
      </w:r>
      <w:r>
        <w:rPr>
          <w:spacing w:val="-9"/>
        </w:rPr>
        <w:t> </w:t>
      </w:r>
      <w:r>
        <w:rPr/>
        <w:t>IFRS</w:t>
      </w:r>
      <w:r>
        <w:rPr>
          <w:spacing w:val="-10"/>
        </w:rPr>
        <w:t> </w:t>
      </w:r>
      <w:r>
        <w:rPr/>
        <w:t>adoption</w:t>
      </w:r>
      <w:r>
        <w:rPr>
          <w:spacing w:val="-11"/>
        </w:rPr>
        <w:t> </w:t>
      </w:r>
      <w:r>
        <w:rPr/>
        <w:t>effect</w:t>
      </w:r>
      <w:r>
        <w:rPr>
          <w:spacing w:val="-10"/>
        </w:rPr>
        <w:t> </w:t>
      </w:r>
      <w:r>
        <w:rPr/>
        <w:t>also</w:t>
      </w:r>
      <w:r>
        <w:rPr>
          <w:spacing w:val="-10"/>
        </w:rPr>
        <w:t> </w:t>
      </w:r>
      <w:r>
        <w:rPr/>
        <w:t>showed</w:t>
      </w:r>
      <w:r>
        <w:rPr>
          <w:spacing w:val="-11"/>
        </w:rPr>
        <w:t> </w:t>
      </w:r>
      <w:r>
        <w:rPr/>
        <w:t>that</w:t>
      </w:r>
      <w:r>
        <w:rPr>
          <w:spacing w:val="-10"/>
        </w:rPr>
        <w:t> </w:t>
      </w:r>
      <w:r>
        <w:rPr/>
        <w:t>BFEXP</w:t>
      </w:r>
      <w:r>
        <w:rPr>
          <w:spacing w:val="-10"/>
        </w:rPr>
        <w:t> </w:t>
      </w:r>
      <w:r>
        <w:rPr/>
        <w:t>had</w:t>
      </w:r>
      <w:r>
        <w:rPr>
          <w:spacing w:val="-10"/>
        </w:rPr>
        <w:t> </w:t>
      </w:r>
      <w:r>
        <w:rPr/>
        <w:t>a</w:t>
      </w:r>
      <w:r>
        <w:rPr>
          <w:spacing w:val="-12"/>
        </w:rPr>
        <w:t> </w:t>
      </w:r>
      <w:r>
        <w:rPr/>
        <w:t>significant</w:t>
      </w:r>
      <w:r>
        <w:rPr>
          <w:spacing w:val="-10"/>
        </w:rPr>
        <w:t> </w:t>
      </w:r>
      <w:r>
        <w:rPr/>
        <w:t>incremental</w:t>
      </w:r>
      <w:r>
        <w:rPr>
          <w:spacing w:val="-10"/>
        </w:rPr>
        <w:t> </w:t>
      </w:r>
      <w:r>
        <w:rPr/>
        <w:t>effect on</w:t>
      </w:r>
      <w:r>
        <w:rPr>
          <w:spacing w:val="-3"/>
        </w:rPr>
        <w:t> </w:t>
      </w:r>
      <w:r>
        <w:rPr/>
        <w:t>QUA-FRQ</w:t>
      </w:r>
      <w:r>
        <w:rPr>
          <w:spacing w:val="-2"/>
        </w:rPr>
        <w:t> </w:t>
      </w:r>
      <w:r>
        <w:rPr/>
        <w:t>resulting</w:t>
      </w:r>
      <w:r>
        <w:rPr>
          <w:spacing w:val="-3"/>
        </w:rPr>
        <w:t> </w:t>
      </w:r>
      <w:r>
        <w:rPr/>
        <w:t>from</w:t>
      </w:r>
      <w:r>
        <w:rPr>
          <w:spacing w:val="-2"/>
        </w:rPr>
        <w:t> </w:t>
      </w:r>
      <w:r>
        <w:rPr/>
        <w:t>IFRS</w:t>
      </w:r>
      <w:r>
        <w:rPr>
          <w:spacing w:val="-1"/>
        </w:rPr>
        <w:t> </w:t>
      </w:r>
      <w:r>
        <w:rPr/>
        <w:t>adoption</w:t>
      </w:r>
      <w:r>
        <w:rPr>
          <w:spacing w:val="-3"/>
        </w:rPr>
        <w:t> </w:t>
      </w:r>
      <w:r>
        <w:rPr/>
        <w:t>(0.0748,</w:t>
      </w:r>
      <w:r>
        <w:rPr>
          <w:spacing w:val="-3"/>
        </w:rPr>
        <w:t> </w:t>
      </w:r>
      <w:r>
        <w:rPr/>
        <w:t>p=0.0034).</w:t>
      </w:r>
      <w:r>
        <w:rPr>
          <w:spacing w:val="-1"/>
        </w:rPr>
        <w:t> </w:t>
      </w:r>
      <w:r>
        <w:rPr/>
        <w:t>Hence,</w:t>
      </w:r>
      <w:r>
        <w:rPr>
          <w:spacing w:val="-3"/>
        </w:rPr>
        <w:t> </w:t>
      </w:r>
      <w:r>
        <w:rPr/>
        <w:t>the</w:t>
      </w:r>
      <w:r>
        <w:rPr>
          <w:spacing w:val="-3"/>
        </w:rPr>
        <w:t> </w:t>
      </w:r>
      <w:r>
        <w:rPr/>
        <w:t>results</w:t>
      </w:r>
      <w:r>
        <w:rPr>
          <w:spacing w:val="-3"/>
        </w:rPr>
        <w:t> </w:t>
      </w:r>
      <w:r>
        <w:rPr/>
        <w:t>suggested that with IFRS, board financial expertise became effective in improving QUA-FRQ.</w:t>
      </w:r>
      <w:r>
        <w:rPr>
          <w:spacing w:val="40"/>
        </w:rPr>
        <w:t> </w:t>
      </w:r>
      <w:r>
        <w:rPr/>
        <w:t>BFEXP had a positive effect on discretionary accruals although not significant at 5% (-0.6411, p=0.3468) and the interaction; Post-IFRS*BFEXP, testing the presence of incremental IFRS adoption</w:t>
      </w:r>
      <w:r>
        <w:rPr>
          <w:spacing w:val="-8"/>
        </w:rPr>
        <w:t> </w:t>
      </w:r>
      <w:r>
        <w:rPr/>
        <w:t>effect</w:t>
      </w:r>
      <w:r>
        <w:rPr>
          <w:spacing w:val="-8"/>
        </w:rPr>
        <w:t> </w:t>
      </w:r>
      <w:r>
        <w:rPr/>
        <w:t>also</w:t>
      </w:r>
      <w:r>
        <w:rPr>
          <w:spacing w:val="-8"/>
        </w:rPr>
        <w:t> </w:t>
      </w:r>
      <w:r>
        <w:rPr/>
        <w:t>did</w:t>
      </w:r>
      <w:r>
        <w:rPr>
          <w:spacing w:val="-8"/>
        </w:rPr>
        <w:t> </w:t>
      </w:r>
      <w:r>
        <w:rPr/>
        <w:t>not</w:t>
      </w:r>
      <w:r>
        <w:rPr>
          <w:spacing w:val="-8"/>
        </w:rPr>
        <w:t> </w:t>
      </w:r>
      <w:r>
        <w:rPr/>
        <w:t>show</w:t>
      </w:r>
      <w:r>
        <w:rPr>
          <w:spacing w:val="-9"/>
        </w:rPr>
        <w:t> </w:t>
      </w:r>
      <w:r>
        <w:rPr/>
        <w:t>that</w:t>
      </w:r>
      <w:r>
        <w:rPr>
          <w:spacing w:val="-8"/>
        </w:rPr>
        <w:t> </w:t>
      </w:r>
      <w:r>
        <w:rPr/>
        <w:t>BFEXP</w:t>
      </w:r>
      <w:r>
        <w:rPr>
          <w:spacing w:val="-8"/>
        </w:rPr>
        <w:t> </w:t>
      </w:r>
      <w:r>
        <w:rPr/>
        <w:t>had</w:t>
      </w:r>
      <w:r>
        <w:rPr>
          <w:spacing w:val="-9"/>
        </w:rPr>
        <w:t> </w:t>
      </w:r>
      <w:r>
        <w:rPr/>
        <w:t>a</w:t>
      </w:r>
      <w:r>
        <w:rPr>
          <w:spacing w:val="-9"/>
        </w:rPr>
        <w:t> </w:t>
      </w:r>
      <w:r>
        <w:rPr/>
        <w:t>significant</w:t>
      </w:r>
      <w:r>
        <w:rPr>
          <w:spacing w:val="-8"/>
        </w:rPr>
        <w:t> </w:t>
      </w:r>
      <w:r>
        <w:rPr/>
        <w:t>incremental</w:t>
      </w:r>
      <w:r>
        <w:rPr>
          <w:spacing w:val="-5"/>
        </w:rPr>
        <w:t> </w:t>
      </w:r>
      <w:r>
        <w:rPr/>
        <w:t>effect</w:t>
      </w:r>
      <w:r>
        <w:rPr>
          <w:spacing w:val="-8"/>
        </w:rPr>
        <w:t> </w:t>
      </w:r>
      <w:r>
        <w:rPr/>
        <w:t>on</w:t>
      </w:r>
      <w:r>
        <w:rPr>
          <w:spacing w:val="-8"/>
        </w:rPr>
        <w:t> </w:t>
      </w:r>
      <w:r>
        <w:rPr/>
        <w:t>DISACC resulting from IFRS adoption (-0.3774, p=0.6162). BFEXP had a negative effect on value relevance and was significant at 5% (-7.5248, p=0.0290) and the interaction; Post- IFRS*BFEXP,</w:t>
      </w:r>
      <w:r>
        <w:rPr>
          <w:spacing w:val="-7"/>
        </w:rPr>
        <w:t> </w:t>
      </w:r>
      <w:r>
        <w:rPr/>
        <w:t>testing</w:t>
      </w:r>
      <w:r>
        <w:rPr>
          <w:spacing w:val="-7"/>
        </w:rPr>
        <w:t> </w:t>
      </w:r>
      <w:r>
        <w:rPr/>
        <w:t>the</w:t>
      </w:r>
      <w:r>
        <w:rPr>
          <w:spacing w:val="-8"/>
        </w:rPr>
        <w:t> </w:t>
      </w:r>
      <w:r>
        <w:rPr/>
        <w:t>presence</w:t>
      </w:r>
      <w:r>
        <w:rPr>
          <w:spacing w:val="-6"/>
        </w:rPr>
        <w:t> </w:t>
      </w:r>
      <w:r>
        <w:rPr/>
        <w:t>of</w:t>
      </w:r>
      <w:r>
        <w:rPr>
          <w:spacing w:val="-8"/>
        </w:rPr>
        <w:t> </w:t>
      </w:r>
      <w:r>
        <w:rPr/>
        <w:t>incremental</w:t>
      </w:r>
      <w:r>
        <w:rPr>
          <w:spacing w:val="-4"/>
        </w:rPr>
        <w:t> </w:t>
      </w:r>
      <w:r>
        <w:rPr/>
        <w:t>IFRS</w:t>
      </w:r>
      <w:r>
        <w:rPr>
          <w:spacing w:val="-7"/>
        </w:rPr>
        <w:t> </w:t>
      </w:r>
      <w:r>
        <w:rPr/>
        <w:t>adoption</w:t>
      </w:r>
      <w:r>
        <w:rPr>
          <w:spacing w:val="-5"/>
        </w:rPr>
        <w:t> </w:t>
      </w:r>
      <w:r>
        <w:rPr/>
        <w:t>effect</w:t>
      </w:r>
      <w:r>
        <w:rPr>
          <w:spacing w:val="-7"/>
        </w:rPr>
        <w:t> </w:t>
      </w:r>
      <w:r>
        <w:rPr/>
        <w:t>also</w:t>
      </w:r>
      <w:r>
        <w:rPr>
          <w:spacing w:val="-7"/>
        </w:rPr>
        <w:t> </w:t>
      </w:r>
      <w:r>
        <w:rPr/>
        <w:t>did</w:t>
      </w:r>
      <w:r>
        <w:rPr>
          <w:spacing w:val="-7"/>
        </w:rPr>
        <w:t> </w:t>
      </w:r>
      <w:r>
        <w:rPr/>
        <w:t>not</w:t>
      </w:r>
      <w:r>
        <w:rPr>
          <w:spacing w:val="-7"/>
        </w:rPr>
        <w:t> </w:t>
      </w:r>
      <w:r>
        <w:rPr/>
        <w:t>show</w:t>
      </w:r>
      <w:r>
        <w:rPr>
          <w:spacing w:val="-8"/>
        </w:rPr>
        <w:t> </w:t>
      </w:r>
      <w:r>
        <w:rPr/>
        <w:t>that BFEXP sustained an incremental effect (3.4723, p=0.5849). In conclusion, based on the three measures</w:t>
      </w:r>
      <w:r>
        <w:rPr>
          <w:spacing w:val="-3"/>
        </w:rPr>
        <w:t> </w:t>
      </w:r>
      <w:r>
        <w:rPr/>
        <w:t>of</w:t>
      </w:r>
      <w:r>
        <w:rPr>
          <w:spacing w:val="-3"/>
        </w:rPr>
        <w:t> </w:t>
      </w:r>
      <w:r>
        <w:rPr/>
        <w:t>financial</w:t>
      </w:r>
      <w:r>
        <w:rPr>
          <w:spacing w:val="-3"/>
        </w:rPr>
        <w:t> </w:t>
      </w:r>
      <w:r>
        <w:rPr/>
        <w:t>reporting</w:t>
      </w:r>
      <w:r>
        <w:rPr>
          <w:spacing w:val="-3"/>
        </w:rPr>
        <w:t> </w:t>
      </w:r>
      <w:r>
        <w:rPr/>
        <w:t>used</w:t>
      </w:r>
      <w:r>
        <w:rPr>
          <w:spacing w:val="-3"/>
        </w:rPr>
        <w:t> </w:t>
      </w:r>
      <w:r>
        <w:rPr/>
        <w:t>in</w:t>
      </w:r>
      <w:r>
        <w:rPr>
          <w:spacing w:val="-3"/>
        </w:rPr>
        <w:t> </w:t>
      </w:r>
      <w:r>
        <w:rPr/>
        <w:t>this</w:t>
      </w:r>
      <w:r>
        <w:rPr>
          <w:spacing w:val="-3"/>
        </w:rPr>
        <w:t> </w:t>
      </w:r>
      <w:r>
        <w:rPr/>
        <w:t>study,</w:t>
      </w:r>
      <w:r>
        <w:rPr>
          <w:spacing w:val="-6"/>
        </w:rPr>
        <w:t> </w:t>
      </w:r>
      <w:r>
        <w:rPr/>
        <w:t>board</w:t>
      </w:r>
      <w:r>
        <w:rPr>
          <w:spacing w:val="-3"/>
        </w:rPr>
        <w:t> </w:t>
      </w:r>
      <w:r>
        <w:rPr/>
        <w:t>financial</w:t>
      </w:r>
      <w:r>
        <w:rPr>
          <w:spacing w:val="-3"/>
        </w:rPr>
        <w:t> </w:t>
      </w:r>
      <w:r>
        <w:rPr/>
        <w:t>expertise</w:t>
      </w:r>
      <w:r>
        <w:rPr>
          <w:spacing w:val="-2"/>
        </w:rPr>
        <w:t> </w:t>
      </w:r>
      <w:r>
        <w:rPr/>
        <w:t>was</w:t>
      </w:r>
      <w:r>
        <w:rPr>
          <w:spacing w:val="-3"/>
        </w:rPr>
        <w:t> </w:t>
      </w:r>
      <w:r>
        <w:rPr/>
        <w:t>found</w:t>
      </w:r>
      <w:r>
        <w:rPr>
          <w:spacing w:val="-3"/>
        </w:rPr>
        <w:t> </w:t>
      </w:r>
      <w:r>
        <w:rPr/>
        <w:t>to</w:t>
      </w:r>
      <w:r>
        <w:rPr>
          <w:spacing w:val="-3"/>
        </w:rPr>
        <w:t> </w:t>
      </w:r>
      <w:r>
        <w:rPr/>
        <w:t>have a significant effect for at least one; QUA-FRQ. The findings were in tandem with</w:t>
      </w:r>
      <w:r>
        <w:rPr>
          <w:spacing w:val="40"/>
        </w:rPr>
        <w:t> </w:t>
      </w:r>
      <w:r>
        <w:rPr/>
        <w:t>the studies by</w:t>
      </w:r>
      <w:r>
        <w:rPr>
          <w:spacing w:val="-8"/>
        </w:rPr>
        <w:t> </w:t>
      </w:r>
      <w:r>
        <w:rPr/>
        <w:t>Baatwah</w:t>
      </w:r>
      <w:r>
        <w:rPr>
          <w:spacing w:val="-8"/>
        </w:rPr>
        <w:t> </w:t>
      </w:r>
      <w:r>
        <w:rPr/>
        <w:t>et</w:t>
      </w:r>
      <w:r>
        <w:rPr>
          <w:spacing w:val="-8"/>
        </w:rPr>
        <w:t> </w:t>
      </w:r>
      <w:r>
        <w:rPr/>
        <w:t>al.</w:t>
      </w:r>
      <w:r>
        <w:rPr>
          <w:spacing w:val="-8"/>
        </w:rPr>
        <w:t> </w:t>
      </w:r>
      <w:r>
        <w:rPr/>
        <w:t>(2013),</w:t>
      </w:r>
      <w:r>
        <w:rPr>
          <w:spacing w:val="-7"/>
        </w:rPr>
        <w:t> </w:t>
      </w:r>
      <w:r>
        <w:rPr/>
        <w:t>Krishnan</w:t>
      </w:r>
      <w:r>
        <w:rPr>
          <w:spacing w:val="-9"/>
        </w:rPr>
        <w:t> </w:t>
      </w:r>
      <w:r>
        <w:rPr/>
        <w:t>and</w:t>
      </w:r>
      <w:r>
        <w:rPr>
          <w:spacing w:val="-8"/>
        </w:rPr>
        <w:t> </w:t>
      </w:r>
      <w:r>
        <w:rPr/>
        <w:t>Visvanathan</w:t>
      </w:r>
      <w:r>
        <w:rPr>
          <w:spacing w:val="-8"/>
        </w:rPr>
        <w:t> </w:t>
      </w:r>
      <w:r>
        <w:rPr/>
        <w:t>(2008).</w:t>
      </w:r>
      <w:r>
        <w:rPr>
          <w:spacing w:val="-9"/>
        </w:rPr>
        <w:t> </w:t>
      </w:r>
      <w:r>
        <w:rPr/>
        <w:t>Abbott</w:t>
      </w:r>
      <w:r>
        <w:rPr>
          <w:spacing w:val="-8"/>
        </w:rPr>
        <w:t> </w:t>
      </w:r>
      <w:r>
        <w:rPr/>
        <w:t>et</w:t>
      </w:r>
      <w:r>
        <w:rPr>
          <w:spacing w:val="-8"/>
        </w:rPr>
        <w:t> </w:t>
      </w:r>
      <w:r>
        <w:rPr/>
        <w:t>al.</w:t>
      </w:r>
      <w:r>
        <w:rPr>
          <w:spacing w:val="-8"/>
        </w:rPr>
        <w:t> </w:t>
      </w:r>
      <w:r>
        <w:rPr/>
        <w:t>(2004),</w:t>
      </w:r>
      <w:r>
        <w:rPr>
          <w:spacing w:val="-8"/>
        </w:rPr>
        <w:t> </w:t>
      </w:r>
      <w:r>
        <w:rPr/>
        <w:t>and</w:t>
      </w:r>
      <w:r>
        <w:rPr>
          <w:spacing w:val="-8"/>
        </w:rPr>
        <w:t> </w:t>
      </w:r>
      <w:r>
        <w:rPr/>
        <w:t>Agrawal and Chadha (2005). However, Anderson et al. (2004) employed the broad definition of financial expertise and found no association between financial expertise and cost of debt. Krishnan and Visvanathan (2008) found that firms with accounting financial experts on the audit committee were associated with more conservative financial reporting. Dhaliwal et al. (2010)</w:t>
      </w:r>
      <w:r>
        <w:rPr>
          <w:spacing w:val="-2"/>
        </w:rPr>
        <w:t> </w:t>
      </w:r>
      <w:r>
        <w:rPr/>
        <w:t>found a</w:t>
      </w:r>
      <w:r>
        <w:rPr>
          <w:spacing w:val="-3"/>
        </w:rPr>
        <w:t> </w:t>
      </w:r>
      <w:r>
        <w:rPr/>
        <w:t>significant</w:t>
      </w:r>
      <w:r>
        <w:rPr>
          <w:spacing w:val="-2"/>
        </w:rPr>
        <w:t> </w:t>
      </w:r>
      <w:r>
        <w:rPr/>
        <w:t>positive</w:t>
      </w:r>
      <w:r>
        <w:rPr>
          <w:spacing w:val="-3"/>
        </w:rPr>
        <w:t> </w:t>
      </w:r>
      <w:r>
        <w:rPr/>
        <w:t>relation</w:t>
      </w:r>
      <w:r>
        <w:rPr>
          <w:spacing w:val="-2"/>
        </w:rPr>
        <w:t> </w:t>
      </w:r>
      <w:r>
        <w:rPr/>
        <w:t>between</w:t>
      </w:r>
      <w:r>
        <w:rPr>
          <w:spacing w:val="-2"/>
        </w:rPr>
        <w:t> </w:t>
      </w:r>
      <w:r>
        <w:rPr/>
        <w:t>accounting</w:t>
      </w:r>
      <w:r>
        <w:rPr>
          <w:spacing w:val="-2"/>
        </w:rPr>
        <w:t> </w:t>
      </w:r>
      <w:r>
        <w:rPr/>
        <w:t>expertise</w:t>
      </w:r>
      <w:r>
        <w:rPr>
          <w:spacing w:val="-2"/>
        </w:rPr>
        <w:t> </w:t>
      </w:r>
      <w:r>
        <w:rPr/>
        <w:t>on</w:t>
      </w:r>
      <w:r>
        <w:rPr>
          <w:spacing w:val="-2"/>
        </w:rPr>
        <w:t> </w:t>
      </w:r>
      <w:r>
        <w:rPr/>
        <w:t>audit</w:t>
      </w:r>
      <w:r>
        <w:rPr>
          <w:spacing w:val="-2"/>
        </w:rPr>
        <w:t> </w:t>
      </w:r>
      <w:r>
        <w:rPr/>
        <w:t>committees and</w:t>
      </w:r>
      <w:r>
        <w:rPr>
          <w:spacing w:val="-15"/>
        </w:rPr>
        <w:t> </w:t>
      </w:r>
      <w:r>
        <w:rPr/>
        <w:t>accrual</w:t>
      </w:r>
      <w:r>
        <w:rPr>
          <w:spacing w:val="-15"/>
        </w:rPr>
        <w:t> </w:t>
      </w:r>
      <w:r>
        <w:rPr/>
        <w:t>quality.</w:t>
      </w:r>
      <w:r>
        <w:rPr>
          <w:spacing w:val="-15"/>
        </w:rPr>
        <w:t> </w:t>
      </w:r>
      <w:r>
        <w:rPr/>
        <w:t>Xie</w:t>
      </w:r>
      <w:r>
        <w:rPr>
          <w:spacing w:val="-15"/>
        </w:rPr>
        <w:t> </w:t>
      </w:r>
      <w:r>
        <w:rPr/>
        <w:t>et</w:t>
      </w:r>
      <w:r>
        <w:rPr>
          <w:spacing w:val="-15"/>
        </w:rPr>
        <w:t> </w:t>
      </w:r>
      <w:r>
        <w:rPr/>
        <w:t>al.</w:t>
      </w:r>
      <w:r>
        <w:rPr>
          <w:spacing w:val="-15"/>
        </w:rPr>
        <w:t> </w:t>
      </w:r>
      <w:r>
        <w:rPr/>
        <w:t>(2003)</w:t>
      </w:r>
      <w:r>
        <w:rPr>
          <w:spacing w:val="-15"/>
        </w:rPr>
        <w:t> </w:t>
      </w:r>
      <w:r>
        <w:rPr/>
        <w:t>found</w:t>
      </w:r>
      <w:r>
        <w:rPr>
          <w:spacing w:val="-15"/>
        </w:rPr>
        <w:t> </w:t>
      </w:r>
      <w:r>
        <w:rPr/>
        <w:t>that</w:t>
      </w:r>
      <w:r>
        <w:rPr>
          <w:spacing w:val="-15"/>
        </w:rPr>
        <w:t> </w:t>
      </w:r>
      <w:r>
        <w:rPr/>
        <w:t>boards</w:t>
      </w:r>
      <w:r>
        <w:rPr>
          <w:spacing w:val="-15"/>
        </w:rPr>
        <w:t> </w:t>
      </w:r>
      <w:r>
        <w:rPr/>
        <w:t>of</w:t>
      </w:r>
      <w:r>
        <w:rPr>
          <w:spacing w:val="-15"/>
        </w:rPr>
        <w:t> </w:t>
      </w:r>
      <w:r>
        <w:rPr/>
        <w:t>directors</w:t>
      </w:r>
      <w:r>
        <w:rPr>
          <w:spacing w:val="-15"/>
        </w:rPr>
        <w:t> </w:t>
      </w:r>
      <w:r>
        <w:rPr/>
        <w:t>with</w:t>
      </w:r>
      <w:r>
        <w:rPr>
          <w:spacing w:val="-15"/>
        </w:rPr>
        <w:t> </w:t>
      </w:r>
      <w:r>
        <w:rPr/>
        <w:t>corporate</w:t>
      </w:r>
      <w:r>
        <w:rPr>
          <w:spacing w:val="-15"/>
        </w:rPr>
        <w:t> </w:t>
      </w:r>
      <w:r>
        <w:rPr/>
        <w:t>or</w:t>
      </w:r>
      <w:r>
        <w:rPr>
          <w:spacing w:val="-15"/>
        </w:rPr>
        <w:t> </w:t>
      </w:r>
      <w:r>
        <w:rPr/>
        <w:t>investment banking backgrounds were inversely related to the level of earnings management. Park and Shin</w:t>
      </w:r>
      <w:r>
        <w:rPr>
          <w:spacing w:val="-4"/>
        </w:rPr>
        <w:t> </w:t>
      </w:r>
      <w:r>
        <w:rPr/>
        <w:t>(2004)</w:t>
      </w:r>
      <w:r>
        <w:rPr>
          <w:spacing w:val="-6"/>
        </w:rPr>
        <w:t> </w:t>
      </w:r>
      <w:r>
        <w:rPr/>
        <w:t>also</w:t>
      </w:r>
      <w:r>
        <w:rPr>
          <w:spacing w:val="-4"/>
        </w:rPr>
        <w:t> </w:t>
      </w:r>
      <w:r>
        <w:rPr/>
        <w:t>found</w:t>
      </w:r>
      <w:r>
        <w:rPr>
          <w:spacing w:val="-3"/>
        </w:rPr>
        <w:t> </w:t>
      </w:r>
      <w:r>
        <w:rPr/>
        <w:t>that</w:t>
      </w:r>
      <w:r>
        <w:rPr>
          <w:spacing w:val="-5"/>
        </w:rPr>
        <w:t> </w:t>
      </w:r>
      <w:r>
        <w:rPr/>
        <w:t>the</w:t>
      </w:r>
      <w:r>
        <w:rPr>
          <w:spacing w:val="-5"/>
        </w:rPr>
        <w:t> </w:t>
      </w:r>
      <w:r>
        <w:rPr/>
        <w:t>presence</w:t>
      </w:r>
      <w:r>
        <w:rPr>
          <w:spacing w:val="-6"/>
        </w:rPr>
        <w:t> </w:t>
      </w:r>
      <w:r>
        <w:rPr/>
        <w:t>of</w:t>
      </w:r>
      <w:r>
        <w:rPr>
          <w:spacing w:val="-3"/>
        </w:rPr>
        <w:t> </w:t>
      </w:r>
      <w:r>
        <w:rPr/>
        <w:t>officers</w:t>
      </w:r>
      <w:r>
        <w:rPr>
          <w:spacing w:val="-5"/>
        </w:rPr>
        <w:t> </w:t>
      </w:r>
      <w:r>
        <w:rPr/>
        <w:t>from</w:t>
      </w:r>
      <w:r>
        <w:rPr>
          <w:spacing w:val="-4"/>
        </w:rPr>
        <w:t> </w:t>
      </w:r>
      <w:r>
        <w:rPr/>
        <w:t>financial</w:t>
      </w:r>
      <w:r>
        <w:rPr>
          <w:spacing w:val="-5"/>
        </w:rPr>
        <w:t> </w:t>
      </w:r>
      <w:r>
        <w:rPr/>
        <w:t>intermediaries on</w:t>
      </w:r>
      <w:r>
        <w:rPr>
          <w:spacing w:val="-5"/>
        </w:rPr>
        <w:t> </w:t>
      </w:r>
      <w:r>
        <w:rPr/>
        <w:t>the</w:t>
      </w:r>
      <w:r>
        <w:rPr>
          <w:spacing w:val="-3"/>
        </w:rPr>
        <w:t> </w:t>
      </w:r>
      <w:r>
        <w:rPr/>
        <w:t>board could limit abnormal accruals as the unmanaged earnings are below the target.</w:t>
      </w:r>
    </w:p>
    <w:p>
      <w:pPr>
        <w:pStyle w:val="Heading3"/>
        <w:spacing w:before="2"/>
      </w:pPr>
      <w:bookmarkStart w:name="_TOC_250010" w:id="60"/>
      <w:r>
        <w:rPr/>
        <w:t>5.2.5.</w:t>
      </w:r>
      <w:r>
        <w:rPr>
          <w:spacing w:val="-5"/>
        </w:rPr>
        <w:t> </w:t>
      </w:r>
      <w:r>
        <w:rPr/>
        <w:t>Institutional</w:t>
      </w:r>
      <w:r>
        <w:rPr>
          <w:spacing w:val="-2"/>
        </w:rPr>
        <w:t> </w:t>
      </w:r>
      <w:r>
        <w:rPr/>
        <w:t>Ownership</w:t>
      </w:r>
      <w:r>
        <w:rPr>
          <w:spacing w:val="-1"/>
        </w:rPr>
        <w:t> </w:t>
      </w:r>
      <w:r>
        <w:rPr/>
        <w:t>and</w:t>
      </w:r>
      <w:r>
        <w:rPr>
          <w:spacing w:val="-2"/>
        </w:rPr>
        <w:t> </w:t>
      </w:r>
      <w:r>
        <w:rPr/>
        <w:t>Financial</w:t>
      </w:r>
      <w:r>
        <w:rPr>
          <w:spacing w:val="-2"/>
        </w:rPr>
        <w:t> </w:t>
      </w:r>
      <w:r>
        <w:rPr/>
        <w:t>Reporting</w:t>
      </w:r>
      <w:r>
        <w:rPr>
          <w:spacing w:val="-1"/>
        </w:rPr>
        <w:t> </w:t>
      </w:r>
      <w:bookmarkEnd w:id="60"/>
      <w:r>
        <w:rPr>
          <w:spacing w:val="-2"/>
        </w:rPr>
        <w:t>Quality</w:t>
      </w:r>
    </w:p>
    <w:p>
      <w:pPr>
        <w:pStyle w:val="BodyText"/>
        <w:rPr>
          <w:b/>
        </w:rPr>
      </w:pPr>
    </w:p>
    <w:p>
      <w:pPr>
        <w:pStyle w:val="BodyText"/>
        <w:spacing w:line="480" w:lineRule="auto" w:before="1"/>
        <w:ind w:left="940" w:right="1439"/>
        <w:jc w:val="both"/>
      </w:pPr>
      <w:r>
        <w:rPr/>
        <w:t>The estimations revealed that INSTOWN had a negative effect on QUA-FRQ although not significant</w:t>
      </w:r>
      <w:r>
        <w:rPr>
          <w:spacing w:val="31"/>
        </w:rPr>
        <w:t> </w:t>
      </w:r>
      <w:r>
        <w:rPr/>
        <w:t>at</w:t>
      </w:r>
      <w:r>
        <w:rPr>
          <w:spacing w:val="32"/>
        </w:rPr>
        <w:t> </w:t>
      </w:r>
      <w:r>
        <w:rPr/>
        <w:t>5%</w:t>
      </w:r>
      <w:r>
        <w:rPr>
          <w:spacing w:val="31"/>
        </w:rPr>
        <w:t> </w:t>
      </w:r>
      <w:r>
        <w:rPr/>
        <w:t>(-0.009,</w:t>
      </w:r>
      <w:r>
        <w:rPr>
          <w:spacing w:val="32"/>
        </w:rPr>
        <w:t> </w:t>
      </w:r>
      <w:r>
        <w:rPr/>
        <w:t>p=0.3397)</w:t>
      </w:r>
      <w:r>
        <w:rPr>
          <w:spacing w:val="31"/>
        </w:rPr>
        <w:t> </w:t>
      </w:r>
      <w:r>
        <w:rPr/>
        <w:t>and</w:t>
      </w:r>
      <w:r>
        <w:rPr>
          <w:spacing w:val="32"/>
        </w:rPr>
        <w:t> </w:t>
      </w:r>
      <w:r>
        <w:rPr/>
        <w:t>the</w:t>
      </w:r>
      <w:r>
        <w:rPr>
          <w:spacing w:val="31"/>
        </w:rPr>
        <w:t> </w:t>
      </w:r>
      <w:r>
        <w:rPr/>
        <w:t>interaction</w:t>
      </w:r>
      <w:r>
        <w:rPr>
          <w:spacing w:val="35"/>
        </w:rPr>
        <w:t> </w:t>
      </w:r>
      <w:r>
        <w:rPr/>
        <w:t>Post-IFRS*INSTOWN</w:t>
      </w:r>
      <w:r>
        <w:rPr>
          <w:spacing w:val="31"/>
        </w:rPr>
        <w:t> </w:t>
      </w:r>
      <w:r>
        <w:rPr/>
        <w:t>testing</w:t>
      </w:r>
      <w:r>
        <w:rPr>
          <w:spacing w:val="33"/>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60512">
            <wp:simplePos x="0" y="0"/>
            <wp:positionH relativeFrom="page">
              <wp:posOffset>1095451</wp:posOffset>
            </wp:positionH>
            <wp:positionV relativeFrom="paragraph">
              <wp:posOffset>1850770</wp:posOffset>
            </wp:positionV>
            <wp:extent cx="5106847" cy="5238115"/>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5" cstate="print"/>
                    <a:stretch>
                      <a:fillRect/>
                    </a:stretch>
                  </pic:blipFill>
                  <pic:spPr>
                    <a:xfrm>
                      <a:off x="0" y="0"/>
                      <a:ext cx="5106847" cy="5238115"/>
                    </a:xfrm>
                    <a:prstGeom prst="rect">
                      <a:avLst/>
                    </a:prstGeom>
                  </pic:spPr>
                </pic:pic>
              </a:graphicData>
            </a:graphic>
          </wp:anchor>
        </w:drawing>
      </w:r>
      <w:r>
        <w:rPr/>
        <w:t>presence of incremental IFRS adoption effect also did not show that INSTOWN had a significant incremental effect on QUA-FRQ resulting from IFRS adoption (-0.0004, p=0.1828). The estimations revealed that INSTOWN had a positive effect on DISACC although not significant at 5% (0.0012, p=0.8574) and the interaction Post-IFRS*INSTOWN testing</w:t>
      </w:r>
      <w:r>
        <w:rPr>
          <w:spacing w:val="-12"/>
        </w:rPr>
        <w:t> </w:t>
      </w:r>
      <w:r>
        <w:rPr/>
        <w:t>the</w:t>
      </w:r>
      <w:r>
        <w:rPr>
          <w:spacing w:val="-14"/>
        </w:rPr>
        <w:t> </w:t>
      </w:r>
      <w:r>
        <w:rPr/>
        <w:t>presence</w:t>
      </w:r>
      <w:r>
        <w:rPr>
          <w:spacing w:val="-14"/>
        </w:rPr>
        <w:t> </w:t>
      </w:r>
      <w:r>
        <w:rPr/>
        <w:t>of</w:t>
      </w:r>
      <w:r>
        <w:rPr>
          <w:spacing w:val="-14"/>
        </w:rPr>
        <w:t> </w:t>
      </w:r>
      <w:r>
        <w:rPr/>
        <w:t>incremental</w:t>
      </w:r>
      <w:r>
        <w:rPr>
          <w:spacing w:val="-10"/>
        </w:rPr>
        <w:t> </w:t>
      </w:r>
      <w:r>
        <w:rPr/>
        <w:t>IFRS</w:t>
      </w:r>
      <w:r>
        <w:rPr>
          <w:spacing w:val="-12"/>
        </w:rPr>
        <w:t> </w:t>
      </w:r>
      <w:r>
        <w:rPr/>
        <w:t>adoption</w:t>
      </w:r>
      <w:r>
        <w:rPr>
          <w:spacing w:val="-11"/>
        </w:rPr>
        <w:t> </w:t>
      </w:r>
      <w:r>
        <w:rPr/>
        <w:t>effect</w:t>
      </w:r>
      <w:r>
        <w:rPr>
          <w:spacing w:val="-13"/>
        </w:rPr>
        <w:t> </w:t>
      </w:r>
      <w:r>
        <w:rPr/>
        <w:t>also</w:t>
      </w:r>
      <w:r>
        <w:rPr>
          <w:spacing w:val="-12"/>
        </w:rPr>
        <w:t> </w:t>
      </w:r>
      <w:r>
        <w:rPr/>
        <w:t>did</w:t>
      </w:r>
      <w:r>
        <w:rPr>
          <w:spacing w:val="-13"/>
        </w:rPr>
        <w:t> </w:t>
      </w:r>
      <w:r>
        <w:rPr/>
        <w:t>not</w:t>
      </w:r>
      <w:r>
        <w:rPr>
          <w:spacing w:val="-13"/>
        </w:rPr>
        <w:t> </w:t>
      </w:r>
      <w:r>
        <w:rPr/>
        <w:t>show</w:t>
      </w:r>
      <w:r>
        <w:rPr>
          <w:spacing w:val="-13"/>
        </w:rPr>
        <w:t> </w:t>
      </w:r>
      <w:r>
        <w:rPr/>
        <w:t>that</w:t>
      </w:r>
      <w:r>
        <w:rPr>
          <w:spacing w:val="-10"/>
        </w:rPr>
        <w:t> </w:t>
      </w:r>
      <w:r>
        <w:rPr/>
        <w:t>INSTOWN</w:t>
      </w:r>
      <w:r>
        <w:rPr>
          <w:spacing w:val="-14"/>
        </w:rPr>
        <w:t> </w:t>
      </w:r>
      <w:r>
        <w:rPr/>
        <w:t>had a</w:t>
      </w:r>
      <w:r>
        <w:rPr>
          <w:spacing w:val="-10"/>
        </w:rPr>
        <w:t> </w:t>
      </w:r>
      <w:r>
        <w:rPr/>
        <w:t>significant</w:t>
      </w:r>
      <w:r>
        <w:rPr>
          <w:spacing w:val="-9"/>
        </w:rPr>
        <w:t> </w:t>
      </w:r>
      <w:r>
        <w:rPr/>
        <w:t>incremental</w:t>
      </w:r>
      <w:r>
        <w:rPr>
          <w:spacing w:val="-7"/>
        </w:rPr>
        <w:t> </w:t>
      </w:r>
      <w:r>
        <w:rPr/>
        <w:t>effect</w:t>
      </w:r>
      <w:r>
        <w:rPr>
          <w:spacing w:val="-9"/>
        </w:rPr>
        <w:t> </w:t>
      </w:r>
      <w:r>
        <w:rPr/>
        <w:t>on</w:t>
      </w:r>
      <w:r>
        <w:rPr>
          <w:spacing w:val="-9"/>
        </w:rPr>
        <w:t> </w:t>
      </w:r>
      <w:r>
        <w:rPr/>
        <w:t>DISACC</w:t>
      </w:r>
      <w:r>
        <w:rPr>
          <w:spacing w:val="-9"/>
        </w:rPr>
        <w:t> </w:t>
      </w:r>
      <w:r>
        <w:rPr/>
        <w:t>resulting</w:t>
      </w:r>
      <w:r>
        <w:rPr>
          <w:spacing w:val="-9"/>
        </w:rPr>
        <w:t> </w:t>
      </w:r>
      <w:r>
        <w:rPr/>
        <w:t>from</w:t>
      </w:r>
      <w:r>
        <w:rPr>
          <w:spacing w:val="-7"/>
        </w:rPr>
        <w:t> </w:t>
      </w:r>
      <w:r>
        <w:rPr/>
        <w:t>IFRS</w:t>
      </w:r>
      <w:r>
        <w:rPr>
          <w:spacing w:val="-9"/>
        </w:rPr>
        <w:t> </w:t>
      </w:r>
      <w:r>
        <w:rPr/>
        <w:t>adoption</w:t>
      </w:r>
      <w:r>
        <w:rPr>
          <w:spacing w:val="-9"/>
        </w:rPr>
        <w:t> </w:t>
      </w:r>
      <w:r>
        <w:rPr/>
        <w:t>(0.0007,</w:t>
      </w:r>
      <w:r>
        <w:rPr>
          <w:spacing w:val="-9"/>
        </w:rPr>
        <w:t> </w:t>
      </w:r>
      <w:r>
        <w:rPr/>
        <w:t>p=0.9325). The</w:t>
      </w:r>
      <w:r>
        <w:rPr>
          <w:spacing w:val="-12"/>
        </w:rPr>
        <w:t> </w:t>
      </w:r>
      <w:r>
        <w:rPr/>
        <w:t>estimations</w:t>
      </w:r>
      <w:r>
        <w:rPr>
          <w:spacing w:val="-10"/>
        </w:rPr>
        <w:t> </w:t>
      </w:r>
      <w:r>
        <w:rPr/>
        <w:t>revealed</w:t>
      </w:r>
      <w:r>
        <w:rPr>
          <w:spacing w:val="-6"/>
        </w:rPr>
        <w:t> </w:t>
      </w:r>
      <w:r>
        <w:rPr/>
        <w:t>that</w:t>
      </w:r>
      <w:r>
        <w:rPr>
          <w:spacing w:val="-8"/>
        </w:rPr>
        <w:t> </w:t>
      </w:r>
      <w:r>
        <w:rPr/>
        <w:t>INSTOWN</w:t>
      </w:r>
      <w:r>
        <w:rPr>
          <w:spacing w:val="-9"/>
        </w:rPr>
        <w:t> </w:t>
      </w:r>
      <w:r>
        <w:rPr/>
        <w:t>had</w:t>
      </w:r>
      <w:r>
        <w:rPr>
          <w:spacing w:val="-8"/>
        </w:rPr>
        <w:t> </w:t>
      </w:r>
      <w:r>
        <w:rPr/>
        <w:t>a</w:t>
      </w:r>
      <w:r>
        <w:rPr>
          <w:spacing w:val="-12"/>
        </w:rPr>
        <w:t> </w:t>
      </w:r>
      <w:r>
        <w:rPr/>
        <w:t>positive</w:t>
      </w:r>
      <w:r>
        <w:rPr>
          <w:spacing w:val="-11"/>
        </w:rPr>
        <w:t> </w:t>
      </w:r>
      <w:r>
        <w:rPr/>
        <w:t>effect</w:t>
      </w:r>
      <w:r>
        <w:rPr>
          <w:spacing w:val="-10"/>
        </w:rPr>
        <w:t> </w:t>
      </w:r>
      <w:r>
        <w:rPr/>
        <w:t>on</w:t>
      </w:r>
      <w:r>
        <w:rPr>
          <w:spacing w:val="-11"/>
        </w:rPr>
        <w:t> </w:t>
      </w:r>
      <w:r>
        <w:rPr/>
        <w:t>value</w:t>
      </w:r>
      <w:r>
        <w:rPr>
          <w:spacing w:val="-11"/>
        </w:rPr>
        <w:t> </w:t>
      </w:r>
      <w:r>
        <w:rPr/>
        <w:t>relevance</w:t>
      </w:r>
      <w:r>
        <w:rPr>
          <w:spacing w:val="-6"/>
        </w:rPr>
        <w:t> </w:t>
      </w:r>
      <w:r>
        <w:rPr/>
        <w:t>although</w:t>
      </w:r>
      <w:r>
        <w:rPr>
          <w:spacing w:val="-10"/>
        </w:rPr>
        <w:t> </w:t>
      </w:r>
      <w:r>
        <w:rPr/>
        <w:t>not significant at 5% (0.0594, p=0.0533) but the interaction Post-IFRS*INSTOWN testing the presence</w:t>
      </w:r>
      <w:r>
        <w:rPr>
          <w:spacing w:val="-2"/>
        </w:rPr>
        <w:t> </w:t>
      </w:r>
      <w:r>
        <w:rPr/>
        <w:t>of</w:t>
      </w:r>
      <w:r>
        <w:rPr>
          <w:spacing w:val="-2"/>
        </w:rPr>
        <w:t> </w:t>
      </w:r>
      <w:r>
        <w:rPr/>
        <w:t>incremental IFRS</w:t>
      </w:r>
      <w:r>
        <w:rPr>
          <w:spacing w:val="-1"/>
        </w:rPr>
        <w:t> </w:t>
      </w:r>
      <w:r>
        <w:rPr/>
        <w:t>adoption</w:t>
      </w:r>
      <w:r>
        <w:rPr>
          <w:spacing w:val="-1"/>
        </w:rPr>
        <w:t> </w:t>
      </w:r>
      <w:r>
        <w:rPr/>
        <w:t>effect</w:t>
      </w:r>
      <w:r>
        <w:rPr>
          <w:spacing w:val="-1"/>
        </w:rPr>
        <w:t> </w:t>
      </w:r>
      <w:r>
        <w:rPr/>
        <w:t>showed</w:t>
      </w:r>
      <w:r>
        <w:rPr>
          <w:spacing w:val="-1"/>
        </w:rPr>
        <w:t> </w:t>
      </w:r>
      <w:r>
        <w:rPr/>
        <w:t>that INSTOWN</w:t>
      </w:r>
      <w:r>
        <w:rPr>
          <w:spacing w:val="-2"/>
        </w:rPr>
        <w:t> </w:t>
      </w:r>
      <w:r>
        <w:rPr/>
        <w:t>had a</w:t>
      </w:r>
      <w:r>
        <w:rPr>
          <w:spacing w:val="-2"/>
        </w:rPr>
        <w:t> </w:t>
      </w:r>
      <w:r>
        <w:rPr/>
        <w:t>significant</w:t>
      </w:r>
      <w:r>
        <w:rPr>
          <w:spacing w:val="-1"/>
        </w:rPr>
        <w:t> </w:t>
      </w:r>
      <w:r>
        <w:rPr/>
        <w:t>effect on</w:t>
      </w:r>
      <w:r>
        <w:rPr>
          <w:spacing w:val="-3"/>
        </w:rPr>
        <w:t> </w:t>
      </w:r>
      <w:r>
        <w:rPr/>
        <w:t>VREL</w:t>
      </w:r>
      <w:r>
        <w:rPr>
          <w:spacing w:val="-3"/>
        </w:rPr>
        <w:t> </w:t>
      </w:r>
      <w:r>
        <w:rPr/>
        <w:t>resulting</w:t>
      </w:r>
      <w:r>
        <w:rPr>
          <w:spacing w:val="-3"/>
        </w:rPr>
        <w:t> </w:t>
      </w:r>
      <w:r>
        <w:rPr/>
        <w:t>from</w:t>
      </w:r>
      <w:r>
        <w:rPr>
          <w:spacing w:val="-3"/>
        </w:rPr>
        <w:t> </w:t>
      </w:r>
      <w:r>
        <w:rPr/>
        <w:t>IFRS</w:t>
      </w:r>
      <w:r>
        <w:rPr>
          <w:spacing w:val="-3"/>
        </w:rPr>
        <w:t> </w:t>
      </w:r>
      <w:r>
        <w:rPr/>
        <w:t>adoption</w:t>
      </w:r>
      <w:r>
        <w:rPr>
          <w:spacing w:val="-3"/>
        </w:rPr>
        <w:t> </w:t>
      </w:r>
      <w:r>
        <w:rPr/>
        <w:t>(-0.17926,</w:t>
      </w:r>
      <w:r>
        <w:rPr>
          <w:spacing w:val="-3"/>
        </w:rPr>
        <w:t> </w:t>
      </w:r>
      <w:r>
        <w:rPr/>
        <w:t>p=0.000)</w:t>
      </w:r>
      <w:r>
        <w:rPr>
          <w:spacing w:val="-4"/>
        </w:rPr>
        <w:t> </w:t>
      </w:r>
      <w:r>
        <w:rPr/>
        <w:t>although</w:t>
      </w:r>
      <w:r>
        <w:rPr>
          <w:spacing w:val="-3"/>
        </w:rPr>
        <w:t> </w:t>
      </w:r>
      <w:r>
        <w:rPr/>
        <w:t>the</w:t>
      </w:r>
      <w:r>
        <w:rPr>
          <w:spacing w:val="-4"/>
        </w:rPr>
        <w:t> </w:t>
      </w:r>
      <w:r>
        <w:rPr/>
        <w:t>negative</w:t>
      </w:r>
      <w:r>
        <w:rPr>
          <w:spacing w:val="-4"/>
        </w:rPr>
        <w:t> </w:t>
      </w:r>
      <w:r>
        <w:rPr/>
        <w:t>coefficient suggested</w:t>
      </w:r>
      <w:r>
        <w:rPr>
          <w:spacing w:val="-15"/>
        </w:rPr>
        <w:t> </w:t>
      </w:r>
      <w:r>
        <w:rPr/>
        <w:t>the</w:t>
      </w:r>
      <w:r>
        <w:rPr>
          <w:spacing w:val="-15"/>
        </w:rPr>
        <w:t> </w:t>
      </w:r>
      <w:r>
        <w:rPr/>
        <w:t>effect</w:t>
      </w:r>
      <w:r>
        <w:rPr>
          <w:spacing w:val="-13"/>
        </w:rPr>
        <w:t> </w:t>
      </w:r>
      <w:r>
        <w:rPr/>
        <w:t>could</w:t>
      </w:r>
      <w:r>
        <w:rPr>
          <w:spacing w:val="-14"/>
        </w:rPr>
        <w:t> </w:t>
      </w:r>
      <w:r>
        <w:rPr/>
        <w:t>actually</w:t>
      </w:r>
      <w:r>
        <w:rPr>
          <w:spacing w:val="-14"/>
        </w:rPr>
        <w:t> </w:t>
      </w:r>
      <w:r>
        <w:rPr/>
        <w:t>be</w:t>
      </w:r>
      <w:r>
        <w:rPr>
          <w:spacing w:val="-15"/>
        </w:rPr>
        <w:t> </w:t>
      </w:r>
      <w:r>
        <w:rPr/>
        <w:t>decremental</w:t>
      </w:r>
      <w:r>
        <w:rPr>
          <w:spacing w:val="-13"/>
        </w:rPr>
        <w:t> </w:t>
      </w:r>
      <w:r>
        <w:rPr/>
        <w:t>suggesting</w:t>
      </w:r>
      <w:r>
        <w:rPr>
          <w:spacing w:val="-14"/>
        </w:rPr>
        <w:t> </w:t>
      </w:r>
      <w:r>
        <w:rPr/>
        <w:t>that</w:t>
      </w:r>
      <w:r>
        <w:rPr>
          <w:spacing w:val="-13"/>
        </w:rPr>
        <w:t> </w:t>
      </w:r>
      <w:r>
        <w:rPr/>
        <w:t>a</w:t>
      </w:r>
      <w:r>
        <w:rPr>
          <w:spacing w:val="-15"/>
        </w:rPr>
        <w:t> </w:t>
      </w:r>
      <w:r>
        <w:rPr/>
        <w:t>higher</w:t>
      </w:r>
      <w:r>
        <w:rPr>
          <w:spacing w:val="-15"/>
        </w:rPr>
        <w:t> </w:t>
      </w:r>
      <w:r>
        <w:rPr/>
        <w:t>level</w:t>
      </w:r>
      <w:r>
        <w:rPr>
          <w:spacing w:val="-14"/>
        </w:rPr>
        <w:t> </w:t>
      </w:r>
      <w:r>
        <w:rPr/>
        <w:t>of</w:t>
      </w:r>
      <w:r>
        <w:rPr>
          <w:spacing w:val="-15"/>
        </w:rPr>
        <w:t> </w:t>
      </w:r>
      <w:r>
        <w:rPr/>
        <w:t>institutional ownership in the post-IFRS result in declining value relevance. As indicated earlier, the fact the value relevance was market based could suggest a possible inaccurate assessment of institutional ownership efforts. Also issues of market efficiency could also play a role in the outcome. In conclusion, based on the three measures of financial reporting used in this study, institutional ownership was found to have a significant effect on at least one; VREL.</w:t>
      </w:r>
    </w:p>
    <w:p>
      <w:pPr>
        <w:pStyle w:val="BodyText"/>
        <w:spacing w:line="480" w:lineRule="auto" w:before="2"/>
        <w:ind w:left="940" w:right="1436"/>
        <w:jc w:val="both"/>
      </w:pPr>
      <w:r>
        <w:rPr/>
        <w:t>The study’s findings were in tandem with Affan, Rosidi and Liliki’s (2017) work which examined the impact of ownership structure on the financial reporting quality among firms in the Indonesian market. The ownership structure variables included institutional, managerial, family and foreign ownership. The results showed a difference in the quality of financial reporting</w:t>
      </w:r>
      <w:r>
        <w:rPr>
          <w:spacing w:val="-3"/>
        </w:rPr>
        <w:t> </w:t>
      </w:r>
      <w:r>
        <w:rPr/>
        <w:t>that</w:t>
      </w:r>
      <w:r>
        <w:rPr>
          <w:spacing w:val="-4"/>
        </w:rPr>
        <w:t> </w:t>
      </w:r>
      <w:r>
        <w:rPr/>
        <w:t>used</w:t>
      </w:r>
      <w:r>
        <w:rPr>
          <w:spacing w:val="-2"/>
        </w:rPr>
        <w:t> </w:t>
      </w:r>
      <w:r>
        <w:rPr/>
        <w:t>accrual</w:t>
      </w:r>
      <w:r>
        <w:rPr>
          <w:spacing w:val="-3"/>
        </w:rPr>
        <w:t> </w:t>
      </w:r>
      <w:r>
        <w:rPr/>
        <w:t>earnings</w:t>
      </w:r>
      <w:r>
        <w:rPr>
          <w:spacing w:val="-4"/>
        </w:rPr>
        <w:t> </w:t>
      </w:r>
      <w:r>
        <w:rPr/>
        <w:t>management</w:t>
      </w:r>
      <w:r>
        <w:rPr>
          <w:spacing w:val="-2"/>
        </w:rPr>
        <w:t> </w:t>
      </w:r>
      <w:r>
        <w:rPr/>
        <w:t>and</w:t>
      </w:r>
      <w:r>
        <w:rPr>
          <w:spacing w:val="-3"/>
        </w:rPr>
        <w:t> </w:t>
      </w:r>
      <w:r>
        <w:rPr/>
        <w:t>real</w:t>
      </w:r>
      <w:r>
        <w:rPr>
          <w:spacing w:val="-4"/>
        </w:rPr>
        <w:t> </w:t>
      </w:r>
      <w:r>
        <w:rPr/>
        <w:t>earnings</w:t>
      </w:r>
      <w:r>
        <w:rPr>
          <w:spacing w:val="-3"/>
        </w:rPr>
        <w:t> </w:t>
      </w:r>
      <w:r>
        <w:rPr/>
        <w:t>management</w:t>
      </w:r>
      <w:r>
        <w:rPr>
          <w:spacing w:val="-4"/>
        </w:rPr>
        <w:t> </w:t>
      </w:r>
      <w:r>
        <w:rPr/>
        <w:t>as</w:t>
      </w:r>
      <w:r>
        <w:rPr>
          <w:spacing w:val="-3"/>
        </w:rPr>
        <w:t> </w:t>
      </w:r>
      <w:r>
        <w:rPr/>
        <w:t>indicators. Latif, Latif and Abdullah (2017) examined the impact of institutional ownership on earnings quality for listed firms on the Pakistan Stock Exchange. The result showed that institutional ownership</w:t>
      </w:r>
      <w:r>
        <w:rPr>
          <w:spacing w:val="-15"/>
        </w:rPr>
        <w:t> </w:t>
      </w:r>
      <w:r>
        <w:rPr/>
        <w:t>was</w:t>
      </w:r>
      <w:r>
        <w:rPr>
          <w:spacing w:val="-15"/>
        </w:rPr>
        <w:t> </w:t>
      </w:r>
      <w:r>
        <w:rPr/>
        <w:t>positively</w:t>
      </w:r>
      <w:r>
        <w:rPr>
          <w:spacing w:val="-14"/>
        </w:rPr>
        <w:t> </w:t>
      </w:r>
      <w:r>
        <w:rPr/>
        <w:t>related</w:t>
      </w:r>
      <w:r>
        <w:rPr>
          <w:spacing w:val="-13"/>
        </w:rPr>
        <w:t> </w:t>
      </w:r>
      <w:r>
        <w:rPr/>
        <w:t>with</w:t>
      </w:r>
      <w:r>
        <w:rPr>
          <w:spacing w:val="-15"/>
        </w:rPr>
        <w:t> </w:t>
      </w:r>
      <w:r>
        <w:rPr/>
        <w:t>earnings</w:t>
      </w:r>
      <w:r>
        <w:rPr>
          <w:spacing w:val="-15"/>
        </w:rPr>
        <w:t> </w:t>
      </w:r>
      <w:r>
        <w:rPr/>
        <w:t>quality.</w:t>
      </w:r>
      <w:r>
        <w:rPr>
          <w:spacing w:val="-15"/>
        </w:rPr>
        <w:t> </w:t>
      </w:r>
      <w:r>
        <w:rPr/>
        <w:t>Uwuigbe,</w:t>
      </w:r>
      <w:r>
        <w:rPr>
          <w:spacing w:val="-15"/>
        </w:rPr>
        <w:t> </w:t>
      </w:r>
      <w:r>
        <w:rPr/>
        <w:t>Erin,</w:t>
      </w:r>
      <w:r>
        <w:rPr>
          <w:spacing w:val="-15"/>
        </w:rPr>
        <w:t> </w:t>
      </w:r>
      <w:r>
        <w:rPr/>
        <w:t>Uwuigbe,</w:t>
      </w:r>
      <w:r>
        <w:rPr>
          <w:spacing w:val="-14"/>
        </w:rPr>
        <w:t> </w:t>
      </w:r>
      <w:r>
        <w:rPr/>
        <w:t>Igbinoba</w:t>
      </w:r>
      <w:r>
        <w:rPr>
          <w:spacing w:val="-14"/>
        </w:rPr>
        <w:t> </w:t>
      </w:r>
      <w:r>
        <w:rPr/>
        <w:t>and Jafaru (2017) examined</w:t>
      </w:r>
      <w:r>
        <w:rPr>
          <w:spacing w:val="1"/>
        </w:rPr>
        <w:t> </w:t>
      </w:r>
      <w:r>
        <w:rPr/>
        <w:t>the</w:t>
      </w:r>
      <w:r>
        <w:rPr>
          <w:spacing w:val="-1"/>
        </w:rPr>
        <w:t> </w:t>
      </w:r>
      <w:r>
        <w:rPr/>
        <w:t>impact</w:t>
      </w:r>
      <w:r>
        <w:rPr>
          <w:spacing w:val="-1"/>
        </w:rPr>
        <w:t> </w:t>
      </w:r>
      <w:r>
        <w:rPr/>
        <w:t>of ownership</w:t>
      </w:r>
      <w:r>
        <w:rPr>
          <w:spacing w:val="-1"/>
        </w:rPr>
        <w:t> </w:t>
      </w:r>
      <w:r>
        <w:rPr/>
        <w:t>structure</w:t>
      </w:r>
      <w:r>
        <w:rPr>
          <w:spacing w:val="-3"/>
        </w:rPr>
        <w:t> </w:t>
      </w:r>
      <w:r>
        <w:rPr/>
        <w:t>on</w:t>
      </w:r>
      <w:r>
        <w:rPr>
          <w:spacing w:val="1"/>
        </w:rPr>
        <w:t> </w:t>
      </w:r>
      <w:r>
        <w:rPr/>
        <w:t>financial</w:t>
      </w:r>
      <w:r>
        <w:rPr>
          <w:spacing w:val="-1"/>
        </w:rPr>
        <w:t> </w:t>
      </w:r>
      <w:r>
        <w:rPr/>
        <w:t>disclosure</w:t>
      </w:r>
      <w:r>
        <w:rPr>
          <w:spacing w:val="-2"/>
        </w:rPr>
        <w:t> </w:t>
      </w:r>
      <w:r>
        <w:rPr/>
        <w:t>quality.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61024">
            <wp:simplePos x="0" y="0"/>
            <wp:positionH relativeFrom="page">
              <wp:posOffset>1095451</wp:posOffset>
            </wp:positionH>
            <wp:positionV relativeFrom="paragraph">
              <wp:posOffset>1850770</wp:posOffset>
            </wp:positionV>
            <wp:extent cx="5106847" cy="5238115"/>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5" cstate="print"/>
                    <a:stretch>
                      <a:fillRect/>
                    </a:stretch>
                  </pic:blipFill>
                  <pic:spPr>
                    <a:xfrm>
                      <a:off x="0" y="0"/>
                      <a:ext cx="5106847" cy="5238115"/>
                    </a:xfrm>
                    <a:prstGeom prst="rect">
                      <a:avLst/>
                    </a:prstGeom>
                  </pic:spPr>
                </pic:pic>
              </a:graphicData>
            </a:graphic>
          </wp:anchor>
        </w:drawing>
      </w:r>
      <w:r>
        <w:rPr/>
        <w:t>sample consisted of 75 firms listed on the Nigerian Stock Exchange during the period 2011- 2015.</w:t>
      </w:r>
      <w:r>
        <w:rPr>
          <w:spacing w:val="-15"/>
        </w:rPr>
        <w:t> </w:t>
      </w:r>
      <w:r>
        <w:rPr/>
        <w:t>The</w:t>
      </w:r>
      <w:r>
        <w:rPr>
          <w:spacing w:val="-15"/>
        </w:rPr>
        <w:t> </w:t>
      </w:r>
      <w:r>
        <w:rPr/>
        <w:t>findings</w:t>
      </w:r>
      <w:r>
        <w:rPr>
          <w:spacing w:val="-15"/>
        </w:rPr>
        <w:t> </w:t>
      </w:r>
      <w:r>
        <w:rPr/>
        <w:t>revealed</w:t>
      </w:r>
      <w:r>
        <w:rPr>
          <w:spacing w:val="-15"/>
        </w:rPr>
        <w:t> </w:t>
      </w:r>
      <w:r>
        <w:rPr/>
        <w:t>a</w:t>
      </w:r>
      <w:r>
        <w:rPr>
          <w:spacing w:val="-15"/>
        </w:rPr>
        <w:t> </w:t>
      </w:r>
      <w:r>
        <w:rPr/>
        <w:t>significant</w:t>
      </w:r>
      <w:r>
        <w:rPr>
          <w:spacing w:val="-15"/>
        </w:rPr>
        <w:t> </w:t>
      </w:r>
      <w:r>
        <w:rPr/>
        <w:t>relationship</w:t>
      </w:r>
      <w:r>
        <w:rPr>
          <w:spacing w:val="-15"/>
        </w:rPr>
        <w:t> </w:t>
      </w:r>
      <w:r>
        <w:rPr/>
        <w:t>among</w:t>
      </w:r>
      <w:r>
        <w:rPr>
          <w:spacing w:val="-15"/>
        </w:rPr>
        <w:t> </w:t>
      </w:r>
      <w:r>
        <w:rPr/>
        <w:t>institutional</w:t>
      </w:r>
      <w:r>
        <w:rPr>
          <w:spacing w:val="-15"/>
        </w:rPr>
        <w:t> </w:t>
      </w:r>
      <w:r>
        <w:rPr/>
        <w:t>investors,</w:t>
      </w:r>
      <w:r>
        <w:rPr>
          <w:spacing w:val="-15"/>
        </w:rPr>
        <w:t> </w:t>
      </w:r>
      <w:r>
        <w:rPr/>
        <w:t>managerial ownership and quality of financial disclosure. Amos, Ibrahim, Nasidi and Ibrahim (2016) examined the impact of institutional ownership on earnings quality. The sample consisted of listed</w:t>
      </w:r>
      <w:r>
        <w:rPr>
          <w:spacing w:val="-11"/>
        </w:rPr>
        <w:t> </w:t>
      </w:r>
      <w:r>
        <w:rPr/>
        <w:t>food/beverages</w:t>
      </w:r>
      <w:r>
        <w:rPr>
          <w:spacing w:val="-10"/>
        </w:rPr>
        <w:t> </w:t>
      </w:r>
      <w:r>
        <w:rPr/>
        <w:t>and</w:t>
      </w:r>
      <w:r>
        <w:rPr>
          <w:spacing w:val="-9"/>
        </w:rPr>
        <w:t> </w:t>
      </w:r>
      <w:r>
        <w:rPr/>
        <w:t>tobacco</w:t>
      </w:r>
      <w:r>
        <w:rPr>
          <w:spacing w:val="-11"/>
        </w:rPr>
        <w:t> </w:t>
      </w:r>
      <w:r>
        <w:rPr/>
        <w:t>firms</w:t>
      </w:r>
      <w:r>
        <w:rPr>
          <w:spacing w:val="-10"/>
        </w:rPr>
        <w:t> </w:t>
      </w:r>
      <w:r>
        <w:rPr/>
        <w:t>in</w:t>
      </w:r>
      <w:r>
        <w:rPr>
          <w:spacing w:val="-10"/>
        </w:rPr>
        <w:t> </w:t>
      </w:r>
      <w:r>
        <w:rPr/>
        <w:t>Nigeria</w:t>
      </w:r>
      <w:r>
        <w:rPr>
          <w:spacing w:val="-7"/>
        </w:rPr>
        <w:t> </w:t>
      </w:r>
      <w:r>
        <w:rPr/>
        <w:t>from</w:t>
      </w:r>
      <w:r>
        <w:rPr>
          <w:spacing w:val="-10"/>
        </w:rPr>
        <w:t> </w:t>
      </w:r>
      <w:r>
        <w:rPr/>
        <w:t>2005-2013.</w:t>
      </w:r>
      <w:r>
        <w:rPr>
          <w:spacing w:val="-11"/>
        </w:rPr>
        <w:t> </w:t>
      </w:r>
      <w:r>
        <w:rPr/>
        <w:t>The</w:t>
      </w:r>
      <w:r>
        <w:rPr>
          <w:spacing w:val="-9"/>
        </w:rPr>
        <w:t> </w:t>
      </w:r>
      <w:r>
        <w:rPr/>
        <w:t>findings</w:t>
      </w:r>
      <w:r>
        <w:rPr>
          <w:spacing w:val="-10"/>
        </w:rPr>
        <w:t> </w:t>
      </w:r>
      <w:r>
        <w:rPr/>
        <w:t>revealed</w:t>
      </w:r>
      <w:r>
        <w:rPr>
          <w:spacing w:val="-10"/>
        </w:rPr>
        <w:t> </w:t>
      </w:r>
      <w:r>
        <w:rPr/>
        <w:t>that institutional ownership had a significant relationship with earnings quality.</w:t>
      </w:r>
    </w:p>
    <w:p>
      <w:pPr>
        <w:pStyle w:val="BodyText"/>
        <w:spacing w:line="480" w:lineRule="auto" w:before="1"/>
        <w:ind w:left="940" w:right="1435"/>
        <w:jc w:val="both"/>
      </w:pPr>
      <w:r>
        <w:rPr/>
        <w:t>Furthermore, our findings were also in tandem with Abdulhadi’s (2016) work which investigated the relationship between ownership structure and earnings management of listed banks in Nigeria. The sample size consisted of six (6) banks listed on the Nigerian Stock Exchange during the period 2009 to 2014.</w:t>
      </w:r>
      <w:r>
        <w:rPr>
          <w:spacing w:val="40"/>
        </w:rPr>
        <w:t> </w:t>
      </w:r>
      <w:r>
        <w:rPr/>
        <w:t>The findings revealed that institutional ownership exhibited</w:t>
      </w:r>
      <w:r>
        <w:rPr>
          <w:spacing w:val="-4"/>
        </w:rPr>
        <w:t> </w:t>
      </w:r>
      <w:r>
        <w:rPr/>
        <w:t>no</w:t>
      </w:r>
      <w:r>
        <w:rPr>
          <w:spacing w:val="-4"/>
        </w:rPr>
        <w:t> </w:t>
      </w:r>
      <w:r>
        <w:rPr/>
        <w:t>significant</w:t>
      </w:r>
      <w:r>
        <w:rPr>
          <w:spacing w:val="-4"/>
        </w:rPr>
        <w:t> </w:t>
      </w:r>
      <w:r>
        <w:rPr/>
        <w:t>impact</w:t>
      </w:r>
      <w:r>
        <w:rPr>
          <w:spacing w:val="-4"/>
        </w:rPr>
        <w:t> </w:t>
      </w:r>
      <w:r>
        <w:rPr/>
        <w:t>on</w:t>
      </w:r>
      <w:r>
        <w:rPr>
          <w:spacing w:val="-4"/>
        </w:rPr>
        <w:t> </w:t>
      </w:r>
      <w:r>
        <w:rPr/>
        <w:t>earnings</w:t>
      </w:r>
      <w:r>
        <w:rPr>
          <w:spacing w:val="-4"/>
        </w:rPr>
        <w:t> </w:t>
      </w:r>
      <w:r>
        <w:rPr/>
        <w:t>management.</w:t>
      </w:r>
      <w:r>
        <w:rPr>
          <w:spacing w:val="-4"/>
        </w:rPr>
        <w:t> </w:t>
      </w:r>
      <w:r>
        <w:rPr/>
        <w:t>Baba</w:t>
      </w:r>
      <w:r>
        <w:rPr>
          <w:spacing w:val="-5"/>
        </w:rPr>
        <w:t> </w:t>
      </w:r>
      <w:r>
        <w:rPr/>
        <w:t>(2016)</w:t>
      </w:r>
      <w:r>
        <w:rPr>
          <w:spacing w:val="-4"/>
        </w:rPr>
        <w:t> </w:t>
      </w:r>
      <w:r>
        <w:rPr/>
        <w:t>investigated</w:t>
      </w:r>
      <w:r>
        <w:rPr>
          <w:spacing w:val="-4"/>
        </w:rPr>
        <w:t> </w:t>
      </w:r>
      <w:r>
        <w:rPr/>
        <w:t>the</w:t>
      </w:r>
      <w:r>
        <w:rPr>
          <w:spacing w:val="-5"/>
        </w:rPr>
        <w:t> </w:t>
      </w:r>
      <w:r>
        <w:rPr/>
        <w:t>impact of ownership structure on the earnings quality of listed insurance companies in Nigeria. The findings revealed that institutional ownership inversely influenced earnings quality. Adebiyi and</w:t>
      </w:r>
      <w:r>
        <w:rPr>
          <w:spacing w:val="-4"/>
        </w:rPr>
        <w:t> </w:t>
      </w:r>
      <w:r>
        <w:rPr/>
        <w:t>Olowookere</w:t>
      </w:r>
      <w:r>
        <w:rPr>
          <w:spacing w:val="-5"/>
        </w:rPr>
        <w:t> </w:t>
      </w:r>
      <w:r>
        <w:rPr/>
        <w:t>(2016)</w:t>
      </w:r>
      <w:r>
        <w:rPr>
          <w:spacing w:val="-3"/>
        </w:rPr>
        <w:t> </w:t>
      </w:r>
      <w:r>
        <w:rPr/>
        <w:t>examined</w:t>
      </w:r>
      <w:r>
        <w:rPr>
          <w:spacing w:val="-4"/>
        </w:rPr>
        <w:t> </w:t>
      </w:r>
      <w:r>
        <w:rPr/>
        <w:t>the</w:t>
      </w:r>
      <w:r>
        <w:rPr>
          <w:spacing w:val="-4"/>
        </w:rPr>
        <w:t> </w:t>
      </w:r>
      <w:r>
        <w:rPr/>
        <w:t>relationship</w:t>
      </w:r>
      <w:r>
        <w:rPr>
          <w:spacing w:val="-4"/>
        </w:rPr>
        <w:t> </w:t>
      </w:r>
      <w:r>
        <w:rPr/>
        <w:t>between</w:t>
      </w:r>
      <w:r>
        <w:rPr>
          <w:spacing w:val="-2"/>
        </w:rPr>
        <w:t> </w:t>
      </w:r>
      <w:r>
        <w:rPr/>
        <w:t>corporate</w:t>
      </w:r>
      <w:r>
        <w:rPr>
          <w:spacing w:val="-4"/>
        </w:rPr>
        <w:t> </w:t>
      </w:r>
      <w:r>
        <w:rPr/>
        <w:t>ownership</w:t>
      </w:r>
      <w:r>
        <w:rPr>
          <w:spacing w:val="-4"/>
        </w:rPr>
        <w:t> </w:t>
      </w:r>
      <w:r>
        <w:rPr/>
        <w:t>structure</w:t>
      </w:r>
      <w:r>
        <w:rPr>
          <w:spacing w:val="-4"/>
        </w:rPr>
        <w:t> </w:t>
      </w:r>
      <w:r>
        <w:rPr/>
        <w:t>and financial reporting quality among deposit money banks in Nigeria. Using the OLS estimation technique, the findings revealed that institutional ownership exhibited an inverse relationship with financial reporting quality. Bukar, Garba, Mustapha and Karaye (2016) examined the impact</w:t>
      </w:r>
      <w:r>
        <w:rPr>
          <w:spacing w:val="-15"/>
        </w:rPr>
        <w:t> </w:t>
      </w:r>
      <w:r>
        <w:rPr/>
        <w:t>of</w:t>
      </w:r>
      <w:r>
        <w:rPr>
          <w:spacing w:val="-15"/>
        </w:rPr>
        <w:t> </w:t>
      </w:r>
      <w:r>
        <w:rPr/>
        <w:t>institutional</w:t>
      </w:r>
      <w:r>
        <w:rPr>
          <w:spacing w:val="-15"/>
        </w:rPr>
        <w:t> </w:t>
      </w:r>
      <w:r>
        <w:rPr/>
        <w:t>ownership</w:t>
      </w:r>
      <w:r>
        <w:rPr>
          <w:spacing w:val="-15"/>
        </w:rPr>
        <w:t> </w:t>
      </w:r>
      <w:r>
        <w:rPr/>
        <w:t>structure</w:t>
      </w:r>
      <w:r>
        <w:rPr>
          <w:spacing w:val="-15"/>
        </w:rPr>
        <w:t> </w:t>
      </w:r>
      <w:r>
        <w:rPr/>
        <w:t>on</w:t>
      </w:r>
      <w:r>
        <w:rPr>
          <w:spacing w:val="-15"/>
        </w:rPr>
        <w:t> </w:t>
      </w:r>
      <w:r>
        <w:rPr/>
        <w:t>earnings</w:t>
      </w:r>
      <w:r>
        <w:rPr>
          <w:spacing w:val="-15"/>
        </w:rPr>
        <w:t> </w:t>
      </w:r>
      <w:r>
        <w:rPr/>
        <w:t>quality</w:t>
      </w:r>
      <w:r>
        <w:rPr>
          <w:spacing w:val="-15"/>
        </w:rPr>
        <w:t> </w:t>
      </w:r>
      <w:r>
        <w:rPr/>
        <w:t>of</w:t>
      </w:r>
      <w:r>
        <w:rPr>
          <w:spacing w:val="-15"/>
        </w:rPr>
        <w:t> </w:t>
      </w:r>
      <w:r>
        <w:rPr/>
        <w:t>listed</w:t>
      </w:r>
      <w:r>
        <w:rPr>
          <w:spacing w:val="-15"/>
        </w:rPr>
        <w:t> </w:t>
      </w:r>
      <w:r>
        <w:rPr/>
        <w:t>foods</w:t>
      </w:r>
      <w:r>
        <w:rPr>
          <w:spacing w:val="-15"/>
        </w:rPr>
        <w:t> </w:t>
      </w:r>
      <w:r>
        <w:rPr/>
        <w:t>and</w:t>
      </w:r>
      <w:r>
        <w:rPr>
          <w:spacing w:val="-15"/>
        </w:rPr>
        <w:t> </w:t>
      </w:r>
      <w:r>
        <w:rPr/>
        <w:t>tobacco</w:t>
      </w:r>
      <w:r>
        <w:rPr>
          <w:spacing w:val="-15"/>
        </w:rPr>
        <w:t> </w:t>
      </w:r>
      <w:r>
        <w:rPr/>
        <w:t>firms in Nigeria. The findings from the study showed that a significant positive</w:t>
      </w:r>
      <w:r>
        <w:rPr>
          <w:spacing w:val="-2"/>
        </w:rPr>
        <w:t> </w:t>
      </w:r>
      <w:r>
        <w:rPr/>
        <w:t>relationship existed between</w:t>
      </w:r>
      <w:r>
        <w:rPr>
          <w:spacing w:val="-6"/>
        </w:rPr>
        <w:t> </w:t>
      </w:r>
      <w:r>
        <w:rPr/>
        <w:t>institutional</w:t>
      </w:r>
      <w:r>
        <w:rPr>
          <w:spacing w:val="-5"/>
        </w:rPr>
        <w:t> </w:t>
      </w:r>
      <w:r>
        <w:rPr/>
        <w:t>ownership</w:t>
      </w:r>
      <w:r>
        <w:rPr>
          <w:spacing w:val="-6"/>
        </w:rPr>
        <w:t> </w:t>
      </w:r>
      <w:r>
        <w:rPr/>
        <w:t>and</w:t>
      </w:r>
      <w:r>
        <w:rPr>
          <w:spacing w:val="-6"/>
        </w:rPr>
        <w:t> </w:t>
      </w:r>
      <w:r>
        <w:rPr/>
        <w:t>earnings</w:t>
      </w:r>
      <w:r>
        <w:rPr>
          <w:spacing w:val="-6"/>
        </w:rPr>
        <w:t> </w:t>
      </w:r>
      <w:r>
        <w:rPr/>
        <w:t>quality.</w:t>
      </w:r>
      <w:r>
        <w:rPr>
          <w:spacing w:val="40"/>
        </w:rPr>
        <w:t> </w:t>
      </w:r>
      <w:r>
        <w:rPr/>
        <w:t>Alves</w:t>
      </w:r>
      <w:r>
        <w:rPr>
          <w:spacing w:val="-6"/>
        </w:rPr>
        <w:t> </w:t>
      </w:r>
      <w:r>
        <w:rPr/>
        <w:t>(2012)</w:t>
      </w:r>
      <w:r>
        <w:rPr>
          <w:spacing w:val="-7"/>
        </w:rPr>
        <w:t> </w:t>
      </w:r>
      <w:r>
        <w:rPr/>
        <w:t>examined</w:t>
      </w:r>
      <w:r>
        <w:rPr>
          <w:spacing w:val="-6"/>
        </w:rPr>
        <w:t> </w:t>
      </w:r>
      <w:r>
        <w:rPr/>
        <w:t>the</w:t>
      </w:r>
      <w:r>
        <w:rPr>
          <w:spacing w:val="-6"/>
        </w:rPr>
        <w:t> </w:t>
      </w:r>
      <w:r>
        <w:rPr/>
        <w:t>relationship between corporate ownership structure and earnings management in Portugal. The results showed that earnings management was positively and significantly related to institutional ownership.</w:t>
      </w:r>
      <w:r>
        <w:rPr>
          <w:spacing w:val="-4"/>
        </w:rPr>
        <w:t> </w:t>
      </w:r>
      <w:r>
        <w:rPr/>
        <w:t>Al-Zyoud</w:t>
      </w:r>
      <w:r>
        <w:rPr>
          <w:spacing w:val="-4"/>
        </w:rPr>
        <w:t> </w:t>
      </w:r>
      <w:r>
        <w:rPr/>
        <w:t>(2012)</w:t>
      </w:r>
      <w:r>
        <w:rPr>
          <w:spacing w:val="-4"/>
        </w:rPr>
        <w:t> </w:t>
      </w:r>
      <w:r>
        <w:rPr/>
        <w:t>investigated</w:t>
      </w:r>
      <w:r>
        <w:rPr>
          <w:spacing w:val="-4"/>
        </w:rPr>
        <w:t> </w:t>
      </w:r>
      <w:r>
        <w:rPr/>
        <w:t>the</w:t>
      </w:r>
      <w:r>
        <w:rPr>
          <w:spacing w:val="-5"/>
        </w:rPr>
        <w:t> </w:t>
      </w:r>
      <w:r>
        <w:rPr/>
        <w:t>extent</w:t>
      </w:r>
      <w:r>
        <w:rPr>
          <w:spacing w:val="-4"/>
        </w:rPr>
        <w:t> </w:t>
      </w:r>
      <w:r>
        <w:rPr/>
        <w:t>of</w:t>
      </w:r>
      <w:r>
        <w:rPr>
          <w:spacing w:val="-4"/>
        </w:rPr>
        <w:t> </w:t>
      </w:r>
      <w:r>
        <w:rPr/>
        <w:t>opportunistic</w:t>
      </w:r>
      <w:r>
        <w:rPr>
          <w:spacing w:val="-5"/>
        </w:rPr>
        <w:t> </w:t>
      </w:r>
      <w:r>
        <w:rPr/>
        <w:t>earnings</w:t>
      </w:r>
      <w:r>
        <w:rPr>
          <w:spacing w:val="-4"/>
        </w:rPr>
        <w:t> </w:t>
      </w:r>
      <w:r>
        <w:rPr/>
        <w:t>management</w:t>
      </w:r>
      <w:r>
        <w:rPr>
          <w:spacing w:val="-4"/>
        </w:rPr>
        <w:t> </w:t>
      </w:r>
      <w:r>
        <w:rPr/>
        <w:t>on chairman independence and ownership structure. The findings showed that institutional investors’</w:t>
      </w:r>
      <w:r>
        <w:rPr>
          <w:spacing w:val="54"/>
          <w:w w:val="150"/>
        </w:rPr>
        <w:t> </w:t>
      </w:r>
      <w:r>
        <w:rPr/>
        <w:t>ownership</w:t>
      </w:r>
      <w:r>
        <w:rPr>
          <w:spacing w:val="56"/>
          <w:w w:val="150"/>
        </w:rPr>
        <w:t> </w:t>
      </w:r>
      <w:r>
        <w:rPr/>
        <w:t>was</w:t>
      </w:r>
      <w:r>
        <w:rPr>
          <w:spacing w:val="56"/>
          <w:w w:val="150"/>
        </w:rPr>
        <w:t> </w:t>
      </w:r>
      <w:r>
        <w:rPr/>
        <w:t>negatively</w:t>
      </w:r>
      <w:r>
        <w:rPr>
          <w:spacing w:val="55"/>
          <w:w w:val="150"/>
        </w:rPr>
        <w:t> </w:t>
      </w:r>
      <w:r>
        <w:rPr/>
        <w:t>significant</w:t>
      </w:r>
      <w:r>
        <w:rPr>
          <w:spacing w:val="55"/>
          <w:w w:val="150"/>
        </w:rPr>
        <w:t> </w:t>
      </w:r>
      <w:r>
        <w:rPr/>
        <w:t>to</w:t>
      </w:r>
      <w:r>
        <w:rPr>
          <w:spacing w:val="56"/>
          <w:w w:val="150"/>
        </w:rPr>
        <w:t> </w:t>
      </w:r>
      <w:r>
        <w:rPr/>
        <w:t>earnings</w:t>
      </w:r>
      <w:r>
        <w:rPr>
          <w:spacing w:val="55"/>
          <w:w w:val="150"/>
        </w:rPr>
        <w:t> </w:t>
      </w:r>
      <w:r>
        <w:rPr/>
        <w:t>management.</w:t>
      </w:r>
      <w:r>
        <w:rPr>
          <w:spacing w:val="58"/>
          <w:w w:val="150"/>
        </w:rPr>
        <w:t> </w:t>
      </w:r>
      <w:r>
        <w:rPr/>
        <w:t>Idris</w:t>
      </w:r>
      <w:r>
        <w:rPr>
          <w:spacing w:val="58"/>
          <w:w w:val="150"/>
        </w:rPr>
        <w:t> </w:t>
      </w:r>
      <w:r>
        <w:rPr>
          <w:spacing w:val="-2"/>
        </w:rPr>
        <w:t>(2012)</w:t>
      </w:r>
    </w:p>
    <w:p>
      <w:pPr>
        <w:spacing w:after="0" w:line="480" w:lineRule="auto"/>
        <w:jc w:val="both"/>
        <w:sectPr>
          <w:pgSz w:w="11910" w:h="16840"/>
          <w:pgMar w:header="0" w:footer="971" w:top="1360" w:bottom="1160" w:left="500" w:right="0"/>
        </w:sectPr>
      </w:pPr>
    </w:p>
    <w:p>
      <w:pPr>
        <w:pStyle w:val="BodyText"/>
        <w:spacing w:line="480" w:lineRule="auto" w:before="61"/>
        <w:ind w:left="940" w:right="1438"/>
        <w:jc w:val="both"/>
      </w:pPr>
      <w:r>
        <w:rPr/>
        <w:t>examined the impact of ownership structure and external audit on accruals and real earnings management in Jordan. The findings suggested that institutional ownership appeared to negatively affect abnormal discretion expenses.</w:t>
      </w:r>
    </w:p>
    <w:p>
      <w:pPr>
        <w:pStyle w:val="BodyText"/>
        <w:spacing w:line="480" w:lineRule="auto"/>
        <w:ind w:left="940" w:right="1434"/>
        <w:jc w:val="both"/>
      </w:pPr>
      <w:r>
        <w:rPr/>
        <w:drawing>
          <wp:anchor distT="0" distB="0" distL="0" distR="0" allowOverlap="1" layoutInCell="1" locked="0" behindDoc="1" simplePos="0" relativeHeight="477761536">
            <wp:simplePos x="0" y="0"/>
            <wp:positionH relativeFrom="page">
              <wp:posOffset>1095451</wp:posOffset>
            </wp:positionH>
            <wp:positionV relativeFrom="paragraph">
              <wp:posOffset>760565</wp:posOffset>
            </wp:positionV>
            <wp:extent cx="5106847" cy="5238115"/>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5" cstate="print"/>
                    <a:stretch>
                      <a:fillRect/>
                    </a:stretch>
                  </pic:blipFill>
                  <pic:spPr>
                    <a:xfrm>
                      <a:off x="0" y="0"/>
                      <a:ext cx="5106847" cy="5238115"/>
                    </a:xfrm>
                    <a:prstGeom prst="rect">
                      <a:avLst/>
                    </a:prstGeom>
                  </pic:spPr>
                </pic:pic>
              </a:graphicData>
            </a:graphic>
          </wp:anchor>
        </w:drawing>
      </w:r>
      <w:r>
        <w:rPr/>
        <w:t>In</w:t>
      </w:r>
      <w:r>
        <w:rPr>
          <w:spacing w:val="-15"/>
        </w:rPr>
        <w:t> </w:t>
      </w:r>
      <w:r>
        <w:rPr/>
        <w:t>contrast,</w:t>
      </w:r>
      <w:r>
        <w:rPr>
          <w:spacing w:val="-15"/>
        </w:rPr>
        <w:t> </w:t>
      </w:r>
      <w:r>
        <w:rPr/>
        <w:t>Moradi</w:t>
      </w:r>
      <w:r>
        <w:rPr>
          <w:spacing w:val="-15"/>
        </w:rPr>
        <w:t> </w:t>
      </w:r>
      <w:r>
        <w:rPr/>
        <w:t>and</w:t>
      </w:r>
      <w:r>
        <w:rPr>
          <w:spacing w:val="-15"/>
        </w:rPr>
        <w:t> </w:t>
      </w:r>
      <w:r>
        <w:rPr/>
        <w:t>Nezami</w:t>
      </w:r>
      <w:r>
        <w:rPr>
          <w:spacing w:val="-15"/>
        </w:rPr>
        <w:t> </w:t>
      </w:r>
      <w:r>
        <w:rPr/>
        <w:t>(2011)</w:t>
      </w:r>
      <w:r>
        <w:rPr>
          <w:spacing w:val="-15"/>
        </w:rPr>
        <w:t> </w:t>
      </w:r>
      <w:r>
        <w:rPr/>
        <w:t>examined</w:t>
      </w:r>
      <w:r>
        <w:rPr>
          <w:spacing w:val="-15"/>
        </w:rPr>
        <w:t> </w:t>
      </w:r>
      <w:r>
        <w:rPr/>
        <w:t>the</w:t>
      </w:r>
      <w:r>
        <w:rPr>
          <w:spacing w:val="-15"/>
        </w:rPr>
        <w:t> </w:t>
      </w:r>
      <w:r>
        <w:rPr/>
        <w:t>relation</w:t>
      </w:r>
      <w:r>
        <w:rPr>
          <w:spacing w:val="-15"/>
        </w:rPr>
        <w:t> </w:t>
      </w:r>
      <w:r>
        <w:rPr/>
        <w:t>between</w:t>
      </w:r>
      <w:r>
        <w:rPr>
          <w:spacing w:val="-15"/>
        </w:rPr>
        <w:t> </w:t>
      </w:r>
      <w:r>
        <w:rPr/>
        <w:t>ownership</w:t>
      </w:r>
      <w:r>
        <w:rPr>
          <w:spacing w:val="-15"/>
        </w:rPr>
        <w:t> </w:t>
      </w:r>
      <w:r>
        <w:rPr/>
        <w:t>centralization and institutional ownership with the earnings quality. The results showed that there was a positive relation between institutional ownership and earnings quality index, but it was not</w:t>
      </w:r>
      <w:r>
        <w:rPr>
          <w:spacing w:val="-1"/>
        </w:rPr>
        <w:t> </w:t>
      </w:r>
      <w:r>
        <w:rPr/>
        <w:t>so significant. Yang, Chun and Ramadili (2009) examined the role of outside directors and institutional</w:t>
      </w:r>
      <w:r>
        <w:rPr>
          <w:spacing w:val="-6"/>
        </w:rPr>
        <w:t> </w:t>
      </w:r>
      <w:r>
        <w:rPr/>
        <w:t>shareholders</w:t>
      </w:r>
      <w:r>
        <w:rPr>
          <w:spacing w:val="-4"/>
        </w:rPr>
        <w:t> </w:t>
      </w:r>
      <w:r>
        <w:rPr/>
        <w:t>in</w:t>
      </w:r>
      <w:r>
        <w:rPr>
          <w:spacing w:val="-6"/>
        </w:rPr>
        <w:t> </w:t>
      </w:r>
      <w:r>
        <w:rPr/>
        <w:t>constraining</w:t>
      </w:r>
      <w:r>
        <w:rPr>
          <w:spacing w:val="-5"/>
        </w:rPr>
        <w:t> </w:t>
      </w:r>
      <w:r>
        <w:rPr/>
        <w:t>earnings</w:t>
      </w:r>
      <w:r>
        <w:rPr>
          <w:spacing w:val="-4"/>
        </w:rPr>
        <w:t> </w:t>
      </w:r>
      <w:r>
        <w:rPr/>
        <w:t>management</w:t>
      </w:r>
      <w:r>
        <w:rPr>
          <w:spacing w:val="-4"/>
        </w:rPr>
        <w:t> </w:t>
      </w:r>
      <w:r>
        <w:rPr/>
        <w:t>activities.</w:t>
      </w:r>
      <w:r>
        <w:rPr>
          <w:spacing w:val="-7"/>
        </w:rPr>
        <w:t> </w:t>
      </w:r>
      <w:r>
        <w:rPr/>
        <w:t>No</w:t>
      </w:r>
      <w:r>
        <w:rPr>
          <w:spacing w:val="-7"/>
        </w:rPr>
        <w:t> </w:t>
      </w:r>
      <w:r>
        <w:rPr/>
        <w:t>relationship</w:t>
      </w:r>
      <w:r>
        <w:rPr>
          <w:spacing w:val="-6"/>
        </w:rPr>
        <w:t> </w:t>
      </w:r>
      <w:r>
        <w:rPr/>
        <w:t>was observed between the degree of earnings manipulation and institutional shareholders. Ayadi and</w:t>
      </w:r>
      <w:r>
        <w:rPr>
          <w:spacing w:val="-8"/>
        </w:rPr>
        <w:t> </w:t>
      </w:r>
      <w:r>
        <w:rPr/>
        <w:t>Boujelbene</w:t>
      </w:r>
      <w:r>
        <w:rPr>
          <w:spacing w:val="-7"/>
        </w:rPr>
        <w:t> </w:t>
      </w:r>
      <w:r>
        <w:rPr/>
        <w:t>(2014)</w:t>
      </w:r>
      <w:r>
        <w:rPr>
          <w:spacing w:val="-7"/>
        </w:rPr>
        <w:t> </w:t>
      </w:r>
      <w:r>
        <w:rPr/>
        <w:t>investigated</w:t>
      </w:r>
      <w:r>
        <w:rPr>
          <w:spacing w:val="-9"/>
        </w:rPr>
        <w:t> </w:t>
      </w:r>
      <w:r>
        <w:rPr/>
        <w:t>the</w:t>
      </w:r>
      <w:r>
        <w:rPr>
          <w:spacing w:val="-6"/>
        </w:rPr>
        <w:t> </w:t>
      </w:r>
      <w:r>
        <w:rPr/>
        <w:t>relationship</w:t>
      </w:r>
      <w:r>
        <w:rPr>
          <w:spacing w:val="-8"/>
        </w:rPr>
        <w:t> </w:t>
      </w:r>
      <w:r>
        <w:rPr/>
        <w:t>between</w:t>
      </w:r>
      <w:r>
        <w:rPr>
          <w:spacing w:val="-8"/>
        </w:rPr>
        <w:t> </w:t>
      </w:r>
      <w:r>
        <w:rPr/>
        <w:t>ownership</w:t>
      </w:r>
      <w:r>
        <w:rPr>
          <w:spacing w:val="-8"/>
        </w:rPr>
        <w:t> </w:t>
      </w:r>
      <w:r>
        <w:rPr/>
        <w:t>structure</w:t>
      </w:r>
      <w:r>
        <w:rPr>
          <w:spacing w:val="-7"/>
        </w:rPr>
        <w:t> </w:t>
      </w:r>
      <w:r>
        <w:rPr/>
        <w:t>and</w:t>
      </w:r>
      <w:r>
        <w:rPr>
          <w:spacing w:val="-8"/>
        </w:rPr>
        <w:t> </w:t>
      </w:r>
      <w:r>
        <w:rPr/>
        <w:t>earnings quality. The findings revealed that institutional ownership exhibited no significant impact on the informativeness of accounting earnings.</w:t>
      </w:r>
    </w:p>
    <w:p>
      <w:pPr>
        <w:pStyle w:val="Heading3"/>
        <w:numPr>
          <w:ilvl w:val="2"/>
          <w:numId w:val="32"/>
        </w:numPr>
        <w:tabs>
          <w:tab w:pos="1480" w:val="left" w:leader="none"/>
        </w:tabs>
        <w:spacing w:line="240" w:lineRule="auto" w:before="1" w:after="0"/>
        <w:ind w:left="1480" w:right="0" w:hanging="540"/>
        <w:jc w:val="both"/>
      </w:pPr>
      <w:bookmarkStart w:name="_TOC_250009" w:id="61"/>
      <w:r>
        <w:rPr/>
        <w:t>Managerial</w:t>
      </w:r>
      <w:r>
        <w:rPr>
          <w:spacing w:val="-5"/>
        </w:rPr>
        <w:t> </w:t>
      </w:r>
      <w:r>
        <w:rPr/>
        <w:t>Ownership</w:t>
      </w:r>
      <w:r>
        <w:rPr>
          <w:spacing w:val="-1"/>
        </w:rPr>
        <w:t> </w:t>
      </w:r>
      <w:r>
        <w:rPr/>
        <w:t>and</w:t>
      </w:r>
      <w:r>
        <w:rPr>
          <w:spacing w:val="-2"/>
        </w:rPr>
        <w:t> </w:t>
      </w:r>
      <w:r>
        <w:rPr/>
        <w:t>Financial</w:t>
      </w:r>
      <w:r>
        <w:rPr>
          <w:spacing w:val="-2"/>
        </w:rPr>
        <w:t> </w:t>
      </w:r>
      <w:r>
        <w:rPr/>
        <w:t>Reporting</w:t>
      </w:r>
      <w:bookmarkEnd w:id="61"/>
      <w:r>
        <w:rPr>
          <w:spacing w:val="-2"/>
        </w:rPr>
        <w:t> Quality</w:t>
      </w:r>
    </w:p>
    <w:p>
      <w:pPr>
        <w:pStyle w:val="BodyText"/>
        <w:rPr>
          <w:b/>
        </w:rPr>
      </w:pPr>
    </w:p>
    <w:p>
      <w:pPr>
        <w:pStyle w:val="BodyText"/>
        <w:spacing w:line="480" w:lineRule="auto"/>
        <w:ind w:left="940" w:right="1436"/>
        <w:jc w:val="both"/>
      </w:pPr>
      <w:r>
        <w:rPr/>
        <w:t>The</w:t>
      </w:r>
      <w:r>
        <w:rPr>
          <w:spacing w:val="-3"/>
        </w:rPr>
        <w:t> </w:t>
      </w:r>
      <w:r>
        <w:rPr/>
        <w:t>estimations</w:t>
      </w:r>
      <w:r>
        <w:rPr>
          <w:spacing w:val="-1"/>
        </w:rPr>
        <w:t> </w:t>
      </w:r>
      <w:r>
        <w:rPr/>
        <w:t>revealed that</w:t>
      </w:r>
      <w:r>
        <w:rPr>
          <w:spacing w:val="-1"/>
        </w:rPr>
        <w:t> </w:t>
      </w:r>
      <w:r>
        <w:rPr/>
        <w:t>MOWN</w:t>
      </w:r>
      <w:r>
        <w:rPr>
          <w:spacing w:val="-2"/>
        </w:rPr>
        <w:t> </w:t>
      </w:r>
      <w:r>
        <w:rPr/>
        <w:t>had</w:t>
      </w:r>
      <w:r>
        <w:rPr>
          <w:spacing w:val="-1"/>
        </w:rPr>
        <w:t> </w:t>
      </w:r>
      <w:r>
        <w:rPr/>
        <w:t>a</w:t>
      </w:r>
      <w:r>
        <w:rPr>
          <w:spacing w:val="-2"/>
        </w:rPr>
        <w:t> </w:t>
      </w:r>
      <w:r>
        <w:rPr/>
        <w:t>positive</w:t>
      </w:r>
      <w:r>
        <w:rPr>
          <w:spacing w:val="-2"/>
        </w:rPr>
        <w:t> </w:t>
      </w:r>
      <w:r>
        <w:rPr/>
        <w:t>effect</w:t>
      </w:r>
      <w:r>
        <w:rPr>
          <w:spacing w:val="-1"/>
        </w:rPr>
        <w:t> </w:t>
      </w:r>
      <w:r>
        <w:rPr/>
        <w:t>on</w:t>
      </w:r>
      <w:r>
        <w:rPr>
          <w:spacing w:val="-1"/>
        </w:rPr>
        <w:t> </w:t>
      </w:r>
      <w:r>
        <w:rPr/>
        <w:t>QUA-FRQ</w:t>
      </w:r>
      <w:r>
        <w:rPr>
          <w:spacing w:val="-2"/>
        </w:rPr>
        <w:t> </w:t>
      </w:r>
      <w:r>
        <w:rPr/>
        <w:t>and was</w:t>
      </w:r>
      <w:r>
        <w:rPr>
          <w:spacing w:val="-1"/>
        </w:rPr>
        <w:t> </w:t>
      </w:r>
      <w:r>
        <w:rPr/>
        <w:t>significant at</w:t>
      </w:r>
      <w:r>
        <w:rPr>
          <w:spacing w:val="-4"/>
        </w:rPr>
        <w:t> </w:t>
      </w:r>
      <w:r>
        <w:rPr/>
        <w:t>5%</w:t>
      </w:r>
      <w:r>
        <w:rPr>
          <w:spacing w:val="-4"/>
        </w:rPr>
        <w:t> </w:t>
      </w:r>
      <w:r>
        <w:rPr/>
        <w:t>(0.005,</w:t>
      </w:r>
      <w:r>
        <w:rPr>
          <w:spacing w:val="-4"/>
        </w:rPr>
        <w:t> </w:t>
      </w:r>
      <w:r>
        <w:rPr/>
        <w:t>p=0.2319).</w:t>
      </w:r>
      <w:r>
        <w:rPr>
          <w:spacing w:val="-2"/>
        </w:rPr>
        <w:t> </w:t>
      </w:r>
      <w:r>
        <w:rPr/>
        <w:t>However,</w:t>
      </w:r>
      <w:r>
        <w:rPr>
          <w:spacing w:val="-4"/>
        </w:rPr>
        <w:t> </w:t>
      </w:r>
      <w:r>
        <w:rPr/>
        <w:t>the</w:t>
      </w:r>
      <w:r>
        <w:rPr>
          <w:spacing w:val="-4"/>
        </w:rPr>
        <w:t> </w:t>
      </w:r>
      <w:r>
        <w:rPr/>
        <w:t>interaction</w:t>
      </w:r>
      <w:r>
        <w:rPr>
          <w:spacing w:val="-4"/>
        </w:rPr>
        <w:t> </w:t>
      </w:r>
      <w:r>
        <w:rPr/>
        <w:t>Post-IFRS*MOWN</w:t>
      </w:r>
      <w:r>
        <w:rPr>
          <w:spacing w:val="-4"/>
        </w:rPr>
        <w:t> </w:t>
      </w:r>
      <w:r>
        <w:rPr/>
        <w:t>testing</w:t>
      </w:r>
      <w:r>
        <w:rPr>
          <w:spacing w:val="-4"/>
        </w:rPr>
        <w:t> </w:t>
      </w:r>
      <w:r>
        <w:rPr/>
        <w:t>the</w:t>
      </w:r>
      <w:r>
        <w:rPr>
          <w:spacing w:val="-4"/>
        </w:rPr>
        <w:t> </w:t>
      </w:r>
      <w:r>
        <w:rPr/>
        <w:t>presence</w:t>
      </w:r>
      <w:r>
        <w:rPr>
          <w:spacing w:val="-5"/>
        </w:rPr>
        <w:t> </w:t>
      </w:r>
      <w:r>
        <w:rPr/>
        <w:t>of incremental IFRS adoption effect also did not show that MOWN had any significant incremental effect on QUA-FRQ resulting from IFRS adoption (0.0005, p=0.2696). The estimations</w:t>
      </w:r>
      <w:r>
        <w:rPr>
          <w:spacing w:val="-1"/>
        </w:rPr>
        <w:t> </w:t>
      </w:r>
      <w:r>
        <w:rPr/>
        <w:t>revealed</w:t>
      </w:r>
      <w:r>
        <w:rPr>
          <w:spacing w:val="-1"/>
        </w:rPr>
        <w:t> </w:t>
      </w:r>
      <w:r>
        <w:rPr/>
        <w:t>that MOWN</w:t>
      </w:r>
      <w:r>
        <w:rPr>
          <w:spacing w:val="-2"/>
        </w:rPr>
        <w:t> </w:t>
      </w:r>
      <w:r>
        <w:rPr/>
        <w:t>had a</w:t>
      </w:r>
      <w:r>
        <w:rPr>
          <w:spacing w:val="-2"/>
        </w:rPr>
        <w:t> </w:t>
      </w:r>
      <w:r>
        <w:rPr/>
        <w:t>positive</w:t>
      </w:r>
      <w:r>
        <w:rPr>
          <w:spacing w:val="-2"/>
        </w:rPr>
        <w:t> </w:t>
      </w:r>
      <w:r>
        <w:rPr/>
        <w:t>effect</w:t>
      </w:r>
      <w:r>
        <w:rPr>
          <w:spacing w:val="-1"/>
        </w:rPr>
        <w:t> </w:t>
      </w:r>
      <w:r>
        <w:rPr/>
        <w:t>on</w:t>
      </w:r>
      <w:r>
        <w:rPr>
          <w:spacing w:val="-1"/>
        </w:rPr>
        <w:t> </w:t>
      </w:r>
      <w:r>
        <w:rPr/>
        <w:t>DISACC</w:t>
      </w:r>
      <w:r>
        <w:rPr>
          <w:spacing w:val="-1"/>
        </w:rPr>
        <w:t> </w:t>
      </w:r>
      <w:r>
        <w:rPr/>
        <w:t>and was significant</w:t>
      </w:r>
      <w:r>
        <w:rPr>
          <w:spacing w:val="-1"/>
        </w:rPr>
        <w:t> </w:t>
      </w:r>
      <w:r>
        <w:rPr/>
        <w:t>at</w:t>
      </w:r>
      <w:r>
        <w:rPr>
          <w:spacing w:val="-1"/>
        </w:rPr>
        <w:t> </w:t>
      </w:r>
      <w:r>
        <w:rPr/>
        <w:t>5% (0.010, p=0.0468). However, the interaction Post-IFRS*MOWN testing the presence of incremental IFRS adoption effect also did not show that MOWN had any significant incremental</w:t>
      </w:r>
      <w:r>
        <w:rPr>
          <w:spacing w:val="-15"/>
        </w:rPr>
        <w:t> </w:t>
      </w:r>
      <w:r>
        <w:rPr/>
        <w:t>effect</w:t>
      </w:r>
      <w:r>
        <w:rPr>
          <w:spacing w:val="-15"/>
        </w:rPr>
        <w:t> </w:t>
      </w:r>
      <w:r>
        <w:rPr/>
        <w:t>on</w:t>
      </w:r>
      <w:r>
        <w:rPr>
          <w:spacing w:val="-15"/>
        </w:rPr>
        <w:t> </w:t>
      </w:r>
      <w:r>
        <w:rPr/>
        <w:t>DISACC</w:t>
      </w:r>
      <w:r>
        <w:rPr>
          <w:spacing w:val="-15"/>
        </w:rPr>
        <w:t> </w:t>
      </w:r>
      <w:r>
        <w:rPr/>
        <w:t>resulting</w:t>
      </w:r>
      <w:r>
        <w:rPr>
          <w:spacing w:val="-15"/>
        </w:rPr>
        <w:t> </w:t>
      </w:r>
      <w:r>
        <w:rPr/>
        <w:t>from</w:t>
      </w:r>
      <w:r>
        <w:rPr>
          <w:spacing w:val="-15"/>
        </w:rPr>
        <w:t> </w:t>
      </w:r>
      <w:r>
        <w:rPr/>
        <w:t>IFRS</w:t>
      </w:r>
      <w:r>
        <w:rPr>
          <w:spacing w:val="-15"/>
        </w:rPr>
        <w:t> </w:t>
      </w:r>
      <w:r>
        <w:rPr/>
        <w:t>adoption</w:t>
      </w:r>
      <w:r>
        <w:rPr>
          <w:spacing w:val="-15"/>
        </w:rPr>
        <w:t> </w:t>
      </w:r>
      <w:r>
        <w:rPr/>
        <w:t>(0.0018,</w:t>
      </w:r>
      <w:r>
        <w:rPr>
          <w:spacing w:val="-15"/>
        </w:rPr>
        <w:t> </w:t>
      </w:r>
      <w:r>
        <w:rPr/>
        <w:t>p=0.7849).</w:t>
      </w:r>
      <w:r>
        <w:rPr>
          <w:spacing w:val="-15"/>
        </w:rPr>
        <w:t> </w:t>
      </w:r>
      <w:r>
        <w:rPr/>
        <w:t>Furthermore, MOWN had a negative effect on value relevance although not significant at 5% (-0.0172, p=0.6707). However, the interaction Post-IFRS*MOWN testing the presence of incremental IFRS</w:t>
      </w:r>
      <w:r>
        <w:rPr>
          <w:spacing w:val="-3"/>
        </w:rPr>
        <w:t> </w:t>
      </w:r>
      <w:r>
        <w:rPr/>
        <w:t>adoption</w:t>
      </w:r>
      <w:r>
        <w:rPr>
          <w:spacing w:val="-1"/>
        </w:rPr>
        <w:t> </w:t>
      </w:r>
      <w:r>
        <w:rPr/>
        <w:t>effect also</w:t>
      </w:r>
      <w:r>
        <w:rPr>
          <w:spacing w:val="-3"/>
        </w:rPr>
        <w:t> </w:t>
      </w:r>
      <w:r>
        <w:rPr/>
        <w:t>did</w:t>
      </w:r>
      <w:r>
        <w:rPr>
          <w:spacing w:val="-3"/>
        </w:rPr>
        <w:t> </w:t>
      </w:r>
      <w:r>
        <w:rPr/>
        <w:t>not</w:t>
      </w:r>
      <w:r>
        <w:rPr>
          <w:spacing w:val="-3"/>
        </w:rPr>
        <w:t> </w:t>
      </w:r>
      <w:r>
        <w:rPr/>
        <w:t>show</w:t>
      </w:r>
      <w:r>
        <w:rPr>
          <w:spacing w:val="-2"/>
        </w:rPr>
        <w:t> </w:t>
      </w:r>
      <w:r>
        <w:rPr/>
        <w:t>that</w:t>
      </w:r>
      <w:r>
        <w:rPr>
          <w:spacing w:val="-3"/>
        </w:rPr>
        <w:t> </w:t>
      </w:r>
      <w:r>
        <w:rPr/>
        <w:t>MOWN</w:t>
      </w:r>
      <w:r>
        <w:rPr>
          <w:spacing w:val="-3"/>
        </w:rPr>
        <w:t> </w:t>
      </w:r>
      <w:r>
        <w:rPr/>
        <w:t>had any</w:t>
      </w:r>
      <w:r>
        <w:rPr>
          <w:spacing w:val="-1"/>
        </w:rPr>
        <w:t> </w:t>
      </w:r>
      <w:r>
        <w:rPr/>
        <w:t>significant</w:t>
      </w:r>
      <w:r>
        <w:rPr>
          <w:spacing w:val="-3"/>
        </w:rPr>
        <w:t> </w:t>
      </w:r>
      <w:r>
        <w:rPr/>
        <w:t>incremental</w:t>
      </w:r>
      <w:r>
        <w:rPr>
          <w:spacing w:val="-1"/>
        </w:rPr>
        <w:t> </w:t>
      </w:r>
      <w:r>
        <w:rPr/>
        <w:t>effect</w:t>
      </w:r>
      <w:r>
        <w:rPr>
          <w:spacing w:val="-1"/>
        </w:rPr>
        <w:t> </w:t>
      </w:r>
      <w:r>
        <w:rPr/>
        <w:t>on value</w:t>
      </w:r>
      <w:r>
        <w:rPr>
          <w:spacing w:val="-10"/>
        </w:rPr>
        <w:t> </w:t>
      </w:r>
      <w:r>
        <w:rPr/>
        <w:t>relevance</w:t>
      </w:r>
      <w:r>
        <w:rPr>
          <w:spacing w:val="-7"/>
        </w:rPr>
        <w:t> </w:t>
      </w:r>
      <w:r>
        <w:rPr/>
        <w:t>resulting</w:t>
      </w:r>
      <w:r>
        <w:rPr>
          <w:spacing w:val="-6"/>
        </w:rPr>
        <w:t> </w:t>
      </w:r>
      <w:r>
        <w:rPr/>
        <w:t>from</w:t>
      </w:r>
      <w:r>
        <w:rPr>
          <w:spacing w:val="-6"/>
        </w:rPr>
        <w:t> </w:t>
      </w:r>
      <w:r>
        <w:rPr/>
        <w:t>IFRS</w:t>
      </w:r>
      <w:r>
        <w:rPr>
          <w:spacing w:val="-8"/>
        </w:rPr>
        <w:t> </w:t>
      </w:r>
      <w:r>
        <w:rPr/>
        <w:t>adoption</w:t>
      </w:r>
      <w:r>
        <w:rPr>
          <w:spacing w:val="-9"/>
        </w:rPr>
        <w:t> </w:t>
      </w:r>
      <w:r>
        <w:rPr/>
        <w:t>(0.0129,</w:t>
      </w:r>
      <w:r>
        <w:rPr>
          <w:spacing w:val="-10"/>
        </w:rPr>
        <w:t> </w:t>
      </w:r>
      <w:r>
        <w:rPr/>
        <w:t>p=0.6857).</w:t>
      </w:r>
      <w:r>
        <w:rPr>
          <w:spacing w:val="48"/>
        </w:rPr>
        <w:t> </w:t>
      </w:r>
      <w:r>
        <w:rPr/>
        <w:t>In</w:t>
      </w:r>
      <w:r>
        <w:rPr>
          <w:spacing w:val="-7"/>
        </w:rPr>
        <w:t> </w:t>
      </w:r>
      <w:r>
        <w:rPr/>
        <w:t>conclusion,</w:t>
      </w:r>
      <w:r>
        <w:rPr>
          <w:spacing w:val="-9"/>
        </w:rPr>
        <w:t> </w:t>
      </w:r>
      <w:r>
        <w:rPr/>
        <w:t>based</w:t>
      </w:r>
      <w:r>
        <w:rPr>
          <w:spacing w:val="-9"/>
        </w:rPr>
        <w:t> </w:t>
      </w:r>
      <w:r>
        <w:rPr/>
        <w:t>on</w:t>
      </w:r>
      <w:r>
        <w:rPr>
          <w:spacing w:val="-7"/>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43"/>
        <w:jc w:val="both"/>
      </w:pPr>
      <w:r>
        <w:rPr/>
        <w:t>three measures of financial reporting used in this study, managerial ownership was found to have an insignificant effect across all measures.</w:t>
      </w:r>
    </w:p>
    <w:p>
      <w:pPr>
        <w:pStyle w:val="BodyText"/>
        <w:spacing w:line="480" w:lineRule="auto"/>
        <w:ind w:left="940" w:right="1435"/>
        <w:jc w:val="both"/>
      </w:pPr>
      <w:r>
        <w:rPr/>
        <w:drawing>
          <wp:anchor distT="0" distB="0" distL="0" distR="0" allowOverlap="1" layoutInCell="1" locked="0" behindDoc="1" simplePos="0" relativeHeight="477762048">
            <wp:simplePos x="0" y="0"/>
            <wp:positionH relativeFrom="page">
              <wp:posOffset>1095451</wp:posOffset>
            </wp:positionH>
            <wp:positionV relativeFrom="paragraph">
              <wp:posOffset>1111055</wp:posOffset>
            </wp:positionV>
            <wp:extent cx="5106847" cy="5238115"/>
            <wp:effectExtent l="0" t="0" r="0" b="0"/>
            <wp:wrapNone/>
            <wp:docPr id="238" name="Image 238"/>
            <wp:cNvGraphicFramePr>
              <a:graphicFrameLocks/>
            </wp:cNvGraphicFramePr>
            <a:graphic>
              <a:graphicData uri="http://schemas.openxmlformats.org/drawingml/2006/picture">
                <pic:pic>
                  <pic:nvPicPr>
                    <pic:cNvPr id="238" name="Image 238"/>
                    <pic:cNvPicPr/>
                  </pic:nvPicPr>
                  <pic:blipFill>
                    <a:blip r:embed="rId5" cstate="print"/>
                    <a:stretch>
                      <a:fillRect/>
                    </a:stretch>
                  </pic:blipFill>
                  <pic:spPr>
                    <a:xfrm>
                      <a:off x="0" y="0"/>
                      <a:ext cx="5106847" cy="5238115"/>
                    </a:xfrm>
                    <a:prstGeom prst="rect">
                      <a:avLst/>
                    </a:prstGeom>
                  </pic:spPr>
                </pic:pic>
              </a:graphicData>
            </a:graphic>
          </wp:anchor>
        </w:drawing>
      </w:r>
      <w:r>
        <w:rPr/>
        <w:t>Our findings were in tandem with Karuntarat’s (2013) study which examined the impact of ownership structure and other corporate governance mechanisms on accounting discretions with evidence from Thailand. The ownership structure variables included managerial, foreign and</w:t>
      </w:r>
      <w:r>
        <w:rPr>
          <w:spacing w:val="-11"/>
        </w:rPr>
        <w:t> </w:t>
      </w:r>
      <w:r>
        <w:rPr/>
        <w:t>ownership</w:t>
      </w:r>
      <w:r>
        <w:rPr>
          <w:spacing w:val="-8"/>
        </w:rPr>
        <w:t> </w:t>
      </w:r>
      <w:r>
        <w:rPr/>
        <w:t>concentration.</w:t>
      </w:r>
      <w:r>
        <w:rPr>
          <w:spacing w:val="-9"/>
        </w:rPr>
        <w:t> </w:t>
      </w:r>
      <w:r>
        <w:rPr/>
        <w:t>The</w:t>
      </w:r>
      <w:r>
        <w:rPr>
          <w:spacing w:val="-12"/>
        </w:rPr>
        <w:t> </w:t>
      </w:r>
      <w:r>
        <w:rPr/>
        <w:t>findings</w:t>
      </w:r>
      <w:r>
        <w:rPr>
          <w:spacing w:val="-10"/>
        </w:rPr>
        <w:t> </w:t>
      </w:r>
      <w:r>
        <w:rPr/>
        <w:t>showed</w:t>
      </w:r>
      <w:r>
        <w:rPr>
          <w:spacing w:val="-9"/>
        </w:rPr>
        <w:t> </w:t>
      </w:r>
      <w:r>
        <w:rPr/>
        <w:t>that</w:t>
      </w:r>
      <w:r>
        <w:rPr>
          <w:spacing w:val="-11"/>
        </w:rPr>
        <w:t> </w:t>
      </w:r>
      <w:r>
        <w:rPr/>
        <w:t>there</w:t>
      </w:r>
      <w:r>
        <w:rPr>
          <w:spacing w:val="-11"/>
        </w:rPr>
        <w:t> </w:t>
      </w:r>
      <w:r>
        <w:rPr/>
        <w:t>was</w:t>
      </w:r>
      <w:r>
        <w:rPr>
          <w:spacing w:val="-10"/>
        </w:rPr>
        <w:t> </w:t>
      </w:r>
      <w:r>
        <w:rPr/>
        <w:t>no</w:t>
      </w:r>
      <w:r>
        <w:rPr>
          <w:spacing w:val="-11"/>
        </w:rPr>
        <w:t> </w:t>
      </w:r>
      <w:r>
        <w:rPr/>
        <w:t>significant</w:t>
      </w:r>
      <w:r>
        <w:rPr>
          <w:spacing w:val="-10"/>
        </w:rPr>
        <w:t> </w:t>
      </w:r>
      <w:r>
        <w:rPr/>
        <w:t>relationship</w:t>
      </w:r>
      <w:r>
        <w:rPr>
          <w:spacing w:val="-10"/>
        </w:rPr>
        <w:t> </w:t>
      </w:r>
      <w:r>
        <w:rPr/>
        <w:t>in both periods between managerial ownership and discretionary accruals but it was negatively related</w:t>
      </w:r>
      <w:r>
        <w:rPr>
          <w:spacing w:val="-7"/>
        </w:rPr>
        <w:t> </w:t>
      </w:r>
      <w:r>
        <w:rPr/>
        <w:t>with</w:t>
      </w:r>
      <w:r>
        <w:rPr>
          <w:spacing w:val="-9"/>
        </w:rPr>
        <w:t> </w:t>
      </w:r>
      <w:r>
        <w:rPr/>
        <w:t>discretionary</w:t>
      </w:r>
      <w:r>
        <w:rPr>
          <w:spacing w:val="-8"/>
        </w:rPr>
        <w:t> </w:t>
      </w:r>
      <w:r>
        <w:rPr/>
        <w:t>revenues.</w:t>
      </w:r>
      <w:r>
        <w:rPr>
          <w:spacing w:val="-8"/>
        </w:rPr>
        <w:t> </w:t>
      </w:r>
      <w:r>
        <w:rPr/>
        <w:t>Also,</w:t>
      </w:r>
      <w:r>
        <w:rPr>
          <w:spacing w:val="-9"/>
        </w:rPr>
        <w:t> </w:t>
      </w:r>
      <w:r>
        <w:rPr/>
        <w:t>Hafiza</w:t>
      </w:r>
      <w:r>
        <w:rPr>
          <w:spacing w:val="-11"/>
        </w:rPr>
        <w:t> </w:t>
      </w:r>
      <w:r>
        <w:rPr/>
        <w:t>and</w:t>
      </w:r>
      <w:r>
        <w:rPr>
          <w:spacing w:val="-10"/>
        </w:rPr>
        <w:t> </w:t>
      </w:r>
      <w:r>
        <w:rPr/>
        <w:t>Susela</w:t>
      </w:r>
      <w:r>
        <w:rPr>
          <w:spacing w:val="-10"/>
        </w:rPr>
        <w:t> </w:t>
      </w:r>
      <w:r>
        <w:rPr/>
        <w:t>(2005),</w:t>
      </w:r>
      <w:r>
        <w:rPr>
          <w:spacing w:val="-7"/>
        </w:rPr>
        <w:t> </w:t>
      </w:r>
      <w:r>
        <w:rPr/>
        <w:t>in</w:t>
      </w:r>
      <w:r>
        <w:rPr>
          <w:spacing w:val="-9"/>
        </w:rPr>
        <w:t> </w:t>
      </w:r>
      <w:r>
        <w:rPr/>
        <w:t>their</w:t>
      </w:r>
      <w:r>
        <w:rPr>
          <w:spacing w:val="-8"/>
        </w:rPr>
        <w:t> </w:t>
      </w:r>
      <w:r>
        <w:rPr/>
        <w:t>study,</w:t>
      </w:r>
      <w:r>
        <w:rPr>
          <w:spacing w:val="-10"/>
        </w:rPr>
        <w:t> </w:t>
      </w:r>
      <w:r>
        <w:rPr/>
        <w:t>did</w:t>
      </w:r>
      <w:r>
        <w:rPr>
          <w:spacing w:val="-9"/>
        </w:rPr>
        <w:t> </w:t>
      </w:r>
      <w:r>
        <w:rPr/>
        <w:t>not</w:t>
      </w:r>
      <w:r>
        <w:rPr>
          <w:spacing w:val="-9"/>
        </w:rPr>
        <w:t> </w:t>
      </w:r>
      <w:r>
        <w:rPr/>
        <w:t>find any significant association between managerial ownership and earnings quality.</w:t>
      </w:r>
    </w:p>
    <w:p>
      <w:pPr>
        <w:pStyle w:val="BodyText"/>
        <w:spacing w:line="480" w:lineRule="auto" w:before="1"/>
        <w:ind w:left="940" w:right="1435"/>
        <w:jc w:val="both"/>
      </w:pPr>
      <w:r>
        <w:rPr/>
        <w:t>However,</w:t>
      </w:r>
      <w:r>
        <w:rPr>
          <w:spacing w:val="-7"/>
        </w:rPr>
        <w:t> </w:t>
      </w:r>
      <w:r>
        <w:rPr/>
        <w:t>the</w:t>
      </w:r>
      <w:r>
        <w:rPr>
          <w:spacing w:val="-6"/>
        </w:rPr>
        <w:t> </w:t>
      </w:r>
      <w:r>
        <w:rPr/>
        <w:t>study’s</w:t>
      </w:r>
      <w:r>
        <w:rPr>
          <w:spacing w:val="-5"/>
        </w:rPr>
        <w:t> </w:t>
      </w:r>
      <w:r>
        <w:rPr/>
        <w:t>findings</w:t>
      </w:r>
      <w:r>
        <w:rPr>
          <w:spacing w:val="-6"/>
        </w:rPr>
        <w:t> </w:t>
      </w:r>
      <w:r>
        <w:rPr/>
        <w:t>were</w:t>
      </w:r>
      <w:r>
        <w:rPr>
          <w:spacing w:val="-5"/>
        </w:rPr>
        <w:t> </w:t>
      </w:r>
      <w:r>
        <w:rPr/>
        <w:t>at</w:t>
      </w:r>
      <w:r>
        <w:rPr>
          <w:spacing w:val="-5"/>
        </w:rPr>
        <w:t> </w:t>
      </w:r>
      <w:r>
        <w:rPr/>
        <w:t>variance</w:t>
      </w:r>
      <w:r>
        <w:rPr>
          <w:spacing w:val="-4"/>
        </w:rPr>
        <w:t> </w:t>
      </w:r>
      <w:r>
        <w:rPr/>
        <w:t>with</w:t>
      </w:r>
      <w:r>
        <w:rPr>
          <w:spacing w:val="-5"/>
        </w:rPr>
        <w:t> </w:t>
      </w:r>
      <w:r>
        <w:rPr/>
        <w:t>Ogbonanya,</w:t>
      </w:r>
      <w:r>
        <w:rPr>
          <w:spacing w:val="-6"/>
        </w:rPr>
        <w:t> </w:t>
      </w:r>
      <w:r>
        <w:rPr/>
        <w:t>Ekwe</w:t>
      </w:r>
      <w:r>
        <w:rPr>
          <w:spacing w:val="-7"/>
        </w:rPr>
        <w:t> </w:t>
      </w:r>
      <w:r>
        <w:rPr/>
        <w:t>and</w:t>
      </w:r>
      <w:r>
        <w:rPr>
          <w:spacing w:val="-4"/>
        </w:rPr>
        <w:t> </w:t>
      </w:r>
      <w:r>
        <w:rPr/>
        <w:t>Ihendinihu</w:t>
      </w:r>
      <w:r>
        <w:rPr>
          <w:spacing w:val="-6"/>
        </w:rPr>
        <w:t> </w:t>
      </w:r>
      <w:r>
        <w:rPr/>
        <w:t>(2016) work which investigated the effect of corporate governance and ownership structure on earnings management of Nigerian brewery industries for the period 2004-2013. Multiple regression technique was used to analyse the data and the findings revealed that managerial ownership</w:t>
      </w:r>
      <w:r>
        <w:rPr>
          <w:spacing w:val="-15"/>
        </w:rPr>
        <w:t> </w:t>
      </w:r>
      <w:r>
        <w:rPr/>
        <w:t>had</w:t>
      </w:r>
      <w:r>
        <w:rPr>
          <w:spacing w:val="-14"/>
        </w:rPr>
        <w:t> </w:t>
      </w:r>
      <w:r>
        <w:rPr/>
        <w:t>a</w:t>
      </w:r>
      <w:r>
        <w:rPr>
          <w:spacing w:val="-15"/>
        </w:rPr>
        <w:t> </w:t>
      </w:r>
      <w:r>
        <w:rPr/>
        <w:t>positive</w:t>
      </w:r>
      <w:r>
        <w:rPr>
          <w:spacing w:val="-15"/>
        </w:rPr>
        <w:t> </w:t>
      </w:r>
      <w:r>
        <w:rPr/>
        <w:t>significant</w:t>
      </w:r>
      <w:r>
        <w:rPr>
          <w:spacing w:val="-14"/>
        </w:rPr>
        <w:t> </w:t>
      </w:r>
      <w:r>
        <w:rPr/>
        <w:t>effect</w:t>
      </w:r>
      <w:r>
        <w:rPr>
          <w:spacing w:val="-14"/>
        </w:rPr>
        <w:t> </w:t>
      </w:r>
      <w:r>
        <w:rPr/>
        <w:t>on</w:t>
      </w:r>
      <w:r>
        <w:rPr>
          <w:spacing w:val="-14"/>
        </w:rPr>
        <w:t> </w:t>
      </w:r>
      <w:r>
        <w:rPr/>
        <w:t>earnings</w:t>
      </w:r>
      <w:r>
        <w:rPr>
          <w:spacing w:val="-14"/>
        </w:rPr>
        <w:t> </w:t>
      </w:r>
      <w:r>
        <w:rPr/>
        <w:t>management.</w:t>
      </w:r>
      <w:r>
        <w:rPr>
          <w:spacing w:val="-14"/>
        </w:rPr>
        <w:t> </w:t>
      </w:r>
      <w:r>
        <w:rPr/>
        <w:t>Abdulhadi</w:t>
      </w:r>
      <w:r>
        <w:rPr>
          <w:spacing w:val="-14"/>
        </w:rPr>
        <w:t> </w:t>
      </w:r>
      <w:r>
        <w:rPr/>
        <w:t>(2016)</w:t>
      </w:r>
      <w:r>
        <w:rPr>
          <w:spacing w:val="-11"/>
        </w:rPr>
        <w:t> </w:t>
      </w:r>
      <w:r>
        <w:rPr/>
        <w:t>worked on the relationship between ownership structure and earnings management of listed banks in Nigeria. The findings revealed that managerial ownership exhibited an inverse relationship with</w:t>
      </w:r>
      <w:r>
        <w:rPr>
          <w:spacing w:val="-8"/>
        </w:rPr>
        <w:t> </w:t>
      </w:r>
      <w:r>
        <w:rPr/>
        <w:t>earnings</w:t>
      </w:r>
      <w:r>
        <w:rPr>
          <w:spacing w:val="-8"/>
        </w:rPr>
        <w:t> </w:t>
      </w:r>
      <w:r>
        <w:rPr/>
        <w:t>management.</w:t>
      </w:r>
      <w:r>
        <w:rPr>
          <w:spacing w:val="-8"/>
        </w:rPr>
        <w:t> </w:t>
      </w:r>
      <w:r>
        <w:rPr/>
        <w:t>The</w:t>
      </w:r>
      <w:r>
        <w:rPr>
          <w:spacing w:val="-9"/>
        </w:rPr>
        <w:t> </w:t>
      </w:r>
      <w:r>
        <w:rPr/>
        <w:t>study</w:t>
      </w:r>
      <w:r>
        <w:rPr>
          <w:spacing w:val="-6"/>
        </w:rPr>
        <w:t> </w:t>
      </w:r>
      <w:r>
        <w:rPr/>
        <w:t>by</w:t>
      </w:r>
      <w:r>
        <w:rPr>
          <w:spacing w:val="-8"/>
        </w:rPr>
        <w:t> </w:t>
      </w:r>
      <w:r>
        <w:rPr/>
        <w:t>Baba</w:t>
      </w:r>
      <w:r>
        <w:rPr>
          <w:spacing w:val="-9"/>
        </w:rPr>
        <w:t> </w:t>
      </w:r>
      <w:r>
        <w:rPr/>
        <w:t>(2016)</w:t>
      </w:r>
      <w:r>
        <w:rPr>
          <w:spacing w:val="-9"/>
        </w:rPr>
        <w:t> </w:t>
      </w:r>
      <w:r>
        <w:rPr/>
        <w:t>on</w:t>
      </w:r>
      <w:r>
        <w:rPr>
          <w:spacing w:val="-8"/>
        </w:rPr>
        <w:t> </w:t>
      </w:r>
      <w:r>
        <w:rPr/>
        <w:t>the</w:t>
      </w:r>
      <w:r>
        <w:rPr>
          <w:spacing w:val="-9"/>
        </w:rPr>
        <w:t> </w:t>
      </w:r>
      <w:r>
        <w:rPr/>
        <w:t>impact</w:t>
      </w:r>
      <w:r>
        <w:rPr>
          <w:spacing w:val="-8"/>
        </w:rPr>
        <w:t> </w:t>
      </w:r>
      <w:r>
        <w:rPr/>
        <w:t>of</w:t>
      </w:r>
      <w:r>
        <w:rPr>
          <w:spacing w:val="-9"/>
        </w:rPr>
        <w:t> </w:t>
      </w:r>
      <w:r>
        <w:rPr/>
        <w:t>ownership</w:t>
      </w:r>
      <w:r>
        <w:rPr>
          <w:spacing w:val="-8"/>
        </w:rPr>
        <w:t> </w:t>
      </w:r>
      <w:r>
        <w:rPr/>
        <w:t>structure</w:t>
      </w:r>
      <w:r>
        <w:rPr>
          <w:spacing w:val="-9"/>
        </w:rPr>
        <w:t> </w:t>
      </w:r>
      <w:r>
        <w:rPr/>
        <w:t>on earnings quality of listed insurance companies in Nigeria revealed that managerial ownership inversely influences earnings quality. In the abovementioned study by Adebiyi and Olowookere (2016) which examined the relationship between corporate ownership structure and financial reporting quality among deposit money banks in Nigeria, the findings revealed that managerial ownership exhibited a positive relationship with financial reporting quality.</w:t>
      </w:r>
    </w:p>
    <w:p>
      <w:pPr>
        <w:pStyle w:val="BodyText"/>
        <w:spacing w:line="480" w:lineRule="auto" w:before="1"/>
        <w:ind w:left="940" w:right="1438"/>
        <w:jc w:val="both"/>
      </w:pPr>
      <w:r>
        <w:rPr/>
        <w:t>In the abovementioned study by Ayadi and Boujelbene (2014) on the relationship between ownership structure and earnings quality, the results showed that managerial ownership exhibited</w:t>
      </w:r>
      <w:r>
        <w:rPr>
          <w:spacing w:val="6"/>
        </w:rPr>
        <w:t> </w:t>
      </w:r>
      <w:r>
        <w:rPr/>
        <w:t>a</w:t>
      </w:r>
      <w:r>
        <w:rPr>
          <w:spacing w:val="8"/>
        </w:rPr>
        <w:t> </w:t>
      </w:r>
      <w:r>
        <w:rPr/>
        <w:t>positive</w:t>
      </w:r>
      <w:r>
        <w:rPr>
          <w:spacing w:val="7"/>
        </w:rPr>
        <w:t> </w:t>
      </w:r>
      <w:r>
        <w:rPr/>
        <w:t>impact</w:t>
      </w:r>
      <w:r>
        <w:rPr>
          <w:spacing w:val="9"/>
        </w:rPr>
        <w:t> </w:t>
      </w:r>
      <w:r>
        <w:rPr/>
        <w:t>on</w:t>
      </w:r>
      <w:r>
        <w:rPr>
          <w:spacing w:val="8"/>
        </w:rPr>
        <w:t> </w:t>
      </w:r>
      <w:r>
        <w:rPr/>
        <w:t>earnings</w:t>
      </w:r>
      <w:r>
        <w:rPr>
          <w:spacing w:val="9"/>
        </w:rPr>
        <w:t> </w:t>
      </w:r>
      <w:r>
        <w:rPr/>
        <w:t>management.</w:t>
      </w:r>
      <w:r>
        <w:rPr>
          <w:spacing w:val="8"/>
        </w:rPr>
        <w:t> </w:t>
      </w:r>
      <w:r>
        <w:rPr/>
        <w:t>In</w:t>
      </w:r>
      <w:r>
        <w:rPr>
          <w:spacing w:val="9"/>
        </w:rPr>
        <w:t> </w:t>
      </w:r>
      <w:r>
        <w:rPr/>
        <w:t>the</w:t>
      </w:r>
      <w:r>
        <w:rPr>
          <w:spacing w:val="7"/>
        </w:rPr>
        <w:t> </w:t>
      </w:r>
      <w:r>
        <w:rPr/>
        <w:t>abovementioned</w:t>
      </w:r>
      <w:r>
        <w:rPr>
          <w:spacing w:val="9"/>
        </w:rPr>
        <w:t> </w:t>
      </w:r>
      <w:r>
        <w:rPr/>
        <w:t>study</w:t>
      </w:r>
      <w:r>
        <w:rPr>
          <w:spacing w:val="10"/>
        </w:rPr>
        <w:t> </w:t>
      </w:r>
      <w:r>
        <w:rPr/>
        <w:t>by</w:t>
      </w:r>
      <w:r>
        <w:rPr>
          <w:spacing w:val="9"/>
        </w:rPr>
        <w:t> </w:t>
      </w:r>
      <w:r>
        <w:rPr>
          <w:spacing w:val="-2"/>
        </w:rPr>
        <w:t>Lawal</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drawing>
          <wp:anchor distT="0" distB="0" distL="0" distR="0" allowOverlap="1" layoutInCell="1" locked="0" behindDoc="1" simplePos="0" relativeHeight="477762560">
            <wp:simplePos x="0" y="0"/>
            <wp:positionH relativeFrom="page">
              <wp:posOffset>1095451</wp:posOffset>
            </wp:positionH>
            <wp:positionV relativeFrom="paragraph">
              <wp:posOffset>1850770</wp:posOffset>
            </wp:positionV>
            <wp:extent cx="5106847" cy="5238115"/>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5" cstate="print"/>
                    <a:stretch>
                      <a:fillRect/>
                    </a:stretch>
                  </pic:blipFill>
                  <pic:spPr>
                    <a:xfrm>
                      <a:off x="0" y="0"/>
                      <a:ext cx="5106847" cy="5238115"/>
                    </a:xfrm>
                    <a:prstGeom prst="rect">
                      <a:avLst/>
                    </a:prstGeom>
                  </pic:spPr>
                </pic:pic>
              </a:graphicData>
            </a:graphic>
          </wp:anchor>
        </w:drawing>
      </w:r>
      <w:r>
        <w:rPr/>
        <w:t>and Mohammad (2014) on the effect of ownership structure on the informativeness of accounting earnings of listed deposit money banks in Nigeria, the findings revealed that managerial ownership exhibited a significant inverse relationship with informativeness of accounting earnings.</w:t>
      </w:r>
      <w:r>
        <w:rPr>
          <w:spacing w:val="40"/>
        </w:rPr>
        <w:t> </w:t>
      </w:r>
      <w:r>
        <w:rPr/>
        <w:t>In the study by Al-Fayoumi, Abuzayed and Alexander (2010) on the relationship</w:t>
      </w:r>
      <w:r>
        <w:rPr>
          <w:spacing w:val="-3"/>
        </w:rPr>
        <w:t> </w:t>
      </w:r>
      <w:r>
        <w:rPr/>
        <w:t>between</w:t>
      </w:r>
      <w:r>
        <w:rPr>
          <w:spacing w:val="-3"/>
        </w:rPr>
        <w:t> </w:t>
      </w:r>
      <w:r>
        <w:rPr/>
        <w:t>earnings</w:t>
      </w:r>
      <w:r>
        <w:rPr>
          <w:spacing w:val="-3"/>
        </w:rPr>
        <w:t> </w:t>
      </w:r>
      <w:r>
        <w:rPr/>
        <w:t>management</w:t>
      </w:r>
      <w:r>
        <w:rPr>
          <w:spacing w:val="-1"/>
        </w:rPr>
        <w:t> </w:t>
      </w:r>
      <w:r>
        <w:rPr/>
        <w:t>and</w:t>
      </w:r>
      <w:r>
        <w:rPr>
          <w:spacing w:val="-3"/>
        </w:rPr>
        <w:t> </w:t>
      </w:r>
      <w:r>
        <w:rPr/>
        <w:t>ownership</w:t>
      </w:r>
      <w:r>
        <w:rPr>
          <w:spacing w:val="-3"/>
        </w:rPr>
        <w:t> </w:t>
      </w:r>
      <w:r>
        <w:rPr/>
        <w:t>structure</w:t>
      </w:r>
      <w:r>
        <w:rPr>
          <w:spacing w:val="-2"/>
        </w:rPr>
        <w:t> </w:t>
      </w:r>
      <w:r>
        <w:rPr/>
        <w:t>for</w:t>
      </w:r>
      <w:r>
        <w:rPr>
          <w:spacing w:val="-3"/>
        </w:rPr>
        <w:t> </w:t>
      </w:r>
      <w:r>
        <w:rPr/>
        <w:t>a</w:t>
      </w:r>
      <w:r>
        <w:rPr>
          <w:spacing w:val="-4"/>
        </w:rPr>
        <w:t> </w:t>
      </w:r>
      <w:r>
        <w:rPr/>
        <w:t>sample</w:t>
      </w:r>
      <w:r>
        <w:rPr>
          <w:spacing w:val="-4"/>
        </w:rPr>
        <w:t> </w:t>
      </w:r>
      <w:r>
        <w:rPr/>
        <w:t>of</w:t>
      </w:r>
      <w:r>
        <w:rPr>
          <w:spacing w:val="-3"/>
        </w:rPr>
        <w:t> </w:t>
      </w:r>
      <w:r>
        <w:rPr/>
        <w:t>Jordanian industrial firms during the period 2001-2005, the results indicated insider ownership was significant</w:t>
      </w:r>
      <w:r>
        <w:rPr>
          <w:spacing w:val="-9"/>
        </w:rPr>
        <w:t> </w:t>
      </w:r>
      <w:r>
        <w:rPr/>
        <w:t>and</w:t>
      </w:r>
      <w:r>
        <w:rPr>
          <w:spacing w:val="-9"/>
        </w:rPr>
        <w:t> </w:t>
      </w:r>
      <w:r>
        <w:rPr/>
        <w:t>it</w:t>
      </w:r>
      <w:r>
        <w:rPr>
          <w:spacing w:val="-9"/>
        </w:rPr>
        <w:t> </w:t>
      </w:r>
      <w:r>
        <w:rPr/>
        <w:t>positively</w:t>
      </w:r>
      <w:r>
        <w:rPr>
          <w:spacing w:val="-9"/>
        </w:rPr>
        <w:t> </w:t>
      </w:r>
      <w:r>
        <w:rPr/>
        <w:t>affected</w:t>
      </w:r>
      <w:r>
        <w:rPr>
          <w:spacing w:val="-7"/>
        </w:rPr>
        <w:t> </w:t>
      </w:r>
      <w:r>
        <w:rPr/>
        <w:t>earnings</w:t>
      </w:r>
      <w:r>
        <w:rPr>
          <w:spacing w:val="-9"/>
        </w:rPr>
        <w:t> </w:t>
      </w:r>
      <w:r>
        <w:rPr/>
        <w:t>management</w:t>
      </w:r>
      <w:r>
        <w:rPr>
          <w:spacing w:val="-9"/>
        </w:rPr>
        <w:t> </w:t>
      </w:r>
      <w:r>
        <w:rPr/>
        <w:t>while</w:t>
      </w:r>
      <w:r>
        <w:rPr>
          <w:spacing w:val="-10"/>
        </w:rPr>
        <w:t> </w:t>
      </w:r>
      <w:r>
        <w:rPr/>
        <w:t>the</w:t>
      </w:r>
      <w:r>
        <w:rPr>
          <w:spacing w:val="-9"/>
        </w:rPr>
        <w:t> </w:t>
      </w:r>
      <w:r>
        <w:rPr/>
        <w:t>result</w:t>
      </w:r>
      <w:r>
        <w:rPr>
          <w:spacing w:val="-7"/>
        </w:rPr>
        <w:t> </w:t>
      </w:r>
      <w:r>
        <w:rPr/>
        <w:t>was</w:t>
      </w:r>
      <w:r>
        <w:rPr>
          <w:spacing w:val="-9"/>
        </w:rPr>
        <w:t> </w:t>
      </w:r>
      <w:r>
        <w:rPr/>
        <w:t>consistent</w:t>
      </w:r>
      <w:r>
        <w:rPr>
          <w:spacing w:val="-9"/>
        </w:rPr>
        <w:t> </w:t>
      </w:r>
      <w:r>
        <w:rPr/>
        <w:t>with the entrenchment hypothesis which states that insider ownership can become ineffective in aligning insiders to take value-maximizing decisions.</w:t>
      </w:r>
    </w:p>
    <w:p>
      <w:pPr>
        <w:pStyle w:val="Heading3"/>
        <w:numPr>
          <w:ilvl w:val="2"/>
          <w:numId w:val="32"/>
        </w:numPr>
        <w:tabs>
          <w:tab w:pos="1480" w:val="left" w:leader="none"/>
        </w:tabs>
        <w:spacing w:line="240" w:lineRule="auto" w:before="1" w:after="0"/>
        <w:ind w:left="1480" w:right="0" w:hanging="540"/>
        <w:jc w:val="both"/>
      </w:pPr>
      <w:bookmarkStart w:name="_TOC_250008" w:id="62"/>
      <w:r>
        <w:rPr/>
        <w:t>Foreign</w:t>
      </w:r>
      <w:r>
        <w:rPr>
          <w:spacing w:val="-4"/>
        </w:rPr>
        <w:t> </w:t>
      </w:r>
      <w:r>
        <w:rPr/>
        <w:t>Ownership</w:t>
      </w:r>
      <w:r>
        <w:rPr>
          <w:spacing w:val="-1"/>
        </w:rPr>
        <w:t> </w:t>
      </w:r>
      <w:r>
        <w:rPr/>
        <w:t>and</w:t>
      </w:r>
      <w:r>
        <w:rPr>
          <w:spacing w:val="-3"/>
        </w:rPr>
        <w:t> </w:t>
      </w:r>
      <w:r>
        <w:rPr/>
        <w:t>Financial</w:t>
      </w:r>
      <w:r>
        <w:rPr>
          <w:spacing w:val="-2"/>
        </w:rPr>
        <w:t> </w:t>
      </w:r>
      <w:r>
        <w:rPr/>
        <w:t>Reporting</w:t>
      </w:r>
      <w:bookmarkEnd w:id="62"/>
      <w:r>
        <w:rPr>
          <w:spacing w:val="-2"/>
        </w:rPr>
        <w:t> Quality</w:t>
      </w:r>
    </w:p>
    <w:p>
      <w:pPr>
        <w:pStyle w:val="BodyText"/>
        <w:rPr>
          <w:b/>
        </w:rPr>
      </w:pPr>
    </w:p>
    <w:p>
      <w:pPr>
        <w:pStyle w:val="BodyText"/>
        <w:spacing w:line="480" w:lineRule="auto"/>
        <w:ind w:left="940" w:right="1437"/>
        <w:jc w:val="both"/>
      </w:pPr>
      <w:r>
        <w:rPr/>
        <w:t>FOWN</w:t>
      </w:r>
      <w:r>
        <w:rPr>
          <w:spacing w:val="-2"/>
        </w:rPr>
        <w:t> </w:t>
      </w:r>
      <w:r>
        <w:rPr/>
        <w:t>had</w:t>
      </w:r>
      <w:r>
        <w:rPr>
          <w:spacing w:val="-1"/>
        </w:rPr>
        <w:t> </w:t>
      </w:r>
      <w:r>
        <w:rPr/>
        <w:t>a</w:t>
      </w:r>
      <w:r>
        <w:rPr>
          <w:spacing w:val="-2"/>
        </w:rPr>
        <w:t> </w:t>
      </w:r>
      <w:r>
        <w:rPr/>
        <w:t>positive</w:t>
      </w:r>
      <w:r>
        <w:rPr>
          <w:spacing w:val="-2"/>
        </w:rPr>
        <w:t> </w:t>
      </w:r>
      <w:r>
        <w:rPr/>
        <w:t>effect</w:t>
      </w:r>
      <w:r>
        <w:rPr>
          <w:spacing w:val="-1"/>
        </w:rPr>
        <w:t> </w:t>
      </w:r>
      <w:r>
        <w:rPr/>
        <w:t>on</w:t>
      </w:r>
      <w:r>
        <w:rPr>
          <w:spacing w:val="-1"/>
        </w:rPr>
        <w:t> </w:t>
      </w:r>
      <w:r>
        <w:rPr/>
        <w:t>QUA-FRQ</w:t>
      </w:r>
      <w:r>
        <w:rPr>
          <w:spacing w:val="-1"/>
        </w:rPr>
        <w:t> </w:t>
      </w:r>
      <w:r>
        <w:rPr/>
        <w:t>although</w:t>
      </w:r>
      <w:r>
        <w:rPr>
          <w:spacing w:val="-1"/>
        </w:rPr>
        <w:t> </w:t>
      </w:r>
      <w:r>
        <w:rPr/>
        <w:t>not</w:t>
      </w:r>
      <w:r>
        <w:rPr>
          <w:spacing w:val="-1"/>
        </w:rPr>
        <w:t> </w:t>
      </w:r>
      <w:r>
        <w:rPr/>
        <w:t>significant</w:t>
      </w:r>
      <w:r>
        <w:rPr>
          <w:spacing w:val="-1"/>
        </w:rPr>
        <w:t> </w:t>
      </w:r>
      <w:r>
        <w:rPr/>
        <w:t>at</w:t>
      </w:r>
      <w:r>
        <w:rPr>
          <w:spacing w:val="-1"/>
        </w:rPr>
        <w:t> </w:t>
      </w:r>
      <w:r>
        <w:rPr/>
        <w:t>5%</w:t>
      </w:r>
      <w:r>
        <w:rPr>
          <w:spacing w:val="-2"/>
        </w:rPr>
        <w:t> </w:t>
      </w:r>
      <w:r>
        <w:rPr/>
        <w:t>(0.0001,</w:t>
      </w:r>
      <w:r>
        <w:rPr>
          <w:spacing w:val="-1"/>
        </w:rPr>
        <w:t> </w:t>
      </w:r>
      <w:r>
        <w:rPr/>
        <w:t>p=0.7640) and</w:t>
      </w:r>
      <w:r>
        <w:rPr>
          <w:spacing w:val="-15"/>
        </w:rPr>
        <w:t> </w:t>
      </w:r>
      <w:r>
        <w:rPr/>
        <w:t>the</w:t>
      </w:r>
      <w:r>
        <w:rPr>
          <w:spacing w:val="-15"/>
        </w:rPr>
        <w:t> </w:t>
      </w:r>
      <w:r>
        <w:rPr/>
        <w:t>interaction</w:t>
      </w:r>
      <w:r>
        <w:rPr>
          <w:spacing w:val="-15"/>
        </w:rPr>
        <w:t> </w:t>
      </w:r>
      <w:r>
        <w:rPr/>
        <w:t>Post-IFRS*FOWN</w:t>
      </w:r>
      <w:r>
        <w:rPr>
          <w:spacing w:val="-14"/>
        </w:rPr>
        <w:t> </w:t>
      </w:r>
      <w:r>
        <w:rPr/>
        <w:t>testing</w:t>
      </w:r>
      <w:r>
        <w:rPr>
          <w:spacing w:val="-15"/>
        </w:rPr>
        <w:t> </w:t>
      </w:r>
      <w:r>
        <w:rPr/>
        <w:t>the</w:t>
      </w:r>
      <w:r>
        <w:rPr>
          <w:spacing w:val="-15"/>
        </w:rPr>
        <w:t> </w:t>
      </w:r>
      <w:r>
        <w:rPr/>
        <w:t>presence</w:t>
      </w:r>
      <w:r>
        <w:rPr>
          <w:spacing w:val="-15"/>
        </w:rPr>
        <w:t> </w:t>
      </w:r>
      <w:r>
        <w:rPr/>
        <w:t>of</w:t>
      </w:r>
      <w:r>
        <w:rPr>
          <w:spacing w:val="-14"/>
        </w:rPr>
        <w:t> </w:t>
      </w:r>
      <w:r>
        <w:rPr/>
        <w:t>incremental</w:t>
      </w:r>
      <w:r>
        <w:rPr>
          <w:spacing w:val="-13"/>
        </w:rPr>
        <w:t> </w:t>
      </w:r>
      <w:r>
        <w:rPr/>
        <w:t>IFRS</w:t>
      </w:r>
      <w:r>
        <w:rPr>
          <w:spacing w:val="-15"/>
        </w:rPr>
        <w:t> </w:t>
      </w:r>
      <w:r>
        <w:rPr/>
        <w:t>adoption</w:t>
      </w:r>
      <w:r>
        <w:rPr>
          <w:spacing w:val="-15"/>
        </w:rPr>
        <w:t> </w:t>
      </w:r>
      <w:r>
        <w:rPr/>
        <w:t>effect also did show that FOWN had a significant incremental effect on QUA-FRQ resulting from IFRS adoption (0.0009, p=0.0153). Furthermore, the estimations revealed that FOWN had a positive effect on DISACC although not significant at 5% (0.0022, p=0.6559) and the interaction Post-IFRS*FOWN testing the presence of incremental IFRS adoption effect also did not show that FOWN had any significant incremental effect on DISACC resulting from IFRS adoption (0.008, p=0.1715). Finally, FOWN had a negative effect on value relevance although not significant at 5% (-0.1587p=0.0042) and the interaction Post-IFRS*FOWN testing the presence of incremental IFRS adoption effect also did show that FOWN had a significant incremental effect on value relevance (0.0852, p=0.0401). In conclusion, based on the three measures of financial reporting used in this study, foreign ownership was found to have an insignificant effect across all measures.</w:t>
      </w:r>
    </w:p>
    <w:p>
      <w:pPr>
        <w:pStyle w:val="BodyText"/>
        <w:spacing w:line="480" w:lineRule="auto" w:before="2"/>
        <w:ind w:left="940" w:right="1440"/>
        <w:jc w:val="both"/>
      </w:pPr>
      <w:r>
        <w:rPr/>
        <w:t>Our findings are at variance with those of Adebiyi and Olowookere (2016) which examined the</w:t>
      </w:r>
      <w:r>
        <w:rPr>
          <w:spacing w:val="5"/>
        </w:rPr>
        <w:t> </w:t>
      </w:r>
      <w:r>
        <w:rPr/>
        <w:t>relationship</w:t>
      </w:r>
      <w:r>
        <w:rPr>
          <w:spacing w:val="6"/>
        </w:rPr>
        <w:t> </w:t>
      </w:r>
      <w:r>
        <w:rPr/>
        <w:t>between</w:t>
      </w:r>
      <w:r>
        <w:rPr>
          <w:spacing w:val="7"/>
        </w:rPr>
        <w:t> </w:t>
      </w:r>
      <w:r>
        <w:rPr/>
        <w:t>corporate</w:t>
      </w:r>
      <w:r>
        <w:rPr>
          <w:spacing w:val="5"/>
        </w:rPr>
        <w:t> </w:t>
      </w:r>
      <w:r>
        <w:rPr/>
        <w:t>ownership</w:t>
      </w:r>
      <w:r>
        <w:rPr>
          <w:spacing w:val="5"/>
        </w:rPr>
        <w:t> </w:t>
      </w:r>
      <w:r>
        <w:rPr/>
        <w:t>structure</w:t>
      </w:r>
      <w:r>
        <w:rPr>
          <w:spacing w:val="5"/>
        </w:rPr>
        <w:t> </w:t>
      </w:r>
      <w:r>
        <w:rPr/>
        <w:t>and</w:t>
      </w:r>
      <w:r>
        <w:rPr>
          <w:spacing w:val="5"/>
        </w:rPr>
        <w:t> </w:t>
      </w:r>
      <w:r>
        <w:rPr/>
        <w:t>financial</w:t>
      </w:r>
      <w:r>
        <w:rPr>
          <w:spacing w:val="5"/>
        </w:rPr>
        <w:t> </w:t>
      </w:r>
      <w:r>
        <w:rPr/>
        <w:t>reporting</w:t>
      </w:r>
      <w:r>
        <w:rPr>
          <w:spacing w:val="6"/>
        </w:rPr>
        <w:t> </w:t>
      </w:r>
      <w:r>
        <w:rPr/>
        <w:t>quality</w:t>
      </w:r>
      <w:r>
        <w:rPr>
          <w:spacing w:val="6"/>
        </w:rPr>
        <w:t> </w:t>
      </w:r>
      <w:r>
        <w:rPr>
          <w:spacing w:val="-2"/>
        </w:rPr>
        <w:t>among</w:t>
      </w:r>
    </w:p>
    <w:p>
      <w:pPr>
        <w:spacing w:after="0" w:line="480" w:lineRule="auto"/>
        <w:jc w:val="both"/>
        <w:sectPr>
          <w:pgSz w:w="11910" w:h="16840"/>
          <w:pgMar w:header="0" w:footer="971" w:top="1360" w:bottom="1160" w:left="500" w:right="0"/>
        </w:sectPr>
      </w:pPr>
    </w:p>
    <w:p>
      <w:pPr>
        <w:pStyle w:val="BodyText"/>
        <w:spacing w:line="480" w:lineRule="auto" w:before="61"/>
        <w:ind w:left="940" w:right="1437"/>
        <w:jc w:val="both"/>
      </w:pPr>
      <w:r>
        <w:rPr/>
        <w:drawing>
          <wp:anchor distT="0" distB="0" distL="0" distR="0" allowOverlap="1" layoutInCell="1" locked="0" behindDoc="1" simplePos="0" relativeHeight="477763072">
            <wp:simplePos x="0" y="0"/>
            <wp:positionH relativeFrom="page">
              <wp:posOffset>1095451</wp:posOffset>
            </wp:positionH>
            <wp:positionV relativeFrom="paragraph">
              <wp:posOffset>1850770</wp:posOffset>
            </wp:positionV>
            <wp:extent cx="5106847" cy="5238115"/>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5" cstate="print"/>
                    <a:stretch>
                      <a:fillRect/>
                    </a:stretch>
                  </pic:blipFill>
                  <pic:spPr>
                    <a:xfrm>
                      <a:off x="0" y="0"/>
                      <a:ext cx="5106847" cy="5238115"/>
                    </a:xfrm>
                    <a:prstGeom prst="rect">
                      <a:avLst/>
                    </a:prstGeom>
                  </pic:spPr>
                </pic:pic>
              </a:graphicData>
            </a:graphic>
          </wp:anchor>
        </w:drawing>
      </w:r>
      <w:r>
        <w:rPr/>
        <w:t>deposit money banks in Nigeria. The findings revealed that foreign ownership exhibited an inverse relationship with financial reporting quality. Laith (2015) examined the relationship between</w:t>
      </w:r>
      <w:r>
        <w:rPr>
          <w:spacing w:val="-6"/>
        </w:rPr>
        <w:t> </w:t>
      </w:r>
      <w:r>
        <w:rPr/>
        <w:t>ownership</w:t>
      </w:r>
      <w:r>
        <w:rPr>
          <w:spacing w:val="-6"/>
        </w:rPr>
        <w:t> </w:t>
      </w:r>
      <w:r>
        <w:rPr/>
        <w:t>structure</w:t>
      </w:r>
      <w:r>
        <w:rPr>
          <w:spacing w:val="-8"/>
        </w:rPr>
        <w:t> </w:t>
      </w:r>
      <w:r>
        <w:rPr/>
        <w:t>and</w:t>
      </w:r>
      <w:r>
        <w:rPr>
          <w:spacing w:val="-6"/>
        </w:rPr>
        <w:t> </w:t>
      </w:r>
      <w:r>
        <w:rPr/>
        <w:t>earnings</w:t>
      </w:r>
      <w:r>
        <w:rPr>
          <w:spacing w:val="-6"/>
        </w:rPr>
        <w:t> </w:t>
      </w:r>
      <w:r>
        <w:rPr/>
        <w:t>quality.</w:t>
      </w:r>
      <w:r>
        <w:rPr>
          <w:spacing w:val="-5"/>
        </w:rPr>
        <w:t> </w:t>
      </w:r>
      <w:r>
        <w:rPr/>
        <w:t>An</w:t>
      </w:r>
      <w:r>
        <w:rPr>
          <w:spacing w:val="-6"/>
        </w:rPr>
        <w:t> </w:t>
      </w:r>
      <w:r>
        <w:rPr/>
        <w:t>(2009)</w:t>
      </w:r>
      <w:r>
        <w:rPr>
          <w:spacing w:val="-7"/>
        </w:rPr>
        <w:t> </w:t>
      </w:r>
      <w:r>
        <w:rPr/>
        <w:t>examined</w:t>
      </w:r>
      <w:r>
        <w:rPr>
          <w:spacing w:val="-6"/>
        </w:rPr>
        <w:t> </w:t>
      </w:r>
      <w:r>
        <w:rPr/>
        <w:t>the</w:t>
      </w:r>
      <w:r>
        <w:rPr>
          <w:spacing w:val="-3"/>
        </w:rPr>
        <w:t> </w:t>
      </w:r>
      <w:r>
        <w:rPr/>
        <w:t>effect</w:t>
      </w:r>
      <w:r>
        <w:rPr>
          <w:spacing w:val="-5"/>
        </w:rPr>
        <w:t> </w:t>
      </w:r>
      <w:r>
        <w:rPr/>
        <w:t>of</w:t>
      </w:r>
      <w:r>
        <w:rPr>
          <w:spacing w:val="-7"/>
        </w:rPr>
        <w:t> </w:t>
      </w:r>
      <w:r>
        <w:rPr/>
        <w:t>corporate governance on earnings quality with evidence from Korea. The results showed that foreign ownership was significantly positive with earnings quality on user needs but not statistically significant on the investor perception measures. Abor and Biekpe (</w:t>
      </w:r>
      <w:hyperlink r:id="rId8">
        <w:r>
          <w:rPr/>
          <w:t>2007</w:t>
        </w:r>
      </w:hyperlink>
      <w:r>
        <w:rPr/>
        <w:t>) found that foreign investors had a significantly positive influence on the quality of earnings in Ghanaian small and medium enterprises. In the same vein, utilizing the dataset of firms listed on the Istanbul Stock</w:t>
      </w:r>
      <w:r>
        <w:rPr>
          <w:spacing w:val="-6"/>
        </w:rPr>
        <w:t> </w:t>
      </w:r>
      <w:r>
        <w:rPr/>
        <w:t>Exchange,</w:t>
      </w:r>
      <w:r>
        <w:rPr>
          <w:spacing w:val="-6"/>
        </w:rPr>
        <w:t> </w:t>
      </w:r>
      <w:r>
        <w:rPr/>
        <w:t>Aydin</w:t>
      </w:r>
      <w:r>
        <w:rPr>
          <w:spacing w:val="-6"/>
        </w:rPr>
        <w:t> </w:t>
      </w:r>
      <w:r>
        <w:rPr/>
        <w:t>et</w:t>
      </w:r>
      <w:r>
        <w:rPr>
          <w:spacing w:val="-5"/>
        </w:rPr>
        <w:t> </w:t>
      </w:r>
      <w:r>
        <w:rPr/>
        <w:t>al.</w:t>
      </w:r>
      <w:r>
        <w:rPr>
          <w:spacing w:val="-5"/>
        </w:rPr>
        <w:t> </w:t>
      </w:r>
      <w:r>
        <w:rPr/>
        <w:t>(</w:t>
      </w:r>
      <w:hyperlink r:id="rId8">
        <w:r>
          <w:rPr/>
          <w:t>2007</w:t>
        </w:r>
      </w:hyperlink>
      <w:r>
        <w:rPr/>
        <w:t>)</w:t>
      </w:r>
      <w:r>
        <w:rPr>
          <w:spacing w:val="-7"/>
        </w:rPr>
        <w:t> </w:t>
      </w:r>
      <w:r>
        <w:rPr/>
        <w:t>concluded</w:t>
      </w:r>
      <w:r>
        <w:rPr>
          <w:spacing w:val="-5"/>
        </w:rPr>
        <w:t> </w:t>
      </w:r>
      <w:r>
        <w:rPr/>
        <w:t>that</w:t>
      </w:r>
      <w:r>
        <w:rPr>
          <w:spacing w:val="-5"/>
        </w:rPr>
        <w:t> </w:t>
      </w:r>
      <w:r>
        <w:rPr/>
        <w:t>foreign</w:t>
      </w:r>
      <w:r>
        <w:rPr>
          <w:spacing w:val="-5"/>
        </w:rPr>
        <w:t> </w:t>
      </w:r>
      <w:r>
        <w:rPr/>
        <w:t>investors</w:t>
      </w:r>
      <w:r>
        <w:rPr>
          <w:spacing w:val="-6"/>
        </w:rPr>
        <w:t> </w:t>
      </w:r>
      <w:r>
        <w:rPr/>
        <w:t>played</w:t>
      </w:r>
      <w:r>
        <w:rPr>
          <w:spacing w:val="-4"/>
        </w:rPr>
        <w:t> </w:t>
      </w:r>
      <w:r>
        <w:rPr/>
        <w:t>an</w:t>
      </w:r>
      <w:r>
        <w:rPr>
          <w:spacing w:val="-6"/>
        </w:rPr>
        <w:t> </w:t>
      </w:r>
      <w:r>
        <w:rPr/>
        <w:t>important</w:t>
      </w:r>
      <w:r>
        <w:rPr>
          <w:spacing w:val="-5"/>
        </w:rPr>
        <w:t> </w:t>
      </w:r>
      <w:r>
        <w:rPr/>
        <w:t>role in improving the financial performance of local firms. The study by Cheon (2003) examined the relationship between foreign ownership and accounting quality among Korean firms. The findings</w:t>
      </w:r>
      <w:r>
        <w:rPr>
          <w:spacing w:val="-8"/>
        </w:rPr>
        <w:t> </w:t>
      </w:r>
      <w:r>
        <w:rPr/>
        <w:t>showed</w:t>
      </w:r>
      <w:r>
        <w:rPr>
          <w:spacing w:val="-8"/>
        </w:rPr>
        <w:t> </w:t>
      </w:r>
      <w:r>
        <w:rPr/>
        <w:t>a</w:t>
      </w:r>
      <w:r>
        <w:rPr>
          <w:spacing w:val="-7"/>
        </w:rPr>
        <w:t> </w:t>
      </w:r>
      <w:r>
        <w:rPr/>
        <w:t>significant</w:t>
      </w:r>
      <w:r>
        <w:rPr>
          <w:spacing w:val="-8"/>
        </w:rPr>
        <w:t> </w:t>
      </w:r>
      <w:r>
        <w:rPr/>
        <w:t>positive</w:t>
      </w:r>
      <w:r>
        <w:rPr>
          <w:spacing w:val="-9"/>
        </w:rPr>
        <w:t> </w:t>
      </w:r>
      <w:r>
        <w:rPr/>
        <w:t>association</w:t>
      </w:r>
      <w:r>
        <w:rPr>
          <w:spacing w:val="-8"/>
        </w:rPr>
        <w:t> </w:t>
      </w:r>
      <w:r>
        <w:rPr/>
        <w:t>between</w:t>
      </w:r>
      <w:r>
        <w:rPr>
          <w:spacing w:val="-6"/>
        </w:rPr>
        <w:t> </w:t>
      </w:r>
      <w:r>
        <w:rPr/>
        <w:t>foreign</w:t>
      </w:r>
      <w:r>
        <w:rPr>
          <w:spacing w:val="-6"/>
        </w:rPr>
        <w:t> </w:t>
      </w:r>
      <w:r>
        <w:rPr/>
        <w:t>ownership</w:t>
      </w:r>
      <w:r>
        <w:rPr>
          <w:spacing w:val="-8"/>
        </w:rPr>
        <w:t> </w:t>
      </w:r>
      <w:r>
        <w:rPr/>
        <w:t>and</w:t>
      </w:r>
      <w:r>
        <w:rPr>
          <w:spacing w:val="-8"/>
        </w:rPr>
        <w:t> </w:t>
      </w:r>
      <w:r>
        <w:rPr/>
        <w:t>the</w:t>
      </w:r>
      <w:r>
        <w:rPr>
          <w:spacing w:val="-6"/>
        </w:rPr>
        <w:t> </w:t>
      </w:r>
      <w:r>
        <w:rPr/>
        <w:t>earnings response coefficient.</w:t>
      </w:r>
    </w:p>
    <w:p>
      <w:pPr>
        <w:pStyle w:val="Heading3"/>
        <w:numPr>
          <w:ilvl w:val="2"/>
          <w:numId w:val="32"/>
        </w:numPr>
        <w:tabs>
          <w:tab w:pos="1480" w:val="left" w:leader="none"/>
        </w:tabs>
        <w:spacing w:line="240" w:lineRule="auto" w:before="1" w:after="0"/>
        <w:ind w:left="1480" w:right="0" w:hanging="540"/>
        <w:jc w:val="both"/>
      </w:pPr>
      <w:bookmarkStart w:name="_TOC_250007" w:id="63"/>
      <w:r>
        <w:rPr/>
        <w:t>Ownership</w:t>
      </w:r>
      <w:r>
        <w:rPr>
          <w:spacing w:val="-4"/>
        </w:rPr>
        <w:t> </w:t>
      </w:r>
      <w:r>
        <w:rPr/>
        <w:t>Concentration</w:t>
      </w:r>
      <w:r>
        <w:rPr>
          <w:spacing w:val="-3"/>
        </w:rPr>
        <w:t> </w:t>
      </w:r>
      <w:r>
        <w:rPr/>
        <w:t>and</w:t>
      </w:r>
      <w:r>
        <w:rPr>
          <w:spacing w:val="-2"/>
        </w:rPr>
        <w:t> </w:t>
      </w:r>
      <w:r>
        <w:rPr/>
        <w:t>Financial</w:t>
      </w:r>
      <w:r>
        <w:rPr>
          <w:spacing w:val="-5"/>
        </w:rPr>
        <w:t> </w:t>
      </w:r>
      <w:r>
        <w:rPr/>
        <w:t>Reporting</w:t>
      </w:r>
      <w:bookmarkEnd w:id="63"/>
      <w:r>
        <w:rPr>
          <w:spacing w:val="-2"/>
        </w:rPr>
        <w:t> Quality</w:t>
      </w:r>
    </w:p>
    <w:p>
      <w:pPr>
        <w:pStyle w:val="BodyText"/>
        <w:rPr>
          <w:b/>
        </w:rPr>
      </w:pPr>
    </w:p>
    <w:p>
      <w:pPr>
        <w:pStyle w:val="BodyText"/>
        <w:spacing w:line="480" w:lineRule="auto"/>
        <w:ind w:left="940" w:right="1436"/>
        <w:jc w:val="both"/>
      </w:pPr>
      <w:r>
        <w:rPr/>
        <w:t>BLOWN had a positive effect on QUA-FRQ although not significant at 5% (-5.01e-05, p=0.8254) and the interaction Post-IFRS*BLOWN was negative and significant at 5% (- 0.0006, p=0.0233).</w:t>
      </w:r>
      <w:r>
        <w:rPr>
          <w:spacing w:val="40"/>
        </w:rPr>
        <w:t> </w:t>
      </w:r>
      <w:r>
        <w:rPr/>
        <w:t>Hence, in testing the presence of an incremental IFRS adoption effect, BLOWN showed evidence of a significant decremental effect on QUA-FRQ resulting from IFRS adoption (-0.0006, p=0.0233) indicating that the increase in block ownership significantly declined the qualitative attributes of FRQ after the adoption of IFRS. The estimations revealed that BLOWN had a positive effect on DISACC although not significant at 5% (-0.0034, p=0.5529) and the interaction Post-IFRS*BLOWN testing the presence of incremental IFRS adoption effect also did not show that BLOWN had any significant incremental effect on DISACC resulting from IFRS adoption (-0.00496, p=0.4869).</w:t>
      </w:r>
      <w:r>
        <w:rPr>
          <w:spacing w:val="40"/>
        </w:rPr>
        <w:t> </w:t>
      </w:r>
      <w:r>
        <w:rPr/>
        <w:t>The estimations</w:t>
      </w:r>
      <w:r>
        <w:rPr>
          <w:spacing w:val="40"/>
        </w:rPr>
        <w:t> </w:t>
      </w:r>
      <w:r>
        <w:rPr/>
        <w:t>revealed</w:t>
      </w:r>
      <w:r>
        <w:rPr>
          <w:spacing w:val="44"/>
        </w:rPr>
        <w:t> </w:t>
      </w:r>
      <w:r>
        <w:rPr/>
        <w:t>that</w:t>
      </w:r>
      <w:r>
        <w:rPr>
          <w:spacing w:val="42"/>
        </w:rPr>
        <w:t> </w:t>
      </w:r>
      <w:r>
        <w:rPr/>
        <w:t>BLOWN</w:t>
      </w:r>
      <w:r>
        <w:rPr>
          <w:spacing w:val="41"/>
        </w:rPr>
        <w:t> </w:t>
      </w:r>
      <w:r>
        <w:rPr/>
        <w:t>had</w:t>
      </w:r>
      <w:r>
        <w:rPr>
          <w:spacing w:val="46"/>
        </w:rPr>
        <w:t> </w:t>
      </w:r>
      <w:r>
        <w:rPr/>
        <w:t>a</w:t>
      </w:r>
      <w:r>
        <w:rPr>
          <w:spacing w:val="41"/>
        </w:rPr>
        <w:t> </w:t>
      </w:r>
      <w:r>
        <w:rPr/>
        <w:t>negative</w:t>
      </w:r>
      <w:r>
        <w:rPr>
          <w:spacing w:val="41"/>
        </w:rPr>
        <w:t> </w:t>
      </w:r>
      <w:r>
        <w:rPr/>
        <w:t>effect</w:t>
      </w:r>
      <w:r>
        <w:rPr>
          <w:spacing w:val="42"/>
        </w:rPr>
        <w:t> </w:t>
      </w:r>
      <w:r>
        <w:rPr/>
        <w:t>on</w:t>
      </w:r>
      <w:r>
        <w:rPr>
          <w:spacing w:val="41"/>
        </w:rPr>
        <w:t> </w:t>
      </w:r>
      <w:r>
        <w:rPr/>
        <w:t>value</w:t>
      </w:r>
      <w:r>
        <w:rPr>
          <w:spacing w:val="41"/>
        </w:rPr>
        <w:t> </w:t>
      </w:r>
      <w:r>
        <w:rPr/>
        <w:t>relevance</w:t>
      </w:r>
      <w:r>
        <w:rPr>
          <w:spacing w:val="47"/>
        </w:rPr>
        <w:t> </w:t>
      </w:r>
      <w:r>
        <w:rPr/>
        <w:t>although</w:t>
      </w:r>
      <w:r>
        <w:rPr>
          <w:spacing w:val="43"/>
        </w:rPr>
        <w:t> </w:t>
      </w:r>
      <w:r>
        <w:rPr>
          <w:spacing w:val="-5"/>
        </w:rPr>
        <w:t>not</w:t>
      </w:r>
    </w:p>
    <w:p>
      <w:pPr>
        <w:spacing w:after="0" w:line="480" w:lineRule="auto"/>
        <w:jc w:val="both"/>
        <w:sectPr>
          <w:pgSz w:w="11910" w:h="16840"/>
          <w:pgMar w:header="0" w:footer="971" w:top="1360" w:bottom="1160" w:left="500" w:right="0"/>
        </w:sectPr>
      </w:pPr>
    </w:p>
    <w:p>
      <w:pPr>
        <w:pStyle w:val="BodyText"/>
        <w:spacing w:line="480" w:lineRule="auto" w:before="61"/>
        <w:ind w:left="940" w:right="1434"/>
        <w:jc w:val="both"/>
      </w:pPr>
      <w:r>
        <w:rPr/>
        <w:drawing>
          <wp:anchor distT="0" distB="0" distL="0" distR="0" allowOverlap="1" layoutInCell="1" locked="0" behindDoc="1" simplePos="0" relativeHeight="477763584">
            <wp:simplePos x="0" y="0"/>
            <wp:positionH relativeFrom="page">
              <wp:posOffset>1095451</wp:posOffset>
            </wp:positionH>
            <wp:positionV relativeFrom="paragraph">
              <wp:posOffset>1850770</wp:posOffset>
            </wp:positionV>
            <wp:extent cx="5106847" cy="5238115"/>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5" cstate="print"/>
                    <a:stretch>
                      <a:fillRect/>
                    </a:stretch>
                  </pic:blipFill>
                  <pic:spPr>
                    <a:xfrm>
                      <a:off x="0" y="0"/>
                      <a:ext cx="5106847" cy="5238115"/>
                    </a:xfrm>
                    <a:prstGeom prst="rect">
                      <a:avLst/>
                    </a:prstGeom>
                  </pic:spPr>
                </pic:pic>
              </a:graphicData>
            </a:graphic>
          </wp:anchor>
        </w:drawing>
      </w:r>
      <w:r>
        <w:rPr/>
        <w:t>significant at 5% (-0.0183, p=0.3489) but the interaction; Post-IFRS*BLOWN, testing the presence of incremental IFRS adoption effect also did show that BLOWN had a significant incremental effect on DISACC (0.1485, p=0.0003). Hence, block ownership was found to improve value relevance in the post-IFRS regime. The outcome could suggest that investors and the market were given more positive ratings and weights to firms with more block ownership</w:t>
      </w:r>
      <w:r>
        <w:rPr>
          <w:spacing w:val="-12"/>
        </w:rPr>
        <w:t> </w:t>
      </w:r>
      <w:r>
        <w:rPr/>
        <w:t>and</w:t>
      </w:r>
      <w:r>
        <w:rPr>
          <w:spacing w:val="-10"/>
        </w:rPr>
        <w:t> </w:t>
      </w:r>
      <w:r>
        <w:rPr/>
        <w:t>presence.</w:t>
      </w:r>
      <w:r>
        <w:rPr>
          <w:spacing w:val="-10"/>
        </w:rPr>
        <w:t> </w:t>
      </w:r>
      <w:r>
        <w:rPr/>
        <w:t>In</w:t>
      </w:r>
      <w:r>
        <w:rPr>
          <w:spacing w:val="-10"/>
        </w:rPr>
        <w:t> </w:t>
      </w:r>
      <w:r>
        <w:rPr/>
        <w:t>conclusion,</w:t>
      </w:r>
      <w:r>
        <w:rPr>
          <w:spacing w:val="-12"/>
        </w:rPr>
        <w:t> </w:t>
      </w:r>
      <w:r>
        <w:rPr/>
        <w:t>based</w:t>
      </w:r>
      <w:r>
        <w:rPr>
          <w:spacing w:val="-10"/>
        </w:rPr>
        <w:t> </w:t>
      </w:r>
      <w:r>
        <w:rPr/>
        <w:t>on</w:t>
      </w:r>
      <w:r>
        <w:rPr>
          <w:spacing w:val="-12"/>
        </w:rPr>
        <w:t> </w:t>
      </w:r>
      <w:r>
        <w:rPr/>
        <w:t>the</w:t>
      </w:r>
      <w:r>
        <w:rPr>
          <w:spacing w:val="-13"/>
        </w:rPr>
        <w:t> </w:t>
      </w:r>
      <w:r>
        <w:rPr/>
        <w:t>three</w:t>
      </w:r>
      <w:r>
        <w:rPr>
          <w:spacing w:val="-13"/>
        </w:rPr>
        <w:t> </w:t>
      </w:r>
      <w:r>
        <w:rPr/>
        <w:t>measures</w:t>
      </w:r>
      <w:r>
        <w:rPr>
          <w:spacing w:val="-10"/>
        </w:rPr>
        <w:t> </w:t>
      </w:r>
      <w:r>
        <w:rPr/>
        <w:t>of</w:t>
      </w:r>
      <w:r>
        <w:rPr>
          <w:spacing w:val="-10"/>
        </w:rPr>
        <w:t> </w:t>
      </w:r>
      <w:r>
        <w:rPr/>
        <w:t>financial</w:t>
      </w:r>
      <w:r>
        <w:rPr>
          <w:spacing w:val="-12"/>
        </w:rPr>
        <w:t> </w:t>
      </w:r>
      <w:r>
        <w:rPr/>
        <w:t>reporting</w:t>
      </w:r>
      <w:r>
        <w:rPr>
          <w:spacing w:val="-12"/>
        </w:rPr>
        <w:t> </w:t>
      </w:r>
      <w:r>
        <w:rPr/>
        <w:t>used in this study, block ownership was found to have a significant effect across QUA-FRQ and VREL measures.</w:t>
      </w:r>
    </w:p>
    <w:p>
      <w:pPr>
        <w:pStyle w:val="BodyText"/>
        <w:spacing w:line="480" w:lineRule="auto" w:before="1"/>
        <w:ind w:left="940" w:right="1434"/>
        <w:jc w:val="both"/>
      </w:pPr>
      <w:r>
        <w:rPr/>
        <w:t>Our findings were in tandem with those of Pongsaporamat (2016) which investigated the relationship between ownership structure and the quality of financial reporting of listed firms on the stock exchange in Thailand. The findings showed that concentrated ownership firms were positively associated with their accounting restatements. Hence, they had a low quality of financial reporting. In the abovementioned study by Abdulhadi (2016) on the relationship between</w:t>
      </w:r>
      <w:r>
        <w:rPr>
          <w:spacing w:val="-13"/>
        </w:rPr>
        <w:t> </w:t>
      </w:r>
      <w:r>
        <w:rPr/>
        <w:t>ownership</w:t>
      </w:r>
      <w:r>
        <w:rPr>
          <w:spacing w:val="-13"/>
        </w:rPr>
        <w:t> </w:t>
      </w:r>
      <w:r>
        <w:rPr/>
        <w:t>structure</w:t>
      </w:r>
      <w:r>
        <w:rPr>
          <w:spacing w:val="-13"/>
        </w:rPr>
        <w:t> </w:t>
      </w:r>
      <w:r>
        <w:rPr/>
        <w:t>and</w:t>
      </w:r>
      <w:r>
        <w:rPr>
          <w:spacing w:val="-13"/>
        </w:rPr>
        <w:t> </w:t>
      </w:r>
      <w:r>
        <w:rPr/>
        <w:t>earnings</w:t>
      </w:r>
      <w:r>
        <w:rPr>
          <w:spacing w:val="-13"/>
        </w:rPr>
        <w:t> </w:t>
      </w:r>
      <w:r>
        <w:rPr/>
        <w:t>management</w:t>
      </w:r>
      <w:r>
        <w:rPr>
          <w:spacing w:val="-13"/>
        </w:rPr>
        <w:t> </w:t>
      </w:r>
      <w:r>
        <w:rPr/>
        <w:t>of</w:t>
      </w:r>
      <w:r>
        <w:rPr>
          <w:spacing w:val="-14"/>
        </w:rPr>
        <w:t> </w:t>
      </w:r>
      <w:r>
        <w:rPr/>
        <w:t>listed</w:t>
      </w:r>
      <w:r>
        <w:rPr>
          <w:spacing w:val="-13"/>
        </w:rPr>
        <w:t> </w:t>
      </w:r>
      <w:r>
        <w:rPr/>
        <w:t>banks</w:t>
      </w:r>
      <w:r>
        <w:rPr>
          <w:spacing w:val="-13"/>
        </w:rPr>
        <w:t> </w:t>
      </w:r>
      <w:r>
        <w:rPr/>
        <w:t>in</w:t>
      </w:r>
      <w:r>
        <w:rPr>
          <w:spacing w:val="-15"/>
        </w:rPr>
        <w:t> </w:t>
      </w:r>
      <w:r>
        <w:rPr/>
        <w:t>Nigeria.</w:t>
      </w:r>
      <w:r>
        <w:rPr>
          <w:spacing w:val="-11"/>
        </w:rPr>
        <w:t> </w:t>
      </w:r>
      <w:r>
        <w:rPr/>
        <w:t>The</w:t>
      </w:r>
      <w:r>
        <w:rPr>
          <w:spacing w:val="-14"/>
        </w:rPr>
        <w:t> </w:t>
      </w:r>
      <w:r>
        <w:rPr/>
        <w:t>findings revealed that ownership concentration exhibited an inverse relationship with earnings management. In the abovementioned study by Baba (2016) on the impact of ownership structure on earnings quality of listed insurance companies in Nigeria, the findings revealed that ownership concentration inversely influenced earnings quality. In the abovementioned study by Ayadi and Boujelbene (2014) on the relationship between ownership structure and earnings quality, the results showed that ownership concentration exhibited a positive impact on earnings management. In the study by Karuntarat (2013) on the impact of ownership structure</w:t>
      </w:r>
      <w:r>
        <w:rPr>
          <w:spacing w:val="-8"/>
        </w:rPr>
        <w:t> </w:t>
      </w:r>
      <w:r>
        <w:rPr/>
        <w:t>and</w:t>
      </w:r>
      <w:r>
        <w:rPr>
          <w:spacing w:val="-10"/>
        </w:rPr>
        <w:t> </w:t>
      </w:r>
      <w:r>
        <w:rPr/>
        <w:t>other</w:t>
      </w:r>
      <w:r>
        <w:rPr>
          <w:spacing w:val="-9"/>
        </w:rPr>
        <w:t> </w:t>
      </w:r>
      <w:r>
        <w:rPr/>
        <w:t>corporate</w:t>
      </w:r>
      <w:r>
        <w:rPr>
          <w:spacing w:val="-10"/>
        </w:rPr>
        <w:t> </w:t>
      </w:r>
      <w:r>
        <w:rPr/>
        <w:t>governance</w:t>
      </w:r>
      <w:r>
        <w:rPr>
          <w:spacing w:val="-11"/>
        </w:rPr>
        <w:t> </w:t>
      </w:r>
      <w:r>
        <w:rPr/>
        <w:t>mechanisms</w:t>
      </w:r>
      <w:r>
        <w:rPr>
          <w:spacing w:val="-9"/>
        </w:rPr>
        <w:t> </w:t>
      </w:r>
      <w:r>
        <w:rPr/>
        <w:t>on</w:t>
      </w:r>
      <w:r>
        <w:rPr>
          <w:spacing w:val="-10"/>
        </w:rPr>
        <w:t> </w:t>
      </w:r>
      <w:r>
        <w:rPr/>
        <w:t>accounting</w:t>
      </w:r>
      <w:r>
        <w:rPr>
          <w:spacing w:val="-10"/>
        </w:rPr>
        <w:t> </w:t>
      </w:r>
      <w:r>
        <w:rPr/>
        <w:t>discretions</w:t>
      </w:r>
      <w:r>
        <w:rPr>
          <w:spacing w:val="-9"/>
        </w:rPr>
        <w:t> </w:t>
      </w:r>
      <w:r>
        <w:rPr/>
        <w:t>with</w:t>
      </w:r>
      <w:r>
        <w:rPr>
          <w:spacing w:val="-9"/>
        </w:rPr>
        <w:t> </w:t>
      </w:r>
      <w:r>
        <w:rPr/>
        <w:t>evidence from Thailand. The findings showed that ownership concentration was negatively correlated with</w:t>
      </w:r>
      <w:r>
        <w:rPr>
          <w:spacing w:val="-2"/>
        </w:rPr>
        <w:t> </w:t>
      </w:r>
      <w:r>
        <w:rPr/>
        <w:t>the</w:t>
      </w:r>
      <w:r>
        <w:rPr>
          <w:spacing w:val="-3"/>
        </w:rPr>
        <w:t> </w:t>
      </w:r>
      <w:r>
        <w:rPr/>
        <w:t>discretionary</w:t>
      </w:r>
      <w:r>
        <w:rPr>
          <w:spacing w:val="-1"/>
        </w:rPr>
        <w:t> </w:t>
      </w:r>
      <w:r>
        <w:rPr/>
        <w:t>accruals</w:t>
      </w:r>
      <w:r>
        <w:rPr>
          <w:spacing w:val="-2"/>
        </w:rPr>
        <w:t> </w:t>
      </w:r>
      <w:r>
        <w:rPr/>
        <w:t>before</w:t>
      </w:r>
      <w:r>
        <w:rPr>
          <w:spacing w:val="-3"/>
        </w:rPr>
        <w:t> </w:t>
      </w:r>
      <w:r>
        <w:rPr/>
        <w:t>the</w:t>
      </w:r>
      <w:r>
        <w:rPr>
          <w:spacing w:val="-1"/>
        </w:rPr>
        <w:t> </w:t>
      </w:r>
      <w:r>
        <w:rPr/>
        <w:t>reform but</w:t>
      </w:r>
      <w:r>
        <w:rPr>
          <w:spacing w:val="-2"/>
        </w:rPr>
        <w:t> </w:t>
      </w:r>
      <w:r>
        <w:rPr/>
        <w:t>otherwise, after</w:t>
      </w:r>
      <w:r>
        <w:rPr>
          <w:spacing w:val="-2"/>
        </w:rPr>
        <w:t> </w:t>
      </w:r>
      <w:r>
        <w:rPr/>
        <w:t>the</w:t>
      </w:r>
      <w:r>
        <w:rPr>
          <w:spacing w:val="-2"/>
        </w:rPr>
        <w:t> </w:t>
      </w:r>
      <w:r>
        <w:rPr/>
        <w:t>reform,</w:t>
      </w:r>
      <w:r>
        <w:rPr>
          <w:spacing w:val="-2"/>
        </w:rPr>
        <w:t> </w:t>
      </w:r>
      <w:r>
        <w:rPr/>
        <w:t>it</w:t>
      </w:r>
      <w:r>
        <w:rPr>
          <w:spacing w:val="-2"/>
        </w:rPr>
        <w:t> </w:t>
      </w:r>
      <w:r>
        <w:rPr/>
        <w:t>showed</w:t>
      </w:r>
      <w:r>
        <w:rPr>
          <w:spacing w:val="-2"/>
        </w:rPr>
        <w:t> </w:t>
      </w:r>
      <w:r>
        <w:rPr/>
        <w:t>no significant</w:t>
      </w:r>
      <w:r>
        <w:rPr>
          <w:spacing w:val="-16"/>
        </w:rPr>
        <w:t> </w:t>
      </w:r>
      <w:r>
        <w:rPr/>
        <w:t>impact</w:t>
      </w:r>
      <w:r>
        <w:rPr>
          <w:spacing w:val="-14"/>
        </w:rPr>
        <w:t> </w:t>
      </w:r>
      <w:r>
        <w:rPr/>
        <w:t>on</w:t>
      </w:r>
      <w:r>
        <w:rPr>
          <w:spacing w:val="-14"/>
        </w:rPr>
        <w:t> </w:t>
      </w:r>
      <w:r>
        <w:rPr/>
        <w:t>discretionary</w:t>
      </w:r>
      <w:r>
        <w:rPr>
          <w:spacing w:val="-15"/>
        </w:rPr>
        <w:t> </w:t>
      </w:r>
      <w:r>
        <w:rPr/>
        <w:t>revenues.</w:t>
      </w:r>
      <w:r>
        <w:rPr>
          <w:spacing w:val="-12"/>
        </w:rPr>
        <w:t> </w:t>
      </w:r>
      <w:r>
        <w:rPr/>
        <w:t>Alexander,</w:t>
      </w:r>
      <w:r>
        <w:rPr>
          <w:spacing w:val="-15"/>
        </w:rPr>
        <w:t> </w:t>
      </w:r>
      <w:r>
        <w:rPr/>
        <w:t>Moses</w:t>
      </w:r>
      <w:r>
        <w:rPr>
          <w:spacing w:val="-15"/>
        </w:rPr>
        <w:t> </w:t>
      </w:r>
      <w:r>
        <w:rPr/>
        <w:t>and</w:t>
      </w:r>
      <w:r>
        <w:rPr>
          <w:spacing w:val="-14"/>
        </w:rPr>
        <w:t> </w:t>
      </w:r>
      <w:r>
        <w:rPr/>
        <w:t>Ransford</w:t>
      </w:r>
      <w:r>
        <w:rPr>
          <w:spacing w:val="-14"/>
        </w:rPr>
        <w:t> </w:t>
      </w:r>
      <w:r>
        <w:rPr/>
        <w:t>(2014)</w:t>
      </w:r>
      <w:r>
        <w:rPr>
          <w:spacing w:val="-14"/>
        </w:rPr>
        <w:t> </w:t>
      </w:r>
      <w:r>
        <w:rPr>
          <w:spacing w:val="-2"/>
        </w:rPr>
        <w:t>examined</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t>the effects of ownership structure on the performance of listed companies on the Ghanaian Stock Exchange. The study found that there was a significant inverse relationship between ownership concentration and firm performance.</w:t>
      </w:r>
    </w:p>
    <w:p>
      <w:pPr>
        <w:pStyle w:val="BodyText"/>
        <w:spacing w:line="480" w:lineRule="auto"/>
        <w:ind w:left="940" w:right="1437"/>
        <w:jc w:val="both"/>
      </w:pPr>
      <w:r>
        <w:rPr/>
        <w:drawing>
          <wp:anchor distT="0" distB="0" distL="0" distR="0" allowOverlap="1" layoutInCell="1" locked="0" behindDoc="1" simplePos="0" relativeHeight="477764096">
            <wp:simplePos x="0" y="0"/>
            <wp:positionH relativeFrom="page">
              <wp:posOffset>1095451</wp:posOffset>
            </wp:positionH>
            <wp:positionV relativeFrom="paragraph">
              <wp:posOffset>760565</wp:posOffset>
            </wp:positionV>
            <wp:extent cx="5106847" cy="5238115"/>
            <wp:effectExtent l="0" t="0" r="0" b="0"/>
            <wp:wrapNone/>
            <wp:docPr id="242" name="Image 242"/>
            <wp:cNvGraphicFramePr>
              <a:graphicFrameLocks/>
            </wp:cNvGraphicFramePr>
            <a:graphic>
              <a:graphicData uri="http://schemas.openxmlformats.org/drawingml/2006/picture">
                <pic:pic>
                  <pic:nvPicPr>
                    <pic:cNvPr id="242" name="Image 242"/>
                    <pic:cNvPicPr/>
                  </pic:nvPicPr>
                  <pic:blipFill>
                    <a:blip r:embed="rId5" cstate="print"/>
                    <a:stretch>
                      <a:fillRect/>
                    </a:stretch>
                  </pic:blipFill>
                  <pic:spPr>
                    <a:xfrm>
                      <a:off x="0" y="0"/>
                      <a:ext cx="5106847" cy="5238115"/>
                    </a:xfrm>
                    <a:prstGeom prst="rect">
                      <a:avLst/>
                    </a:prstGeom>
                  </pic:spPr>
                </pic:pic>
              </a:graphicData>
            </a:graphic>
          </wp:anchor>
        </w:drawing>
      </w:r>
      <w:r>
        <w:rPr/>
        <w:t>Furthermore, our findings were also supported by those of Alves (2012) which were on the relationship</w:t>
      </w:r>
      <w:r>
        <w:rPr>
          <w:spacing w:val="-11"/>
        </w:rPr>
        <w:t> </w:t>
      </w:r>
      <w:r>
        <w:rPr/>
        <w:t>between</w:t>
      </w:r>
      <w:r>
        <w:rPr>
          <w:spacing w:val="-9"/>
        </w:rPr>
        <w:t> </w:t>
      </w:r>
      <w:r>
        <w:rPr/>
        <w:t>corporate</w:t>
      </w:r>
      <w:r>
        <w:rPr>
          <w:spacing w:val="-12"/>
        </w:rPr>
        <w:t> </w:t>
      </w:r>
      <w:r>
        <w:rPr/>
        <w:t>ownership</w:t>
      </w:r>
      <w:r>
        <w:rPr>
          <w:spacing w:val="-12"/>
        </w:rPr>
        <w:t> </w:t>
      </w:r>
      <w:r>
        <w:rPr/>
        <w:t>structure</w:t>
      </w:r>
      <w:r>
        <w:rPr>
          <w:spacing w:val="-13"/>
        </w:rPr>
        <w:t> </w:t>
      </w:r>
      <w:r>
        <w:rPr/>
        <w:t>and</w:t>
      </w:r>
      <w:r>
        <w:rPr>
          <w:spacing w:val="-12"/>
        </w:rPr>
        <w:t> </w:t>
      </w:r>
      <w:r>
        <w:rPr/>
        <w:t>earnings</w:t>
      </w:r>
      <w:r>
        <w:rPr>
          <w:spacing w:val="-12"/>
        </w:rPr>
        <w:t> </w:t>
      </w:r>
      <w:r>
        <w:rPr/>
        <w:t>management</w:t>
      </w:r>
      <w:r>
        <w:rPr>
          <w:spacing w:val="-8"/>
        </w:rPr>
        <w:t> </w:t>
      </w:r>
      <w:r>
        <w:rPr/>
        <w:t>in</w:t>
      </w:r>
      <w:r>
        <w:rPr>
          <w:spacing w:val="-11"/>
        </w:rPr>
        <w:t> </w:t>
      </w:r>
      <w:r>
        <w:rPr/>
        <w:t>Portugal.</w:t>
      </w:r>
      <w:r>
        <w:rPr>
          <w:spacing w:val="-12"/>
        </w:rPr>
        <w:t> </w:t>
      </w:r>
      <w:r>
        <w:rPr/>
        <w:t>The results showed that earnings management was negatively related to ownership concentration. Ellili (2012) examined the impact of block shareholders (ownership of 5% and above) on the performance of a firm. He found an inverse relationship between concentrated ownership and the performance of the firm. That could be explained by the managerial entrenchment theory which</w:t>
      </w:r>
      <w:r>
        <w:rPr>
          <w:spacing w:val="-11"/>
        </w:rPr>
        <w:t> </w:t>
      </w:r>
      <w:r>
        <w:rPr/>
        <w:t>argued</w:t>
      </w:r>
      <w:r>
        <w:rPr>
          <w:spacing w:val="-11"/>
        </w:rPr>
        <w:t> </w:t>
      </w:r>
      <w:r>
        <w:rPr/>
        <w:t>that</w:t>
      </w:r>
      <w:r>
        <w:rPr>
          <w:spacing w:val="-11"/>
        </w:rPr>
        <w:t> </w:t>
      </w:r>
      <w:r>
        <w:rPr/>
        <w:t>the</w:t>
      </w:r>
      <w:r>
        <w:rPr>
          <w:spacing w:val="-11"/>
        </w:rPr>
        <w:t> </w:t>
      </w:r>
      <w:r>
        <w:rPr/>
        <w:t>block</w:t>
      </w:r>
      <w:r>
        <w:rPr>
          <w:spacing w:val="-11"/>
        </w:rPr>
        <w:t> </w:t>
      </w:r>
      <w:r>
        <w:rPr/>
        <w:t>shareholders</w:t>
      </w:r>
      <w:r>
        <w:rPr>
          <w:spacing w:val="-10"/>
        </w:rPr>
        <w:t> </w:t>
      </w:r>
      <w:r>
        <w:rPr/>
        <w:t>were</w:t>
      </w:r>
      <w:r>
        <w:rPr>
          <w:spacing w:val="-12"/>
        </w:rPr>
        <w:t> </w:t>
      </w:r>
      <w:r>
        <w:rPr/>
        <w:t>not</w:t>
      </w:r>
      <w:r>
        <w:rPr>
          <w:spacing w:val="-8"/>
        </w:rPr>
        <w:t> </w:t>
      </w:r>
      <w:r>
        <w:rPr/>
        <w:t>always</w:t>
      </w:r>
      <w:r>
        <w:rPr>
          <w:spacing w:val="-10"/>
        </w:rPr>
        <w:t> </w:t>
      </w:r>
      <w:r>
        <w:rPr/>
        <w:t>considered</w:t>
      </w:r>
      <w:r>
        <w:rPr>
          <w:spacing w:val="-11"/>
        </w:rPr>
        <w:t> </w:t>
      </w:r>
      <w:r>
        <w:rPr/>
        <w:t>to</w:t>
      </w:r>
      <w:r>
        <w:rPr>
          <w:spacing w:val="-10"/>
        </w:rPr>
        <w:t> </w:t>
      </w:r>
      <w:r>
        <w:rPr/>
        <w:t>be</w:t>
      </w:r>
      <w:r>
        <w:rPr>
          <w:spacing w:val="-12"/>
        </w:rPr>
        <w:t> </w:t>
      </w:r>
      <w:r>
        <w:rPr/>
        <w:t>an</w:t>
      </w:r>
      <w:r>
        <w:rPr>
          <w:spacing w:val="-11"/>
        </w:rPr>
        <w:t> </w:t>
      </w:r>
      <w:r>
        <w:rPr/>
        <w:t>efficient</w:t>
      </w:r>
      <w:r>
        <w:rPr>
          <w:spacing w:val="-10"/>
        </w:rPr>
        <w:t> </w:t>
      </w:r>
      <w:r>
        <w:rPr/>
        <w:t>internal monitoring</w:t>
      </w:r>
      <w:r>
        <w:rPr>
          <w:spacing w:val="-8"/>
        </w:rPr>
        <w:t> </w:t>
      </w:r>
      <w:r>
        <w:rPr/>
        <w:t>mechanism.</w:t>
      </w:r>
      <w:r>
        <w:rPr>
          <w:spacing w:val="-6"/>
        </w:rPr>
        <w:t> </w:t>
      </w:r>
      <w:r>
        <w:rPr/>
        <w:t>They</w:t>
      </w:r>
      <w:r>
        <w:rPr>
          <w:spacing w:val="-7"/>
        </w:rPr>
        <w:t> </w:t>
      </w:r>
      <w:r>
        <w:rPr/>
        <w:t>could</w:t>
      </w:r>
      <w:r>
        <w:rPr>
          <w:spacing w:val="-5"/>
        </w:rPr>
        <w:t> </w:t>
      </w:r>
      <w:r>
        <w:rPr/>
        <w:t>enjoy</w:t>
      </w:r>
      <w:r>
        <w:rPr>
          <w:spacing w:val="-8"/>
        </w:rPr>
        <w:t> </w:t>
      </w:r>
      <w:r>
        <w:rPr/>
        <w:t>private</w:t>
      </w:r>
      <w:r>
        <w:rPr>
          <w:spacing w:val="-7"/>
        </w:rPr>
        <w:t> </w:t>
      </w:r>
      <w:r>
        <w:rPr/>
        <w:t>benefit</w:t>
      </w:r>
      <w:r>
        <w:rPr>
          <w:spacing w:val="-8"/>
        </w:rPr>
        <w:t> </w:t>
      </w:r>
      <w:r>
        <w:rPr/>
        <w:t>from</w:t>
      </w:r>
      <w:r>
        <w:rPr>
          <w:spacing w:val="-9"/>
        </w:rPr>
        <w:t> </w:t>
      </w:r>
      <w:r>
        <w:rPr/>
        <w:t>their</w:t>
      </w:r>
      <w:r>
        <w:rPr>
          <w:spacing w:val="-7"/>
        </w:rPr>
        <w:t> </w:t>
      </w:r>
      <w:r>
        <w:rPr/>
        <w:t>control</w:t>
      </w:r>
      <w:r>
        <w:rPr>
          <w:spacing w:val="-6"/>
        </w:rPr>
        <w:t> </w:t>
      </w:r>
      <w:r>
        <w:rPr/>
        <w:t>to</w:t>
      </w:r>
      <w:r>
        <w:rPr>
          <w:spacing w:val="-8"/>
        </w:rPr>
        <w:t> </w:t>
      </w:r>
      <w:r>
        <w:rPr/>
        <w:t>the</w:t>
      </w:r>
      <w:r>
        <w:rPr>
          <w:spacing w:val="-9"/>
        </w:rPr>
        <w:t> </w:t>
      </w:r>
      <w:r>
        <w:rPr/>
        <w:t>detriment</w:t>
      </w:r>
      <w:r>
        <w:rPr>
          <w:spacing w:val="-8"/>
        </w:rPr>
        <w:t> </w:t>
      </w:r>
      <w:r>
        <w:rPr/>
        <w:t>of the</w:t>
      </w:r>
      <w:r>
        <w:rPr>
          <w:spacing w:val="-15"/>
        </w:rPr>
        <w:t> </w:t>
      </w:r>
      <w:r>
        <w:rPr/>
        <w:t>other</w:t>
      </w:r>
      <w:r>
        <w:rPr>
          <w:spacing w:val="-15"/>
        </w:rPr>
        <w:t> </w:t>
      </w:r>
      <w:r>
        <w:rPr/>
        <w:t>shareholders,</w:t>
      </w:r>
      <w:r>
        <w:rPr>
          <w:spacing w:val="-15"/>
        </w:rPr>
        <w:t> </w:t>
      </w:r>
      <w:r>
        <w:rPr/>
        <w:t>and</w:t>
      </w:r>
      <w:r>
        <w:rPr>
          <w:spacing w:val="-15"/>
        </w:rPr>
        <w:t> </w:t>
      </w:r>
      <w:r>
        <w:rPr/>
        <w:t>can</w:t>
      </w:r>
      <w:r>
        <w:rPr>
          <w:spacing w:val="-14"/>
        </w:rPr>
        <w:t> </w:t>
      </w:r>
      <w:r>
        <w:rPr/>
        <w:t>expropriate</w:t>
      </w:r>
      <w:r>
        <w:rPr>
          <w:spacing w:val="-15"/>
        </w:rPr>
        <w:t> </w:t>
      </w:r>
      <w:r>
        <w:rPr/>
        <w:t>the</w:t>
      </w:r>
      <w:r>
        <w:rPr>
          <w:spacing w:val="-15"/>
        </w:rPr>
        <w:t> </w:t>
      </w:r>
      <w:r>
        <w:rPr/>
        <w:t>wealth</w:t>
      </w:r>
      <w:r>
        <w:rPr>
          <w:spacing w:val="-14"/>
        </w:rPr>
        <w:t> </w:t>
      </w:r>
      <w:r>
        <w:rPr/>
        <w:t>of</w:t>
      </w:r>
      <w:r>
        <w:rPr>
          <w:spacing w:val="-15"/>
        </w:rPr>
        <w:t> </w:t>
      </w:r>
      <w:r>
        <w:rPr/>
        <w:t>minority</w:t>
      </w:r>
      <w:r>
        <w:rPr>
          <w:spacing w:val="-15"/>
        </w:rPr>
        <w:t> </w:t>
      </w:r>
      <w:r>
        <w:rPr/>
        <w:t>shareholders</w:t>
      </w:r>
      <w:r>
        <w:rPr>
          <w:spacing w:val="-14"/>
        </w:rPr>
        <w:t> </w:t>
      </w:r>
      <w:r>
        <w:rPr/>
        <w:t>because</w:t>
      </w:r>
      <w:r>
        <w:rPr>
          <w:spacing w:val="-15"/>
        </w:rPr>
        <w:t> </w:t>
      </w:r>
      <w:r>
        <w:rPr/>
        <w:t>of</w:t>
      </w:r>
      <w:r>
        <w:rPr>
          <w:spacing w:val="-15"/>
        </w:rPr>
        <w:t> </w:t>
      </w:r>
      <w:r>
        <w:rPr/>
        <w:t>their privileged access to inside information their high risk aversion compared to the diversified shareholders (Mock et al., 1988).</w:t>
      </w:r>
    </w:p>
    <w:p>
      <w:pPr>
        <w:spacing w:after="0" w:line="480" w:lineRule="auto"/>
        <w:jc w:val="both"/>
        <w:sectPr>
          <w:pgSz w:w="11910" w:h="16840"/>
          <w:pgMar w:header="0" w:footer="971" w:top="1360" w:bottom="1160" w:left="500" w:right="0"/>
        </w:sectPr>
      </w:pPr>
    </w:p>
    <w:p>
      <w:pPr>
        <w:pStyle w:val="Heading2"/>
      </w:pPr>
      <w:r>
        <w:rPr/>
        <w:t>CHAPTER</w:t>
      </w:r>
      <w:r>
        <w:rPr>
          <w:spacing w:val="-1"/>
        </w:rPr>
        <w:t> </w:t>
      </w:r>
      <w:r>
        <w:rPr>
          <w:spacing w:val="-5"/>
        </w:rPr>
        <w:t>SIX</w:t>
      </w:r>
    </w:p>
    <w:p>
      <w:pPr>
        <w:pStyle w:val="BodyText"/>
        <w:spacing w:before="199"/>
        <w:rPr>
          <w:b/>
        </w:rPr>
      </w:pPr>
    </w:p>
    <w:p>
      <w:pPr>
        <w:spacing w:before="0"/>
        <w:ind w:left="0" w:right="494" w:firstLine="0"/>
        <w:jc w:val="center"/>
        <w:rPr>
          <w:b/>
          <w:sz w:val="24"/>
        </w:rPr>
      </w:pPr>
      <w:r>
        <w:rPr>
          <w:b/>
          <w:sz w:val="24"/>
        </w:rPr>
        <w:t>SUMMARY</w:t>
      </w:r>
      <w:r>
        <w:rPr>
          <w:b/>
          <w:spacing w:val="-3"/>
          <w:sz w:val="24"/>
        </w:rPr>
        <w:t> </w:t>
      </w:r>
      <w:r>
        <w:rPr>
          <w:b/>
          <w:sz w:val="24"/>
        </w:rPr>
        <w:t>OF</w:t>
      </w:r>
      <w:r>
        <w:rPr>
          <w:b/>
          <w:spacing w:val="-1"/>
          <w:sz w:val="24"/>
        </w:rPr>
        <w:t> </w:t>
      </w:r>
      <w:r>
        <w:rPr>
          <w:b/>
          <w:sz w:val="24"/>
        </w:rPr>
        <w:t>FINDINGS, CONCLUSION</w:t>
      </w:r>
      <w:r>
        <w:rPr>
          <w:b/>
          <w:spacing w:val="-1"/>
          <w:sz w:val="24"/>
        </w:rPr>
        <w:t> </w:t>
      </w:r>
      <w:r>
        <w:rPr>
          <w:b/>
          <w:sz w:val="24"/>
        </w:rPr>
        <w:t>AND</w:t>
      </w:r>
      <w:r>
        <w:rPr>
          <w:b/>
          <w:spacing w:val="-1"/>
          <w:sz w:val="24"/>
        </w:rPr>
        <w:t> </w:t>
      </w:r>
      <w:r>
        <w:rPr>
          <w:b/>
          <w:spacing w:val="-2"/>
          <w:sz w:val="24"/>
        </w:rPr>
        <w:t>RECOMMENDATIONS</w:t>
      </w:r>
    </w:p>
    <w:p>
      <w:pPr>
        <w:pStyle w:val="BodyText"/>
        <w:spacing w:before="202"/>
        <w:rPr>
          <w:b/>
        </w:rPr>
      </w:pPr>
    </w:p>
    <w:p>
      <w:pPr>
        <w:pStyle w:val="Heading3"/>
        <w:numPr>
          <w:ilvl w:val="1"/>
          <w:numId w:val="33"/>
        </w:numPr>
        <w:tabs>
          <w:tab w:pos="1360" w:val="left" w:leader="none"/>
        </w:tabs>
        <w:spacing w:line="240" w:lineRule="auto" w:before="0" w:after="0"/>
        <w:ind w:left="1360" w:right="0" w:hanging="420"/>
        <w:jc w:val="both"/>
      </w:pPr>
      <w:bookmarkStart w:name="_TOC_250006" w:id="64"/>
      <w:r>
        <w:rPr/>
        <w:t>Summary</w:t>
      </w:r>
      <w:r>
        <w:rPr>
          <w:spacing w:val="-1"/>
        </w:rPr>
        <w:t> </w:t>
      </w:r>
      <w:r>
        <w:rPr/>
        <w:t>of </w:t>
      </w:r>
      <w:bookmarkEnd w:id="64"/>
      <w:r>
        <w:rPr>
          <w:spacing w:val="-2"/>
        </w:rPr>
        <w:t>Findings</w:t>
      </w:r>
    </w:p>
    <w:p>
      <w:pPr>
        <w:pStyle w:val="BodyText"/>
        <w:spacing w:before="199"/>
        <w:rPr>
          <w:b/>
        </w:rPr>
      </w:pPr>
    </w:p>
    <w:p>
      <w:pPr>
        <w:pStyle w:val="ListParagraph"/>
        <w:numPr>
          <w:ilvl w:val="0"/>
          <w:numId w:val="34"/>
        </w:numPr>
        <w:tabs>
          <w:tab w:pos="1213" w:val="left" w:leader="none"/>
        </w:tabs>
        <w:spacing w:line="480" w:lineRule="auto" w:before="0" w:after="0"/>
        <w:ind w:left="940" w:right="1434" w:firstLine="0"/>
        <w:jc w:val="both"/>
        <w:rPr>
          <w:sz w:val="24"/>
        </w:rPr>
      </w:pPr>
      <w:r>
        <w:rPr/>
        <w:drawing>
          <wp:anchor distT="0" distB="0" distL="0" distR="0" allowOverlap="1" layoutInCell="1" locked="0" behindDoc="1" simplePos="0" relativeHeight="477764608">
            <wp:simplePos x="0" y="0"/>
            <wp:positionH relativeFrom="page">
              <wp:posOffset>1095451</wp:posOffset>
            </wp:positionH>
            <wp:positionV relativeFrom="paragraph">
              <wp:posOffset>379565</wp:posOffset>
            </wp:positionV>
            <wp:extent cx="5106847" cy="5238115"/>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For QUA-FRQ, the D-I-D coefficient was positive as expected and significant (0.0550, p=0.000)</w:t>
      </w:r>
      <w:r>
        <w:rPr>
          <w:spacing w:val="-15"/>
          <w:sz w:val="24"/>
        </w:rPr>
        <w:t> </w:t>
      </w:r>
      <w:r>
        <w:rPr>
          <w:sz w:val="24"/>
        </w:rPr>
        <w:t>at</w:t>
      </w:r>
      <w:r>
        <w:rPr>
          <w:spacing w:val="-15"/>
          <w:sz w:val="24"/>
        </w:rPr>
        <w:t> </w:t>
      </w:r>
      <w:r>
        <w:rPr>
          <w:sz w:val="24"/>
        </w:rPr>
        <w:t>5%.</w:t>
      </w:r>
      <w:r>
        <w:rPr>
          <w:spacing w:val="-13"/>
          <w:sz w:val="24"/>
        </w:rPr>
        <w:t> </w:t>
      </w:r>
      <w:r>
        <w:rPr>
          <w:sz w:val="24"/>
        </w:rPr>
        <w:t>Hence,</w:t>
      </w:r>
      <w:r>
        <w:rPr>
          <w:spacing w:val="-14"/>
          <w:sz w:val="24"/>
        </w:rPr>
        <w:t> </w:t>
      </w:r>
      <w:r>
        <w:rPr>
          <w:sz w:val="24"/>
        </w:rPr>
        <w:t>the</w:t>
      </w:r>
      <w:r>
        <w:rPr>
          <w:spacing w:val="-15"/>
          <w:sz w:val="24"/>
        </w:rPr>
        <w:t> </w:t>
      </w:r>
      <w:r>
        <w:rPr>
          <w:sz w:val="24"/>
        </w:rPr>
        <w:t>adoption</w:t>
      </w:r>
      <w:r>
        <w:rPr>
          <w:spacing w:val="-15"/>
          <w:sz w:val="24"/>
        </w:rPr>
        <w:t> </w:t>
      </w:r>
      <w:r>
        <w:rPr>
          <w:sz w:val="24"/>
        </w:rPr>
        <w:t>of</w:t>
      </w:r>
      <w:r>
        <w:rPr>
          <w:spacing w:val="-14"/>
          <w:sz w:val="24"/>
        </w:rPr>
        <w:t> </w:t>
      </w:r>
      <w:r>
        <w:rPr>
          <w:sz w:val="24"/>
        </w:rPr>
        <w:t>IFRS</w:t>
      </w:r>
      <w:r>
        <w:rPr>
          <w:spacing w:val="-15"/>
          <w:sz w:val="24"/>
        </w:rPr>
        <w:t> </w:t>
      </w:r>
      <w:r>
        <w:rPr>
          <w:sz w:val="24"/>
        </w:rPr>
        <w:t>significantly</w:t>
      </w:r>
      <w:r>
        <w:rPr>
          <w:spacing w:val="-15"/>
          <w:sz w:val="24"/>
        </w:rPr>
        <w:t> </w:t>
      </w:r>
      <w:r>
        <w:rPr>
          <w:sz w:val="24"/>
        </w:rPr>
        <w:t>improved</w:t>
      </w:r>
      <w:r>
        <w:rPr>
          <w:spacing w:val="-14"/>
          <w:sz w:val="24"/>
        </w:rPr>
        <w:t> </w:t>
      </w:r>
      <w:r>
        <w:rPr>
          <w:sz w:val="24"/>
        </w:rPr>
        <w:t>financial</w:t>
      </w:r>
      <w:r>
        <w:rPr>
          <w:spacing w:val="-15"/>
          <w:sz w:val="24"/>
        </w:rPr>
        <w:t> </w:t>
      </w:r>
      <w:r>
        <w:rPr>
          <w:sz w:val="24"/>
        </w:rPr>
        <w:t>reporting</w:t>
      </w:r>
      <w:r>
        <w:rPr>
          <w:spacing w:val="-15"/>
          <w:sz w:val="24"/>
        </w:rPr>
        <w:t> </w:t>
      </w:r>
      <w:r>
        <w:rPr>
          <w:sz w:val="24"/>
        </w:rPr>
        <w:t>quality and</w:t>
      </w:r>
      <w:r>
        <w:rPr>
          <w:spacing w:val="-15"/>
          <w:sz w:val="24"/>
        </w:rPr>
        <w:t> </w:t>
      </w:r>
      <w:r>
        <w:rPr>
          <w:sz w:val="24"/>
        </w:rPr>
        <w:t>accounts</w:t>
      </w:r>
      <w:r>
        <w:rPr>
          <w:spacing w:val="-14"/>
          <w:sz w:val="24"/>
        </w:rPr>
        <w:t> </w:t>
      </w:r>
      <w:r>
        <w:rPr>
          <w:sz w:val="24"/>
        </w:rPr>
        <w:t>for</w:t>
      </w:r>
      <w:r>
        <w:rPr>
          <w:spacing w:val="-15"/>
          <w:sz w:val="24"/>
        </w:rPr>
        <w:t> </w:t>
      </w:r>
      <w:r>
        <w:rPr>
          <w:sz w:val="24"/>
        </w:rPr>
        <w:t>incremental</w:t>
      </w:r>
      <w:r>
        <w:rPr>
          <w:spacing w:val="-14"/>
          <w:sz w:val="24"/>
        </w:rPr>
        <w:t> </w:t>
      </w:r>
      <w:r>
        <w:rPr>
          <w:sz w:val="24"/>
        </w:rPr>
        <w:t>changes</w:t>
      </w:r>
      <w:r>
        <w:rPr>
          <w:spacing w:val="-14"/>
          <w:sz w:val="24"/>
        </w:rPr>
        <w:t> </w:t>
      </w:r>
      <w:r>
        <w:rPr>
          <w:sz w:val="24"/>
        </w:rPr>
        <w:t>in</w:t>
      </w:r>
      <w:r>
        <w:rPr>
          <w:spacing w:val="-14"/>
          <w:sz w:val="24"/>
        </w:rPr>
        <w:t> </w:t>
      </w:r>
      <w:r>
        <w:rPr>
          <w:sz w:val="24"/>
        </w:rPr>
        <w:t>QUA-FRQ</w:t>
      </w:r>
      <w:r>
        <w:rPr>
          <w:spacing w:val="-15"/>
          <w:sz w:val="24"/>
        </w:rPr>
        <w:t> </w:t>
      </w:r>
      <w:r>
        <w:rPr>
          <w:sz w:val="24"/>
        </w:rPr>
        <w:t>for</w:t>
      </w:r>
      <w:r>
        <w:rPr>
          <w:spacing w:val="-15"/>
          <w:sz w:val="24"/>
        </w:rPr>
        <w:t> </w:t>
      </w:r>
      <w:r>
        <w:rPr>
          <w:sz w:val="24"/>
        </w:rPr>
        <w:t>the</w:t>
      </w:r>
      <w:r>
        <w:rPr>
          <w:spacing w:val="-15"/>
          <w:sz w:val="24"/>
        </w:rPr>
        <w:t> </w:t>
      </w:r>
      <w:r>
        <w:rPr>
          <w:sz w:val="24"/>
        </w:rPr>
        <w:t>firms</w:t>
      </w:r>
      <w:r>
        <w:rPr>
          <w:spacing w:val="-14"/>
          <w:sz w:val="24"/>
        </w:rPr>
        <w:t> </w:t>
      </w:r>
      <w:r>
        <w:rPr>
          <w:sz w:val="24"/>
        </w:rPr>
        <w:t>in</w:t>
      </w:r>
      <w:r>
        <w:rPr>
          <w:spacing w:val="-14"/>
          <w:sz w:val="24"/>
        </w:rPr>
        <w:t> </w:t>
      </w:r>
      <w:r>
        <w:rPr>
          <w:sz w:val="24"/>
        </w:rPr>
        <w:t>the</w:t>
      </w:r>
      <w:r>
        <w:rPr>
          <w:spacing w:val="-15"/>
          <w:sz w:val="24"/>
        </w:rPr>
        <w:t> </w:t>
      </w:r>
      <w:r>
        <w:rPr>
          <w:sz w:val="24"/>
        </w:rPr>
        <w:t>sample,</w:t>
      </w:r>
      <w:r>
        <w:rPr>
          <w:spacing w:val="-14"/>
          <w:sz w:val="24"/>
        </w:rPr>
        <w:t> </w:t>
      </w:r>
      <w:r>
        <w:rPr>
          <w:sz w:val="24"/>
        </w:rPr>
        <w:t>at</w:t>
      </w:r>
      <w:r>
        <w:rPr>
          <w:spacing w:val="-14"/>
          <w:sz w:val="24"/>
        </w:rPr>
        <w:t> </w:t>
      </w:r>
      <w:r>
        <w:rPr>
          <w:sz w:val="24"/>
        </w:rPr>
        <w:t>least</w:t>
      </w:r>
      <w:r>
        <w:rPr>
          <w:spacing w:val="-14"/>
          <w:sz w:val="24"/>
        </w:rPr>
        <w:t> </w:t>
      </w:r>
      <w:r>
        <w:rPr>
          <w:sz w:val="24"/>
        </w:rPr>
        <w:t>in</w:t>
      </w:r>
      <w:r>
        <w:rPr>
          <w:spacing w:val="-14"/>
          <w:sz w:val="24"/>
        </w:rPr>
        <w:t> </w:t>
      </w:r>
      <w:r>
        <w:rPr>
          <w:sz w:val="24"/>
        </w:rPr>
        <w:t>terms of the qualitative characteristics. For DACC, the D-I-D coefficient was positive at variance with theoretical expectation and significant (0.3509, p=0.000) at 5%. Hence, the adoption of IFRS significantly increased discretionary accruals and reduced financial reporting quality in relation to accruals. VREL, the D-I-D coefficient although positive as expected, it was not significant (8.5416, p=0.3407) at 5%. Hence, although the adoption of IFRS had a positive effect on changes in value relevance in the pre and post periods, the effect was weak and far from being significant.</w:t>
      </w:r>
    </w:p>
    <w:p>
      <w:pPr>
        <w:pStyle w:val="ListParagraph"/>
        <w:numPr>
          <w:ilvl w:val="0"/>
          <w:numId w:val="34"/>
        </w:numPr>
        <w:tabs>
          <w:tab w:pos="1232" w:val="left" w:leader="none"/>
        </w:tabs>
        <w:spacing w:line="480" w:lineRule="auto" w:before="201" w:after="0"/>
        <w:ind w:left="940" w:right="1436" w:firstLine="0"/>
        <w:jc w:val="both"/>
        <w:rPr>
          <w:sz w:val="24"/>
        </w:rPr>
      </w:pPr>
      <w:r>
        <w:rPr>
          <w:sz w:val="24"/>
        </w:rPr>
        <w:t>The estimations revealed that BDS had a negative effect on QUA-FRQ although not significant</w:t>
      </w:r>
      <w:r>
        <w:rPr>
          <w:spacing w:val="-12"/>
          <w:sz w:val="24"/>
        </w:rPr>
        <w:t> </w:t>
      </w:r>
      <w:r>
        <w:rPr>
          <w:sz w:val="24"/>
        </w:rPr>
        <w:t>at</w:t>
      </w:r>
      <w:r>
        <w:rPr>
          <w:spacing w:val="-12"/>
          <w:sz w:val="24"/>
        </w:rPr>
        <w:t> </w:t>
      </w:r>
      <w:r>
        <w:rPr>
          <w:sz w:val="24"/>
        </w:rPr>
        <w:t>5%</w:t>
      </w:r>
      <w:r>
        <w:rPr>
          <w:spacing w:val="-13"/>
          <w:sz w:val="24"/>
        </w:rPr>
        <w:t> </w:t>
      </w:r>
      <w:r>
        <w:rPr>
          <w:sz w:val="24"/>
        </w:rPr>
        <w:t>(-0.0009</w:t>
      </w:r>
      <w:r>
        <w:rPr>
          <w:spacing w:val="-12"/>
          <w:sz w:val="24"/>
        </w:rPr>
        <w:t> </w:t>
      </w:r>
      <w:r>
        <w:rPr>
          <w:sz w:val="24"/>
        </w:rPr>
        <w:t>,</w:t>
      </w:r>
      <w:r>
        <w:rPr>
          <w:spacing w:val="-12"/>
          <w:sz w:val="24"/>
        </w:rPr>
        <w:t> </w:t>
      </w:r>
      <w:r>
        <w:rPr>
          <w:sz w:val="24"/>
        </w:rPr>
        <w:t>p=0.5163)</w:t>
      </w:r>
      <w:r>
        <w:rPr>
          <w:spacing w:val="-10"/>
          <w:sz w:val="24"/>
        </w:rPr>
        <w:t> </w:t>
      </w:r>
      <w:r>
        <w:rPr>
          <w:sz w:val="24"/>
        </w:rPr>
        <w:t>and</w:t>
      </w:r>
      <w:r>
        <w:rPr>
          <w:spacing w:val="-12"/>
          <w:sz w:val="24"/>
        </w:rPr>
        <w:t> </w:t>
      </w:r>
      <w:r>
        <w:rPr>
          <w:sz w:val="24"/>
        </w:rPr>
        <w:t>the</w:t>
      </w:r>
      <w:r>
        <w:rPr>
          <w:spacing w:val="-10"/>
          <w:sz w:val="24"/>
        </w:rPr>
        <w:t> </w:t>
      </w:r>
      <w:r>
        <w:rPr>
          <w:sz w:val="24"/>
        </w:rPr>
        <w:t>interaction</w:t>
      </w:r>
      <w:r>
        <w:rPr>
          <w:spacing w:val="-12"/>
          <w:sz w:val="24"/>
        </w:rPr>
        <w:t> </w:t>
      </w:r>
      <w:r>
        <w:rPr>
          <w:sz w:val="24"/>
        </w:rPr>
        <w:t>Post-IFRS*BDS</w:t>
      </w:r>
      <w:r>
        <w:rPr>
          <w:spacing w:val="-12"/>
          <w:sz w:val="24"/>
        </w:rPr>
        <w:t> </w:t>
      </w:r>
      <w:r>
        <w:rPr>
          <w:sz w:val="24"/>
        </w:rPr>
        <w:t>testing</w:t>
      </w:r>
      <w:r>
        <w:rPr>
          <w:spacing w:val="-11"/>
          <w:sz w:val="24"/>
        </w:rPr>
        <w:t> </w:t>
      </w:r>
      <w:r>
        <w:rPr>
          <w:sz w:val="24"/>
        </w:rPr>
        <w:t>the</w:t>
      </w:r>
      <w:r>
        <w:rPr>
          <w:spacing w:val="-13"/>
          <w:sz w:val="24"/>
        </w:rPr>
        <w:t> </w:t>
      </w:r>
      <w:r>
        <w:rPr>
          <w:sz w:val="24"/>
        </w:rPr>
        <w:t>presence of incremental IFRS adoption effect also did not show that board size had a significant incremental effect on QUA-FRQ resulting from IFRS adoption (-0.00115, p=0.5851).</w:t>
      </w:r>
      <w:r>
        <w:rPr>
          <w:spacing w:val="40"/>
          <w:sz w:val="24"/>
        </w:rPr>
        <w:t> </w:t>
      </w:r>
      <w:r>
        <w:rPr>
          <w:sz w:val="24"/>
        </w:rPr>
        <w:t>BDS had a negative effect on DISACC although not significant at 5% (-0.0283, p=0.1130) and the interaction Post-IFRS*BDS testing the presence of incremental IFRS adoption effect also did not</w:t>
      </w:r>
      <w:r>
        <w:rPr>
          <w:spacing w:val="-2"/>
          <w:sz w:val="24"/>
        </w:rPr>
        <w:t> </w:t>
      </w:r>
      <w:r>
        <w:rPr>
          <w:sz w:val="24"/>
        </w:rPr>
        <w:t>show</w:t>
      </w:r>
      <w:r>
        <w:rPr>
          <w:spacing w:val="-2"/>
          <w:sz w:val="24"/>
        </w:rPr>
        <w:t> </w:t>
      </w:r>
      <w:r>
        <w:rPr>
          <w:sz w:val="24"/>
        </w:rPr>
        <w:t>that</w:t>
      </w:r>
      <w:r>
        <w:rPr>
          <w:spacing w:val="-2"/>
          <w:sz w:val="24"/>
        </w:rPr>
        <w:t> </w:t>
      </w:r>
      <w:r>
        <w:rPr>
          <w:sz w:val="24"/>
        </w:rPr>
        <w:t>board</w:t>
      </w:r>
      <w:r>
        <w:rPr>
          <w:spacing w:val="-2"/>
          <w:sz w:val="24"/>
        </w:rPr>
        <w:t> </w:t>
      </w:r>
      <w:r>
        <w:rPr>
          <w:sz w:val="24"/>
        </w:rPr>
        <w:t>size</w:t>
      </w:r>
      <w:r>
        <w:rPr>
          <w:spacing w:val="-1"/>
          <w:sz w:val="24"/>
        </w:rPr>
        <w:t> </w:t>
      </w:r>
      <w:r>
        <w:rPr>
          <w:sz w:val="24"/>
        </w:rPr>
        <w:t>had</w:t>
      </w:r>
      <w:r>
        <w:rPr>
          <w:spacing w:val="-1"/>
          <w:sz w:val="24"/>
        </w:rPr>
        <w:t> </w:t>
      </w:r>
      <w:r>
        <w:rPr>
          <w:sz w:val="24"/>
        </w:rPr>
        <w:t>a</w:t>
      </w:r>
      <w:r>
        <w:rPr>
          <w:spacing w:val="-1"/>
          <w:sz w:val="24"/>
        </w:rPr>
        <w:t> </w:t>
      </w:r>
      <w:r>
        <w:rPr>
          <w:sz w:val="24"/>
        </w:rPr>
        <w:t>significant</w:t>
      </w:r>
      <w:r>
        <w:rPr>
          <w:spacing w:val="-2"/>
          <w:sz w:val="24"/>
        </w:rPr>
        <w:t> </w:t>
      </w:r>
      <w:r>
        <w:rPr>
          <w:sz w:val="24"/>
        </w:rPr>
        <w:t>incremental</w:t>
      </w:r>
      <w:r>
        <w:rPr>
          <w:spacing w:val="-2"/>
          <w:sz w:val="24"/>
        </w:rPr>
        <w:t> </w:t>
      </w:r>
      <w:r>
        <w:rPr>
          <w:sz w:val="24"/>
        </w:rPr>
        <w:t>effect</w:t>
      </w:r>
      <w:r>
        <w:rPr>
          <w:spacing w:val="-2"/>
          <w:sz w:val="24"/>
        </w:rPr>
        <w:t> </w:t>
      </w:r>
      <w:r>
        <w:rPr>
          <w:sz w:val="24"/>
        </w:rPr>
        <w:t>on DISACC</w:t>
      </w:r>
      <w:r>
        <w:rPr>
          <w:spacing w:val="-2"/>
          <w:sz w:val="24"/>
        </w:rPr>
        <w:t> </w:t>
      </w:r>
      <w:r>
        <w:rPr>
          <w:sz w:val="24"/>
        </w:rPr>
        <w:t>resulting</w:t>
      </w:r>
      <w:r>
        <w:rPr>
          <w:spacing w:val="-2"/>
          <w:sz w:val="24"/>
        </w:rPr>
        <w:t> </w:t>
      </w:r>
      <w:r>
        <w:rPr>
          <w:sz w:val="24"/>
        </w:rPr>
        <w:t>from IFRS adoption (-0.006, p=0.7260). BDS had a positive effect on VREL although not significant at 5% (0.3607, p=0.1273) and the interaction Post-IFRS*BDS, testing the presence of incremental IFRS adoption effect also did not show that board size had a significant incremental effect on VREL resulting from IFRS adoption (-0.4814, p=0.7260).</w:t>
      </w:r>
    </w:p>
    <w:p>
      <w:pPr>
        <w:spacing w:after="0" w:line="480" w:lineRule="auto"/>
        <w:jc w:val="both"/>
        <w:rPr>
          <w:sz w:val="24"/>
        </w:rPr>
        <w:sectPr>
          <w:pgSz w:w="11910" w:h="16840"/>
          <w:pgMar w:header="0" w:footer="971" w:top="1360" w:bottom="1160" w:left="500" w:right="0"/>
        </w:sectPr>
      </w:pPr>
    </w:p>
    <w:p>
      <w:pPr>
        <w:pStyle w:val="ListParagraph"/>
        <w:numPr>
          <w:ilvl w:val="0"/>
          <w:numId w:val="34"/>
        </w:numPr>
        <w:tabs>
          <w:tab w:pos="1180" w:val="left" w:leader="none"/>
        </w:tabs>
        <w:spacing w:line="480" w:lineRule="auto" w:before="61" w:after="0"/>
        <w:ind w:left="940" w:right="1435" w:firstLine="0"/>
        <w:jc w:val="both"/>
        <w:rPr>
          <w:sz w:val="24"/>
        </w:rPr>
      </w:pPr>
      <w:r>
        <w:rPr/>
        <w:drawing>
          <wp:anchor distT="0" distB="0" distL="0" distR="0" allowOverlap="1" layoutInCell="1" locked="0" behindDoc="1" simplePos="0" relativeHeight="477765120">
            <wp:simplePos x="0" y="0"/>
            <wp:positionH relativeFrom="page">
              <wp:posOffset>1095451</wp:posOffset>
            </wp:positionH>
            <wp:positionV relativeFrom="paragraph">
              <wp:posOffset>1850770</wp:posOffset>
            </wp:positionV>
            <wp:extent cx="5106847" cy="5238115"/>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BDIND</w:t>
      </w:r>
      <w:r>
        <w:rPr>
          <w:spacing w:val="-4"/>
          <w:sz w:val="24"/>
        </w:rPr>
        <w:t> </w:t>
      </w:r>
      <w:r>
        <w:rPr>
          <w:sz w:val="24"/>
        </w:rPr>
        <w:t>had</w:t>
      </w:r>
      <w:r>
        <w:rPr>
          <w:spacing w:val="-3"/>
          <w:sz w:val="24"/>
        </w:rPr>
        <w:t> </w:t>
      </w:r>
      <w:r>
        <w:rPr>
          <w:sz w:val="24"/>
        </w:rPr>
        <w:t>a</w:t>
      </w:r>
      <w:r>
        <w:rPr>
          <w:spacing w:val="-4"/>
          <w:sz w:val="24"/>
        </w:rPr>
        <w:t> </w:t>
      </w:r>
      <w:r>
        <w:rPr>
          <w:sz w:val="24"/>
        </w:rPr>
        <w:t>negative</w:t>
      </w:r>
      <w:r>
        <w:rPr>
          <w:spacing w:val="-2"/>
          <w:sz w:val="24"/>
        </w:rPr>
        <w:t> </w:t>
      </w:r>
      <w:r>
        <w:rPr>
          <w:sz w:val="24"/>
        </w:rPr>
        <w:t>coefficient</w:t>
      </w:r>
      <w:r>
        <w:rPr>
          <w:spacing w:val="-3"/>
          <w:sz w:val="24"/>
        </w:rPr>
        <w:t> </w:t>
      </w:r>
      <w:r>
        <w:rPr>
          <w:sz w:val="24"/>
        </w:rPr>
        <w:t>(-0.0646)</w:t>
      </w:r>
      <w:r>
        <w:rPr>
          <w:spacing w:val="-4"/>
          <w:sz w:val="24"/>
        </w:rPr>
        <w:t> </w:t>
      </w:r>
      <w:r>
        <w:rPr>
          <w:sz w:val="24"/>
        </w:rPr>
        <w:t>although</w:t>
      </w:r>
      <w:r>
        <w:rPr>
          <w:spacing w:val="-3"/>
          <w:sz w:val="24"/>
        </w:rPr>
        <w:t> </w:t>
      </w:r>
      <w:r>
        <w:rPr>
          <w:sz w:val="24"/>
        </w:rPr>
        <w:t>not</w:t>
      </w:r>
      <w:r>
        <w:rPr>
          <w:spacing w:val="-3"/>
          <w:sz w:val="24"/>
        </w:rPr>
        <w:t> </w:t>
      </w:r>
      <w:r>
        <w:rPr>
          <w:sz w:val="24"/>
        </w:rPr>
        <w:t>significant</w:t>
      </w:r>
      <w:r>
        <w:rPr>
          <w:spacing w:val="-3"/>
          <w:sz w:val="24"/>
        </w:rPr>
        <w:t> </w:t>
      </w:r>
      <w:r>
        <w:rPr>
          <w:sz w:val="24"/>
        </w:rPr>
        <w:t>(p=-0.646)</w:t>
      </w:r>
      <w:r>
        <w:rPr>
          <w:spacing w:val="-4"/>
          <w:sz w:val="24"/>
        </w:rPr>
        <w:t> </w:t>
      </w:r>
      <w:r>
        <w:rPr>
          <w:sz w:val="24"/>
        </w:rPr>
        <w:t>at</w:t>
      </w:r>
      <w:r>
        <w:rPr>
          <w:spacing w:val="-3"/>
          <w:sz w:val="24"/>
        </w:rPr>
        <w:t> </w:t>
      </w:r>
      <w:r>
        <w:rPr>
          <w:sz w:val="24"/>
        </w:rPr>
        <w:t>5%.</w:t>
      </w:r>
      <w:r>
        <w:rPr>
          <w:spacing w:val="-3"/>
          <w:sz w:val="24"/>
        </w:rPr>
        <w:t> </w:t>
      </w:r>
      <w:r>
        <w:rPr>
          <w:sz w:val="24"/>
        </w:rPr>
        <w:t>The interaction; Post-IFRS*BDIND, testing the presence of incremental IFRS adoption effect however,</w:t>
      </w:r>
      <w:r>
        <w:rPr>
          <w:spacing w:val="-4"/>
          <w:sz w:val="24"/>
        </w:rPr>
        <w:t> </w:t>
      </w:r>
      <w:r>
        <w:rPr>
          <w:sz w:val="24"/>
        </w:rPr>
        <w:t>revealed</w:t>
      </w:r>
      <w:r>
        <w:rPr>
          <w:spacing w:val="-4"/>
          <w:sz w:val="24"/>
        </w:rPr>
        <w:t> </w:t>
      </w:r>
      <w:r>
        <w:rPr>
          <w:sz w:val="24"/>
        </w:rPr>
        <w:t>that</w:t>
      </w:r>
      <w:r>
        <w:rPr>
          <w:spacing w:val="-4"/>
          <w:sz w:val="24"/>
        </w:rPr>
        <w:t> </w:t>
      </w:r>
      <w:r>
        <w:rPr>
          <w:sz w:val="24"/>
        </w:rPr>
        <w:t>board</w:t>
      </w:r>
      <w:r>
        <w:rPr>
          <w:spacing w:val="-4"/>
          <w:sz w:val="24"/>
        </w:rPr>
        <w:t> </w:t>
      </w:r>
      <w:r>
        <w:rPr>
          <w:sz w:val="24"/>
        </w:rPr>
        <w:t>independence</w:t>
      </w:r>
      <w:r>
        <w:rPr>
          <w:spacing w:val="-5"/>
          <w:sz w:val="24"/>
        </w:rPr>
        <w:t> </w:t>
      </w:r>
      <w:r>
        <w:rPr>
          <w:sz w:val="24"/>
        </w:rPr>
        <w:t>had</w:t>
      </w:r>
      <w:r>
        <w:rPr>
          <w:spacing w:val="-3"/>
          <w:sz w:val="24"/>
        </w:rPr>
        <w:t> </w:t>
      </w:r>
      <w:r>
        <w:rPr>
          <w:sz w:val="24"/>
        </w:rPr>
        <w:t>a</w:t>
      </w:r>
      <w:r>
        <w:rPr>
          <w:spacing w:val="-4"/>
          <w:sz w:val="24"/>
        </w:rPr>
        <w:t> </w:t>
      </w:r>
      <w:r>
        <w:rPr>
          <w:sz w:val="24"/>
        </w:rPr>
        <w:t>significant</w:t>
      </w:r>
      <w:r>
        <w:rPr>
          <w:spacing w:val="-4"/>
          <w:sz w:val="24"/>
        </w:rPr>
        <w:t> </w:t>
      </w:r>
      <w:r>
        <w:rPr>
          <w:sz w:val="24"/>
        </w:rPr>
        <w:t>incremental</w:t>
      </w:r>
      <w:r>
        <w:rPr>
          <w:spacing w:val="-4"/>
          <w:sz w:val="24"/>
        </w:rPr>
        <w:t> </w:t>
      </w:r>
      <w:r>
        <w:rPr>
          <w:sz w:val="24"/>
        </w:rPr>
        <w:t>effect</w:t>
      </w:r>
      <w:r>
        <w:rPr>
          <w:spacing w:val="-4"/>
          <w:sz w:val="24"/>
        </w:rPr>
        <w:t> </w:t>
      </w:r>
      <w:r>
        <w:rPr>
          <w:sz w:val="24"/>
        </w:rPr>
        <w:t>on</w:t>
      </w:r>
      <w:r>
        <w:rPr>
          <w:spacing w:val="-4"/>
          <w:sz w:val="24"/>
        </w:rPr>
        <w:t> </w:t>
      </w:r>
      <w:r>
        <w:rPr>
          <w:sz w:val="24"/>
        </w:rPr>
        <w:t>QUA-FRQ resulting</w:t>
      </w:r>
      <w:r>
        <w:rPr>
          <w:spacing w:val="-1"/>
          <w:sz w:val="24"/>
        </w:rPr>
        <w:t> </w:t>
      </w:r>
      <w:r>
        <w:rPr>
          <w:sz w:val="24"/>
        </w:rPr>
        <w:t>from</w:t>
      </w:r>
      <w:r>
        <w:rPr>
          <w:spacing w:val="-1"/>
          <w:sz w:val="24"/>
        </w:rPr>
        <w:t> </w:t>
      </w:r>
      <w:r>
        <w:rPr>
          <w:sz w:val="24"/>
        </w:rPr>
        <w:t>IFRS</w:t>
      </w:r>
      <w:r>
        <w:rPr>
          <w:spacing w:val="-1"/>
          <w:sz w:val="24"/>
        </w:rPr>
        <w:t> </w:t>
      </w:r>
      <w:r>
        <w:rPr>
          <w:sz w:val="24"/>
        </w:rPr>
        <w:t>adoption</w:t>
      </w:r>
      <w:r>
        <w:rPr>
          <w:spacing w:val="-1"/>
          <w:sz w:val="24"/>
        </w:rPr>
        <w:t> </w:t>
      </w:r>
      <w:r>
        <w:rPr>
          <w:sz w:val="24"/>
        </w:rPr>
        <w:t>(0.1067,</w:t>
      </w:r>
      <w:r>
        <w:rPr>
          <w:spacing w:val="-1"/>
          <w:sz w:val="24"/>
        </w:rPr>
        <w:t> </w:t>
      </w:r>
      <w:r>
        <w:rPr>
          <w:sz w:val="24"/>
        </w:rPr>
        <w:t>p=0.033).</w:t>
      </w:r>
      <w:r>
        <w:rPr>
          <w:spacing w:val="-1"/>
          <w:sz w:val="24"/>
        </w:rPr>
        <w:t> </w:t>
      </w:r>
      <w:r>
        <w:rPr>
          <w:sz w:val="24"/>
        </w:rPr>
        <w:t>Hence,</w:t>
      </w:r>
      <w:r>
        <w:rPr>
          <w:spacing w:val="-1"/>
          <w:sz w:val="24"/>
        </w:rPr>
        <w:t> </w:t>
      </w:r>
      <w:r>
        <w:rPr>
          <w:sz w:val="24"/>
        </w:rPr>
        <w:t>the results</w:t>
      </w:r>
      <w:r>
        <w:rPr>
          <w:spacing w:val="-1"/>
          <w:sz w:val="24"/>
        </w:rPr>
        <w:t> </w:t>
      </w:r>
      <w:r>
        <w:rPr>
          <w:sz w:val="24"/>
        </w:rPr>
        <w:t>suggested</w:t>
      </w:r>
      <w:r>
        <w:rPr>
          <w:spacing w:val="-1"/>
          <w:sz w:val="24"/>
        </w:rPr>
        <w:t> </w:t>
      </w:r>
      <w:r>
        <w:rPr>
          <w:sz w:val="24"/>
        </w:rPr>
        <w:t>that</w:t>
      </w:r>
      <w:r>
        <w:rPr>
          <w:spacing w:val="-1"/>
          <w:sz w:val="24"/>
        </w:rPr>
        <w:t> </w:t>
      </w:r>
      <w:r>
        <w:rPr>
          <w:sz w:val="24"/>
        </w:rPr>
        <w:t>with</w:t>
      </w:r>
      <w:r>
        <w:rPr>
          <w:spacing w:val="-1"/>
          <w:sz w:val="24"/>
        </w:rPr>
        <w:t> </w:t>
      </w:r>
      <w:r>
        <w:rPr>
          <w:sz w:val="24"/>
        </w:rPr>
        <w:t>IFRS, board independence became effective in improving QUA-FRQ. For DISACC Measure, BDIND had a negative coefficient (-1.2307) and significant (p=0.0162) at 5% indicating that a</w:t>
      </w:r>
      <w:r>
        <w:rPr>
          <w:spacing w:val="-2"/>
          <w:sz w:val="24"/>
        </w:rPr>
        <w:t> </w:t>
      </w:r>
      <w:r>
        <w:rPr>
          <w:sz w:val="24"/>
        </w:rPr>
        <w:t>higher</w:t>
      </w:r>
      <w:r>
        <w:rPr>
          <w:spacing w:val="-3"/>
          <w:sz w:val="24"/>
        </w:rPr>
        <w:t> </w:t>
      </w:r>
      <w:r>
        <w:rPr>
          <w:sz w:val="24"/>
        </w:rPr>
        <w:t>level</w:t>
      </w:r>
      <w:r>
        <w:rPr>
          <w:spacing w:val="-1"/>
          <w:sz w:val="24"/>
        </w:rPr>
        <w:t> </w:t>
      </w:r>
      <w:r>
        <w:rPr>
          <w:sz w:val="24"/>
        </w:rPr>
        <w:t>of</w:t>
      </w:r>
      <w:r>
        <w:rPr>
          <w:spacing w:val="-2"/>
          <w:sz w:val="24"/>
        </w:rPr>
        <w:t> </w:t>
      </w:r>
      <w:r>
        <w:rPr>
          <w:sz w:val="24"/>
        </w:rPr>
        <w:t>independent</w:t>
      </w:r>
      <w:r>
        <w:rPr>
          <w:spacing w:val="-2"/>
          <w:sz w:val="24"/>
        </w:rPr>
        <w:t> </w:t>
      </w:r>
      <w:r>
        <w:rPr>
          <w:sz w:val="24"/>
        </w:rPr>
        <w:t>boards</w:t>
      </w:r>
      <w:r>
        <w:rPr>
          <w:spacing w:val="-2"/>
          <w:sz w:val="24"/>
        </w:rPr>
        <w:t> </w:t>
      </w:r>
      <w:r>
        <w:rPr>
          <w:sz w:val="24"/>
        </w:rPr>
        <w:t>constrained rising</w:t>
      </w:r>
      <w:r>
        <w:rPr>
          <w:spacing w:val="-2"/>
          <w:sz w:val="24"/>
        </w:rPr>
        <w:t> </w:t>
      </w:r>
      <w:r>
        <w:rPr>
          <w:sz w:val="24"/>
        </w:rPr>
        <w:t>discretionary</w:t>
      </w:r>
      <w:r>
        <w:rPr>
          <w:spacing w:val="-2"/>
          <w:sz w:val="24"/>
        </w:rPr>
        <w:t> </w:t>
      </w:r>
      <w:r>
        <w:rPr>
          <w:sz w:val="24"/>
        </w:rPr>
        <w:t>accruals.</w:t>
      </w:r>
      <w:r>
        <w:rPr>
          <w:spacing w:val="-2"/>
          <w:sz w:val="24"/>
        </w:rPr>
        <w:t> </w:t>
      </w:r>
      <w:r>
        <w:rPr>
          <w:sz w:val="24"/>
        </w:rPr>
        <w:t>The</w:t>
      </w:r>
      <w:r>
        <w:rPr>
          <w:spacing w:val="-2"/>
          <w:sz w:val="24"/>
        </w:rPr>
        <w:t> </w:t>
      </w:r>
      <w:r>
        <w:rPr>
          <w:sz w:val="24"/>
        </w:rPr>
        <w:t>interaction Post-IFRS*BDIND testing the presence of incremental IFRS adoption effect also confirmed that board had a significant incremental effect on DISACC resulting from IFRS adoption (1.4173, p=0.006). For VREL measures, BDIND has a positive coefficient (11.300) and significant (p=0.0623) at 10% indicating that a higher level of independent boards increased value relevance. The interaction coefficient; Post-IFRS*BDIND, testing the presence of incremental IFRS adoption effect also confirmed that board independence had a significant incremental effect on value relevance although surprisingly negative (-26.338, p=0.000) and significant at 1%.</w:t>
      </w:r>
    </w:p>
    <w:p>
      <w:pPr>
        <w:pStyle w:val="ListParagraph"/>
        <w:numPr>
          <w:ilvl w:val="0"/>
          <w:numId w:val="34"/>
        </w:numPr>
        <w:tabs>
          <w:tab w:pos="1165" w:val="left" w:leader="none"/>
        </w:tabs>
        <w:spacing w:line="480" w:lineRule="auto" w:before="2" w:after="0"/>
        <w:ind w:left="940" w:right="1433" w:firstLine="0"/>
        <w:jc w:val="both"/>
        <w:rPr>
          <w:sz w:val="24"/>
        </w:rPr>
      </w:pPr>
      <w:r>
        <w:rPr>
          <w:sz w:val="24"/>
        </w:rPr>
        <w:t>The</w:t>
      </w:r>
      <w:r>
        <w:rPr>
          <w:spacing w:val="-15"/>
          <w:sz w:val="24"/>
        </w:rPr>
        <w:t> </w:t>
      </w:r>
      <w:r>
        <w:rPr>
          <w:sz w:val="24"/>
        </w:rPr>
        <w:t>results</w:t>
      </w:r>
      <w:r>
        <w:rPr>
          <w:spacing w:val="-15"/>
          <w:sz w:val="24"/>
        </w:rPr>
        <w:t> </w:t>
      </w:r>
      <w:r>
        <w:rPr>
          <w:sz w:val="24"/>
        </w:rPr>
        <w:t>revealed</w:t>
      </w:r>
      <w:r>
        <w:rPr>
          <w:spacing w:val="-15"/>
          <w:sz w:val="24"/>
        </w:rPr>
        <w:t> </w:t>
      </w:r>
      <w:r>
        <w:rPr>
          <w:sz w:val="24"/>
        </w:rPr>
        <w:t>that</w:t>
      </w:r>
      <w:r>
        <w:rPr>
          <w:spacing w:val="-15"/>
          <w:sz w:val="24"/>
        </w:rPr>
        <w:t> </w:t>
      </w:r>
      <w:r>
        <w:rPr>
          <w:sz w:val="24"/>
        </w:rPr>
        <w:t>BFEXP</w:t>
      </w:r>
      <w:r>
        <w:rPr>
          <w:spacing w:val="-15"/>
          <w:sz w:val="24"/>
        </w:rPr>
        <w:t> </w:t>
      </w:r>
      <w:r>
        <w:rPr>
          <w:sz w:val="24"/>
        </w:rPr>
        <w:t>had</w:t>
      </w:r>
      <w:r>
        <w:rPr>
          <w:spacing w:val="-15"/>
          <w:sz w:val="24"/>
        </w:rPr>
        <w:t> </w:t>
      </w:r>
      <w:r>
        <w:rPr>
          <w:sz w:val="24"/>
        </w:rPr>
        <w:t>a</w:t>
      </w:r>
      <w:r>
        <w:rPr>
          <w:spacing w:val="-15"/>
          <w:sz w:val="24"/>
        </w:rPr>
        <w:t> </w:t>
      </w:r>
      <w:r>
        <w:rPr>
          <w:sz w:val="24"/>
        </w:rPr>
        <w:t>negative</w:t>
      </w:r>
      <w:r>
        <w:rPr>
          <w:spacing w:val="-15"/>
          <w:sz w:val="24"/>
        </w:rPr>
        <w:t> </w:t>
      </w:r>
      <w:r>
        <w:rPr>
          <w:sz w:val="24"/>
        </w:rPr>
        <w:t>effect</w:t>
      </w:r>
      <w:r>
        <w:rPr>
          <w:spacing w:val="-15"/>
          <w:sz w:val="24"/>
        </w:rPr>
        <w:t> </w:t>
      </w:r>
      <w:r>
        <w:rPr>
          <w:sz w:val="24"/>
        </w:rPr>
        <w:t>on</w:t>
      </w:r>
      <w:r>
        <w:rPr>
          <w:spacing w:val="-15"/>
          <w:sz w:val="24"/>
        </w:rPr>
        <w:t> </w:t>
      </w:r>
      <w:r>
        <w:rPr>
          <w:sz w:val="24"/>
        </w:rPr>
        <w:t>QUA-FRQ</w:t>
      </w:r>
      <w:r>
        <w:rPr>
          <w:spacing w:val="-15"/>
          <w:sz w:val="24"/>
        </w:rPr>
        <w:t> </w:t>
      </w:r>
      <w:r>
        <w:rPr>
          <w:sz w:val="24"/>
        </w:rPr>
        <w:t>although</w:t>
      </w:r>
      <w:r>
        <w:rPr>
          <w:spacing w:val="-15"/>
          <w:sz w:val="24"/>
        </w:rPr>
        <w:t> </w:t>
      </w:r>
      <w:r>
        <w:rPr>
          <w:sz w:val="24"/>
        </w:rPr>
        <w:t>not</w:t>
      </w:r>
      <w:r>
        <w:rPr>
          <w:spacing w:val="-15"/>
          <w:sz w:val="24"/>
        </w:rPr>
        <w:t> </w:t>
      </w:r>
      <w:r>
        <w:rPr>
          <w:sz w:val="24"/>
        </w:rPr>
        <w:t>significant at 5% (-0.01458, p=0.2765) and the interaction; Post-IFRS*BFEXP, testing the presence of incremental</w:t>
      </w:r>
      <w:r>
        <w:rPr>
          <w:spacing w:val="-9"/>
          <w:sz w:val="24"/>
        </w:rPr>
        <w:t> </w:t>
      </w:r>
      <w:r>
        <w:rPr>
          <w:sz w:val="24"/>
        </w:rPr>
        <w:t>IFRS</w:t>
      </w:r>
      <w:r>
        <w:rPr>
          <w:spacing w:val="-10"/>
          <w:sz w:val="24"/>
        </w:rPr>
        <w:t> </w:t>
      </w:r>
      <w:r>
        <w:rPr>
          <w:sz w:val="24"/>
        </w:rPr>
        <w:t>adoption</w:t>
      </w:r>
      <w:r>
        <w:rPr>
          <w:spacing w:val="-11"/>
          <w:sz w:val="24"/>
        </w:rPr>
        <w:t> </w:t>
      </w:r>
      <w:r>
        <w:rPr>
          <w:sz w:val="24"/>
        </w:rPr>
        <w:t>effect</w:t>
      </w:r>
      <w:r>
        <w:rPr>
          <w:spacing w:val="-10"/>
          <w:sz w:val="24"/>
        </w:rPr>
        <w:t> </w:t>
      </w:r>
      <w:r>
        <w:rPr>
          <w:sz w:val="24"/>
        </w:rPr>
        <w:t>also</w:t>
      </w:r>
      <w:r>
        <w:rPr>
          <w:spacing w:val="-10"/>
          <w:sz w:val="24"/>
        </w:rPr>
        <w:t> </w:t>
      </w:r>
      <w:r>
        <w:rPr>
          <w:sz w:val="24"/>
        </w:rPr>
        <w:t>showed</w:t>
      </w:r>
      <w:r>
        <w:rPr>
          <w:spacing w:val="-11"/>
          <w:sz w:val="24"/>
        </w:rPr>
        <w:t> </w:t>
      </w:r>
      <w:r>
        <w:rPr>
          <w:sz w:val="24"/>
        </w:rPr>
        <w:t>that</w:t>
      </w:r>
      <w:r>
        <w:rPr>
          <w:spacing w:val="-10"/>
          <w:sz w:val="24"/>
        </w:rPr>
        <w:t> </w:t>
      </w:r>
      <w:r>
        <w:rPr>
          <w:sz w:val="24"/>
        </w:rPr>
        <w:t>BFEXP</w:t>
      </w:r>
      <w:r>
        <w:rPr>
          <w:spacing w:val="-10"/>
          <w:sz w:val="24"/>
        </w:rPr>
        <w:t> </w:t>
      </w:r>
      <w:r>
        <w:rPr>
          <w:sz w:val="24"/>
        </w:rPr>
        <w:t>had</w:t>
      </w:r>
      <w:r>
        <w:rPr>
          <w:spacing w:val="-10"/>
          <w:sz w:val="24"/>
        </w:rPr>
        <w:t> </w:t>
      </w:r>
      <w:r>
        <w:rPr>
          <w:sz w:val="24"/>
        </w:rPr>
        <w:t>a</w:t>
      </w:r>
      <w:r>
        <w:rPr>
          <w:spacing w:val="-12"/>
          <w:sz w:val="24"/>
        </w:rPr>
        <w:t> </w:t>
      </w:r>
      <w:r>
        <w:rPr>
          <w:sz w:val="24"/>
        </w:rPr>
        <w:t>significant</w:t>
      </w:r>
      <w:r>
        <w:rPr>
          <w:spacing w:val="-10"/>
          <w:sz w:val="24"/>
        </w:rPr>
        <w:t> </w:t>
      </w:r>
      <w:r>
        <w:rPr>
          <w:sz w:val="24"/>
        </w:rPr>
        <w:t>incremental</w:t>
      </w:r>
      <w:r>
        <w:rPr>
          <w:spacing w:val="-10"/>
          <w:sz w:val="24"/>
        </w:rPr>
        <w:t> </w:t>
      </w:r>
      <w:r>
        <w:rPr>
          <w:sz w:val="24"/>
        </w:rPr>
        <w:t>effect on</w:t>
      </w:r>
      <w:r>
        <w:rPr>
          <w:spacing w:val="-3"/>
          <w:sz w:val="24"/>
        </w:rPr>
        <w:t> </w:t>
      </w:r>
      <w:r>
        <w:rPr>
          <w:sz w:val="24"/>
        </w:rPr>
        <w:t>QUA-FRQ</w:t>
      </w:r>
      <w:r>
        <w:rPr>
          <w:spacing w:val="-2"/>
          <w:sz w:val="24"/>
        </w:rPr>
        <w:t> </w:t>
      </w:r>
      <w:r>
        <w:rPr>
          <w:sz w:val="24"/>
        </w:rPr>
        <w:t>resulting</w:t>
      </w:r>
      <w:r>
        <w:rPr>
          <w:spacing w:val="-3"/>
          <w:sz w:val="24"/>
        </w:rPr>
        <w:t> </w:t>
      </w:r>
      <w:r>
        <w:rPr>
          <w:sz w:val="24"/>
        </w:rPr>
        <w:t>from</w:t>
      </w:r>
      <w:r>
        <w:rPr>
          <w:spacing w:val="-2"/>
          <w:sz w:val="24"/>
        </w:rPr>
        <w:t> </w:t>
      </w:r>
      <w:r>
        <w:rPr>
          <w:sz w:val="24"/>
        </w:rPr>
        <w:t>IFRS</w:t>
      </w:r>
      <w:r>
        <w:rPr>
          <w:spacing w:val="-1"/>
          <w:sz w:val="24"/>
        </w:rPr>
        <w:t> </w:t>
      </w:r>
      <w:r>
        <w:rPr>
          <w:sz w:val="24"/>
        </w:rPr>
        <w:t>adoption</w:t>
      </w:r>
      <w:r>
        <w:rPr>
          <w:spacing w:val="-3"/>
          <w:sz w:val="24"/>
        </w:rPr>
        <w:t> </w:t>
      </w:r>
      <w:r>
        <w:rPr>
          <w:sz w:val="24"/>
        </w:rPr>
        <w:t>(0.0748,</w:t>
      </w:r>
      <w:r>
        <w:rPr>
          <w:spacing w:val="-3"/>
          <w:sz w:val="24"/>
        </w:rPr>
        <w:t> </w:t>
      </w:r>
      <w:r>
        <w:rPr>
          <w:sz w:val="24"/>
        </w:rPr>
        <w:t>p=0.0034).</w:t>
      </w:r>
      <w:r>
        <w:rPr>
          <w:spacing w:val="-1"/>
          <w:sz w:val="24"/>
        </w:rPr>
        <w:t> </w:t>
      </w:r>
      <w:r>
        <w:rPr>
          <w:sz w:val="24"/>
        </w:rPr>
        <w:t>Hence,</w:t>
      </w:r>
      <w:r>
        <w:rPr>
          <w:spacing w:val="-3"/>
          <w:sz w:val="24"/>
        </w:rPr>
        <w:t> </w:t>
      </w:r>
      <w:r>
        <w:rPr>
          <w:sz w:val="24"/>
        </w:rPr>
        <w:t>the</w:t>
      </w:r>
      <w:r>
        <w:rPr>
          <w:spacing w:val="-3"/>
          <w:sz w:val="24"/>
        </w:rPr>
        <w:t> </w:t>
      </w:r>
      <w:r>
        <w:rPr>
          <w:sz w:val="24"/>
        </w:rPr>
        <w:t>results</w:t>
      </w:r>
      <w:r>
        <w:rPr>
          <w:spacing w:val="-3"/>
          <w:sz w:val="24"/>
        </w:rPr>
        <w:t> </w:t>
      </w:r>
      <w:r>
        <w:rPr>
          <w:sz w:val="24"/>
        </w:rPr>
        <w:t>suggested that with IFRS, board financial expertise became effective in improving QUA-FRQ.</w:t>
      </w:r>
      <w:r>
        <w:rPr>
          <w:spacing w:val="40"/>
          <w:sz w:val="24"/>
        </w:rPr>
        <w:t> </w:t>
      </w:r>
      <w:r>
        <w:rPr>
          <w:sz w:val="24"/>
        </w:rPr>
        <w:t>BFEXP had a positive effect on discretionary accruals although not significant at 5% (-0.6411, p=0.3468) and the interaction; Post-IFRS*BFEXP, testing the presence of incremental IFRS adoption</w:t>
      </w:r>
      <w:r>
        <w:rPr>
          <w:spacing w:val="-8"/>
          <w:sz w:val="24"/>
        </w:rPr>
        <w:t> </w:t>
      </w:r>
      <w:r>
        <w:rPr>
          <w:sz w:val="24"/>
        </w:rPr>
        <w:t>effect</w:t>
      </w:r>
      <w:r>
        <w:rPr>
          <w:spacing w:val="-8"/>
          <w:sz w:val="24"/>
        </w:rPr>
        <w:t> </w:t>
      </w:r>
      <w:r>
        <w:rPr>
          <w:sz w:val="24"/>
        </w:rPr>
        <w:t>also</w:t>
      </w:r>
      <w:r>
        <w:rPr>
          <w:spacing w:val="-8"/>
          <w:sz w:val="24"/>
        </w:rPr>
        <w:t> </w:t>
      </w:r>
      <w:r>
        <w:rPr>
          <w:sz w:val="24"/>
        </w:rPr>
        <w:t>did</w:t>
      </w:r>
      <w:r>
        <w:rPr>
          <w:spacing w:val="-8"/>
          <w:sz w:val="24"/>
        </w:rPr>
        <w:t> </w:t>
      </w:r>
      <w:r>
        <w:rPr>
          <w:sz w:val="24"/>
        </w:rPr>
        <w:t>not</w:t>
      </w:r>
      <w:r>
        <w:rPr>
          <w:spacing w:val="-8"/>
          <w:sz w:val="24"/>
        </w:rPr>
        <w:t> </w:t>
      </w:r>
      <w:r>
        <w:rPr>
          <w:sz w:val="24"/>
        </w:rPr>
        <w:t>show</w:t>
      </w:r>
      <w:r>
        <w:rPr>
          <w:spacing w:val="-9"/>
          <w:sz w:val="24"/>
        </w:rPr>
        <w:t> </w:t>
      </w:r>
      <w:r>
        <w:rPr>
          <w:sz w:val="24"/>
        </w:rPr>
        <w:t>that</w:t>
      </w:r>
      <w:r>
        <w:rPr>
          <w:spacing w:val="-8"/>
          <w:sz w:val="24"/>
        </w:rPr>
        <w:t> </w:t>
      </w:r>
      <w:r>
        <w:rPr>
          <w:sz w:val="24"/>
        </w:rPr>
        <w:t>BFEXP</w:t>
      </w:r>
      <w:r>
        <w:rPr>
          <w:spacing w:val="-8"/>
          <w:sz w:val="24"/>
        </w:rPr>
        <w:t> </w:t>
      </w:r>
      <w:r>
        <w:rPr>
          <w:sz w:val="24"/>
        </w:rPr>
        <w:t>had</w:t>
      </w:r>
      <w:r>
        <w:rPr>
          <w:spacing w:val="-9"/>
          <w:sz w:val="24"/>
        </w:rPr>
        <w:t> </w:t>
      </w:r>
      <w:r>
        <w:rPr>
          <w:sz w:val="24"/>
        </w:rPr>
        <w:t>a</w:t>
      </w:r>
      <w:r>
        <w:rPr>
          <w:spacing w:val="-9"/>
          <w:sz w:val="24"/>
        </w:rPr>
        <w:t> </w:t>
      </w:r>
      <w:r>
        <w:rPr>
          <w:sz w:val="24"/>
        </w:rPr>
        <w:t>significant</w:t>
      </w:r>
      <w:r>
        <w:rPr>
          <w:spacing w:val="-8"/>
          <w:sz w:val="24"/>
        </w:rPr>
        <w:t> </w:t>
      </w:r>
      <w:r>
        <w:rPr>
          <w:sz w:val="24"/>
        </w:rPr>
        <w:t>incremental</w:t>
      </w:r>
      <w:r>
        <w:rPr>
          <w:spacing w:val="-5"/>
          <w:sz w:val="24"/>
        </w:rPr>
        <w:t> </w:t>
      </w:r>
      <w:r>
        <w:rPr>
          <w:sz w:val="24"/>
        </w:rPr>
        <w:t>effect</w:t>
      </w:r>
      <w:r>
        <w:rPr>
          <w:spacing w:val="-8"/>
          <w:sz w:val="24"/>
        </w:rPr>
        <w:t> </w:t>
      </w:r>
      <w:r>
        <w:rPr>
          <w:sz w:val="24"/>
        </w:rPr>
        <w:t>on</w:t>
      </w:r>
      <w:r>
        <w:rPr>
          <w:spacing w:val="-8"/>
          <w:sz w:val="24"/>
        </w:rPr>
        <w:t> </w:t>
      </w:r>
      <w:r>
        <w:rPr>
          <w:sz w:val="24"/>
        </w:rPr>
        <w:t>DISACC resulting from IFRS adoption (-0.3774, p=0.6162). BFEXP had a negative effect on value relevance</w:t>
      </w:r>
      <w:r>
        <w:rPr>
          <w:spacing w:val="70"/>
          <w:w w:val="150"/>
          <w:sz w:val="24"/>
        </w:rPr>
        <w:t> </w:t>
      </w:r>
      <w:r>
        <w:rPr>
          <w:sz w:val="24"/>
        </w:rPr>
        <w:t>and</w:t>
      </w:r>
      <w:r>
        <w:rPr>
          <w:spacing w:val="69"/>
          <w:w w:val="150"/>
          <w:sz w:val="24"/>
        </w:rPr>
        <w:t> </w:t>
      </w:r>
      <w:r>
        <w:rPr>
          <w:sz w:val="24"/>
        </w:rPr>
        <w:t>was</w:t>
      </w:r>
      <w:r>
        <w:rPr>
          <w:spacing w:val="69"/>
          <w:w w:val="150"/>
          <w:sz w:val="24"/>
        </w:rPr>
        <w:t> </w:t>
      </w:r>
      <w:r>
        <w:rPr>
          <w:sz w:val="24"/>
        </w:rPr>
        <w:t>significant</w:t>
      </w:r>
      <w:r>
        <w:rPr>
          <w:spacing w:val="69"/>
          <w:w w:val="150"/>
          <w:sz w:val="24"/>
        </w:rPr>
        <w:t> </w:t>
      </w:r>
      <w:r>
        <w:rPr>
          <w:sz w:val="24"/>
        </w:rPr>
        <w:t>at</w:t>
      </w:r>
      <w:r>
        <w:rPr>
          <w:spacing w:val="69"/>
          <w:w w:val="150"/>
          <w:sz w:val="24"/>
        </w:rPr>
        <w:t> </w:t>
      </w:r>
      <w:r>
        <w:rPr>
          <w:sz w:val="24"/>
        </w:rPr>
        <w:t>5%</w:t>
      </w:r>
      <w:r>
        <w:rPr>
          <w:spacing w:val="67"/>
          <w:w w:val="150"/>
          <w:sz w:val="24"/>
        </w:rPr>
        <w:t> </w:t>
      </w:r>
      <w:r>
        <w:rPr>
          <w:sz w:val="24"/>
        </w:rPr>
        <w:t>(-7.5248,</w:t>
      </w:r>
      <w:r>
        <w:rPr>
          <w:spacing w:val="68"/>
          <w:w w:val="150"/>
          <w:sz w:val="24"/>
        </w:rPr>
        <w:t> </w:t>
      </w:r>
      <w:r>
        <w:rPr>
          <w:sz w:val="24"/>
        </w:rPr>
        <w:t>p=0.0290)</w:t>
      </w:r>
      <w:r>
        <w:rPr>
          <w:spacing w:val="70"/>
          <w:w w:val="150"/>
          <w:sz w:val="24"/>
        </w:rPr>
        <w:t> </w:t>
      </w:r>
      <w:r>
        <w:rPr>
          <w:sz w:val="24"/>
        </w:rPr>
        <w:t>and</w:t>
      </w:r>
      <w:r>
        <w:rPr>
          <w:spacing w:val="68"/>
          <w:w w:val="150"/>
          <w:sz w:val="24"/>
        </w:rPr>
        <w:t> </w:t>
      </w:r>
      <w:r>
        <w:rPr>
          <w:sz w:val="24"/>
        </w:rPr>
        <w:t>the</w:t>
      </w:r>
      <w:r>
        <w:rPr>
          <w:spacing w:val="72"/>
          <w:w w:val="150"/>
          <w:sz w:val="24"/>
        </w:rPr>
        <w:t> </w:t>
      </w:r>
      <w:r>
        <w:rPr>
          <w:sz w:val="24"/>
        </w:rPr>
        <w:t>interaction;</w:t>
      </w:r>
      <w:r>
        <w:rPr>
          <w:spacing w:val="69"/>
          <w:w w:val="150"/>
          <w:sz w:val="24"/>
        </w:rPr>
        <w:t> </w:t>
      </w:r>
      <w:r>
        <w:rPr>
          <w:sz w:val="24"/>
        </w:rPr>
        <w:t>Post-</w:t>
      </w:r>
    </w:p>
    <w:p>
      <w:pPr>
        <w:spacing w:after="0" w:line="480" w:lineRule="auto"/>
        <w:jc w:val="both"/>
        <w:rPr>
          <w:sz w:val="24"/>
        </w:rPr>
        <w:sectPr>
          <w:pgSz w:w="11910" w:h="16840"/>
          <w:pgMar w:header="0" w:footer="971" w:top="1360" w:bottom="1160" w:left="500" w:right="0"/>
        </w:sectPr>
      </w:pPr>
    </w:p>
    <w:p>
      <w:pPr>
        <w:pStyle w:val="BodyText"/>
        <w:spacing w:line="480" w:lineRule="auto" w:before="61"/>
        <w:ind w:left="940" w:right="1438"/>
        <w:jc w:val="both"/>
      </w:pPr>
      <w:r>
        <w:rPr/>
        <w:t>IFRS*BFEXP,</w:t>
      </w:r>
      <w:r>
        <w:rPr>
          <w:spacing w:val="-8"/>
        </w:rPr>
        <w:t> </w:t>
      </w:r>
      <w:r>
        <w:rPr/>
        <w:t>testing</w:t>
      </w:r>
      <w:r>
        <w:rPr>
          <w:spacing w:val="-8"/>
        </w:rPr>
        <w:t> </w:t>
      </w:r>
      <w:r>
        <w:rPr/>
        <w:t>the</w:t>
      </w:r>
      <w:r>
        <w:rPr>
          <w:spacing w:val="-9"/>
        </w:rPr>
        <w:t> </w:t>
      </w:r>
      <w:r>
        <w:rPr/>
        <w:t>presence</w:t>
      </w:r>
      <w:r>
        <w:rPr>
          <w:spacing w:val="-7"/>
        </w:rPr>
        <w:t> </w:t>
      </w:r>
      <w:r>
        <w:rPr/>
        <w:t>of</w:t>
      </w:r>
      <w:r>
        <w:rPr>
          <w:spacing w:val="-9"/>
        </w:rPr>
        <w:t> </w:t>
      </w:r>
      <w:r>
        <w:rPr/>
        <w:t>incremental</w:t>
      </w:r>
      <w:r>
        <w:rPr>
          <w:spacing w:val="-5"/>
        </w:rPr>
        <w:t> </w:t>
      </w:r>
      <w:r>
        <w:rPr/>
        <w:t>IFRS</w:t>
      </w:r>
      <w:r>
        <w:rPr>
          <w:spacing w:val="-8"/>
        </w:rPr>
        <w:t> </w:t>
      </w:r>
      <w:r>
        <w:rPr/>
        <w:t>adoption</w:t>
      </w:r>
      <w:r>
        <w:rPr>
          <w:spacing w:val="-6"/>
        </w:rPr>
        <w:t> </w:t>
      </w:r>
      <w:r>
        <w:rPr/>
        <w:t>effect</w:t>
      </w:r>
      <w:r>
        <w:rPr>
          <w:spacing w:val="-8"/>
        </w:rPr>
        <w:t> </w:t>
      </w:r>
      <w:r>
        <w:rPr/>
        <w:t>also</w:t>
      </w:r>
      <w:r>
        <w:rPr>
          <w:spacing w:val="-8"/>
        </w:rPr>
        <w:t> </w:t>
      </w:r>
      <w:r>
        <w:rPr/>
        <w:t>did</w:t>
      </w:r>
      <w:r>
        <w:rPr>
          <w:spacing w:val="-6"/>
        </w:rPr>
        <w:t> </w:t>
      </w:r>
      <w:r>
        <w:rPr/>
        <w:t>not</w:t>
      </w:r>
      <w:r>
        <w:rPr>
          <w:spacing w:val="-8"/>
        </w:rPr>
        <w:t> </w:t>
      </w:r>
      <w:r>
        <w:rPr/>
        <w:t>show</w:t>
      </w:r>
      <w:r>
        <w:rPr>
          <w:spacing w:val="-9"/>
        </w:rPr>
        <w:t> </w:t>
      </w:r>
      <w:r>
        <w:rPr/>
        <w:t>that BFEXP sustained an incremental effect (3.4723, p=0.5849).</w:t>
      </w:r>
    </w:p>
    <w:p>
      <w:pPr>
        <w:pStyle w:val="ListParagraph"/>
        <w:numPr>
          <w:ilvl w:val="0"/>
          <w:numId w:val="34"/>
        </w:numPr>
        <w:tabs>
          <w:tab w:pos="1184" w:val="left" w:leader="none"/>
        </w:tabs>
        <w:spacing w:line="480" w:lineRule="auto" w:before="0" w:after="0"/>
        <w:ind w:left="940" w:right="1436" w:firstLine="0"/>
        <w:jc w:val="both"/>
        <w:rPr>
          <w:sz w:val="24"/>
        </w:rPr>
      </w:pPr>
      <w:r>
        <w:rPr/>
        <w:drawing>
          <wp:anchor distT="0" distB="0" distL="0" distR="0" allowOverlap="1" layoutInCell="1" locked="0" behindDoc="1" simplePos="0" relativeHeight="477765632">
            <wp:simplePos x="0" y="0"/>
            <wp:positionH relativeFrom="page">
              <wp:posOffset>1095451</wp:posOffset>
            </wp:positionH>
            <wp:positionV relativeFrom="paragraph">
              <wp:posOffset>1111055</wp:posOffset>
            </wp:positionV>
            <wp:extent cx="5106847" cy="5238115"/>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The estimations revealed that INSTOWN had a negative effect on QUA-FRQ although not significant at 5% (-0.009, p=0.3397) and the interaction Post-IFRS*INSTOWN testing the presence of incremental IFRS adoption effect also did not show that INSTOWN had a significant incremental effect on QUA-FRQ resulting from IFRS adoption (-0.0004, p=0.1828). The estimations revealed that INSTOWN had a positive effect on DISACC although not significant at 5% (0.0012, p=0.8574) and the interaction Post-IFRS*INSTOWN testing</w:t>
      </w:r>
      <w:r>
        <w:rPr>
          <w:spacing w:val="-12"/>
          <w:sz w:val="24"/>
        </w:rPr>
        <w:t> </w:t>
      </w:r>
      <w:r>
        <w:rPr>
          <w:sz w:val="24"/>
        </w:rPr>
        <w:t>the</w:t>
      </w:r>
      <w:r>
        <w:rPr>
          <w:spacing w:val="-14"/>
          <w:sz w:val="24"/>
        </w:rPr>
        <w:t> </w:t>
      </w:r>
      <w:r>
        <w:rPr>
          <w:sz w:val="24"/>
        </w:rPr>
        <w:t>presence</w:t>
      </w:r>
      <w:r>
        <w:rPr>
          <w:spacing w:val="-14"/>
          <w:sz w:val="24"/>
        </w:rPr>
        <w:t> </w:t>
      </w:r>
      <w:r>
        <w:rPr>
          <w:sz w:val="24"/>
        </w:rPr>
        <w:t>of</w:t>
      </w:r>
      <w:r>
        <w:rPr>
          <w:spacing w:val="-14"/>
          <w:sz w:val="24"/>
        </w:rPr>
        <w:t> </w:t>
      </w:r>
      <w:r>
        <w:rPr>
          <w:sz w:val="24"/>
        </w:rPr>
        <w:t>incremental</w:t>
      </w:r>
      <w:r>
        <w:rPr>
          <w:spacing w:val="-10"/>
          <w:sz w:val="24"/>
        </w:rPr>
        <w:t> </w:t>
      </w:r>
      <w:r>
        <w:rPr>
          <w:sz w:val="24"/>
        </w:rPr>
        <w:t>IFRS</w:t>
      </w:r>
      <w:r>
        <w:rPr>
          <w:spacing w:val="-12"/>
          <w:sz w:val="24"/>
        </w:rPr>
        <w:t> </w:t>
      </w:r>
      <w:r>
        <w:rPr>
          <w:sz w:val="24"/>
        </w:rPr>
        <w:t>adoption</w:t>
      </w:r>
      <w:r>
        <w:rPr>
          <w:spacing w:val="-11"/>
          <w:sz w:val="24"/>
        </w:rPr>
        <w:t> </w:t>
      </w:r>
      <w:r>
        <w:rPr>
          <w:sz w:val="24"/>
        </w:rPr>
        <w:t>effect</w:t>
      </w:r>
      <w:r>
        <w:rPr>
          <w:spacing w:val="-13"/>
          <w:sz w:val="24"/>
        </w:rPr>
        <w:t> </w:t>
      </w:r>
      <w:r>
        <w:rPr>
          <w:sz w:val="24"/>
        </w:rPr>
        <w:t>also</w:t>
      </w:r>
      <w:r>
        <w:rPr>
          <w:spacing w:val="-12"/>
          <w:sz w:val="24"/>
        </w:rPr>
        <w:t> </w:t>
      </w:r>
      <w:r>
        <w:rPr>
          <w:sz w:val="24"/>
        </w:rPr>
        <w:t>did</w:t>
      </w:r>
      <w:r>
        <w:rPr>
          <w:spacing w:val="-13"/>
          <w:sz w:val="24"/>
        </w:rPr>
        <w:t> </w:t>
      </w:r>
      <w:r>
        <w:rPr>
          <w:sz w:val="24"/>
        </w:rPr>
        <w:t>not</w:t>
      </w:r>
      <w:r>
        <w:rPr>
          <w:spacing w:val="-13"/>
          <w:sz w:val="24"/>
        </w:rPr>
        <w:t> </w:t>
      </w:r>
      <w:r>
        <w:rPr>
          <w:sz w:val="24"/>
        </w:rPr>
        <w:t>show</w:t>
      </w:r>
      <w:r>
        <w:rPr>
          <w:spacing w:val="-13"/>
          <w:sz w:val="24"/>
        </w:rPr>
        <w:t> </w:t>
      </w:r>
      <w:r>
        <w:rPr>
          <w:sz w:val="24"/>
        </w:rPr>
        <w:t>that</w:t>
      </w:r>
      <w:r>
        <w:rPr>
          <w:spacing w:val="-10"/>
          <w:sz w:val="24"/>
        </w:rPr>
        <w:t> </w:t>
      </w:r>
      <w:r>
        <w:rPr>
          <w:sz w:val="24"/>
        </w:rPr>
        <w:t>INSTOWN</w:t>
      </w:r>
      <w:r>
        <w:rPr>
          <w:spacing w:val="-14"/>
          <w:sz w:val="24"/>
        </w:rPr>
        <w:t> </w:t>
      </w:r>
      <w:r>
        <w:rPr>
          <w:sz w:val="24"/>
        </w:rPr>
        <w:t>had a</w:t>
      </w:r>
      <w:r>
        <w:rPr>
          <w:spacing w:val="-10"/>
          <w:sz w:val="24"/>
        </w:rPr>
        <w:t> </w:t>
      </w:r>
      <w:r>
        <w:rPr>
          <w:sz w:val="24"/>
        </w:rPr>
        <w:t>significant</w:t>
      </w:r>
      <w:r>
        <w:rPr>
          <w:spacing w:val="-9"/>
          <w:sz w:val="24"/>
        </w:rPr>
        <w:t> </w:t>
      </w:r>
      <w:r>
        <w:rPr>
          <w:sz w:val="24"/>
        </w:rPr>
        <w:t>incremental</w:t>
      </w:r>
      <w:r>
        <w:rPr>
          <w:spacing w:val="-6"/>
          <w:sz w:val="24"/>
        </w:rPr>
        <w:t> </w:t>
      </w:r>
      <w:r>
        <w:rPr>
          <w:sz w:val="24"/>
        </w:rPr>
        <w:t>effect</w:t>
      </w:r>
      <w:r>
        <w:rPr>
          <w:spacing w:val="-9"/>
          <w:sz w:val="24"/>
        </w:rPr>
        <w:t> </w:t>
      </w:r>
      <w:r>
        <w:rPr>
          <w:sz w:val="24"/>
        </w:rPr>
        <w:t>on</w:t>
      </w:r>
      <w:r>
        <w:rPr>
          <w:spacing w:val="-9"/>
          <w:sz w:val="24"/>
        </w:rPr>
        <w:t> </w:t>
      </w:r>
      <w:r>
        <w:rPr>
          <w:sz w:val="24"/>
        </w:rPr>
        <w:t>DISACC</w:t>
      </w:r>
      <w:r>
        <w:rPr>
          <w:spacing w:val="-9"/>
          <w:sz w:val="24"/>
        </w:rPr>
        <w:t> </w:t>
      </w:r>
      <w:r>
        <w:rPr>
          <w:sz w:val="24"/>
        </w:rPr>
        <w:t>resulting</w:t>
      </w:r>
      <w:r>
        <w:rPr>
          <w:spacing w:val="-9"/>
          <w:sz w:val="24"/>
        </w:rPr>
        <w:t> </w:t>
      </w:r>
      <w:r>
        <w:rPr>
          <w:sz w:val="24"/>
        </w:rPr>
        <w:t>from</w:t>
      </w:r>
      <w:r>
        <w:rPr>
          <w:spacing w:val="-9"/>
          <w:sz w:val="24"/>
        </w:rPr>
        <w:t> </w:t>
      </w:r>
      <w:r>
        <w:rPr>
          <w:sz w:val="24"/>
        </w:rPr>
        <w:t>IFRS</w:t>
      </w:r>
      <w:r>
        <w:rPr>
          <w:spacing w:val="-9"/>
          <w:sz w:val="24"/>
        </w:rPr>
        <w:t> </w:t>
      </w:r>
      <w:r>
        <w:rPr>
          <w:sz w:val="24"/>
        </w:rPr>
        <w:t>adoption</w:t>
      </w:r>
      <w:r>
        <w:rPr>
          <w:spacing w:val="-9"/>
          <w:sz w:val="24"/>
        </w:rPr>
        <w:t> </w:t>
      </w:r>
      <w:r>
        <w:rPr>
          <w:sz w:val="24"/>
        </w:rPr>
        <w:t>(0.0007,</w:t>
      </w:r>
      <w:r>
        <w:rPr>
          <w:spacing w:val="-9"/>
          <w:sz w:val="24"/>
        </w:rPr>
        <w:t> </w:t>
      </w:r>
      <w:r>
        <w:rPr>
          <w:sz w:val="24"/>
        </w:rPr>
        <w:t>p=0.9325). The</w:t>
      </w:r>
      <w:r>
        <w:rPr>
          <w:spacing w:val="-12"/>
          <w:sz w:val="24"/>
        </w:rPr>
        <w:t> </w:t>
      </w:r>
      <w:r>
        <w:rPr>
          <w:sz w:val="24"/>
        </w:rPr>
        <w:t>estimations</w:t>
      </w:r>
      <w:r>
        <w:rPr>
          <w:spacing w:val="-10"/>
          <w:sz w:val="24"/>
        </w:rPr>
        <w:t> </w:t>
      </w:r>
      <w:r>
        <w:rPr>
          <w:sz w:val="24"/>
        </w:rPr>
        <w:t>revealed</w:t>
      </w:r>
      <w:r>
        <w:rPr>
          <w:spacing w:val="-6"/>
          <w:sz w:val="24"/>
        </w:rPr>
        <w:t> </w:t>
      </w:r>
      <w:r>
        <w:rPr>
          <w:sz w:val="24"/>
        </w:rPr>
        <w:t>that</w:t>
      </w:r>
      <w:r>
        <w:rPr>
          <w:spacing w:val="-8"/>
          <w:sz w:val="24"/>
        </w:rPr>
        <w:t> </w:t>
      </w:r>
      <w:r>
        <w:rPr>
          <w:sz w:val="24"/>
        </w:rPr>
        <w:t>INSTOWN</w:t>
      </w:r>
      <w:r>
        <w:rPr>
          <w:spacing w:val="-9"/>
          <w:sz w:val="24"/>
        </w:rPr>
        <w:t> </w:t>
      </w:r>
      <w:r>
        <w:rPr>
          <w:sz w:val="24"/>
        </w:rPr>
        <w:t>had</w:t>
      </w:r>
      <w:r>
        <w:rPr>
          <w:spacing w:val="-8"/>
          <w:sz w:val="24"/>
        </w:rPr>
        <w:t> </w:t>
      </w:r>
      <w:r>
        <w:rPr>
          <w:sz w:val="24"/>
        </w:rPr>
        <w:t>a</w:t>
      </w:r>
      <w:r>
        <w:rPr>
          <w:spacing w:val="-12"/>
          <w:sz w:val="24"/>
        </w:rPr>
        <w:t> </w:t>
      </w:r>
      <w:r>
        <w:rPr>
          <w:sz w:val="24"/>
        </w:rPr>
        <w:t>positive</w:t>
      </w:r>
      <w:r>
        <w:rPr>
          <w:spacing w:val="-11"/>
          <w:sz w:val="24"/>
        </w:rPr>
        <w:t> </w:t>
      </w:r>
      <w:r>
        <w:rPr>
          <w:sz w:val="24"/>
        </w:rPr>
        <w:t>effect</w:t>
      </w:r>
      <w:r>
        <w:rPr>
          <w:spacing w:val="-10"/>
          <w:sz w:val="24"/>
        </w:rPr>
        <w:t> </w:t>
      </w:r>
      <w:r>
        <w:rPr>
          <w:sz w:val="24"/>
        </w:rPr>
        <w:t>on</w:t>
      </w:r>
      <w:r>
        <w:rPr>
          <w:spacing w:val="-11"/>
          <w:sz w:val="24"/>
        </w:rPr>
        <w:t> </w:t>
      </w:r>
      <w:r>
        <w:rPr>
          <w:sz w:val="24"/>
        </w:rPr>
        <w:t>value</w:t>
      </w:r>
      <w:r>
        <w:rPr>
          <w:spacing w:val="-11"/>
          <w:sz w:val="24"/>
        </w:rPr>
        <w:t> </w:t>
      </w:r>
      <w:r>
        <w:rPr>
          <w:sz w:val="24"/>
        </w:rPr>
        <w:t>relevance</w:t>
      </w:r>
      <w:r>
        <w:rPr>
          <w:spacing w:val="-6"/>
          <w:sz w:val="24"/>
        </w:rPr>
        <w:t> </w:t>
      </w:r>
      <w:r>
        <w:rPr>
          <w:sz w:val="24"/>
        </w:rPr>
        <w:t>although</w:t>
      </w:r>
      <w:r>
        <w:rPr>
          <w:spacing w:val="-10"/>
          <w:sz w:val="24"/>
        </w:rPr>
        <w:t> </w:t>
      </w:r>
      <w:r>
        <w:rPr>
          <w:sz w:val="24"/>
        </w:rPr>
        <w:t>not significant at 5% (0.0594, p=0.0533) but the interaction Post-IFRS*INSTOWN testing the presence</w:t>
      </w:r>
      <w:r>
        <w:rPr>
          <w:spacing w:val="-2"/>
          <w:sz w:val="24"/>
        </w:rPr>
        <w:t> </w:t>
      </w:r>
      <w:r>
        <w:rPr>
          <w:sz w:val="24"/>
        </w:rPr>
        <w:t>of</w:t>
      </w:r>
      <w:r>
        <w:rPr>
          <w:spacing w:val="-2"/>
          <w:sz w:val="24"/>
        </w:rPr>
        <w:t> </w:t>
      </w:r>
      <w:r>
        <w:rPr>
          <w:sz w:val="24"/>
        </w:rPr>
        <w:t>incremental IFRS</w:t>
      </w:r>
      <w:r>
        <w:rPr>
          <w:spacing w:val="-1"/>
          <w:sz w:val="24"/>
        </w:rPr>
        <w:t> </w:t>
      </w:r>
      <w:r>
        <w:rPr>
          <w:sz w:val="24"/>
        </w:rPr>
        <w:t>adoption</w:t>
      </w:r>
      <w:r>
        <w:rPr>
          <w:spacing w:val="-1"/>
          <w:sz w:val="24"/>
        </w:rPr>
        <w:t> </w:t>
      </w:r>
      <w:r>
        <w:rPr>
          <w:sz w:val="24"/>
        </w:rPr>
        <w:t>effect</w:t>
      </w:r>
      <w:r>
        <w:rPr>
          <w:spacing w:val="-1"/>
          <w:sz w:val="24"/>
        </w:rPr>
        <w:t> </w:t>
      </w:r>
      <w:r>
        <w:rPr>
          <w:sz w:val="24"/>
        </w:rPr>
        <w:t>showed</w:t>
      </w:r>
      <w:r>
        <w:rPr>
          <w:spacing w:val="-1"/>
          <w:sz w:val="24"/>
        </w:rPr>
        <w:t> </w:t>
      </w:r>
      <w:r>
        <w:rPr>
          <w:sz w:val="24"/>
        </w:rPr>
        <w:t>that INSTOWN</w:t>
      </w:r>
      <w:r>
        <w:rPr>
          <w:spacing w:val="-2"/>
          <w:sz w:val="24"/>
        </w:rPr>
        <w:t> </w:t>
      </w:r>
      <w:r>
        <w:rPr>
          <w:sz w:val="24"/>
        </w:rPr>
        <w:t>had a</w:t>
      </w:r>
      <w:r>
        <w:rPr>
          <w:spacing w:val="-2"/>
          <w:sz w:val="24"/>
        </w:rPr>
        <w:t> </w:t>
      </w:r>
      <w:r>
        <w:rPr>
          <w:sz w:val="24"/>
        </w:rPr>
        <w:t>significant</w:t>
      </w:r>
      <w:r>
        <w:rPr>
          <w:spacing w:val="-1"/>
          <w:sz w:val="24"/>
        </w:rPr>
        <w:t> </w:t>
      </w:r>
      <w:r>
        <w:rPr>
          <w:sz w:val="24"/>
        </w:rPr>
        <w:t>effect on</w:t>
      </w:r>
      <w:r>
        <w:rPr>
          <w:spacing w:val="-3"/>
          <w:sz w:val="24"/>
        </w:rPr>
        <w:t> </w:t>
      </w:r>
      <w:r>
        <w:rPr>
          <w:sz w:val="24"/>
        </w:rPr>
        <w:t>VREL</w:t>
      </w:r>
      <w:r>
        <w:rPr>
          <w:spacing w:val="-3"/>
          <w:sz w:val="24"/>
        </w:rPr>
        <w:t> </w:t>
      </w:r>
      <w:r>
        <w:rPr>
          <w:sz w:val="24"/>
        </w:rPr>
        <w:t>resulting</w:t>
      </w:r>
      <w:r>
        <w:rPr>
          <w:spacing w:val="-3"/>
          <w:sz w:val="24"/>
        </w:rPr>
        <w:t> </w:t>
      </w:r>
      <w:r>
        <w:rPr>
          <w:sz w:val="24"/>
        </w:rPr>
        <w:t>from</w:t>
      </w:r>
      <w:r>
        <w:rPr>
          <w:spacing w:val="-3"/>
          <w:sz w:val="24"/>
        </w:rPr>
        <w:t> </w:t>
      </w:r>
      <w:r>
        <w:rPr>
          <w:sz w:val="24"/>
        </w:rPr>
        <w:t>IFRS</w:t>
      </w:r>
      <w:r>
        <w:rPr>
          <w:spacing w:val="-3"/>
          <w:sz w:val="24"/>
        </w:rPr>
        <w:t> </w:t>
      </w:r>
      <w:r>
        <w:rPr>
          <w:sz w:val="24"/>
        </w:rPr>
        <w:t>adoption</w:t>
      </w:r>
      <w:r>
        <w:rPr>
          <w:spacing w:val="-3"/>
          <w:sz w:val="24"/>
        </w:rPr>
        <w:t> </w:t>
      </w:r>
      <w:r>
        <w:rPr>
          <w:sz w:val="24"/>
        </w:rPr>
        <w:t>(-0.17926,</w:t>
      </w:r>
      <w:r>
        <w:rPr>
          <w:spacing w:val="-3"/>
          <w:sz w:val="24"/>
        </w:rPr>
        <w:t> </w:t>
      </w:r>
      <w:r>
        <w:rPr>
          <w:sz w:val="24"/>
        </w:rPr>
        <w:t>p=0.000)</w:t>
      </w:r>
      <w:r>
        <w:rPr>
          <w:spacing w:val="-4"/>
          <w:sz w:val="24"/>
        </w:rPr>
        <w:t> </w:t>
      </w:r>
      <w:r>
        <w:rPr>
          <w:sz w:val="24"/>
        </w:rPr>
        <w:t>although</w:t>
      </w:r>
      <w:r>
        <w:rPr>
          <w:spacing w:val="-3"/>
          <w:sz w:val="24"/>
        </w:rPr>
        <w:t> </w:t>
      </w:r>
      <w:r>
        <w:rPr>
          <w:sz w:val="24"/>
        </w:rPr>
        <w:t>the</w:t>
      </w:r>
      <w:r>
        <w:rPr>
          <w:spacing w:val="-4"/>
          <w:sz w:val="24"/>
        </w:rPr>
        <w:t> </w:t>
      </w:r>
      <w:r>
        <w:rPr>
          <w:sz w:val="24"/>
        </w:rPr>
        <w:t>negative</w:t>
      </w:r>
      <w:r>
        <w:rPr>
          <w:spacing w:val="-4"/>
          <w:sz w:val="24"/>
        </w:rPr>
        <w:t> </w:t>
      </w:r>
      <w:r>
        <w:rPr>
          <w:sz w:val="24"/>
        </w:rPr>
        <w:t>coefficient suggested</w:t>
      </w:r>
      <w:r>
        <w:rPr>
          <w:spacing w:val="-15"/>
          <w:sz w:val="24"/>
        </w:rPr>
        <w:t> </w:t>
      </w:r>
      <w:r>
        <w:rPr>
          <w:sz w:val="24"/>
        </w:rPr>
        <w:t>the</w:t>
      </w:r>
      <w:r>
        <w:rPr>
          <w:spacing w:val="-15"/>
          <w:sz w:val="24"/>
        </w:rPr>
        <w:t> </w:t>
      </w:r>
      <w:r>
        <w:rPr>
          <w:sz w:val="24"/>
        </w:rPr>
        <w:t>effect</w:t>
      </w:r>
      <w:r>
        <w:rPr>
          <w:spacing w:val="-13"/>
          <w:sz w:val="24"/>
        </w:rPr>
        <w:t> </w:t>
      </w:r>
      <w:r>
        <w:rPr>
          <w:sz w:val="24"/>
        </w:rPr>
        <w:t>could</w:t>
      </w:r>
      <w:r>
        <w:rPr>
          <w:spacing w:val="-14"/>
          <w:sz w:val="24"/>
        </w:rPr>
        <w:t> </w:t>
      </w:r>
      <w:r>
        <w:rPr>
          <w:sz w:val="24"/>
        </w:rPr>
        <w:t>actually</w:t>
      </w:r>
      <w:r>
        <w:rPr>
          <w:spacing w:val="-14"/>
          <w:sz w:val="24"/>
        </w:rPr>
        <w:t> </w:t>
      </w:r>
      <w:r>
        <w:rPr>
          <w:sz w:val="24"/>
        </w:rPr>
        <w:t>be</w:t>
      </w:r>
      <w:r>
        <w:rPr>
          <w:spacing w:val="-15"/>
          <w:sz w:val="24"/>
        </w:rPr>
        <w:t> </w:t>
      </w:r>
      <w:r>
        <w:rPr>
          <w:sz w:val="24"/>
        </w:rPr>
        <w:t>decremental</w:t>
      </w:r>
      <w:r>
        <w:rPr>
          <w:spacing w:val="-13"/>
          <w:sz w:val="24"/>
        </w:rPr>
        <w:t> </w:t>
      </w:r>
      <w:r>
        <w:rPr>
          <w:sz w:val="24"/>
        </w:rPr>
        <w:t>suggesting</w:t>
      </w:r>
      <w:r>
        <w:rPr>
          <w:spacing w:val="-13"/>
          <w:sz w:val="24"/>
        </w:rPr>
        <w:t> </w:t>
      </w:r>
      <w:r>
        <w:rPr>
          <w:sz w:val="24"/>
        </w:rPr>
        <w:t>that</w:t>
      </w:r>
      <w:r>
        <w:rPr>
          <w:spacing w:val="-14"/>
          <w:sz w:val="24"/>
        </w:rPr>
        <w:t> </w:t>
      </w:r>
      <w:r>
        <w:rPr>
          <w:sz w:val="24"/>
        </w:rPr>
        <w:t>a</w:t>
      </w:r>
      <w:r>
        <w:rPr>
          <w:spacing w:val="-15"/>
          <w:sz w:val="24"/>
        </w:rPr>
        <w:t> </w:t>
      </w:r>
      <w:r>
        <w:rPr>
          <w:sz w:val="24"/>
        </w:rPr>
        <w:t>higher</w:t>
      </w:r>
      <w:r>
        <w:rPr>
          <w:spacing w:val="-15"/>
          <w:sz w:val="24"/>
        </w:rPr>
        <w:t> </w:t>
      </w:r>
      <w:r>
        <w:rPr>
          <w:sz w:val="24"/>
        </w:rPr>
        <w:t>level</w:t>
      </w:r>
      <w:r>
        <w:rPr>
          <w:spacing w:val="-14"/>
          <w:sz w:val="24"/>
        </w:rPr>
        <w:t> </w:t>
      </w:r>
      <w:r>
        <w:rPr>
          <w:sz w:val="24"/>
        </w:rPr>
        <w:t>of</w:t>
      </w:r>
      <w:r>
        <w:rPr>
          <w:spacing w:val="-15"/>
          <w:sz w:val="24"/>
        </w:rPr>
        <w:t> </w:t>
      </w:r>
      <w:r>
        <w:rPr>
          <w:sz w:val="24"/>
        </w:rPr>
        <w:t>institutional ownership in the post-IFRS resulted in declining value relevance.</w:t>
      </w:r>
    </w:p>
    <w:p>
      <w:pPr>
        <w:pStyle w:val="ListParagraph"/>
        <w:numPr>
          <w:ilvl w:val="0"/>
          <w:numId w:val="34"/>
        </w:numPr>
        <w:tabs>
          <w:tab w:pos="1177" w:val="left" w:leader="none"/>
        </w:tabs>
        <w:spacing w:line="480" w:lineRule="auto" w:before="2" w:after="0"/>
        <w:ind w:left="940" w:right="1436" w:firstLine="0"/>
        <w:jc w:val="both"/>
        <w:rPr>
          <w:sz w:val="24"/>
        </w:rPr>
      </w:pPr>
      <w:r>
        <w:rPr>
          <w:sz w:val="24"/>
        </w:rPr>
        <w:t>The</w:t>
      </w:r>
      <w:r>
        <w:rPr>
          <w:spacing w:val="-4"/>
          <w:sz w:val="24"/>
        </w:rPr>
        <w:t> </w:t>
      </w:r>
      <w:r>
        <w:rPr>
          <w:sz w:val="24"/>
        </w:rPr>
        <w:t>estimations</w:t>
      </w:r>
      <w:r>
        <w:rPr>
          <w:spacing w:val="-4"/>
          <w:sz w:val="24"/>
        </w:rPr>
        <w:t> </w:t>
      </w:r>
      <w:r>
        <w:rPr>
          <w:sz w:val="24"/>
        </w:rPr>
        <w:t>revealed</w:t>
      </w:r>
      <w:r>
        <w:rPr>
          <w:spacing w:val="-5"/>
          <w:sz w:val="24"/>
        </w:rPr>
        <w:t> </w:t>
      </w:r>
      <w:r>
        <w:rPr>
          <w:sz w:val="24"/>
        </w:rPr>
        <w:t>that</w:t>
      </w:r>
      <w:r>
        <w:rPr>
          <w:spacing w:val="-5"/>
          <w:sz w:val="24"/>
        </w:rPr>
        <w:t> </w:t>
      </w:r>
      <w:r>
        <w:rPr>
          <w:sz w:val="24"/>
        </w:rPr>
        <w:t>MOWN</w:t>
      </w:r>
      <w:r>
        <w:rPr>
          <w:spacing w:val="-2"/>
          <w:sz w:val="24"/>
        </w:rPr>
        <w:t> </w:t>
      </w:r>
      <w:r>
        <w:rPr>
          <w:sz w:val="24"/>
        </w:rPr>
        <w:t>had</w:t>
      </w:r>
      <w:r>
        <w:rPr>
          <w:spacing w:val="-2"/>
          <w:sz w:val="24"/>
        </w:rPr>
        <w:t> </w:t>
      </w:r>
      <w:r>
        <w:rPr>
          <w:sz w:val="24"/>
        </w:rPr>
        <w:t>a</w:t>
      </w:r>
      <w:r>
        <w:rPr>
          <w:spacing w:val="-6"/>
          <w:sz w:val="24"/>
        </w:rPr>
        <w:t> </w:t>
      </w:r>
      <w:r>
        <w:rPr>
          <w:sz w:val="24"/>
        </w:rPr>
        <w:t>positive</w:t>
      </w:r>
      <w:r>
        <w:rPr>
          <w:spacing w:val="-5"/>
          <w:sz w:val="24"/>
        </w:rPr>
        <w:t> </w:t>
      </w:r>
      <w:r>
        <w:rPr>
          <w:sz w:val="24"/>
        </w:rPr>
        <w:t>effect</w:t>
      </w:r>
      <w:r>
        <w:rPr>
          <w:spacing w:val="-4"/>
          <w:sz w:val="24"/>
        </w:rPr>
        <w:t> </w:t>
      </w:r>
      <w:r>
        <w:rPr>
          <w:sz w:val="24"/>
        </w:rPr>
        <w:t>on</w:t>
      </w:r>
      <w:r>
        <w:rPr>
          <w:spacing w:val="-3"/>
          <w:sz w:val="24"/>
        </w:rPr>
        <w:t> </w:t>
      </w:r>
      <w:r>
        <w:rPr>
          <w:sz w:val="24"/>
        </w:rPr>
        <w:t>QUA-FRQ</w:t>
      </w:r>
      <w:r>
        <w:rPr>
          <w:spacing w:val="-3"/>
          <w:sz w:val="24"/>
        </w:rPr>
        <w:t> </w:t>
      </w:r>
      <w:r>
        <w:rPr>
          <w:sz w:val="24"/>
        </w:rPr>
        <w:t>and</w:t>
      </w:r>
      <w:r>
        <w:rPr>
          <w:spacing w:val="-5"/>
          <w:sz w:val="24"/>
        </w:rPr>
        <w:t> </w:t>
      </w:r>
      <w:r>
        <w:rPr>
          <w:sz w:val="24"/>
        </w:rPr>
        <w:t>significant</w:t>
      </w:r>
      <w:r>
        <w:rPr>
          <w:spacing w:val="-4"/>
          <w:sz w:val="24"/>
        </w:rPr>
        <w:t> </w:t>
      </w:r>
      <w:r>
        <w:rPr>
          <w:sz w:val="24"/>
        </w:rPr>
        <w:t>at 5% (0.005, p=0.2319). However, the interaction Post-IFRS*MOWN testing the presence of incremental IFRS adoption effect also did not show that MOWN had any significant incremental effect on QUA-FRQ resulting from IFRS adoption (0.0005, p=0.2696). The estimations</w:t>
      </w:r>
      <w:r>
        <w:rPr>
          <w:spacing w:val="-1"/>
          <w:sz w:val="24"/>
        </w:rPr>
        <w:t> </w:t>
      </w:r>
      <w:r>
        <w:rPr>
          <w:sz w:val="24"/>
        </w:rPr>
        <w:t>revealed</w:t>
      </w:r>
      <w:r>
        <w:rPr>
          <w:spacing w:val="-1"/>
          <w:sz w:val="24"/>
        </w:rPr>
        <w:t> </w:t>
      </w:r>
      <w:r>
        <w:rPr>
          <w:sz w:val="24"/>
        </w:rPr>
        <w:t>that MOWN</w:t>
      </w:r>
      <w:r>
        <w:rPr>
          <w:spacing w:val="-2"/>
          <w:sz w:val="24"/>
        </w:rPr>
        <w:t> </w:t>
      </w:r>
      <w:r>
        <w:rPr>
          <w:sz w:val="24"/>
        </w:rPr>
        <w:t>had a</w:t>
      </w:r>
      <w:r>
        <w:rPr>
          <w:spacing w:val="-2"/>
          <w:sz w:val="24"/>
        </w:rPr>
        <w:t> </w:t>
      </w:r>
      <w:r>
        <w:rPr>
          <w:sz w:val="24"/>
        </w:rPr>
        <w:t>positive</w:t>
      </w:r>
      <w:r>
        <w:rPr>
          <w:spacing w:val="-2"/>
          <w:sz w:val="24"/>
        </w:rPr>
        <w:t> </w:t>
      </w:r>
      <w:r>
        <w:rPr>
          <w:sz w:val="24"/>
        </w:rPr>
        <w:t>effect</w:t>
      </w:r>
      <w:r>
        <w:rPr>
          <w:spacing w:val="-1"/>
          <w:sz w:val="24"/>
        </w:rPr>
        <w:t> </w:t>
      </w:r>
      <w:r>
        <w:rPr>
          <w:sz w:val="24"/>
        </w:rPr>
        <w:t>on</w:t>
      </w:r>
      <w:r>
        <w:rPr>
          <w:spacing w:val="-1"/>
          <w:sz w:val="24"/>
        </w:rPr>
        <w:t> </w:t>
      </w:r>
      <w:r>
        <w:rPr>
          <w:sz w:val="24"/>
        </w:rPr>
        <w:t>DISACC</w:t>
      </w:r>
      <w:r>
        <w:rPr>
          <w:spacing w:val="-1"/>
          <w:sz w:val="24"/>
        </w:rPr>
        <w:t> </w:t>
      </w:r>
      <w:r>
        <w:rPr>
          <w:sz w:val="24"/>
        </w:rPr>
        <w:t>and was significant</w:t>
      </w:r>
      <w:r>
        <w:rPr>
          <w:spacing w:val="-1"/>
          <w:sz w:val="24"/>
        </w:rPr>
        <w:t> </w:t>
      </w:r>
      <w:r>
        <w:rPr>
          <w:sz w:val="24"/>
        </w:rPr>
        <w:t>at</w:t>
      </w:r>
      <w:r>
        <w:rPr>
          <w:spacing w:val="-1"/>
          <w:sz w:val="24"/>
        </w:rPr>
        <w:t> </w:t>
      </w:r>
      <w:r>
        <w:rPr>
          <w:sz w:val="24"/>
        </w:rPr>
        <w:t>5% (0.010, p=0.0468). However, the interaction Post-IFRS*MOWN testing the presence of incremental IFRS adoption effect also did not show that MOWN had any significant incremental</w:t>
      </w:r>
      <w:r>
        <w:rPr>
          <w:spacing w:val="-15"/>
          <w:sz w:val="24"/>
        </w:rPr>
        <w:t> </w:t>
      </w:r>
      <w:r>
        <w:rPr>
          <w:sz w:val="24"/>
        </w:rPr>
        <w:t>effect</w:t>
      </w:r>
      <w:r>
        <w:rPr>
          <w:spacing w:val="-15"/>
          <w:sz w:val="24"/>
        </w:rPr>
        <w:t> </w:t>
      </w:r>
      <w:r>
        <w:rPr>
          <w:sz w:val="24"/>
        </w:rPr>
        <w:t>on</w:t>
      </w:r>
      <w:r>
        <w:rPr>
          <w:spacing w:val="-15"/>
          <w:sz w:val="24"/>
        </w:rPr>
        <w:t> </w:t>
      </w:r>
      <w:r>
        <w:rPr>
          <w:sz w:val="24"/>
        </w:rPr>
        <w:t>DISACC</w:t>
      </w:r>
      <w:r>
        <w:rPr>
          <w:spacing w:val="-15"/>
          <w:sz w:val="24"/>
        </w:rPr>
        <w:t> </w:t>
      </w:r>
      <w:r>
        <w:rPr>
          <w:sz w:val="24"/>
        </w:rPr>
        <w:t>resulting</w:t>
      </w:r>
      <w:r>
        <w:rPr>
          <w:spacing w:val="-15"/>
          <w:sz w:val="24"/>
        </w:rPr>
        <w:t> </w:t>
      </w:r>
      <w:r>
        <w:rPr>
          <w:sz w:val="24"/>
        </w:rPr>
        <w:t>from</w:t>
      </w:r>
      <w:r>
        <w:rPr>
          <w:spacing w:val="-15"/>
          <w:sz w:val="24"/>
        </w:rPr>
        <w:t> </w:t>
      </w:r>
      <w:r>
        <w:rPr>
          <w:sz w:val="24"/>
        </w:rPr>
        <w:t>IFRS</w:t>
      </w:r>
      <w:r>
        <w:rPr>
          <w:spacing w:val="-15"/>
          <w:sz w:val="24"/>
        </w:rPr>
        <w:t> </w:t>
      </w:r>
      <w:r>
        <w:rPr>
          <w:sz w:val="24"/>
        </w:rPr>
        <w:t>adoption</w:t>
      </w:r>
      <w:r>
        <w:rPr>
          <w:spacing w:val="-15"/>
          <w:sz w:val="24"/>
        </w:rPr>
        <w:t> </w:t>
      </w:r>
      <w:r>
        <w:rPr>
          <w:sz w:val="24"/>
        </w:rPr>
        <w:t>(0.0018,</w:t>
      </w:r>
      <w:r>
        <w:rPr>
          <w:spacing w:val="-15"/>
          <w:sz w:val="24"/>
        </w:rPr>
        <w:t> </w:t>
      </w:r>
      <w:r>
        <w:rPr>
          <w:sz w:val="24"/>
        </w:rPr>
        <w:t>p=0.7849).</w:t>
      </w:r>
      <w:r>
        <w:rPr>
          <w:spacing w:val="-15"/>
          <w:sz w:val="24"/>
        </w:rPr>
        <w:t> </w:t>
      </w:r>
      <w:r>
        <w:rPr>
          <w:sz w:val="24"/>
        </w:rPr>
        <w:t>Furthermore, MOWN</w:t>
      </w:r>
      <w:r>
        <w:rPr>
          <w:spacing w:val="30"/>
          <w:sz w:val="24"/>
        </w:rPr>
        <w:t> </w:t>
      </w:r>
      <w:r>
        <w:rPr>
          <w:sz w:val="24"/>
        </w:rPr>
        <w:t>had</w:t>
      </w:r>
      <w:r>
        <w:rPr>
          <w:spacing w:val="31"/>
          <w:sz w:val="24"/>
        </w:rPr>
        <w:t> </w:t>
      </w:r>
      <w:r>
        <w:rPr>
          <w:sz w:val="24"/>
        </w:rPr>
        <w:t>a</w:t>
      </w:r>
      <w:r>
        <w:rPr>
          <w:spacing w:val="30"/>
          <w:sz w:val="24"/>
        </w:rPr>
        <w:t> </w:t>
      </w:r>
      <w:r>
        <w:rPr>
          <w:sz w:val="24"/>
        </w:rPr>
        <w:t>negative</w:t>
      </w:r>
      <w:r>
        <w:rPr>
          <w:spacing w:val="32"/>
          <w:sz w:val="24"/>
        </w:rPr>
        <w:t> </w:t>
      </w:r>
      <w:r>
        <w:rPr>
          <w:sz w:val="24"/>
        </w:rPr>
        <w:t>effect</w:t>
      </w:r>
      <w:r>
        <w:rPr>
          <w:spacing w:val="31"/>
          <w:sz w:val="24"/>
        </w:rPr>
        <w:t> </w:t>
      </w:r>
      <w:r>
        <w:rPr>
          <w:sz w:val="24"/>
        </w:rPr>
        <w:t>on</w:t>
      </w:r>
      <w:r>
        <w:rPr>
          <w:spacing w:val="31"/>
          <w:sz w:val="24"/>
        </w:rPr>
        <w:t> </w:t>
      </w:r>
      <w:r>
        <w:rPr>
          <w:sz w:val="24"/>
        </w:rPr>
        <w:t>value</w:t>
      </w:r>
      <w:r>
        <w:rPr>
          <w:spacing w:val="30"/>
          <w:sz w:val="24"/>
        </w:rPr>
        <w:t> </w:t>
      </w:r>
      <w:r>
        <w:rPr>
          <w:sz w:val="24"/>
        </w:rPr>
        <w:t>relevance</w:t>
      </w:r>
      <w:r>
        <w:rPr>
          <w:spacing w:val="33"/>
          <w:sz w:val="24"/>
        </w:rPr>
        <w:t> </w:t>
      </w:r>
      <w:r>
        <w:rPr>
          <w:sz w:val="24"/>
        </w:rPr>
        <w:t>although</w:t>
      </w:r>
      <w:r>
        <w:rPr>
          <w:spacing w:val="31"/>
          <w:sz w:val="24"/>
        </w:rPr>
        <w:t> </w:t>
      </w:r>
      <w:r>
        <w:rPr>
          <w:sz w:val="24"/>
        </w:rPr>
        <w:t>not</w:t>
      </w:r>
      <w:r>
        <w:rPr>
          <w:spacing w:val="31"/>
          <w:sz w:val="24"/>
        </w:rPr>
        <w:t> </w:t>
      </w:r>
      <w:r>
        <w:rPr>
          <w:sz w:val="24"/>
        </w:rPr>
        <w:t>significant</w:t>
      </w:r>
      <w:r>
        <w:rPr>
          <w:spacing w:val="31"/>
          <w:sz w:val="24"/>
        </w:rPr>
        <w:t> </w:t>
      </w:r>
      <w:r>
        <w:rPr>
          <w:sz w:val="24"/>
        </w:rPr>
        <w:t>at</w:t>
      </w:r>
      <w:r>
        <w:rPr>
          <w:spacing w:val="31"/>
          <w:sz w:val="24"/>
        </w:rPr>
        <w:t> </w:t>
      </w:r>
      <w:r>
        <w:rPr>
          <w:sz w:val="24"/>
        </w:rPr>
        <w:t>5%</w:t>
      </w:r>
      <w:r>
        <w:rPr>
          <w:spacing w:val="30"/>
          <w:sz w:val="24"/>
        </w:rPr>
        <w:t> </w:t>
      </w:r>
      <w:r>
        <w:rPr>
          <w:sz w:val="24"/>
        </w:rPr>
        <w:t>(-0.0172,</w:t>
      </w:r>
    </w:p>
    <w:p>
      <w:pPr>
        <w:spacing w:after="0" w:line="480" w:lineRule="auto"/>
        <w:jc w:val="both"/>
        <w:rPr>
          <w:sz w:val="24"/>
        </w:rPr>
        <w:sectPr>
          <w:pgSz w:w="11910" w:h="16840"/>
          <w:pgMar w:header="0" w:footer="971" w:top="1360" w:bottom="1160" w:left="500" w:right="0"/>
        </w:sectPr>
      </w:pPr>
    </w:p>
    <w:p>
      <w:pPr>
        <w:pStyle w:val="BodyText"/>
        <w:spacing w:line="480" w:lineRule="auto" w:before="61"/>
        <w:ind w:left="940" w:right="1441"/>
        <w:jc w:val="both"/>
      </w:pPr>
      <w:r>
        <w:rPr/>
        <w:t>p=0.6707). However, the interaction Post-IFRS*MOWN testing the presence of incremental IFRS</w:t>
      </w:r>
      <w:r>
        <w:rPr>
          <w:spacing w:val="-3"/>
        </w:rPr>
        <w:t> </w:t>
      </w:r>
      <w:r>
        <w:rPr/>
        <w:t>adoption</w:t>
      </w:r>
      <w:r>
        <w:rPr>
          <w:spacing w:val="-1"/>
        </w:rPr>
        <w:t> </w:t>
      </w:r>
      <w:r>
        <w:rPr/>
        <w:t>effect</w:t>
      </w:r>
      <w:r>
        <w:rPr>
          <w:spacing w:val="-1"/>
        </w:rPr>
        <w:t> </w:t>
      </w:r>
      <w:r>
        <w:rPr/>
        <w:t>also</w:t>
      </w:r>
      <w:r>
        <w:rPr>
          <w:spacing w:val="-3"/>
        </w:rPr>
        <w:t> </w:t>
      </w:r>
      <w:r>
        <w:rPr/>
        <w:t>did</w:t>
      </w:r>
      <w:r>
        <w:rPr>
          <w:spacing w:val="-3"/>
        </w:rPr>
        <w:t> </w:t>
      </w:r>
      <w:r>
        <w:rPr/>
        <w:t>not</w:t>
      </w:r>
      <w:r>
        <w:rPr>
          <w:spacing w:val="-3"/>
        </w:rPr>
        <w:t> </w:t>
      </w:r>
      <w:r>
        <w:rPr/>
        <w:t>show</w:t>
      </w:r>
      <w:r>
        <w:rPr>
          <w:spacing w:val="-2"/>
        </w:rPr>
        <w:t> </w:t>
      </w:r>
      <w:r>
        <w:rPr/>
        <w:t>that</w:t>
      </w:r>
      <w:r>
        <w:rPr>
          <w:spacing w:val="-3"/>
        </w:rPr>
        <w:t> </w:t>
      </w:r>
      <w:r>
        <w:rPr/>
        <w:t>MOWN</w:t>
      </w:r>
      <w:r>
        <w:rPr>
          <w:spacing w:val="-3"/>
        </w:rPr>
        <w:t> </w:t>
      </w:r>
      <w:r>
        <w:rPr/>
        <w:t>had any</w:t>
      </w:r>
      <w:r>
        <w:rPr>
          <w:spacing w:val="-1"/>
        </w:rPr>
        <w:t> </w:t>
      </w:r>
      <w:r>
        <w:rPr/>
        <w:t>significant</w:t>
      </w:r>
      <w:r>
        <w:rPr>
          <w:spacing w:val="-3"/>
        </w:rPr>
        <w:t> </w:t>
      </w:r>
      <w:r>
        <w:rPr/>
        <w:t>incremental</w:t>
      </w:r>
      <w:r>
        <w:rPr>
          <w:spacing w:val="-1"/>
        </w:rPr>
        <w:t> </w:t>
      </w:r>
      <w:r>
        <w:rPr/>
        <w:t>effect</w:t>
      </w:r>
      <w:r>
        <w:rPr>
          <w:spacing w:val="-1"/>
        </w:rPr>
        <w:t> </w:t>
      </w:r>
      <w:r>
        <w:rPr/>
        <w:t>on value relevance resulting from IFRS adoption (0.0129, p=0.6857).</w:t>
      </w:r>
    </w:p>
    <w:p>
      <w:pPr>
        <w:pStyle w:val="ListParagraph"/>
        <w:numPr>
          <w:ilvl w:val="0"/>
          <w:numId w:val="34"/>
        </w:numPr>
        <w:tabs>
          <w:tab w:pos="1244" w:val="left" w:leader="none"/>
        </w:tabs>
        <w:spacing w:line="480" w:lineRule="auto" w:before="0" w:after="0"/>
        <w:ind w:left="940" w:right="1432" w:firstLine="0"/>
        <w:jc w:val="both"/>
        <w:rPr>
          <w:sz w:val="24"/>
        </w:rPr>
      </w:pPr>
      <w:r>
        <w:rPr/>
        <w:drawing>
          <wp:anchor distT="0" distB="0" distL="0" distR="0" allowOverlap="1" layoutInCell="1" locked="0" behindDoc="1" simplePos="0" relativeHeight="477766144">
            <wp:simplePos x="0" y="0"/>
            <wp:positionH relativeFrom="page">
              <wp:posOffset>1095451</wp:posOffset>
            </wp:positionH>
            <wp:positionV relativeFrom="paragraph">
              <wp:posOffset>760565</wp:posOffset>
            </wp:positionV>
            <wp:extent cx="5106847" cy="5238115"/>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FOWN had a positive effect on QUA-FRQ although not significant at 5% (0.0001, p=0.7640) and the interaction Post-IFRS*FOWN testing the presence of incremental IFRS adoption effect also did show that FOWN had a significant incremental effect on QUA-FRQ resulting from IFRS adoption (0.0009, p=0.0153). Furthermore, the estimations revealed that FOWN had a positive effect on DISACC although not significant at 5% (0.0022, p=0.6559) and</w:t>
      </w:r>
      <w:r>
        <w:rPr>
          <w:spacing w:val="-15"/>
          <w:sz w:val="24"/>
        </w:rPr>
        <w:t> </w:t>
      </w:r>
      <w:r>
        <w:rPr>
          <w:sz w:val="24"/>
        </w:rPr>
        <w:t>the</w:t>
      </w:r>
      <w:r>
        <w:rPr>
          <w:spacing w:val="-15"/>
          <w:sz w:val="24"/>
        </w:rPr>
        <w:t> </w:t>
      </w:r>
      <w:r>
        <w:rPr>
          <w:sz w:val="24"/>
        </w:rPr>
        <w:t>interaction</w:t>
      </w:r>
      <w:r>
        <w:rPr>
          <w:spacing w:val="-15"/>
          <w:sz w:val="24"/>
        </w:rPr>
        <w:t> </w:t>
      </w:r>
      <w:r>
        <w:rPr>
          <w:sz w:val="24"/>
        </w:rPr>
        <w:t>Post-IFRS*FOWN</w:t>
      </w:r>
      <w:r>
        <w:rPr>
          <w:spacing w:val="-14"/>
          <w:sz w:val="24"/>
        </w:rPr>
        <w:t> </w:t>
      </w:r>
      <w:r>
        <w:rPr>
          <w:sz w:val="24"/>
        </w:rPr>
        <w:t>testing</w:t>
      </w:r>
      <w:r>
        <w:rPr>
          <w:spacing w:val="-15"/>
          <w:sz w:val="24"/>
        </w:rPr>
        <w:t> </w:t>
      </w:r>
      <w:r>
        <w:rPr>
          <w:sz w:val="24"/>
        </w:rPr>
        <w:t>the</w:t>
      </w:r>
      <w:r>
        <w:rPr>
          <w:spacing w:val="-15"/>
          <w:sz w:val="24"/>
        </w:rPr>
        <w:t> </w:t>
      </w:r>
      <w:r>
        <w:rPr>
          <w:sz w:val="24"/>
        </w:rPr>
        <w:t>presence</w:t>
      </w:r>
      <w:r>
        <w:rPr>
          <w:spacing w:val="-15"/>
          <w:sz w:val="24"/>
        </w:rPr>
        <w:t> </w:t>
      </w:r>
      <w:r>
        <w:rPr>
          <w:sz w:val="24"/>
        </w:rPr>
        <w:t>of</w:t>
      </w:r>
      <w:r>
        <w:rPr>
          <w:spacing w:val="-14"/>
          <w:sz w:val="24"/>
        </w:rPr>
        <w:t> </w:t>
      </w:r>
      <w:r>
        <w:rPr>
          <w:sz w:val="24"/>
        </w:rPr>
        <w:t>incremental</w:t>
      </w:r>
      <w:r>
        <w:rPr>
          <w:spacing w:val="-13"/>
          <w:sz w:val="24"/>
        </w:rPr>
        <w:t> </w:t>
      </w:r>
      <w:r>
        <w:rPr>
          <w:sz w:val="24"/>
        </w:rPr>
        <w:t>IFRS</w:t>
      </w:r>
      <w:r>
        <w:rPr>
          <w:spacing w:val="-15"/>
          <w:sz w:val="24"/>
        </w:rPr>
        <w:t> </w:t>
      </w:r>
      <w:r>
        <w:rPr>
          <w:sz w:val="24"/>
        </w:rPr>
        <w:t>adoption</w:t>
      </w:r>
      <w:r>
        <w:rPr>
          <w:spacing w:val="-15"/>
          <w:sz w:val="24"/>
        </w:rPr>
        <w:t> </w:t>
      </w:r>
      <w:r>
        <w:rPr>
          <w:sz w:val="24"/>
        </w:rPr>
        <w:t>effect also did not show that FOWN had any significant incremental effect on DISACC resulting from IFRS adoption (0.008, p=0.1715). Finally, FOWN had a negative effect on value relevance although not significant at 5% (-0.1587p=0.0042) and the interaction Post- IFRS*FOWN testing the presence of incremental IFRS adoption effect also did show that FOWN had a significant incremental effect on value relevance (0.0852, p=0.0401).</w:t>
      </w:r>
    </w:p>
    <w:p>
      <w:pPr>
        <w:pStyle w:val="ListParagraph"/>
        <w:numPr>
          <w:ilvl w:val="0"/>
          <w:numId w:val="34"/>
        </w:numPr>
        <w:tabs>
          <w:tab w:pos="1211" w:val="left" w:leader="none"/>
        </w:tabs>
        <w:spacing w:line="480" w:lineRule="auto" w:before="1" w:after="0"/>
        <w:ind w:left="940" w:right="1435" w:firstLine="0"/>
        <w:jc w:val="both"/>
        <w:rPr>
          <w:sz w:val="24"/>
        </w:rPr>
      </w:pPr>
      <w:r>
        <w:rPr>
          <w:sz w:val="24"/>
        </w:rPr>
        <w:t>BLOWN had a positive effect on QUA-FRQ although not significant at 5% (-5.01e-05, p=0.8254) and the interaction Post-IFRS*BLOWN was negative and significant at 5% (- 0.0006, p=0.0233).</w:t>
      </w:r>
      <w:r>
        <w:rPr>
          <w:spacing w:val="40"/>
          <w:sz w:val="24"/>
        </w:rPr>
        <w:t> </w:t>
      </w:r>
      <w:r>
        <w:rPr>
          <w:sz w:val="24"/>
        </w:rPr>
        <w:t>Hence, in testing the presence of incremental IFRS adoption effect, BLOWN showed evidence of a significant decremental effect on QUA-FRQ resulting from IFRS adoption (-0.0006, p=0.0233) indicating that the increase in block ownership significantly</w:t>
      </w:r>
      <w:r>
        <w:rPr>
          <w:spacing w:val="-10"/>
          <w:sz w:val="24"/>
        </w:rPr>
        <w:t> </w:t>
      </w:r>
      <w:r>
        <w:rPr>
          <w:sz w:val="24"/>
        </w:rPr>
        <w:t>declined</w:t>
      </w:r>
      <w:r>
        <w:rPr>
          <w:spacing w:val="-9"/>
          <w:sz w:val="24"/>
        </w:rPr>
        <w:t> </w:t>
      </w:r>
      <w:r>
        <w:rPr>
          <w:sz w:val="24"/>
        </w:rPr>
        <w:t>qualitative</w:t>
      </w:r>
      <w:r>
        <w:rPr>
          <w:spacing w:val="-10"/>
          <w:sz w:val="24"/>
        </w:rPr>
        <w:t> </w:t>
      </w:r>
      <w:r>
        <w:rPr>
          <w:sz w:val="24"/>
        </w:rPr>
        <w:t>attributes</w:t>
      </w:r>
      <w:r>
        <w:rPr>
          <w:spacing w:val="-9"/>
          <w:sz w:val="24"/>
        </w:rPr>
        <w:t> </w:t>
      </w:r>
      <w:r>
        <w:rPr>
          <w:sz w:val="24"/>
        </w:rPr>
        <w:t>of</w:t>
      </w:r>
      <w:r>
        <w:rPr>
          <w:spacing w:val="-10"/>
          <w:sz w:val="24"/>
        </w:rPr>
        <w:t> </w:t>
      </w:r>
      <w:r>
        <w:rPr>
          <w:sz w:val="24"/>
        </w:rPr>
        <w:t>FRQ</w:t>
      </w:r>
      <w:r>
        <w:rPr>
          <w:spacing w:val="-10"/>
          <w:sz w:val="24"/>
        </w:rPr>
        <w:t> </w:t>
      </w:r>
      <w:r>
        <w:rPr>
          <w:sz w:val="24"/>
        </w:rPr>
        <w:t>after</w:t>
      </w:r>
      <w:r>
        <w:rPr>
          <w:spacing w:val="-10"/>
          <w:sz w:val="24"/>
        </w:rPr>
        <w:t> </w:t>
      </w:r>
      <w:r>
        <w:rPr>
          <w:sz w:val="24"/>
        </w:rPr>
        <w:t>the</w:t>
      </w:r>
      <w:r>
        <w:rPr>
          <w:spacing w:val="-11"/>
          <w:sz w:val="24"/>
        </w:rPr>
        <w:t> </w:t>
      </w:r>
      <w:r>
        <w:rPr>
          <w:sz w:val="24"/>
        </w:rPr>
        <w:t>adoption</w:t>
      </w:r>
      <w:r>
        <w:rPr>
          <w:spacing w:val="-10"/>
          <w:sz w:val="24"/>
        </w:rPr>
        <w:t> </w:t>
      </w:r>
      <w:r>
        <w:rPr>
          <w:sz w:val="24"/>
        </w:rPr>
        <w:t>of</w:t>
      </w:r>
      <w:r>
        <w:rPr>
          <w:spacing w:val="-9"/>
          <w:sz w:val="24"/>
        </w:rPr>
        <w:t> </w:t>
      </w:r>
      <w:r>
        <w:rPr>
          <w:sz w:val="24"/>
        </w:rPr>
        <w:t>IFRS.</w:t>
      </w:r>
      <w:r>
        <w:rPr>
          <w:spacing w:val="-10"/>
          <w:sz w:val="24"/>
        </w:rPr>
        <w:t> </w:t>
      </w:r>
      <w:r>
        <w:rPr>
          <w:sz w:val="24"/>
        </w:rPr>
        <w:t>The</w:t>
      </w:r>
      <w:r>
        <w:rPr>
          <w:spacing w:val="-11"/>
          <w:sz w:val="24"/>
        </w:rPr>
        <w:t> </w:t>
      </w:r>
      <w:r>
        <w:rPr>
          <w:sz w:val="24"/>
        </w:rPr>
        <w:t>estimations revealed that BLOWN had a positive effect on DISACC although not significant at 5% (- 0.0034,</w:t>
      </w:r>
      <w:r>
        <w:rPr>
          <w:spacing w:val="-11"/>
          <w:sz w:val="24"/>
        </w:rPr>
        <w:t> </w:t>
      </w:r>
      <w:r>
        <w:rPr>
          <w:sz w:val="24"/>
        </w:rPr>
        <w:t>p=0.5529)</w:t>
      </w:r>
      <w:r>
        <w:rPr>
          <w:spacing w:val="-9"/>
          <w:sz w:val="24"/>
        </w:rPr>
        <w:t> </w:t>
      </w:r>
      <w:r>
        <w:rPr>
          <w:sz w:val="24"/>
        </w:rPr>
        <w:t>and</w:t>
      </w:r>
      <w:r>
        <w:rPr>
          <w:spacing w:val="-9"/>
          <w:sz w:val="24"/>
        </w:rPr>
        <w:t> </w:t>
      </w:r>
      <w:r>
        <w:rPr>
          <w:sz w:val="24"/>
        </w:rPr>
        <w:t>the</w:t>
      </w:r>
      <w:r>
        <w:rPr>
          <w:spacing w:val="-11"/>
          <w:sz w:val="24"/>
        </w:rPr>
        <w:t> </w:t>
      </w:r>
      <w:r>
        <w:rPr>
          <w:sz w:val="24"/>
        </w:rPr>
        <w:t>interaction</w:t>
      </w:r>
      <w:r>
        <w:rPr>
          <w:spacing w:val="-11"/>
          <w:sz w:val="24"/>
        </w:rPr>
        <w:t> </w:t>
      </w:r>
      <w:r>
        <w:rPr>
          <w:sz w:val="24"/>
        </w:rPr>
        <w:t>Post-IFRS*BLOWN</w:t>
      </w:r>
      <w:r>
        <w:rPr>
          <w:spacing w:val="-11"/>
          <w:sz w:val="24"/>
        </w:rPr>
        <w:t> </w:t>
      </w:r>
      <w:r>
        <w:rPr>
          <w:sz w:val="24"/>
        </w:rPr>
        <w:t>testing</w:t>
      </w:r>
      <w:r>
        <w:rPr>
          <w:spacing w:val="-10"/>
          <w:sz w:val="24"/>
        </w:rPr>
        <w:t> </w:t>
      </w:r>
      <w:r>
        <w:rPr>
          <w:sz w:val="24"/>
        </w:rPr>
        <w:t>the</w:t>
      </w:r>
      <w:r>
        <w:rPr>
          <w:spacing w:val="-9"/>
          <w:sz w:val="24"/>
        </w:rPr>
        <w:t> </w:t>
      </w:r>
      <w:r>
        <w:rPr>
          <w:sz w:val="24"/>
        </w:rPr>
        <w:t>presence</w:t>
      </w:r>
      <w:r>
        <w:rPr>
          <w:spacing w:val="-9"/>
          <w:sz w:val="24"/>
        </w:rPr>
        <w:t> </w:t>
      </w:r>
      <w:r>
        <w:rPr>
          <w:sz w:val="24"/>
        </w:rPr>
        <w:t>of</w:t>
      </w:r>
      <w:r>
        <w:rPr>
          <w:spacing w:val="-11"/>
          <w:sz w:val="24"/>
        </w:rPr>
        <w:t> </w:t>
      </w:r>
      <w:r>
        <w:rPr>
          <w:sz w:val="24"/>
        </w:rPr>
        <w:t>incremental IFRS</w:t>
      </w:r>
      <w:r>
        <w:rPr>
          <w:spacing w:val="-8"/>
          <w:sz w:val="24"/>
        </w:rPr>
        <w:t> </w:t>
      </w:r>
      <w:r>
        <w:rPr>
          <w:sz w:val="24"/>
        </w:rPr>
        <w:t>adoption</w:t>
      </w:r>
      <w:r>
        <w:rPr>
          <w:spacing w:val="-8"/>
          <w:sz w:val="24"/>
        </w:rPr>
        <w:t> </w:t>
      </w:r>
      <w:r>
        <w:rPr>
          <w:sz w:val="24"/>
        </w:rPr>
        <w:t>effect</w:t>
      </w:r>
      <w:r>
        <w:rPr>
          <w:spacing w:val="-8"/>
          <w:sz w:val="24"/>
        </w:rPr>
        <w:t> </w:t>
      </w:r>
      <w:r>
        <w:rPr>
          <w:sz w:val="24"/>
        </w:rPr>
        <w:t>also</w:t>
      </w:r>
      <w:r>
        <w:rPr>
          <w:spacing w:val="-5"/>
          <w:sz w:val="24"/>
        </w:rPr>
        <w:t> </w:t>
      </w:r>
      <w:r>
        <w:rPr>
          <w:sz w:val="24"/>
        </w:rPr>
        <w:t>did</w:t>
      </w:r>
      <w:r>
        <w:rPr>
          <w:spacing w:val="-8"/>
          <w:sz w:val="24"/>
        </w:rPr>
        <w:t> </w:t>
      </w:r>
      <w:r>
        <w:rPr>
          <w:sz w:val="24"/>
        </w:rPr>
        <w:t>not</w:t>
      </w:r>
      <w:r>
        <w:rPr>
          <w:spacing w:val="-8"/>
          <w:sz w:val="24"/>
        </w:rPr>
        <w:t> </w:t>
      </w:r>
      <w:r>
        <w:rPr>
          <w:sz w:val="24"/>
        </w:rPr>
        <w:t>show</w:t>
      </w:r>
      <w:r>
        <w:rPr>
          <w:spacing w:val="-11"/>
          <w:sz w:val="24"/>
        </w:rPr>
        <w:t> </w:t>
      </w:r>
      <w:r>
        <w:rPr>
          <w:sz w:val="24"/>
        </w:rPr>
        <w:t>that</w:t>
      </w:r>
      <w:r>
        <w:rPr>
          <w:spacing w:val="-8"/>
          <w:sz w:val="24"/>
        </w:rPr>
        <w:t> </w:t>
      </w:r>
      <w:r>
        <w:rPr>
          <w:sz w:val="24"/>
        </w:rPr>
        <w:t>BLOWN</w:t>
      </w:r>
      <w:r>
        <w:rPr>
          <w:spacing w:val="-9"/>
          <w:sz w:val="24"/>
        </w:rPr>
        <w:t> </w:t>
      </w:r>
      <w:r>
        <w:rPr>
          <w:sz w:val="24"/>
        </w:rPr>
        <w:t>had</w:t>
      </w:r>
      <w:r>
        <w:rPr>
          <w:spacing w:val="-8"/>
          <w:sz w:val="24"/>
        </w:rPr>
        <w:t> </w:t>
      </w:r>
      <w:r>
        <w:rPr>
          <w:sz w:val="24"/>
        </w:rPr>
        <w:t>any</w:t>
      </w:r>
      <w:r>
        <w:rPr>
          <w:spacing w:val="-8"/>
          <w:sz w:val="24"/>
        </w:rPr>
        <w:t> </w:t>
      </w:r>
      <w:r>
        <w:rPr>
          <w:sz w:val="24"/>
        </w:rPr>
        <w:t>significant</w:t>
      </w:r>
      <w:r>
        <w:rPr>
          <w:spacing w:val="-8"/>
          <w:sz w:val="24"/>
        </w:rPr>
        <w:t> </w:t>
      </w:r>
      <w:r>
        <w:rPr>
          <w:sz w:val="24"/>
        </w:rPr>
        <w:t>incremental</w:t>
      </w:r>
      <w:r>
        <w:rPr>
          <w:spacing w:val="-8"/>
          <w:sz w:val="24"/>
        </w:rPr>
        <w:t> </w:t>
      </w:r>
      <w:r>
        <w:rPr>
          <w:sz w:val="24"/>
        </w:rPr>
        <w:t>effect</w:t>
      </w:r>
      <w:r>
        <w:rPr>
          <w:spacing w:val="-8"/>
          <w:sz w:val="24"/>
        </w:rPr>
        <w:t> </w:t>
      </w:r>
      <w:r>
        <w:rPr>
          <w:sz w:val="24"/>
        </w:rPr>
        <w:t>on DISACC resulting from IFRS adoption (-0.00496, p=0.4869).</w:t>
      </w:r>
      <w:r>
        <w:rPr>
          <w:spacing w:val="40"/>
          <w:sz w:val="24"/>
        </w:rPr>
        <w:t> </w:t>
      </w:r>
      <w:r>
        <w:rPr>
          <w:sz w:val="24"/>
        </w:rPr>
        <w:t>The estimations revealed that BLOWN</w:t>
      </w:r>
      <w:r>
        <w:rPr>
          <w:spacing w:val="25"/>
          <w:sz w:val="24"/>
        </w:rPr>
        <w:t> </w:t>
      </w:r>
      <w:r>
        <w:rPr>
          <w:sz w:val="24"/>
        </w:rPr>
        <w:t>has</w:t>
      </w:r>
      <w:r>
        <w:rPr>
          <w:spacing w:val="25"/>
          <w:sz w:val="24"/>
        </w:rPr>
        <w:t> </w:t>
      </w:r>
      <w:r>
        <w:rPr>
          <w:sz w:val="24"/>
        </w:rPr>
        <w:t>a</w:t>
      </w:r>
      <w:r>
        <w:rPr>
          <w:spacing w:val="24"/>
          <w:sz w:val="24"/>
        </w:rPr>
        <w:t> </w:t>
      </w:r>
      <w:r>
        <w:rPr>
          <w:sz w:val="24"/>
        </w:rPr>
        <w:t>negative</w:t>
      </w:r>
      <w:r>
        <w:rPr>
          <w:spacing w:val="26"/>
          <w:sz w:val="24"/>
        </w:rPr>
        <w:t> </w:t>
      </w:r>
      <w:r>
        <w:rPr>
          <w:sz w:val="24"/>
        </w:rPr>
        <w:t>effect</w:t>
      </w:r>
      <w:r>
        <w:rPr>
          <w:spacing w:val="26"/>
          <w:sz w:val="24"/>
        </w:rPr>
        <w:t> </w:t>
      </w:r>
      <w:r>
        <w:rPr>
          <w:sz w:val="24"/>
        </w:rPr>
        <w:t>on</w:t>
      </w:r>
      <w:r>
        <w:rPr>
          <w:spacing w:val="25"/>
          <w:sz w:val="24"/>
        </w:rPr>
        <w:t> </w:t>
      </w:r>
      <w:r>
        <w:rPr>
          <w:sz w:val="24"/>
        </w:rPr>
        <w:t>value</w:t>
      </w:r>
      <w:r>
        <w:rPr>
          <w:spacing w:val="25"/>
          <w:sz w:val="24"/>
        </w:rPr>
        <w:t> </w:t>
      </w:r>
      <w:r>
        <w:rPr>
          <w:sz w:val="24"/>
        </w:rPr>
        <w:t>relevance</w:t>
      </w:r>
      <w:r>
        <w:rPr>
          <w:spacing w:val="29"/>
          <w:sz w:val="24"/>
        </w:rPr>
        <w:t> </w:t>
      </w:r>
      <w:r>
        <w:rPr>
          <w:sz w:val="24"/>
        </w:rPr>
        <w:t>although</w:t>
      </w:r>
      <w:r>
        <w:rPr>
          <w:spacing w:val="26"/>
          <w:sz w:val="24"/>
        </w:rPr>
        <w:t> </w:t>
      </w:r>
      <w:r>
        <w:rPr>
          <w:sz w:val="24"/>
        </w:rPr>
        <w:t>not</w:t>
      </w:r>
      <w:r>
        <w:rPr>
          <w:spacing w:val="26"/>
          <w:sz w:val="24"/>
        </w:rPr>
        <w:t> </w:t>
      </w:r>
      <w:r>
        <w:rPr>
          <w:sz w:val="24"/>
        </w:rPr>
        <w:t>significant</w:t>
      </w:r>
      <w:r>
        <w:rPr>
          <w:spacing w:val="26"/>
          <w:sz w:val="24"/>
        </w:rPr>
        <w:t> </w:t>
      </w:r>
      <w:r>
        <w:rPr>
          <w:sz w:val="24"/>
        </w:rPr>
        <w:t>at</w:t>
      </w:r>
      <w:r>
        <w:rPr>
          <w:spacing w:val="26"/>
          <w:sz w:val="24"/>
        </w:rPr>
        <w:t> </w:t>
      </w:r>
      <w:r>
        <w:rPr>
          <w:sz w:val="24"/>
        </w:rPr>
        <w:t>5%</w:t>
      </w:r>
      <w:r>
        <w:rPr>
          <w:spacing w:val="24"/>
          <w:sz w:val="24"/>
        </w:rPr>
        <w:t> </w:t>
      </w:r>
      <w:r>
        <w:rPr>
          <w:sz w:val="24"/>
        </w:rPr>
        <w:t>(-0.0183,</w:t>
      </w:r>
    </w:p>
    <w:p>
      <w:pPr>
        <w:spacing w:after="0" w:line="480" w:lineRule="auto"/>
        <w:jc w:val="both"/>
        <w:rPr>
          <w:sz w:val="24"/>
        </w:rPr>
        <w:sectPr>
          <w:pgSz w:w="11910" w:h="16840"/>
          <w:pgMar w:header="0" w:footer="971" w:top="1360" w:bottom="1160" w:left="500" w:right="0"/>
        </w:sectPr>
      </w:pPr>
    </w:p>
    <w:p>
      <w:pPr>
        <w:pStyle w:val="BodyText"/>
        <w:spacing w:line="480" w:lineRule="auto" w:before="61"/>
        <w:ind w:left="940" w:right="1435"/>
        <w:jc w:val="both"/>
      </w:pPr>
      <w:r>
        <w:rPr/>
        <w:t>p=0.3489) but the interaction; Post-IFRS*BLOWN, testing the presence of incremental IFRS adoption effect also did show that BLOWN had a significant incremental effect on DISACC (0.1485,</w:t>
      </w:r>
      <w:r>
        <w:rPr>
          <w:spacing w:val="-13"/>
        </w:rPr>
        <w:t> </w:t>
      </w:r>
      <w:r>
        <w:rPr/>
        <w:t>p=0.0003).</w:t>
      </w:r>
      <w:r>
        <w:rPr>
          <w:spacing w:val="-13"/>
        </w:rPr>
        <w:t> </w:t>
      </w:r>
      <w:r>
        <w:rPr/>
        <w:t>Hence,</w:t>
      </w:r>
      <w:r>
        <w:rPr>
          <w:spacing w:val="-13"/>
        </w:rPr>
        <w:t> </w:t>
      </w:r>
      <w:r>
        <w:rPr/>
        <w:t>block</w:t>
      </w:r>
      <w:r>
        <w:rPr>
          <w:spacing w:val="-14"/>
        </w:rPr>
        <w:t> </w:t>
      </w:r>
      <w:r>
        <w:rPr/>
        <w:t>ownership</w:t>
      </w:r>
      <w:r>
        <w:rPr>
          <w:spacing w:val="-13"/>
        </w:rPr>
        <w:t> </w:t>
      </w:r>
      <w:r>
        <w:rPr/>
        <w:t>was</w:t>
      </w:r>
      <w:r>
        <w:rPr>
          <w:spacing w:val="-10"/>
        </w:rPr>
        <w:t> </w:t>
      </w:r>
      <w:r>
        <w:rPr/>
        <w:t>found</w:t>
      </w:r>
      <w:r>
        <w:rPr>
          <w:spacing w:val="-14"/>
        </w:rPr>
        <w:t> </w:t>
      </w:r>
      <w:r>
        <w:rPr/>
        <w:t>to</w:t>
      </w:r>
      <w:r>
        <w:rPr>
          <w:spacing w:val="-13"/>
        </w:rPr>
        <w:t> </w:t>
      </w:r>
      <w:r>
        <w:rPr/>
        <w:t>improve</w:t>
      </w:r>
      <w:r>
        <w:rPr>
          <w:spacing w:val="-15"/>
        </w:rPr>
        <w:t> </w:t>
      </w:r>
      <w:r>
        <w:rPr/>
        <w:t>value</w:t>
      </w:r>
      <w:r>
        <w:rPr>
          <w:spacing w:val="-14"/>
        </w:rPr>
        <w:t> </w:t>
      </w:r>
      <w:r>
        <w:rPr/>
        <w:t>relevance</w:t>
      </w:r>
      <w:r>
        <w:rPr>
          <w:spacing w:val="-14"/>
        </w:rPr>
        <w:t> </w:t>
      </w:r>
      <w:r>
        <w:rPr/>
        <w:t>in</w:t>
      </w:r>
      <w:r>
        <w:rPr>
          <w:spacing w:val="-13"/>
        </w:rPr>
        <w:t> </w:t>
      </w:r>
      <w:r>
        <w:rPr/>
        <w:t>the</w:t>
      </w:r>
      <w:r>
        <w:rPr>
          <w:spacing w:val="-14"/>
        </w:rPr>
        <w:t> </w:t>
      </w:r>
      <w:r>
        <w:rPr/>
        <w:t>post- IFRS regime.</w:t>
      </w:r>
    </w:p>
    <w:p>
      <w:pPr>
        <w:pStyle w:val="BodyText"/>
      </w:pPr>
    </w:p>
    <w:p>
      <w:pPr>
        <w:pStyle w:val="BodyText"/>
      </w:pPr>
    </w:p>
    <w:p>
      <w:pPr>
        <w:pStyle w:val="Heading3"/>
        <w:numPr>
          <w:ilvl w:val="1"/>
          <w:numId w:val="35"/>
        </w:numPr>
        <w:tabs>
          <w:tab w:pos="1300" w:val="left" w:leader="none"/>
        </w:tabs>
        <w:spacing w:line="240" w:lineRule="auto" w:before="0" w:after="0"/>
        <w:ind w:left="1300" w:right="0" w:hanging="360"/>
        <w:jc w:val="left"/>
      </w:pPr>
      <w:r>
        <w:rPr/>
        <w:drawing>
          <wp:anchor distT="0" distB="0" distL="0" distR="0" allowOverlap="1" layoutInCell="1" locked="0" behindDoc="1" simplePos="0" relativeHeight="477766656">
            <wp:simplePos x="0" y="0"/>
            <wp:positionH relativeFrom="page">
              <wp:posOffset>1095451</wp:posOffset>
            </wp:positionH>
            <wp:positionV relativeFrom="paragraph">
              <wp:posOffset>59584</wp:posOffset>
            </wp:positionV>
            <wp:extent cx="5106847" cy="5238115"/>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5" cstate="print"/>
                    <a:stretch>
                      <a:fillRect/>
                    </a:stretch>
                  </pic:blipFill>
                  <pic:spPr>
                    <a:xfrm>
                      <a:off x="0" y="0"/>
                      <a:ext cx="5106847" cy="5238115"/>
                    </a:xfrm>
                    <a:prstGeom prst="rect">
                      <a:avLst/>
                    </a:prstGeom>
                  </pic:spPr>
                </pic:pic>
              </a:graphicData>
            </a:graphic>
          </wp:anchor>
        </w:drawing>
      </w:r>
      <w:bookmarkStart w:name="_TOC_250005" w:id="65"/>
      <w:bookmarkEnd w:id="65"/>
      <w:r>
        <w:rPr>
          <w:spacing w:val="-2"/>
        </w:rPr>
        <w:t>Conclusion</w:t>
      </w:r>
    </w:p>
    <w:p>
      <w:pPr>
        <w:pStyle w:val="BodyText"/>
        <w:spacing w:before="1"/>
        <w:rPr>
          <w:b/>
        </w:rPr>
      </w:pPr>
    </w:p>
    <w:p>
      <w:pPr>
        <w:pStyle w:val="BodyText"/>
        <w:spacing w:line="480" w:lineRule="auto"/>
        <w:ind w:left="940" w:right="1436"/>
        <w:jc w:val="both"/>
      </w:pPr>
      <w:r>
        <w:rPr/>
        <w:t>Corporate Governance (CG)</w:t>
      </w:r>
      <w:r>
        <w:rPr>
          <w:spacing w:val="-1"/>
        </w:rPr>
        <w:t> </w:t>
      </w:r>
      <w:r>
        <w:rPr/>
        <w:t>became a global issue due to the wave of corporate scandals that occurred in the international community. That led to the emergence of reforms in CG framework</w:t>
      </w:r>
      <w:r>
        <w:rPr>
          <w:spacing w:val="-8"/>
        </w:rPr>
        <w:t> </w:t>
      </w:r>
      <w:r>
        <w:rPr/>
        <w:t>around</w:t>
      </w:r>
      <w:r>
        <w:rPr>
          <w:spacing w:val="-8"/>
        </w:rPr>
        <w:t> </w:t>
      </w:r>
      <w:r>
        <w:rPr/>
        <w:t>the</w:t>
      </w:r>
      <w:r>
        <w:rPr>
          <w:spacing w:val="-8"/>
        </w:rPr>
        <w:t> </w:t>
      </w:r>
      <w:r>
        <w:rPr/>
        <w:t>world</w:t>
      </w:r>
      <w:r>
        <w:rPr>
          <w:spacing w:val="-8"/>
        </w:rPr>
        <w:t> </w:t>
      </w:r>
      <w:r>
        <w:rPr/>
        <w:t>such</w:t>
      </w:r>
      <w:r>
        <w:rPr>
          <w:spacing w:val="-7"/>
        </w:rPr>
        <w:t> </w:t>
      </w:r>
      <w:r>
        <w:rPr/>
        <w:t>as</w:t>
      </w:r>
      <w:r>
        <w:rPr>
          <w:spacing w:val="-7"/>
        </w:rPr>
        <w:t> </w:t>
      </w:r>
      <w:r>
        <w:rPr/>
        <w:t>the</w:t>
      </w:r>
      <w:r>
        <w:rPr>
          <w:spacing w:val="-8"/>
        </w:rPr>
        <w:t> </w:t>
      </w:r>
      <w:r>
        <w:rPr/>
        <w:t>Sarbanese-Oxley</w:t>
      </w:r>
      <w:r>
        <w:rPr>
          <w:spacing w:val="-7"/>
        </w:rPr>
        <w:t> </w:t>
      </w:r>
      <w:r>
        <w:rPr/>
        <w:t>Act</w:t>
      </w:r>
      <w:r>
        <w:rPr>
          <w:spacing w:val="-7"/>
        </w:rPr>
        <w:t> </w:t>
      </w:r>
      <w:r>
        <w:rPr/>
        <w:t>(SOX)</w:t>
      </w:r>
      <w:r>
        <w:rPr>
          <w:spacing w:val="-6"/>
        </w:rPr>
        <w:t> </w:t>
      </w:r>
      <w:r>
        <w:rPr/>
        <w:t>which</w:t>
      </w:r>
      <w:r>
        <w:rPr>
          <w:spacing w:val="-7"/>
        </w:rPr>
        <w:t> </w:t>
      </w:r>
      <w:r>
        <w:rPr/>
        <w:t>was</w:t>
      </w:r>
      <w:r>
        <w:rPr>
          <w:spacing w:val="-7"/>
        </w:rPr>
        <w:t> </w:t>
      </w:r>
      <w:r>
        <w:rPr/>
        <w:t>introduced</w:t>
      </w:r>
      <w:r>
        <w:rPr>
          <w:spacing w:val="-5"/>
        </w:rPr>
        <w:t> </w:t>
      </w:r>
      <w:r>
        <w:rPr/>
        <w:t>in 2002</w:t>
      </w:r>
      <w:r>
        <w:rPr>
          <w:spacing w:val="-10"/>
        </w:rPr>
        <w:t> </w:t>
      </w:r>
      <w:r>
        <w:rPr/>
        <w:t>in</w:t>
      </w:r>
      <w:r>
        <w:rPr>
          <w:spacing w:val="-9"/>
        </w:rPr>
        <w:t> </w:t>
      </w:r>
      <w:r>
        <w:rPr/>
        <w:t>the</w:t>
      </w:r>
      <w:r>
        <w:rPr>
          <w:spacing w:val="-10"/>
        </w:rPr>
        <w:t> </w:t>
      </w:r>
      <w:r>
        <w:rPr/>
        <w:t>U.S.</w:t>
      </w:r>
      <w:r>
        <w:rPr>
          <w:spacing w:val="-9"/>
        </w:rPr>
        <w:t> </w:t>
      </w:r>
      <w:r>
        <w:rPr/>
        <w:t>with</w:t>
      </w:r>
      <w:r>
        <w:rPr>
          <w:spacing w:val="-9"/>
        </w:rPr>
        <w:t> </w:t>
      </w:r>
      <w:r>
        <w:rPr/>
        <w:t>a</w:t>
      </w:r>
      <w:r>
        <w:rPr>
          <w:spacing w:val="-8"/>
        </w:rPr>
        <w:t> </w:t>
      </w:r>
      <w:r>
        <w:rPr/>
        <w:t>view</w:t>
      </w:r>
      <w:r>
        <w:rPr>
          <w:spacing w:val="-11"/>
        </w:rPr>
        <w:t> </w:t>
      </w:r>
      <w:r>
        <w:rPr/>
        <w:t>to</w:t>
      </w:r>
      <w:r>
        <w:rPr>
          <w:spacing w:val="-9"/>
        </w:rPr>
        <w:t> </w:t>
      </w:r>
      <w:r>
        <w:rPr/>
        <w:t>improving</w:t>
      </w:r>
      <w:r>
        <w:rPr>
          <w:spacing w:val="-10"/>
        </w:rPr>
        <w:t> </w:t>
      </w:r>
      <w:r>
        <w:rPr/>
        <w:t>CG</w:t>
      </w:r>
      <w:r>
        <w:rPr>
          <w:spacing w:val="-10"/>
        </w:rPr>
        <w:t> </w:t>
      </w:r>
      <w:r>
        <w:rPr/>
        <w:t>practices.</w:t>
      </w:r>
      <w:r>
        <w:rPr>
          <w:spacing w:val="-9"/>
        </w:rPr>
        <w:t> </w:t>
      </w:r>
      <w:r>
        <w:rPr/>
        <w:t>Many</w:t>
      </w:r>
      <w:r>
        <w:rPr>
          <w:spacing w:val="-10"/>
        </w:rPr>
        <w:t> </w:t>
      </w:r>
      <w:r>
        <w:rPr/>
        <w:t>other</w:t>
      </w:r>
      <w:r>
        <w:rPr>
          <w:spacing w:val="-10"/>
        </w:rPr>
        <w:t> </w:t>
      </w:r>
      <w:r>
        <w:rPr/>
        <w:t>countries,</w:t>
      </w:r>
      <w:r>
        <w:rPr>
          <w:spacing w:val="-9"/>
        </w:rPr>
        <w:t> </w:t>
      </w:r>
      <w:r>
        <w:rPr/>
        <w:t>both</w:t>
      </w:r>
      <w:r>
        <w:rPr>
          <w:spacing w:val="-9"/>
        </w:rPr>
        <w:t> </w:t>
      </w:r>
      <w:r>
        <w:rPr/>
        <w:t>developed and developing, followed suit. A main feature of financial information systems is to provide high quality accounting information and a commitment to a transparent information environment. Higher quality financial reporting is essential to decrease the severity of information asymmetry between managers and market participants. Financial information therefore,</w:t>
      </w:r>
      <w:r>
        <w:rPr>
          <w:spacing w:val="-12"/>
        </w:rPr>
        <w:t> </w:t>
      </w:r>
      <w:r>
        <w:rPr/>
        <w:t>serves</w:t>
      </w:r>
      <w:r>
        <w:rPr>
          <w:spacing w:val="-10"/>
        </w:rPr>
        <w:t> </w:t>
      </w:r>
      <w:r>
        <w:rPr/>
        <w:t>as</w:t>
      </w:r>
      <w:r>
        <w:rPr>
          <w:spacing w:val="-9"/>
        </w:rPr>
        <w:t> </w:t>
      </w:r>
      <w:r>
        <w:rPr/>
        <w:t>a</w:t>
      </w:r>
      <w:r>
        <w:rPr>
          <w:spacing w:val="-13"/>
        </w:rPr>
        <w:t> </w:t>
      </w:r>
      <w:r>
        <w:rPr/>
        <w:t>basis</w:t>
      </w:r>
      <w:r>
        <w:rPr>
          <w:spacing w:val="-11"/>
        </w:rPr>
        <w:t> </w:t>
      </w:r>
      <w:r>
        <w:rPr/>
        <w:t>for</w:t>
      </w:r>
      <w:r>
        <w:rPr>
          <w:spacing w:val="-14"/>
        </w:rPr>
        <w:t> </w:t>
      </w:r>
      <w:r>
        <w:rPr/>
        <w:t>investment</w:t>
      </w:r>
      <w:r>
        <w:rPr>
          <w:spacing w:val="-12"/>
        </w:rPr>
        <w:t> </w:t>
      </w:r>
      <w:r>
        <w:rPr/>
        <w:t>decisions</w:t>
      </w:r>
      <w:r>
        <w:rPr>
          <w:spacing w:val="-12"/>
        </w:rPr>
        <w:t> </w:t>
      </w:r>
      <w:r>
        <w:rPr/>
        <w:t>for</w:t>
      </w:r>
      <w:r>
        <w:rPr>
          <w:spacing w:val="-11"/>
        </w:rPr>
        <w:t> </w:t>
      </w:r>
      <w:r>
        <w:rPr/>
        <w:t>capital</w:t>
      </w:r>
      <w:r>
        <w:rPr>
          <w:spacing w:val="-12"/>
        </w:rPr>
        <w:t> </w:t>
      </w:r>
      <w:r>
        <w:rPr/>
        <w:t>market</w:t>
      </w:r>
      <w:r>
        <w:rPr>
          <w:spacing w:val="-9"/>
        </w:rPr>
        <w:t> </w:t>
      </w:r>
      <w:r>
        <w:rPr/>
        <w:t>participants.</w:t>
      </w:r>
      <w:r>
        <w:rPr>
          <w:spacing w:val="-12"/>
        </w:rPr>
        <w:t> </w:t>
      </w:r>
      <w:r>
        <w:rPr/>
        <w:t>The</w:t>
      </w:r>
      <w:r>
        <w:rPr>
          <w:spacing w:val="-13"/>
        </w:rPr>
        <w:t> </w:t>
      </w:r>
      <w:r>
        <w:rPr/>
        <w:t>several reforms on CG framework across the globe point to the possible linkage between good CG practices and an improved information environment. This linkage has been extensively discussed</w:t>
      </w:r>
      <w:r>
        <w:rPr>
          <w:spacing w:val="-7"/>
        </w:rPr>
        <w:t> </w:t>
      </w:r>
      <w:r>
        <w:rPr/>
        <w:t>in</w:t>
      </w:r>
      <w:r>
        <w:rPr>
          <w:spacing w:val="-7"/>
        </w:rPr>
        <w:t> </w:t>
      </w:r>
      <w:r>
        <w:rPr/>
        <w:t>studies</w:t>
      </w:r>
      <w:r>
        <w:rPr>
          <w:spacing w:val="-7"/>
        </w:rPr>
        <w:t> </w:t>
      </w:r>
      <w:r>
        <w:rPr/>
        <w:t>both</w:t>
      </w:r>
      <w:r>
        <w:rPr>
          <w:spacing w:val="-9"/>
        </w:rPr>
        <w:t> </w:t>
      </w:r>
      <w:r>
        <w:rPr/>
        <w:t>in</w:t>
      </w:r>
      <w:r>
        <w:rPr>
          <w:spacing w:val="-7"/>
        </w:rPr>
        <w:t> </w:t>
      </w:r>
      <w:r>
        <w:rPr/>
        <w:t>the</w:t>
      </w:r>
      <w:r>
        <w:rPr>
          <w:spacing w:val="-8"/>
        </w:rPr>
        <w:t> </w:t>
      </w:r>
      <w:r>
        <w:rPr/>
        <w:t>developed</w:t>
      </w:r>
      <w:r>
        <w:rPr>
          <w:spacing w:val="-8"/>
        </w:rPr>
        <w:t> </w:t>
      </w:r>
      <w:r>
        <w:rPr/>
        <w:t>and</w:t>
      </w:r>
      <w:r>
        <w:rPr>
          <w:spacing w:val="-7"/>
        </w:rPr>
        <w:t> </w:t>
      </w:r>
      <w:r>
        <w:rPr/>
        <w:t>developing</w:t>
      </w:r>
      <w:r>
        <w:rPr>
          <w:spacing w:val="-7"/>
        </w:rPr>
        <w:t> </w:t>
      </w:r>
      <w:r>
        <w:rPr/>
        <w:t>economies.</w:t>
      </w:r>
      <w:r>
        <w:rPr>
          <w:spacing w:val="-7"/>
        </w:rPr>
        <w:t> </w:t>
      </w:r>
      <w:r>
        <w:rPr/>
        <w:t>About</w:t>
      </w:r>
      <w:r>
        <w:rPr>
          <w:spacing w:val="-7"/>
        </w:rPr>
        <w:t> </w:t>
      </w:r>
      <w:r>
        <w:rPr/>
        <w:t>the</w:t>
      </w:r>
      <w:r>
        <w:rPr>
          <w:spacing w:val="-8"/>
        </w:rPr>
        <w:t> </w:t>
      </w:r>
      <w:r>
        <w:rPr/>
        <w:t>same</w:t>
      </w:r>
      <w:r>
        <w:rPr>
          <w:spacing w:val="-8"/>
        </w:rPr>
        <w:t> </w:t>
      </w:r>
      <w:r>
        <w:rPr/>
        <w:t>time</w:t>
      </w:r>
      <w:r>
        <w:rPr>
          <w:spacing w:val="-8"/>
        </w:rPr>
        <w:t> </w:t>
      </w:r>
      <w:r>
        <w:rPr/>
        <w:t>for the glamour for reforms in CG practices, the quest for the standardisation of accounting practices globally was further achieved by the establishment of the International Accountings Standards Board (IASB) in 2001 which led to the formulation of the International Financial Reporting Standards (IFRS) by the IASB.</w:t>
      </w:r>
      <w:r>
        <w:rPr>
          <w:spacing w:val="40"/>
        </w:rPr>
        <w:t> </w:t>
      </w:r>
      <w:r>
        <w:rPr/>
        <w:t>Prior studies have reported a number of potential benefits</w:t>
      </w:r>
      <w:r>
        <w:rPr>
          <w:spacing w:val="-1"/>
        </w:rPr>
        <w:t> </w:t>
      </w:r>
      <w:r>
        <w:rPr/>
        <w:t>that</w:t>
      </w:r>
      <w:r>
        <w:rPr>
          <w:spacing w:val="-1"/>
        </w:rPr>
        <w:t> </w:t>
      </w:r>
      <w:r>
        <w:rPr/>
        <w:t>emerging</w:t>
      </w:r>
      <w:r>
        <w:rPr>
          <w:spacing w:val="-1"/>
        </w:rPr>
        <w:t> </w:t>
      </w:r>
      <w:r>
        <w:rPr/>
        <w:t>economies</w:t>
      </w:r>
      <w:r>
        <w:rPr>
          <w:spacing w:val="-1"/>
        </w:rPr>
        <w:t> </w:t>
      </w:r>
      <w:r>
        <w:rPr/>
        <w:t>stand</w:t>
      </w:r>
      <w:r>
        <w:rPr>
          <w:spacing w:val="-2"/>
        </w:rPr>
        <w:t> </w:t>
      </w:r>
      <w:r>
        <w:rPr/>
        <w:t>to</w:t>
      </w:r>
      <w:r>
        <w:rPr>
          <w:spacing w:val="-1"/>
        </w:rPr>
        <w:t> </w:t>
      </w:r>
      <w:r>
        <w:rPr/>
        <w:t>gain</w:t>
      </w:r>
      <w:r>
        <w:rPr>
          <w:spacing w:val="-3"/>
        </w:rPr>
        <w:t> </w:t>
      </w:r>
      <w:r>
        <w:rPr/>
        <w:t>from</w:t>
      </w:r>
      <w:r>
        <w:rPr>
          <w:spacing w:val="-1"/>
        </w:rPr>
        <w:t> </w:t>
      </w:r>
      <w:r>
        <w:rPr/>
        <w:t>IFRS</w:t>
      </w:r>
      <w:r>
        <w:rPr>
          <w:spacing w:val="-1"/>
        </w:rPr>
        <w:t> </w:t>
      </w:r>
      <w:r>
        <w:rPr/>
        <w:t>adoption</w:t>
      </w:r>
      <w:r>
        <w:rPr>
          <w:spacing w:val="-1"/>
        </w:rPr>
        <w:t> </w:t>
      </w:r>
      <w:r>
        <w:rPr/>
        <w:t>such</w:t>
      </w:r>
      <w:r>
        <w:rPr>
          <w:spacing w:val="-1"/>
        </w:rPr>
        <w:t> </w:t>
      </w:r>
      <w:r>
        <w:rPr/>
        <w:t>as</w:t>
      </w:r>
      <w:r>
        <w:rPr>
          <w:spacing w:val="-1"/>
        </w:rPr>
        <w:t> </w:t>
      </w:r>
      <w:r>
        <w:rPr/>
        <w:t>a</w:t>
      </w:r>
      <w:r>
        <w:rPr>
          <w:spacing w:val="-2"/>
        </w:rPr>
        <w:t> </w:t>
      </w:r>
      <w:r>
        <w:rPr/>
        <w:t>reduction</w:t>
      </w:r>
      <w:r>
        <w:rPr>
          <w:spacing w:val="-1"/>
        </w:rPr>
        <w:t> </w:t>
      </w:r>
      <w:r>
        <w:rPr/>
        <w:t>in</w:t>
      </w:r>
      <w:r>
        <w:rPr>
          <w:spacing w:val="-1"/>
        </w:rPr>
        <w:t> </w:t>
      </w:r>
      <w:r>
        <w:rPr/>
        <w:t>the cost of accounting standards elaboration, international legitimacy, access to international markets</w:t>
      </w:r>
      <w:r>
        <w:rPr>
          <w:spacing w:val="-3"/>
        </w:rPr>
        <w:t> </w:t>
      </w:r>
      <w:r>
        <w:rPr/>
        <w:t>and</w:t>
      </w:r>
      <w:r>
        <w:rPr>
          <w:spacing w:val="-1"/>
        </w:rPr>
        <w:t> </w:t>
      </w:r>
      <w:r>
        <w:rPr/>
        <w:t>the</w:t>
      </w:r>
      <w:r>
        <w:rPr>
          <w:spacing w:val="-2"/>
        </w:rPr>
        <w:t> </w:t>
      </w:r>
      <w:r>
        <w:rPr/>
        <w:t>growth</w:t>
      </w:r>
      <w:r>
        <w:rPr>
          <w:spacing w:val="-1"/>
        </w:rPr>
        <w:t> </w:t>
      </w:r>
      <w:r>
        <w:rPr/>
        <w:t>of</w:t>
      </w:r>
      <w:r>
        <w:rPr>
          <w:spacing w:val="-1"/>
        </w:rPr>
        <w:t> </w:t>
      </w:r>
      <w:r>
        <w:rPr/>
        <w:t>foreign</w:t>
      </w:r>
      <w:r>
        <w:rPr>
          <w:spacing w:val="-1"/>
        </w:rPr>
        <w:t> </w:t>
      </w:r>
      <w:r>
        <w:rPr/>
        <w:t>direct</w:t>
      </w:r>
      <w:r>
        <w:rPr>
          <w:spacing w:val="-1"/>
        </w:rPr>
        <w:t> </w:t>
      </w:r>
      <w:r>
        <w:rPr/>
        <w:t>investment.</w:t>
      </w:r>
      <w:r>
        <w:rPr>
          <w:spacing w:val="58"/>
        </w:rPr>
        <w:t> </w:t>
      </w:r>
      <w:r>
        <w:rPr/>
        <w:t>IFRS</w:t>
      </w:r>
      <w:r>
        <w:rPr>
          <w:spacing w:val="-1"/>
        </w:rPr>
        <w:t> </w:t>
      </w:r>
      <w:r>
        <w:rPr/>
        <w:t>adoption</w:t>
      </w:r>
      <w:r>
        <w:rPr>
          <w:spacing w:val="-1"/>
        </w:rPr>
        <w:t> </w:t>
      </w:r>
      <w:r>
        <w:rPr/>
        <w:t>may</w:t>
      </w:r>
      <w:r>
        <w:rPr>
          <w:spacing w:val="-2"/>
        </w:rPr>
        <w:t> </w:t>
      </w:r>
      <w:r>
        <w:rPr/>
        <w:t>lift</w:t>
      </w:r>
      <w:r>
        <w:rPr>
          <w:spacing w:val="-1"/>
        </w:rPr>
        <w:t> </w:t>
      </w:r>
      <w:r>
        <w:rPr/>
        <w:t>the</w:t>
      </w:r>
      <w:r>
        <w:rPr>
          <w:spacing w:val="-1"/>
        </w:rPr>
        <w:t> </w:t>
      </w:r>
      <w:r>
        <w:rPr>
          <w:spacing w:val="-2"/>
        </w:rPr>
        <w:t>transparency</w:t>
      </w:r>
    </w:p>
    <w:p>
      <w:pPr>
        <w:spacing w:after="0" w:line="480" w:lineRule="auto"/>
        <w:jc w:val="both"/>
        <w:sectPr>
          <w:pgSz w:w="11910" w:h="16840"/>
          <w:pgMar w:header="0" w:footer="971" w:top="1360" w:bottom="1160" w:left="500" w:right="0"/>
        </w:sectPr>
      </w:pPr>
    </w:p>
    <w:p>
      <w:pPr>
        <w:pStyle w:val="BodyText"/>
        <w:spacing w:line="480" w:lineRule="auto" w:before="61"/>
        <w:ind w:left="940" w:right="1445"/>
        <w:jc w:val="both"/>
      </w:pPr>
      <w:r>
        <w:rPr/>
        <w:t>of financial statements issued by firms and thus grab the attention of foreign businesses and </w:t>
      </w:r>
      <w:r>
        <w:rPr>
          <w:spacing w:val="-2"/>
        </w:rPr>
        <w:t>investors.</w:t>
      </w:r>
    </w:p>
    <w:p>
      <w:pPr>
        <w:pStyle w:val="BodyText"/>
        <w:spacing w:line="480" w:lineRule="auto"/>
        <w:ind w:left="940" w:right="1435"/>
        <w:jc w:val="both"/>
      </w:pPr>
      <w:r>
        <w:rPr/>
        <w:drawing>
          <wp:anchor distT="0" distB="0" distL="0" distR="0" allowOverlap="1" layoutInCell="1" locked="0" behindDoc="1" simplePos="0" relativeHeight="477767168">
            <wp:simplePos x="0" y="0"/>
            <wp:positionH relativeFrom="page">
              <wp:posOffset>1095451</wp:posOffset>
            </wp:positionH>
            <wp:positionV relativeFrom="paragraph">
              <wp:posOffset>1111055</wp:posOffset>
            </wp:positionV>
            <wp:extent cx="5106847" cy="5238115"/>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5" cstate="print"/>
                    <a:stretch>
                      <a:fillRect/>
                    </a:stretch>
                  </pic:blipFill>
                  <pic:spPr>
                    <a:xfrm>
                      <a:off x="0" y="0"/>
                      <a:ext cx="5106847" cy="5238115"/>
                    </a:xfrm>
                    <a:prstGeom prst="rect">
                      <a:avLst/>
                    </a:prstGeom>
                  </pic:spPr>
                </pic:pic>
              </a:graphicData>
            </a:graphic>
          </wp:anchor>
        </w:drawing>
      </w:r>
      <w:r>
        <w:rPr/>
        <w:t>The</w:t>
      </w:r>
      <w:r>
        <w:rPr>
          <w:spacing w:val="-2"/>
        </w:rPr>
        <w:t> </w:t>
      </w:r>
      <w:r>
        <w:rPr/>
        <w:t>focus of</w:t>
      </w:r>
      <w:r>
        <w:rPr>
          <w:spacing w:val="-1"/>
        </w:rPr>
        <w:t> </w:t>
      </w:r>
      <w:r>
        <w:rPr/>
        <w:t>this study was on the</w:t>
      </w:r>
      <w:r>
        <w:rPr>
          <w:spacing w:val="-1"/>
        </w:rPr>
        <w:t> </w:t>
      </w:r>
      <w:r>
        <w:rPr/>
        <w:t>financial reporting quality in the</w:t>
      </w:r>
      <w:r>
        <w:rPr>
          <w:spacing w:val="-1"/>
        </w:rPr>
        <w:t> </w:t>
      </w:r>
      <w:r>
        <w:rPr/>
        <w:t>post-IFRS regime, on one hand,</w:t>
      </w:r>
      <w:r>
        <w:rPr>
          <w:spacing w:val="-3"/>
        </w:rPr>
        <w:t> </w:t>
      </w:r>
      <w:r>
        <w:rPr/>
        <w:t>and</w:t>
      </w:r>
      <w:r>
        <w:rPr>
          <w:spacing w:val="-2"/>
        </w:rPr>
        <w:t> </w:t>
      </w:r>
      <w:r>
        <w:rPr/>
        <w:t>the</w:t>
      </w:r>
      <w:r>
        <w:rPr>
          <w:spacing w:val="-3"/>
        </w:rPr>
        <w:t> </w:t>
      </w:r>
      <w:r>
        <w:rPr/>
        <w:t>impact</w:t>
      </w:r>
      <w:r>
        <w:rPr>
          <w:spacing w:val="-2"/>
        </w:rPr>
        <w:t> </w:t>
      </w:r>
      <w:r>
        <w:rPr/>
        <w:t>of</w:t>
      </w:r>
      <w:r>
        <w:rPr>
          <w:spacing w:val="-2"/>
        </w:rPr>
        <w:t> </w:t>
      </w:r>
      <w:r>
        <w:rPr/>
        <w:t>board</w:t>
      </w:r>
      <w:r>
        <w:rPr>
          <w:spacing w:val="-2"/>
        </w:rPr>
        <w:t> </w:t>
      </w:r>
      <w:r>
        <w:rPr/>
        <w:t>and</w:t>
      </w:r>
      <w:r>
        <w:rPr>
          <w:spacing w:val="-2"/>
        </w:rPr>
        <w:t> </w:t>
      </w:r>
      <w:r>
        <w:rPr/>
        <w:t>ownership</w:t>
      </w:r>
      <w:r>
        <w:rPr>
          <w:spacing w:val="-2"/>
        </w:rPr>
        <w:t> </w:t>
      </w:r>
      <w:r>
        <w:rPr/>
        <w:t>structure</w:t>
      </w:r>
      <w:r>
        <w:rPr>
          <w:spacing w:val="-4"/>
        </w:rPr>
        <w:t> </w:t>
      </w:r>
      <w:r>
        <w:rPr/>
        <w:t>variables</w:t>
      </w:r>
      <w:r>
        <w:rPr>
          <w:spacing w:val="-2"/>
        </w:rPr>
        <w:t> </w:t>
      </w:r>
      <w:r>
        <w:rPr/>
        <w:t>on</w:t>
      </w:r>
      <w:r>
        <w:rPr>
          <w:spacing w:val="-2"/>
        </w:rPr>
        <w:t> </w:t>
      </w:r>
      <w:r>
        <w:rPr/>
        <w:t>financial</w:t>
      </w:r>
      <w:r>
        <w:rPr>
          <w:spacing w:val="-2"/>
        </w:rPr>
        <w:t> </w:t>
      </w:r>
      <w:r>
        <w:rPr/>
        <w:t>reporting</w:t>
      </w:r>
      <w:r>
        <w:rPr>
          <w:spacing w:val="-2"/>
        </w:rPr>
        <w:t> </w:t>
      </w:r>
      <w:r>
        <w:rPr/>
        <w:t>quality in the post-IFRS regime. In doing that, the study employed both the panel regression and the difference in difference approaches. The result of the study showed that generally, IFRS adoption improved reporting quality for at least one measure; QUA-FRQ for the DD estimation. It could suggests that the impact IFRS had on reporting quality depended on the measures</w:t>
      </w:r>
      <w:r>
        <w:rPr>
          <w:spacing w:val="-7"/>
        </w:rPr>
        <w:t> </w:t>
      </w:r>
      <w:r>
        <w:rPr/>
        <w:t>used.</w:t>
      </w:r>
      <w:r>
        <w:rPr>
          <w:spacing w:val="-5"/>
        </w:rPr>
        <w:t> </w:t>
      </w:r>
      <w:r>
        <w:rPr/>
        <w:t>For</w:t>
      </w:r>
      <w:r>
        <w:rPr>
          <w:spacing w:val="-8"/>
        </w:rPr>
        <w:t> </w:t>
      </w:r>
      <w:r>
        <w:rPr/>
        <w:t>the</w:t>
      </w:r>
      <w:r>
        <w:rPr>
          <w:spacing w:val="-8"/>
        </w:rPr>
        <w:t> </w:t>
      </w:r>
      <w:r>
        <w:rPr/>
        <w:t>specific</w:t>
      </w:r>
      <w:r>
        <w:rPr>
          <w:spacing w:val="-8"/>
        </w:rPr>
        <w:t> </w:t>
      </w:r>
      <w:r>
        <w:rPr/>
        <w:t>variables,</w:t>
      </w:r>
      <w:r>
        <w:rPr>
          <w:spacing w:val="-8"/>
        </w:rPr>
        <w:t> </w:t>
      </w:r>
      <w:r>
        <w:rPr/>
        <w:t>in</w:t>
      </w:r>
      <w:r>
        <w:rPr>
          <w:spacing w:val="-7"/>
        </w:rPr>
        <w:t> </w:t>
      </w:r>
      <w:r>
        <w:rPr/>
        <w:t>the</w:t>
      </w:r>
      <w:r>
        <w:rPr>
          <w:spacing w:val="-8"/>
        </w:rPr>
        <w:t> </w:t>
      </w:r>
      <w:r>
        <w:rPr/>
        <w:t>post</w:t>
      </w:r>
      <w:r>
        <w:rPr>
          <w:spacing w:val="-7"/>
        </w:rPr>
        <w:t> </w:t>
      </w:r>
      <w:r>
        <w:rPr/>
        <w:t>IFRS</w:t>
      </w:r>
      <w:r>
        <w:rPr>
          <w:spacing w:val="-7"/>
        </w:rPr>
        <w:t> </w:t>
      </w:r>
      <w:r>
        <w:rPr/>
        <w:t>regime</w:t>
      </w:r>
      <w:r>
        <w:rPr>
          <w:spacing w:val="-5"/>
        </w:rPr>
        <w:t> </w:t>
      </w:r>
      <w:r>
        <w:rPr/>
        <w:t>based</w:t>
      </w:r>
      <w:r>
        <w:rPr>
          <w:spacing w:val="-7"/>
        </w:rPr>
        <w:t> </w:t>
      </w:r>
      <w:r>
        <w:rPr/>
        <w:t>on</w:t>
      </w:r>
      <w:r>
        <w:rPr>
          <w:spacing w:val="-5"/>
        </w:rPr>
        <w:t> </w:t>
      </w:r>
      <w:r>
        <w:rPr/>
        <w:t>the</w:t>
      </w:r>
      <w:r>
        <w:rPr>
          <w:spacing w:val="-8"/>
        </w:rPr>
        <w:t> </w:t>
      </w:r>
      <w:r>
        <w:rPr/>
        <w:t>three</w:t>
      </w:r>
      <w:r>
        <w:rPr>
          <w:spacing w:val="-8"/>
        </w:rPr>
        <w:t> </w:t>
      </w:r>
      <w:r>
        <w:rPr/>
        <w:t>measures of financial reporting used in this study, board size was found to have an insignificant effect across all measures board independence was found to have a significant effect across all measures,</w:t>
      </w:r>
      <w:r>
        <w:rPr>
          <w:spacing w:val="-15"/>
        </w:rPr>
        <w:t> </w:t>
      </w:r>
      <w:r>
        <w:rPr/>
        <w:t>board</w:t>
      </w:r>
      <w:r>
        <w:rPr>
          <w:spacing w:val="-15"/>
        </w:rPr>
        <w:t> </w:t>
      </w:r>
      <w:r>
        <w:rPr/>
        <w:t>financial</w:t>
      </w:r>
      <w:r>
        <w:rPr>
          <w:spacing w:val="-15"/>
        </w:rPr>
        <w:t> </w:t>
      </w:r>
      <w:r>
        <w:rPr/>
        <w:t>expertise</w:t>
      </w:r>
      <w:r>
        <w:rPr>
          <w:spacing w:val="-15"/>
        </w:rPr>
        <w:t> </w:t>
      </w:r>
      <w:r>
        <w:rPr/>
        <w:t>was</w:t>
      </w:r>
      <w:r>
        <w:rPr>
          <w:spacing w:val="-15"/>
        </w:rPr>
        <w:t> </w:t>
      </w:r>
      <w:r>
        <w:rPr/>
        <w:t>found</w:t>
      </w:r>
      <w:r>
        <w:rPr>
          <w:spacing w:val="-15"/>
        </w:rPr>
        <w:t> </w:t>
      </w:r>
      <w:r>
        <w:rPr/>
        <w:t>to</w:t>
      </w:r>
      <w:r>
        <w:rPr>
          <w:spacing w:val="-15"/>
        </w:rPr>
        <w:t> </w:t>
      </w:r>
      <w:r>
        <w:rPr/>
        <w:t>have</w:t>
      </w:r>
      <w:r>
        <w:rPr>
          <w:spacing w:val="-15"/>
        </w:rPr>
        <w:t> </w:t>
      </w:r>
      <w:r>
        <w:rPr/>
        <w:t>a</w:t>
      </w:r>
      <w:r>
        <w:rPr>
          <w:spacing w:val="-15"/>
        </w:rPr>
        <w:t> </w:t>
      </w:r>
      <w:r>
        <w:rPr/>
        <w:t>significant</w:t>
      </w:r>
      <w:r>
        <w:rPr>
          <w:spacing w:val="-15"/>
        </w:rPr>
        <w:t> </w:t>
      </w:r>
      <w:r>
        <w:rPr/>
        <w:t>effect</w:t>
      </w:r>
      <w:r>
        <w:rPr>
          <w:spacing w:val="-15"/>
        </w:rPr>
        <w:t> </w:t>
      </w:r>
      <w:r>
        <w:rPr/>
        <w:t>for</w:t>
      </w:r>
      <w:r>
        <w:rPr>
          <w:spacing w:val="-15"/>
        </w:rPr>
        <w:t> </w:t>
      </w:r>
      <w:r>
        <w:rPr/>
        <w:t>at</w:t>
      </w:r>
      <w:r>
        <w:rPr>
          <w:spacing w:val="-15"/>
        </w:rPr>
        <w:t> </w:t>
      </w:r>
      <w:r>
        <w:rPr/>
        <w:t>least</w:t>
      </w:r>
      <w:r>
        <w:rPr>
          <w:spacing w:val="-15"/>
        </w:rPr>
        <w:t> </w:t>
      </w:r>
      <w:r>
        <w:rPr/>
        <w:t>one;</w:t>
      </w:r>
      <w:r>
        <w:rPr>
          <w:spacing w:val="-15"/>
        </w:rPr>
        <w:t> </w:t>
      </w:r>
      <w:r>
        <w:rPr/>
        <w:t>QUA- FRQ. Furthermore, institutional ownership was found to have a significant effect for at least one (VREL), managerial ownership was found to have an insignificant effect across all measures,</w:t>
      </w:r>
      <w:r>
        <w:rPr>
          <w:spacing w:val="-3"/>
        </w:rPr>
        <w:t> </w:t>
      </w:r>
      <w:r>
        <w:rPr/>
        <w:t>foreign</w:t>
      </w:r>
      <w:r>
        <w:rPr>
          <w:spacing w:val="-5"/>
        </w:rPr>
        <w:t> </w:t>
      </w:r>
      <w:r>
        <w:rPr/>
        <w:t>ownership</w:t>
      </w:r>
      <w:r>
        <w:rPr>
          <w:spacing w:val="-5"/>
        </w:rPr>
        <w:t> </w:t>
      </w:r>
      <w:r>
        <w:rPr/>
        <w:t>was</w:t>
      </w:r>
      <w:r>
        <w:rPr>
          <w:spacing w:val="-6"/>
        </w:rPr>
        <w:t> </w:t>
      </w:r>
      <w:r>
        <w:rPr/>
        <w:t>found</w:t>
      </w:r>
      <w:r>
        <w:rPr>
          <w:spacing w:val="-7"/>
        </w:rPr>
        <w:t> </w:t>
      </w:r>
      <w:r>
        <w:rPr/>
        <w:t>to</w:t>
      </w:r>
      <w:r>
        <w:rPr>
          <w:spacing w:val="-5"/>
        </w:rPr>
        <w:t> </w:t>
      </w:r>
      <w:r>
        <w:rPr/>
        <w:t>have</w:t>
      </w:r>
      <w:r>
        <w:rPr>
          <w:spacing w:val="-4"/>
        </w:rPr>
        <w:t> </w:t>
      </w:r>
      <w:r>
        <w:rPr/>
        <w:t>an</w:t>
      </w:r>
      <w:r>
        <w:rPr>
          <w:spacing w:val="-3"/>
        </w:rPr>
        <w:t> </w:t>
      </w:r>
      <w:r>
        <w:rPr/>
        <w:t>insignificant</w:t>
      </w:r>
      <w:r>
        <w:rPr>
          <w:spacing w:val="-5"/>
        </w:rPr>
        <w:t> </w:t>
      </w:r>
      <w:r>
        <w:rPr/>
        <w:t>effect</w:t>
      </w:r>
      <w:r>
        <w:rPr>
          <w:spacing w:val="-5"/>
        </w:rPr>
        <w:t> </w:t>
      </w:r>
      <w:r>
        <w:rPr/>
        <w:t>across</w:t>
      </w:r>
      <w:r>
        <w:rPr>
          <w:spacing w:val="-6"/>
        </w:rPr>
        <w:t> </w:t>
      </w:r>
      <w:r>
        <w:rPr/>
        <w:t>all</w:t>
      </w:r>
      <w:r>
        <w:rPr>
          <w:spacing w:val="-5"/>
        </w:rPr>
        <w:t> </w:t>
      </w:r>
      <w:r>
        <w:rPr/>
        <w:t>measures</w:t>
      </w:r>
      <w:r>
        <w:rPr>
          <w:spacing w:val="-6"/>
        </w:rPr>
        <w:t> </w:t>
      </w:r>
      <w:r>
        <w:rPr/>
        <w:t>and block</w:t>
      </w:r>
      <w:r>
        <w:rPr>
          <w:spacing w:val="-13"/>
        </w:rPr>
        <w:t> </w:t>
      </w:r>
      <w:r>
        <w:rPr/>
        <w:t>ownership</w:t>
      </w:r>
      <w:r>
        <w:rPr>
          <w:spacing w:val="-12"/>
        </w:rPr>
        <w:t> </w:t>
      </w:r>
      <w:r>
        <w:rPr/>
        <w:t>was</w:t>
      </w:r>
      <w:r>
        <w:rPr>
          <w:spacing w:val="-12"/>
        </w:rPr>
        <w:t> </w:t>
      </w:r>
      <w:r>
        <w:rPr/>
        <w:t>found</w:t>
      </w:r>
      <w:r>
        <w:rPr>
          <w:spacing w:val="-12"/>
        </w:rPr>
        <w:t> </w:t>
      </w:r>
      <w:r>
        <w:rPr/>
        <w:t>to</w:t>
      </w:r>
      <w:r>
        <w:rPr>
          <w:spacing w:val="-12"/>
        </w:rPr>
        <w:t> </w:t>
      </w:r>
      <w:r>
        <w:rPr/>
        <w:t>have</w:t>
      </w:r>
      <w:r>
        <w:rPr>
          <w:spacing w:val="-11"/>
        </w:rPr>
        <w:t> </w:t>
      </w:r>
      <w:r>
        <w:rPr/>
        <w:t>a</w:t>
      </w:r>
      <w:r>
        <w:rPr>
          <w:spacing w:val="-13"/>
        </w:rPr>
        <w:t> </w:t>
      </w:r>
      <w:r>
        <w:rPr/>
        <w:t>significant</w:t>
      </w:r>
      <w:r>
        <w:rPr>
          <w:spacing w:val="-9"/>
        </w:rPr>
        <w:t> </w:t>
      </w:r>
      <w:r>
        <w:rPr/>
        <w:t>effect</w:t>
      </w:r>
      <w:r>
        <w:rPr>
          <w:spacing w:val="-12"/>
        </w:rPr>
        <w:t> </w:t>
      </w:r>
      <w:r>
        <w:rPr/>
        <w:t>across</w:t>
      </w:r>
      <w:r>
        <w:rPr>
          <w:spacing w:val="-12"/>
        </w:rPr>
        <w:t> </w:t>
      </w:r>
      <w:r>
        <w:rPr/>
        <w:t>QUA-FRQ</w:t>
      </w:r>
      <w:r>
        <w:rPr>
          <w:spacing w:val="-13"/>
        </w:rPr>
        <w:t> </w:t>
      </w:r>
      <w:r>
        <w:rPr/>
        <w:t>and</w:t>
      </w:r>
      <w:r>
        <w:rPr>
          <w:spacing w:val="-12"/>
        </w:rPr>
        <w:t> </w:t>
      </w:r>
      <w:r>
        <w:rPr/>
        <w:t>VREL</w:t>
      </w:r>
      <w:r>
        <w:rPr>
          <w:spacing w:val="-13"/>
        </w:rPr>
        <w:t> </w:t>
      </w:r>
      <w:r>
        <w:rPr/>
        <w:t>measures. The study concluded that IFRS adoption improved reporting quality although the impact was not without variations across the reporting quality proxy used and the specific corporate governance variables.</w:t>
      </w:r>
    </w:p>
    <w:p>
      <w:pPr>
        <w:pStyle w:val="Heading3"/>
        <w:numPr>
          <w:ilvl w:val="1"/>
          <w:numId w:val="36"/>
        </w:numPr>
        <w:tabs>
          <w:tab w:pos="1360" w:val="left" w:leader="none"/>
        </w:tabs>
        <w:spacing w:line="240" w:lineRule="auto" w:before="2" w:after="0"/>
        <w:ind w:left="1360" w:right="0" w:hanging="420"/>
        <w:jc w:val="both"/>
      </w:pPr>
      <w:bookmarkStart w:name="_TOC_250004" w:id="66"/>
      <w:bookmarkEnd w:id="66"/>
      <w:r>
        <w:rPr>
          <w:spacing w:val="-2"/>
        </w:rPr>
        <w:t>Recommendations</w:t>
      </w:r>
    </w:p>
    <w:p>
      <w:pPr>
        <w:pStyle w:val="BodyText"/>
        <w:rPr>
          <w:b/>
        </w:rPr>
      </w:pPr>
    </w:p>
    <w:p>
      <w:pPr>
        <w:pStyle w:val="BodyText"/>
        <w:spacing w:line="480" w:lineRule="auto"/>
        <w:ind w:left="940" w:right="1436"/>
        <w:jc w:val="both"/>
      </w:pPr>
      <w:r>
        <w:rPr/>
        <w:t>First, post-IFRS regime on reporting quality for QUA-FRQ conformed to expectation compared</w:t>
      </w:r>
      <w:r>
        <w:rPr>
          <w:spacing w:val="-11"/>
        </w:rPr>
        <w:t> </w:t>
      </w:r>
      <w:r>
        <w:rPr/>
        <w:t>to</w:t>
      </w:r>
      <w:r>
        <w:rPr>
          <w:spacing w:val="-13"/>
        </w:rPr>
        <w:t> </w:t>
      </w:r>
      <w:r>
        <w:rPr/>
        <w:t>other</w:t>
      </w:r>
      <w:r>
        <w:rPr>
          <w:spacing w:val="-12"/>
        </w:rPr>
        <w:t> </w:t>
      </w:r>
      <w:r>
        <w:rPr/>
        <w:t>proxy.</w:t>
      </w:r>
      <w:r>
        <w:rPr>
          <w:spacing w:val="-11"/>
        </w:rPr>
        <w:t> </w:t>
      </w:r>
      <w:r>
        <w:rPr/>
        <w:t>Therefore,</w:t>
      </w:r>
      <w:r>
        <w:rPr>
          <w:spacing w:val="-11"/>
        </w:rPr>
        <w:t> </w:t>
      </w:r>
      <w:r>
        <w:rPr/>
        <w:t>the</w:t>
      </w:r>
      <w:r>
        <w:rPr>
          <w:spacing w:val="-14"/>
        </w:rPr>
        <w:t> </w:t>
      </w:r>
      <w:r>
        <w:rPr/>
        <w:t>study</w:t>
      </w:r>
      <w:r>
        <w:rPr>
          <w:spacing w:val="-13"/>
        </w:rPr>
        <w:t> </w:t>
      </w:r>
      <w:r>
        <w:rPr/>
        <w:t>recommended</w:t>
      </w:r>
      <w:r>
        <w:rPr>
          <w:spacing w:val="-13"/>
        </w:rPr>
        <w:t> </w:t>
      </w:r>
      <w:r>
        <w:rPr/>
        <w:t>that</w:t>
      </w:r>
      <w:r>
        <w:rPr>
          <w:spacing w:val="-13"/>
        </w:rPr>
        <w:t> </w:t>
      </w:r>
      <w:r>
        <w:rPr/>
        <w:t>the</w:t>
      </w:r>
      <w:r>
        <w:rPr>
          <w:spacing w:val="-14"/>
        </w:rPr>
        <w:t> </w:t>
      </w:r>
      <w:r>
        <w:rPr/>
        <w:t>qualitative</w:t>
      </w:r>
      <w:r>
        <w:rPr>
          <w:spacing w:val="-14"/>
        </w:rPr>
        <w:t> </w:t>
      </w:r>
      <w:r>
        <w:rPr/>
        <w:t>characteristics of financial information which seemed to have a broader dimension of reporting quality than other</w:t>
      </w:r>
      <w:r>
        <w:rPr>
          <w:spacing w:val="-9"/>
        </w:rPr>
        <w:t> </w:t>
      </w:r>
      <w:r>
        <w:rPr/>
        <w:t>proxies</w:t>
      </w:r>
      <w:r>
        <w:rPr>
          <w:spacing w:val="-6"/>
        </w:rPr>
        <w:t> </w:t>
      </w:r>
      <w:r>
        <w:rPr/>
        <w:t>should</w:t>
      </w:r>
      <w:r>
        <w:rPr>
          <w:spacing w:val="-6"/>
        </w:rPr>
        <w:t> </w:t>
      </w:r>
      <w:r>
        <w:rPr/>
        <w:t>therefore,</w:t>
      </w:r>
      <w:r>
        <w:rPr>
          <w:spacing w:val="-7"/>
        </w:rPr>
        <w:t> </w:t>
      </w:r>
      <w:r>
        <w:rPr/>
        <w:t>be</w:t>
      </w:r>
      <w:r>
        <w:rPr>
          <w:spacing w:val="-6"/>
        </w:rPr>
        <w:t> </w:t>
      </w:r>
      <w:r>
        <w:rPr/>
        <w:t>given</w:t>
      </w:r>
      <w:r>
        <w:rPr>
          <w:spacing w:val="-7"/>
        </w:rPr>
        <w:t> </w:t>
      </w:r>
      <w:r>
        <w:rPr/>
        <w:t>more</w:t>
      </w:r>
      <w:r>
        <w:rPr>
          <w:spacing w:val="-7"/>
        </w:rPr>
        <w:t> </w:t>
      </w:r>
      <w:r>
        <w:rPr/>
        <w:t>importance.</w:t>
      </w:r>
      <w:r>
        <w:rPr>
          <w:spacing w:val="48"/>
        </w:rPr>
        <w:t> </w:t>
      </w:r>
      <w:r>
        <w:rPr/>
        <w:t>Stakeholders</w:t>
      </w:r>
      <w:r>
        <w:rPr>
          <w:spacing w:val="-7"/>
        </w:rPr>
        <w:t> </w:t>
      </w:r>
      <w:r>
        <w:rPr/>
        <w:t>should</w:t>
      </w:r>
      <w:r>
        <w:rPr>
          <w:spacing w:val="-6"/>
        </w:rPr>
        <w:t> </w:t>
      </w:r>
      <w:r>
        <w:rPr/>
        <w:t>ensure</w:t>
      </w:r>
      <w:r>
        <w:rPr>
          <w:spacing w:val="-7"/>
        </w:rPr>
        <w:t> </w:t>
      </w:r>
      <w:r>
        <w:rPr/>
        <w:t>that</w:t>
      </w:r>
      <w:r>
        <w:rPr>
          <w:spacing w:val="-6"/>
        </w:rPr>
        <w:t> </w:t>
      </w:r>
      <w:r>
        <w:rPr>
          <w:spacing w:val="-5"/>
        </w:rPr>
        <w:t>the</w:t>
      </w:r>
    </w:p>
    <w:p>
      <w:pPr>
        <w:spacing w:after="0" w:line="480" w:lineRule="auto"/>
        <w:jc w:val="both"/>
        <w:sectPr>
          <w:pgSz w:w="11910" w:h="16840"/>
          <w:pgMar w:header="0" w:footer="971" w:top="1360" w:bottom="1160" w:left="500" w:right="0"/>
        </w:sectPr>
      </w:pPr>
    </w:p>
    <w:p>
      <w:pPr>
        <w:pStyle w:val="BodyText"/>
        <w:spacing w:line="480" w:lineRule="auto" w:before="61"/>
        <w:ind w:left="940" w:right="1443"/>
        <w:jc w:val="both"/>
      </w:pPr>
      <w:r>
        <w:rPr/>
        <w:t>information on annual reports were critically in line with the IASB qualitative characteristics of financial information.</w:t>
      </w:r>
    </w:p>
    <w:p>
      <w:pPr>
        <w:pStyle w:val="BodyText"/>
        <w:spacing w:line="480" w:lineRule="auto"/>
        <w:ind w:left="940" w:right="1435"/>
        <w:jc w:val="both"/>
      </w:pPr>
      <w:r>
        <w:rPr/>
        <w:drawing>
          <wp:anchor distT="0" distB="0" distL="0" distR="0" allowOverlap="1" layoutInCell="1" locked="0" behindDoc="1" simplePos="0" relativeHeight="477767680">
            <wp:simplePos x="0" y="0"/>
            <wp:positionH relativeFrom="page">
              <wp:posOffset>1095451</wp:posOffset>
            </wp:positionH>
            <wp:positionV relativeFrom="paragraph">
              <wp:posOffset>1111055</wp:posOffset>
            </wp:positionV>
            <wp:extent cx="5106847" cy="5238115"/>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5" cstate="print"/>
                    <a:stretch>
                      <a:fillRect/>
                    </a:stretch>
                  </pic:blipFill>
                  <pic:spPr>
                    <a:xfrm>
                      <a:off x="0" y="0"/>
                      <a:ext cx="5106847" cy="5238115"/>
                    </a:xfrm>
                    <a:prstGeom prst="rect">
                      <a:avLst/>
                    </a:prstGeom>
                  </pic:spPr>
                </pic:pic>
              </a:graphicData>
            </a:graphic>
          </wp:anchor>
        </w:drawing>
      </w:r>
      <w:r>
        <w:rPr/>
        <w:t>Second, board size was found to have an insignificant effect across all measures of financial reporting quality used in the study and therefore, the study recommended that there was the need</w:t>
      </w:r>
      <w:r>
        <w:rPr>
          <w:spacing w:val="-5"/>
        </w:rPr>
        <w:t> </w:t>
      </w:r>
      <w:r>
        <w:rPr/>
        <w:t>for</w:t>
      </w:r>
      <w:r>
        <w:rPr>
          <w:spacing w:val="-6"/>
        </w:rPr>
        <w:t> </w:t>
      </w:r>
      <w:r>
        <w:rPr/>
        <w:t>the</w:t>
      </w:r>
      <w:r>
        <w:rPr>
          <w:spacing w:val="-3"/>
        </w:rPr>
        <w:t> </w:t>
      </w:r>
      <w:r>
        <w:rPr/>
        <w:t>board</w:t>
      </w:r>
      <w:r>
        <w:rPr>
          <w:spacing w:val="-3"/>
        </w:rPr>
        <w:t> </w:t>
      </w:r>
      <w:r>
        <w:rPr/>
        <w:t>size</w:t>
      </w:r>
      <w:r>
        <w:rPr>
          <w:spacing w:val="-4"/>
        </w:rPr>
        <w:t> </w:t>
      </w:r>
      <w:r>
        <w:rPr/>
        <w:t>of</w:t>
      </w:r>
      <w:r>
        <w:rPr>
          <w:spacing w:val="-3"/>
        </w:rPr>
        <w:t> </w:t>
      </w:r>
      <w:r>
        <w:rPr/>
        <w:t>Nigerian</w:t>
      </w:r>
      <w:r>
        <w:rPr>
          <w:spacing w:val="-3"/>
        </w:rPr>
        <w:t> </w:t>
      </w:r>
      <w:r>
        <w:rPr/>
        <w:t>banks</w:t>
      </w:r>
      <w:r>
        <w:rPr>
          <w:spacing w:val="-5"/>
        </w:rPr>
        <w:t> </w:t>
      </w:r>
      <w:r>
        <w:rPr/>
        <w:t>to</w:t>
      </w:r>
      <w:r>
        <w:rPr>
          <w:spacing w:val="-2"/>
        </w:rPr>
        <w:t> </w:t>
      </w:r>
      <w:r>
        <w:rPr/>
        <w:t>be</w:t>
      </w:r>
      <w:r>
        <w:rPr>
          <w:spacing w:val="-6"/>
        </w:rPr>
        <w:t> </w:t>
      </w:r>
      <w:r>
        <w:rPr/>
        <w:t>looked</w:t>
      </w:r>
      <w:r>
        <w:rPr>
          <w:spacing w:val="-5"/>
        </w:rPr>
        <w:t> </w:t>
      </w:r>
      <w:r>
        <w:rPr/>
        <w:t>at</w:t>
      </w:r>
      <w:r>
        <w:rPr>
          <w:spacing w:val="-4"/>
        </w:rPr>
        <w:t> </w:t>
      </w:r>
      <w:r>
        <w:rPr/>
        <w:t>more</w:t>
      </w:r>
      <w:r>
        <w:rPr>
          <w:spacing w:val="-3"/>
        </w:rPr>
        <w:t> </w:t>
      </w:r>
      <w:r>
        <w:rPr/>
        <w:t>critically. Although</w:t>
      </w:r>
      <w:r>
        <w:rPr>
          <w:spacing w:val="-5"/>
        </w:rPr>
        <w:t> </w:t>
      </w:r>
      <w:r>
        <w:rPr/>
        <w:t>there</w:t>
      </w:r>
      <w:r>
        <w:rPr>
          <w:spacing w:val="-6"/>
        </w:rPr>
        <w:t> </w:t>
      </w:r>
      <w:r>
        <w:rPr/>
        <w:t>is</w:t>
      </w:r>
      <w:r>
        <w:rPr>
          <w:spacing w:val="-2"/>
        </w:rPr>
        <w:t> </w:t>
      </w:r>
      <w:r>
        <w:rPr/>
        <w:t>yet no</w:t>
      </w:r>
      <w:r>
        <w:rPr>
          <w:spacing w:val="-2"/>
        </w:rPr>
        <w:t> </w:t>
      </w:r>
      <w:r>
        <w:rPr/>
        <w:t>consensus</w:t>
      </w:r>
      <w:r>
        <w:rPr>
          <w:spacing w:val="-2"/>
        </w:rPr>
        <w:t> </w:t>
      </w:r>
      <w:r>
        <w:rPr/>
        <w:t>regarding</w:t>
      </w:r>
      <w:r>
        <w:rPr>
          <w:spacing w:val="-1"/>
        </w:rPr>
        <w:t> </w:t>
      </w:r>
      <w:r>
        <w:rPr/>
        <w:t>what</w:t>
      </w:r>
      <w:r>
        <w:rPr>
          <w:spacing w:val="-2"/>
        </w:rPr>
        <w:t> </w:t>
      </w:r>
      <w:r>
        <w:rPr/>
        <w:t>constitutes</w:t>
      </w:r>
      <w:r>
        <w:rPr>
          <w:spacing w:val="-2"/>
        </w:rPr>
        <w:t> </w:t>
      </w:r>
      <w:r>
        <w:rPr/>
        <w:t>an</w:t>
      </w:r>
      <w:r>
        <w:rPr>
          <w:spacing w:val="-2"/>
        </w:rPr>
        <w:t> </w:t>
      </w:r>
      <w:r>
        <w:rPr/>
        <w:t>optimal</w:t>
      </w:r>
      <w:r>
        <w:rPr>
          <w:spacing w:val="-1"/>
        </w:rPr>
        <w:t> </w:t>
      </w:r>
      <w:r>
        <w:rPr/>
        <w:t>board</w:t>
      </w:r>
      <w:r>
        <w:rPr>
          <w:spacing w:val="-2"/>
        </w:rPr>
        <w:t> </w:t>
      </w:r>
      <w:r>
        <w:rPr/>
        <w:t>size,</w:t>
      </w:r>
      <w:r>
        <w:rPr>
          <w:spacing w:val="-2"/>
        </w:rPr>
        <w:t> </w:t>
      </w:r>
      <w:r>
        <w:rPr/>
        <w:t>there</w:t>
      </w:r>
      <w:r>
        <w:rPr>
          <w:spacing w:val="-4"/>
        </w:rPr>
        <w:t> </w:t>
      </w:r>
      <w:r>
        <w:rPr/>
        <w:t>is</w:t>
      </w:r>
      <w:r>
        <w:rPr>
          <w:spacing w:val="-2"/>
        </w:rPr>
        <w:t> </w:t>
      </w:r>
      <w:r>
        <w:rPr/>
        <w:t>the</w:t>
      </w:r>
      <w:r>
        <w:rPr>
          <w:spacing w:val="-3"/>
        </w:rPr>
        <w:t> </w:t>
      </w:r>
      <w:r>
        <w:rPr/>
        <w:t>need</w:t>
      </w:r>
      <w:r>
        <w:rPr>
          <w:spacing w:val="-2"/>
        </w:rPr>
        <w:t> </w:t>
      </w:r>
      <w:r>
        <w:rPr/>
        <w:t>to</w:t>
      </w:r>
      <w:r>
        <w:rPr>
          <w:spacing w:val="-1"/>
        </w:rPr>
        <w:t> </w:t>
      </w:r>
      <w:r>
        <w:rPr/>
        <w:t>ensure</w:t>
      </w:r>
      <w:r>
        <w:rPr>
          <w:spacing w:val="-4"/>
        </w:rPr>
        <w:t> </w:t>
      </w:r>
      <w:r>
        <w:rPr/>
        <w:t>that the present board size is efficient in improving corporate monitoring and then financial reporting</w:t>
      </w:r>
      <w:r>
        <w:rPr>
          <w:spacing w:val="-5"/>
        </w:rPr>
        <w:t> </w:t>
      </w:r>
      <w:r>
        <w:rPr/>
        <w:t>quality.</w:t>
      </w:r>
      <w:r>
        <w:rPr>
          <w:spacing w:val="-2"/>
        </w:rPr>
        <w:t> </w:t>
      </w:r>
      <w:r>
        <w:rPr/>
        <w:t>In</w:t>
      </w:r>
      <w:r>
        <w:rPr>
          <w:spacing w:val="-5"/>
        </w:rPr>
        <w:t> </w:t>
      </w:r>
      <w:r>
        <w:rPr/>
        <w:t>this</w:t>
      </w:r>
      <w:r>
        <w:rPr>
          <w:spacing w:val="-2"/>
        </w:rPr>
        <w:t> </w:t>
      </w:r>
      <w:r>
        <w:rPr/>
        <w:t>regard,</w:t>
      </w:r>
      <w:r>
        <w:rPr>
          <w:spacing w:val="-3"/>
        </w:rPr>
        <w:t> </w:t>
      </w:r>
      <w:r>
        <w:rPr/>
        <w:t>the</w:t>
      </w:r>
      <w:r>
        <w:rPr>
          <w:spacing w:val="-3"/>
        </w:rPr>
        <w:t> </w:t>
      </w:r>
      <w:r>
        <w:rPr/>
        <w:t>composition</w:t>
      </w:r>
      <w:r>
        <w:rPr>
          <w:spacing w:val="-4"/>
        </w:rPr>
        <w:t> </w:t>
      </w:r>
      <w:r>
        <w:rPr/>
        <w:t>of</w:t>
      </w:r>
      <w:r>
        <w:rPr>
          <w:spacing w:val="-6"/>
        </w:rPr>
        <w:t> </w:t>
      </w:r>
      <w:r>
        <w:rPr/>
        <w:t>the</w:t>
      </w:r>
      <w:r>
        <w:rPr>
          <w:spacing w:val="-5"/>
        </w:rPr>
        <w:t> </w:t>
      </w:r>
      <w:r>
        <w:rPr/>
        <w:t>board</w:t>
      </w:r>
      <w:r>
        <w:rPr>
          <w:spacing w:val="-3"/>
        </w:rPr>
        <w:t> </w:t>
      </w:r>
      <w:r>
        <w:rPr/>
        <w:t>should</w:t>
      </w:r>
      <w:r>
        <w:rPr>
          <w:spacing w:val="-5"/>
        </w:rPr>
        <w:t> </w:t>
      </w:r>
      <w:r>
        <w:rPr/>
        <w:t>be</w:t>
      </w:r>
      <w:r>
        <w:rPr>
          <w:spacing w:val="-4"/>
        </w:rPr>
        <w:t> </w:t>
      </w:r>
      <w:r>
        <w:rPr/>
        <w:t>examined</w:t>
      </w:r>
      <w:r>
        <w:rPr>
          <w:spacing w:val="-5"/>
        </w:rPr>
        <w:t> </w:t>
      </w:r>
      <w:r>
        <w:rPr/>
        <w:t>with</w:t>
      </w:r>
      <w:r>
        <w:rPr>
          <w:spacing w:val="-4"/>
        </w:rPr>
        <w:t> </w:t>
      </w:r>
      <w:r>
        <w:rPr/>
        <w:t>a</w:t>
      </w:r>
      <w:r>
        <w:rPr>
          <w:spacing w:val="-4"/>
        </w:rPr>
        <w:t> </w:t>
      </w:r>
      <w:r>
        <w:rPr/>
        <w:t>view to including individuals with the needed competence and reputation to improve reporting </w:t>
      </w:r>
      <w:r>
        <w:rPr>
          <w:spacing w:val="-2"/>
        </w:rPr>
        <w:t>credibility.</w:t>
      </w:r>
    </w:p>
    <w:p>
      <w:pPr>
        <w:pStyle w:val="BodyText"/>
        <w:spacing w:line="480" w:lineRule="auto" w:before="1"/>
        <w:ind w:left="940" w:right="1435"/>
        <w:jc w:val="both"/>
      </w:pPr>
      <w:r>
        <w:rPr/>
        <w:t>Third, board independence was found to have a significant effect across all measures and it implied</w:t>
      </w:r>
      <w:r>
        <w:rPr>
          <w:spacing w:val="-12"/>
        </w:rPr>
        <w:t> </w:t>
      </w:r>
      <w:r>
        <w:rPr/>
        <w:t>that</w:t>
      </w:r>
      <w:r>
        <w:rPr>
          <w:spacing w:val="-13"/>
        </w:rPr>
        <w:t> </w:t>
      </w:r>
      <w:r>
        <w:rPr/>
        <w:t>board</w:t>
      </w:r>
      <w:r>
        <w:rPr>
          <w:spacing w:val="-14"/>
        </w:rPr>
        <w:t> </w:t>
      </w:r>
      <w:r>
        <w:rPr/>
        <w:t>independent</w:t>
      </w:r>
      <w:r>
        <w:rPr>
          <w:spacing w:val="-11"/>
        </w:rPr>
        <w:t> </w:t>
      </w:r>
      <w:r>
        <w:rPr/>
        <w:t>was</w:t>
      </w:r>
      <w:r>
        <w:rPr>
          <w:spacing w:val="-13"/>
        </w:rPr>
        <w:t> </w:t>
      </w:r>
      <w:r>
        <w:rPr/>
        <w:t>a</w:t>
      </w:r>
      <w:r>
        <w:rPr>
          <w:spacing w:val="-12"/>
        </w:rPr>
        <w:t> </w:t>
      </w:r>
      <w:r>
        <w:rPr/>
        <w:t>critical</w:t>
      </w:r>
      <w:r>
        <w:rPr>
          <w:spacing w:val="-13"/>
        </w:rPr>
        <w:t> </w:t>
      </w:r>
      <w:r>
        <w:rPr/>
        <w:t>determinant</w:t>
      </w:r>
      <w:r>
        <w:rPr>
          <w:spacing w:val="-13"/>
        </w:rPr>
        <w:t> </w:t>
      </w:r>
      <w:r>
        <w:rPr/>
        <w:t>of</w:t>
      </w:r>
      <w:r>
        <w:rPr>
          <w:spacing w:val="-14"/>
        </w:rPr>
        <w:t> </w:t>
      </w:r>
      <w:r>
        <w:rPr/>
        <w:t>the</w:t>
      </w:r>
      <w:r>
        <w:rPr>
          <w:spacing w:val="-14"/>
        </w:rPr>
        <w:t> </w:t>
      </w:r>
      <w:r>
        <w:rPr/>
        <w:t>direction</w:t>
      </w:r>
      <w:r>
        <w:rPr>
          <w:spacing w:val="-13"/>
        </w:rPr>
        <w:t> </w:t>
      </w:r>
      <w:r>
        <w:rPr/>
        <w:t>of</w:t>
      </w:r>
      <w:r>
        <w:rPr>
          <w:spacing w:val="-12"/>
        </w:rPr>
        <w:t> </w:t>
      </w:r>
      <w:r>
        <w:rPr/>
        <w:t>financial</w:t>
      </w:r>
      <w:r>
        <w:rPr>
          <w:spacing w:val="-13"/>
        </w:rPr>
        <w:t> </w:t>
      </w:r>
      <w:r>
        <w:rPr/>
        <w:t>reporting quality in the post-IFRS regime. Therefore, the study recommended that a substantial proportion</w:t>
      </w:r>
      <w:r>
        <w:rPr>
          <w:spacing w:val="-10"/>
        </w:rPr>
        <w:t> </w:t>
      </w:r>
      <w:r>
        <w:rPr/>
        <w:t>of</w:t>
      </w:r>
      <w:r>
        <w:rPr>
          <w:spacing w:val="-11"/>
        </w:rPr>
        <w:t> </w:t>
      </w:r>
      <w:r>
        <w:rPr/>
        <w:t>corporate</w:t>
      </w:r>
      <w:r>
        <w:rPr>
          <w:spacing w:val="-11"/>
        </w:rPr>
        <w:t> </w:t>
      </w:r>
      <w:r>
        <w:rPr/>
        <w:t>board</w:t>
      </w:r>
      <w:r>
        <w:rPr>
          <w:spacing w:val="-11"/>
        </w:rPr>
        <w:t> </w:t>
      </w:r>
      <w:r>
        <w:rPr/>
        <w:t>should</w:t>
      </w:r>
      <w:r>
        <w:rPr>
          <w:spacing w:val="-11"/>
        </w:rPr>
        <w:t> </w:t>
      </w:r>
      <w:r>
        <w:rPr/>
        <w:t>be</w:t>
      </w:r>
      <w:r>
        <w:rPr>
          <w:spacing w:val="-12"/>
        </w:rPr>
        <w:t> </w:t>
      </w:r>
      <w:r>
        <w:rPr/>
        <w:t>non-executive</w:t>
      </w:r>
      <w:r>
        <w:rPr>
          <w:spacing w:val="-12"/>
        </w:rPr>
        <w:t> </w:t>
      </w:r>
      <w:r>
        <w:rPr/>
        <w:t>directors</w:t>
      </w:r>
      <w:r>
        <w:rPr>
          <w:spacing w:val="-11"/>
        </w:rPr>
        <w:t> </w:t>
      </w:r>
      <w:r>
        <w:rPr/>
        <w:t>with</w:t>
      </w:r>
      <w:r>
        <w:rPr>
          <w:spacing w:val="-10"/>
        </w:rPr>
        <w:t> </w:t>
      </w:r>
      <w:r>
        <w:rPr/>
        <w:t>integrity</w:t>
      </w:r>
      <w:r>
        <w:rPr>
          <w:spacing w:val="-10"/>
        </w:rPr>
        <w:t> </w:t>
      </w:r>
      <w:r>
        <w:rPr/>
        <w:t>and</w:t>
      </w:r>
      <w:r>
        <w:rPr>
          <w:spacing w:val="-11"/>
        </w:rPr>
        <w:t> </w:t>
      </w:r>
      <w:r>
        <w:rPr/>
        <w:t>a</w:t>
      </w:r>
      <w:r>
        <w:rPr>
          <w:spacing w:val="-12"/>
        </w:rPr>
        <w:t> </w:t>
      </w:r>
      <w:r>
        <w:rPr/>
        <w:t>reputation for transparency. In addition, such individuals should be involved in sensitive responsibilities that relate to improving reporting credibility.</w:t>
      </w:r>
    </w:p>
    <w:p>
      <w:pPr>
        <w:pStyle w:val="BodyText"/>
        <w:spacing w:line="480" w:lineRule="auto" w:before="1"/>
        <w:ind w:left="940" w:right="1436"/>
        <w:jc w:val="both"/>
      </w:pPr>
      <w:r>
        <w:rPr/>
        <w:t>Fourth, board financial expertise was found to have a significant effect on one of the dimensions of financial reporting quality used in the study. Therefore, it could suggest that board financial literacy would not be a sufficient condition for reporting quality although it is a desirable attribute for corporate boards. Hence, the study recommended the need for more financial literacy board members but also, the process of financial skill development is a continuous one and, as such, with advances in the techniques of managerial manipulation, board members need to update and upgrade their financial literacy levels especially incorporating</w:t>
      </w:r>
      <w:r>
        <w:rPr>
          <w:spacing w:val="-11"/>
        </w:rPr>
        <w:t> </w:t>
      </w:r>
      <w:r>
        <w:rPr/>
        <w:t>forensic</w:t>
      </w:r>
      <w:r>
        <w:rPr>
          <w:spacing w:val="-11"/>
        </w:rPr>
        <w:t> </w:t>
      </w:r>
      <w:r>
        <w:rPr/>
        <w:t>techniques</w:t>
      </w:r>
      <w:r>
        <w:rPr>
          <w:spacing w:val="-11"/>
        </w:rPr>
        <w:t> </w:t>
      </w:r>
      <w:r>
        <w:rPr/>
        <w:t>and</w:t>
      </w:r>
      <w:r>
        <w:rPr>
          <w:spacing w:val="-11"/>
        </w:rPr>
        <w:t> </w:t>
      </w:r>
      <w:r>
        <w:rPr/>
        <w:t>machine</w:t>
      </w:r>
      <w:r>
        <w:rPr>
          <w:spacing w:val="-11"/>
        </w:rPr>
        <w:t> </w:t>
      </w:r>
      <w:r>
        <w:rPr/>
        <w:t>learning</w:t>
      </w:r>
      <w:r>
        <w:rPr>
          <w:spacing w:val="-8"/>
        </w:rPr>
        <w:t> </w:t>
      </w:r>
      <w:r>
        <w:rPr/>
        <w:t>abilities</w:t>
      </w:r>
      <w:r>
        <w:rPr>
          <w:spacing w:val="-11"/>
        </w:rPr>
        <w:t> </w:t>
      </w:r>
      <w:r>
        <w:rPr/>
        <w:t>which</w:t>
      </w:r>
      <w:r>
        <w:rPr>
          <w:spacing w:val="-10"/>
        </w:rPr>
        <w:t> </w:t>
      </w:r>
      <w:r>
        <w:rPr/>
        <w:t>are</w:t>
      </w:r>
      <w:r>
        <w:rPr>
          <w:spacing w:val="-12"/>
        </w:rPr>
        <w:t> </w:t>
      </w:r>
      <w:r>
        <w:rPr/>
        <w:t>the</w:t>
      </w:r>
      <w:r>
        <w:rPr>
          <w:spacing w:val="-11"/>
        </w:rPr>
        <w:t> </w:t>
      </w:r>
      <w:r>
        <w:rPr/>
        <w:t>new</w:t>
      </w:r>
      <w:r>
        <w:rPr>
          <w:spacing w:val="-11"/>
        </w:rPr>
        <w:t> </w:t>
      </w:r>
      <w:r>
        <w:rPr/>
        <w:t>approaches to fraud detection.</w:t>
      </w:r>
    </w:p>
    <w:p>
      <w:pPr>
        <w:spacing w:after="0" w:line="480" w:lineRule="auto"/>
        <w:jc w:val="both"/>
        <w:sectPr>
          <w:pgSz w:w="11910" w:h="16840"/>
          <w:pgMar w:header="0" w:footer="971" w:top="1360" w:bottom="1160" w:left="500" w:right="0"/>
        </w:sectPr>
      </w:pPr>
    </w:p>
    <w:p>
      <w:pPr>
        <w:pStyle w:val="BodyText"/>
        <w:spacing w:line="480" w:lineRule="auto" w:before="61"/>
        <w:ind w:left="940" w:right="1435"/>
        <w:jc w:val="both"/>
      </w:pPr>
      <w:r>
        <w:rPr/>
        <w:drawing>
          <wp:anchor distT="0" distB="0" distL="0" distR="0" allowOverlap="1" layoutInCell="1" locked="0" behindDoc="1" simplePos="0" relativeHeight="477768192">
            <wp:simplePos x="0" y="0"/>
            <wp:positionH relativeFrom="page">
              <wp:posOffset>1095451</wp:posOffset>
            </wp:positionH>
            <wp:positionV relativeFrom="paragraph">
              <wp:posOffset>1850770</wp:posOffset>
            </wp:positionV>
            <wp:extent cx="5106847" cy="5238115"/>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5" cstate="print"/>
                    <a:stretch>
                      <a:fillRect/>
                    </a:stretch>
                  </pic:blipFill>
                  <pic:spPr>
                    <a:xfrm>
                      <a:off x="0" y="0"/>
                      <a:ext cx="5106847" cy="5238115"/>
                    </a:xfrm>
                    <a:prstGeom prst="rect">
                      <a:avLst/>
                    </a:prstGeom>
                  </pic:spPr>
                </pic:pic>
              </a:graphicData>
            </a:graphic>
          </wp:anchor>
        </w:drawing>
      </w:r>
      <w:r>
        <w:rPr/>
        <w:t>Fifth,</w:t>
      </w:r>
      <w:r>
        <w:rPr>
          <w:spacing w:val="-3"/>
        </w:rPr>
        <w:t> </w:t>
      </w:r>
      <w:r>
        <w:rPr/>
        <w:t>institutional</w:t>
      </w:r>
      <w:r>
        <w:rPr>
          <w:spacing w:val="-3"/>
        </w:rPr>
        <w:t> </w:t>
      </w:r>
      <w:r>
        <w:rPr/>
        <w:t>ownership</w:t>
      </w:r>
      <w:r>
        <w:rPr>
          <w:spacing w:val="-3"/>
        </w:rPr>
        <w:t> </w:t>
      </w:r>
      <w:r>
        <w:rPr/>
        <w:t>was</w:t>
      </w:r>
      <w:r>
        <w:rPr>
          <w:spacing w:val="-3"/>
        </w:rPr>
        <w:t> </w:t>
      </w:r>
      <w:r>
        <w:rPr/>
        <w:t>found</w:t>
      </w:r>
      <w:r>
        <w:rPr>
          <w:spacing w:val="-3"/>
        </w:rPr>
        <w:t> </w:t>
      </w:r>
      <w:r>
        <w:rPr/>
        <w:t>to</w:t>
      </w:r>
      <w:r>
        <w:rPr>
          <w:spacing w:val="-3"/>
        </w:rPr>
        <w:t> </w:t>
      </w:r>
      <w:r>
        <w:rPr/>
        <w:t>have</w:t>
      </w:r>
      <w:r>
        <w:rPr>
          <w:spacing w:val="-4"/>
        </w:rPr>
        <w:t> </w:t>
      </w:r>
      <w:r>
        <w:rPr/>
        <w:t>a</w:t>
      </w:r>
      <w:r>
        <w:rPr>
          <w:spacing w:val="-4"/>
        </w:rPr>
        <w:t> </w:t>
      </w:r>
      <w:r>
        <w:rPr/>
        <w:t>significant</w:t>
      </w:r>
      <w:r>
        <w:rPr>
          <w:spacing w:val="-3"/>
        </w:rPr>
        <w:t> </w:t>
      </w:r>
      <w:r>
        <w:rPr/>
        <w:t>effect</w:t>
      </w:r>
      <w:r>
        <w:rPr>
          <w:spacing w:val="-3"/>
        </w:rPr>
        <w:t> </w:t>
      </w:r>
      <w:r>
        <w:rPr/>
        <w:t>for</w:t>
      </w:r>
      <w:r>
        <w:rPr>
          <w:spacing w:val="-4"/>
        </w:rPr>
        <w:t> </w:t>
      </w:r>
      <w:r>
        <w:rPr/>
        <w:t>at</w:t>
      </w:r>
      <w:r>
        <w:rPr>
          <w:spacing w:val="-3"/>
        </w:rPr>
        <w:t> </w:t>
      </w:r>
      <w:r>
        <w:rPr/>
        <w:t>least</w:t>
      </w:r>
      <w:r>
        <w:rPr>
          <w:spacing w:val="-3"/>
        </w:rPr>
        <w:t> </w:t>
      </w:r>
      <w:r>
        <w:rPr/>
        <w:t>one</w:t>
      </w:r>
      <w:r>
        <w:rPr>
          <w:spacing w:val="-3"/>
        </w:rPr>
        <w:t> </w:t>
      </w:r>
      <w:r>
        <w:rPr/>
        <w:t>(VREL)</w:t>
      </w:r>
      <w:r>
        <w:rPr>
          <w:spacing w:val="-4"/>
        </w:rPr>
        <w:t> </w:t>
      </w:r>
      <w:r>
        <w:rPr/>
        <w:t>of the measures of</w:t>
      </w:r>
      <w:r>
        <w:rPr>
          <w:spacing w:val="-1"/>
        </w:rPr>
        <w:t> </w:t>
      </w:r>
      <w:r>
        <w:rPr/>
        <w:t>financial reporting quality. Hence, the study recommended more</w:t>
      </w:r>
      <w:r>
        <w:rPr>
          <w:spacing w:val="-1"/>
        </w:rPr>
        <w:t> </w:t>
      </w:r>
      <w:r>
        <w:rPr/>
        <w:t>institutional presence,</w:t>
      </w:r>
      <w:r>
        <w:rPr>
          <w:spacing w:val="-8"/>
        </w:rPr>
        <w:t> </w:t>
      </w:r>
      <w:r>
        <w:rPr/>
        <w:t>not</w:t>
      </w:r>
      <w:r>
        <w:rPr>
          <w:spacing w:val="-8"/>
        </w:rPr>
        <w:t> </w:t>
      </w:r>
      <w:r>
        <w:rPr/>
        <w:t>in</w:t>
      </w:r>
      <w:r>
        <w:rPr>
          <w:spacing w:val="-8"/>
        </w:rPr>
        <w:t> </w:t>
      </w:r>
      <w:r>
        <w:rPr/>
        <w:t>a</w:t>
      </w:r>
      <w:r>
        <w:rPr>
          <w:spacing w:val="-9"/>
        </w:rPr>
        <w:t> </w:t>
      </w:r>
      <w:r>
        <w:rPr/>
        <w:t>passive</w:t>
      </w:r>
      <w:r>
        <w:rPr>
          <w:spacing w:val="-9"/>
        </w:rPr>
        <w:t> </w:t>
      </w:r>
      <w:r>
        <w:rPr/>
        <w:t>mode</w:t>
      </w:r>
      <w:r>
        <w:rPr>
          <w:spacing w:val="-9"/>
        </w:rPr>
        <w:t> </w:t>
      </w:r>
      <w:r>
        <w:rPr/>
        <w:t>but</w:t>
      </w:r>
      <w:r>
        <w:rPr>
          <w:spacing w:val="-7"/>
        </w:rPr>
        <w:t> </w:t>
      </w:r>
      <w:r>
        <w:rPr/>
        <w:t>to</w:t>
      </w:r>
      <w:r>
        <w:rPr>
          <w:spacing w:val="-8"/>
        </w:rPr>
        <w:t> </w:t>
      </w:r>
      <w:r>
        <w:rPr/>
        <w:t>be</w:t>
      </w:r>
      <w:r>
        <w:rPr>
          <w:spacing w:val="-9"/>
        </w:rPr>
        <w:t> </w:t>
      </w:r>
      <w:r>
        <w:rPr/>
        <w:t>actively</w:t>
      </w:r>
      <w:r>
        <w:rPr>
          <w:spacing w:val="-8"/>
        </w:rPr>
        <w:t> </w:t>
      </w:r>
      <w:r>
        <w:rPr/>
        <w:t>involved</w:t>
      </w:r>
      <w:r>
        <w:rPr>
          <w:spacing w:val="-9"/>
        </w:rPr>
        <w:t> </w:t>
      </w:r>
      <w:r>
        <w:rPr/>
        <w:t>in</w:t>
      </w:r>
      <w:r>
        <w:rPr>
          <w:spacing w:val="-8"/>
        </w:rPr>
        <w:t> </w:t>
      </w:r>
      <w:r>
        <w:rPr/>
        <w:t>ensuring</w:t>
      </w:r>
      <w:r>
        <w:rPr>
          <w:spacing w:val="-8"/>
        </w:rPr>
        <w:t> </w:t>
      </w:r>
      <w:r>
        <w:rPr/>
        <w:t>corporate</w:t>
      </w:r>
      <w:r>
        <w:rPr>
          <w:spacing w:val="-9"/>
        </w:rPr>
        <w:t> </w:t>
      </w:r>
      <w:r>
        <w:rPr/>
        <w:t>transparency. Sixth,</w:t>
      </w:r>
      <w:r>
        <w:rPr>
          <w:spacing w:val="-4"/>
        </w:rPr>
        <w:t> </w:t>
      </w:r>
      <w:r>
        <w:rPr/>
        <w:t>managerial</w:t>
      </w:r>
      <w:r>
        <w:rPr>
          <w:spacing w:val="-4"/>
        </w:rPr>
        <w:t> </w:t>
      </w:r>
      <w:r>
        <w:rPr/>
        <w:t>ownership</w:t>
      </w:r>
      <w:r>
        <w:rPr>
          <w:spacing w:val="-4"/>
        </w:rPr>
        <w:t> </w:t>
      </w:r>
      <w:r>
        <w:rPr/>
        <w:t>was</w:t>
      </w:r>
      <w:r>
        <w:rPr>
          <w:spacing w:val="-4"/>
        </w:rPr>
        <w:t> </w:t>
      </w:r>
      <w:r>
        <w:rPr/>
        <w:t>found</w:t>
      </w:r>
      <w:r>
        <w:rPr>
          <w:spacing w:val="-4"/>
        </w:rPr>
        <w:t> </w:t>
      </w:r>
      <w:r>
        <w:rPr/>
        <w:t>to</w:t>
      </w:r>
      <w:r>
        <w:rPr>
          <w:spacing w:val="-4"/>
        </w:rPr>
        <w:t> </w:t>
      </w:r>
      <w:r>
        <w:rPr/>
        <w:t>have</w:t>
      </w:r>
      <w:r>
        <w:rPr>
          <w:spacing w:val="-5"/>
        </w:rPr>
        <w:t> </w:t>
      </w:r>
      <w:r>
        <w:rPr/>
        <w:t>an</w:t>
      </w:r>
      <w:r>
        <w:rPr>
          <w:spacing w:val="-4"/>
        </w:rPr>
        <w:t> </w:t>
      </w:r>
      <w:r>
        <w:rPr/>
        <w:t>insignificant</w:t>
      </w:r>
      <w:r>
        <w:rPr>
          <w:spacing w:val="-4"/>
        </w:rPr>
        <w:t> </w:t>
      </w:r>
      <w:r>
        <w:rPr/>
        <w:t>effect</w:t>
      </w:r>
      <w:r>
        <w:rPr>
          <w:spacing w:val="-4"/>
        </w:rPr>
        <w:t> </w:t>
      </w:r>
      <w:r>
        <w:rPr/>
        <w:t>across</w:t>
      </w:r>
      <w:r>
        <w:rPr>
          <w:spacing w:val="-4"/>
        </w:rPr>
        <w:t> </w:t>
      </w:r>
      <w:r>
        <w:rPr/>
        <w:t>all</w:t>
      </w:r>
      <w:r>
        <w:rPr>
          <w:spacing w:val="-4"/>
        </w:rPr>
        <w:t> </w:t>
      </w:r>
      <w:r>
        <w:rPr/>
        <w:t>measures</w:t>
      </w:r>
      <w:r>
        <w:rPr>
          <w:spacing w:val="-4"/>
        </w:rPr>
        <w:t> </w:t>
      </w:r>
      <w:r>
        <w:rPr/>
        <w:t>and hence, there was the need for the board to be careful of the possibility of managerial entrenchment hypothesis which states that insider ownership can become ineffective in aligning insiders to take value-maximizing decisions. Therefore, there is need to look out for an optimal level of managerial ownership that will not be detrimental to the company.</w:t>
      </w:r>
    </w:p>
    <w:p>
      <w:pPr>
        <w:pStyle w:val="BodyText"/>
        <w:spacing w:line="480" w:lineRule="auto" w:before="1"/>
        <w:ind w:left="940" w:right="1436"/>
        <w:jc w:val="both"/>
      </w:pPr>
      <w:r>
        <w:rPr/>
        <w:t>Seventh, foreign ownership was found to have an insignificant effect across all measures and hence, the study recommended that foreign owners should become more active in monitoring corporate activities.</w:t>
      </w:r>
    </w:p>
    <w:p>
      <w:pPr>
        <w:pStyle w:val="BodyText"/>
        <w:spacing w:line="480" w:lineRule="auto"/>
        <w:ind w:left="940" w:right="1438"/>
        <w:jc w:val="both"/>
      </w:pPr>
      <w:r>
        <w:rPr/>
        <w:t>Eight, block ownership was found to have a significant effect across QUA-FRQ and VREL measures</w:t>
      </w:r>
      <w:r>
        <w:rPr>
          <w:spacing w:val="-1"/>
        </w:rPr>
        <w:t> </w:t>
      </w:r>
      <w:r>
        <w:rPr/>
        <w:t>of financial reporting</w:t>
      </w:r>
      <w:r>
        <w:rPr>
          <w:spacing w:val="-1"/>
        </w:rPr>
        <w:t> </w:t>
      </w:r>
      <w:r>
        <w:rPr/>
        <w:t>quality.</w:t>
      </w:r>
      <w:r>
        <w:rPr>
          <w:spacing w:val="-1"/>
        </w:rPr>
        <w:t> </w:t>
      </w:r>
      <w:r>
        <w:rPr/>
        <w:t>Therefore, there</w:t>
      </w:r>
      <w:r>
        <w:rPr>
          <w:spacing w:val="-2"/>
        </w:rPr>
        <w:t> </w:t>
      </w:r>
      <w:r>
        <w:rPr/>
        <w:t>is the</w:t>
      </w:r>
      <w:r>
        <w:rPr>
          <w:spacing w:val="-1"/>
        </w:rPr>
        <w:t> </w:t>
      </w:r>
      <w:r>
        <w:rPr/>
        <w:t>need</w:t>
      </w:r>
      <w:r>
        <w:rPr>
          <w:spacing w:val="-1"/>
        </w:rPr>
        <w:t> </w:t>
      </w:r>
      <w:r>
        <w:rPr/>
        <w:t>to</w:t>
      </w:r>
      <w:r>
        <w:rPr>
          <w:spacing w:val="-1"/>
        </w:rPr>
        <w:t> </w:t>
      </w:r>
      <w:r>
        <w:rPr/>
        <w:t>look</w:t>
      </w:r>
      <w:r>
        <w:rPr>
          <w:spacing w:val="-1"/>
        </w:rPr>
        <w:t> </w:t>
      </w:r>
      <w:r>
        <w:rPr/>
        <w:t>out</w:t>
      </w:r>
      <w:r>
        <w:rPr>
          <w:spacing w:val="-1"/>
        </w:rPr>
        <w:t> </w:t>
      </w:r>
      <w:r>
        <w:rPr/>
        <w:t>for</w:t>
      </w:r>
      <w:r>
        <w:rPr>
          <w:spacing w:val="-3"/>
        </w:rPr>
        <w:t> </w:t>
      </w:r>
      <w:r>
        <w:rPr/>
        <w:t>an</w:t>
      </w:r>
      <w:r>
        <w:rPr>
          <w:spacing w:val="-1"/>
        </w:rPr>
        <w:t> </w:t>
      </w:r>
      <w:r>
        <w:rPr/>
        <w:t>optimal level of block ownership that will not be detrimental to the company.</w:t>
      </w:r>
    </w:p>
    <w:p>
      <w:pPr>
        <w:pStyle w:val="Heading3"/>
        <w:numPr>
          <w:ilvl w:val="1"/>
          <w:numId w:val="36"/>
        </w:numPr>
        <w:tabs>
          <w:tab w:pos="1360" w:val="left" w:leader="none"/>
        </w:tabs>
        <w:spacing w:line="240" w:lineRule="auto" w:before="0" w:after="0"/>
        <w:ind w:left="1360" w:right="0" w:hanging="420"/>
        <w:jc w:val="both"/>
      </w:pPr>
      <w:bookmarkStart w:name="_TOC_250003" w:id="67"/>
      <w:r>
        <w:rPr/>
        <w:t>Contribution</w:t>
      </w:r>
      <w:r>
        <w:rPr>
          <w:spacing w:val="-1"/>
        </w:rPr>
        <w:t> </w:t>
      </w:r>
      <w:r>
        <w:rPr/>
        <w:t>to </w:t>
      </w:r>
      <w:bookmarkEnd w:id="67"/>
      <w:r>
        <w:rPr>
          <w:spacing w:val="-2"/>
        </w:rPr>
        <w:t>Knowledge</w:t>
      </w:r>
    </w:p>
    <w:p>
      <w:pPr>
        <w:pStyle w:val="BodyText"/>
        <w:rPr>
          <w:b/>
        </w:rPr>
      </w:pPr>
    </w:p>
    <w:p>
      <w:pPr>
        <w:pStyle w:val="BodyText"/>
        <w:spacing w:line="480" w:lineRule="auto" w:before="1"/>
        <w:ind w:left="940" w:right="1435"/>
        <w:jc w:val="both"/>
      </w:pPr>
      <w:r>
        <w:rPr/>
        <w:t>The</w:t>
      </w:r>
      <w:r>
        <w:rPr>
          <w:spacing w:val="-6"/>
        </w:rPr>
        <w:t> </w:t>
      </w:r>
      <w:r>
        <w:rPr/>
        <w:t>study</w:t>
      </w:r>
      <w:r>
        <w:rPr>
          <w:spacing w:val="-4"/>
        </w:rPr>
        <w:t> </w:t>
      </w:r>
      <w:r>
        <w:rPr/>
        <w:t>made</w:t>
      </w:r>
      <w:r>
        <w:rPr>
          <w:spacing w:val="-6"/>
        </w:rPr>
        <w:t> </w:t>
      </w:r>
      <w:r>
        <w:rPr/>
        <w:t>the</w:t>
      </w:r>
      <w:r>
        <w:rPr>
          <w:spacing w:val="-4"/>
        </w:rPr>
        <w:t> </w:t>
      </w:r>
      <w:r>
        <w:rPr/>
        <w:t>following</w:t>
      </w:r>
      <w:r>
        <w:rPr>
          <w:spacing w:val="-4"/>
        </w:rPr>
        <w:t> </w:t>
      </w:r>
      <w:r>
        <w:rPr/>
        <w:t>contributions</w:t>
      </w:r>
      <w:r>
        <w:rPr>
          <w:spacing w:val="-4"/>
        </w:rPr>
        <w:t> </w:t>
      </w:r>
      <w:r>
        <w:rPr/>
        <w:t>to</w:t>
      </w:r>
      <w:r>
        <w:rPr>
          <w:spacing w:val="-7"/>
        </w:rPr>
        <w:t> </w:t>
      </w:r>
      <w:r>
        <w:rPr/>
        <w:t>knowledge:</w:t>
      </w:r>
      <w:r>
        <w:rPr>
          <w:spacing w:val="-4"/>
        </w:rPr>
        <w:t> </w:t>
      </w:r>
      <w:r>
        <w:rPr/>
        <w:t>First,</w:t>
      </w:r>
      <w:r>
        <w:rPr>
          <w:spacing w:val="-1"/>
        </w:rPr>
        <w:t> </w:t>
      </w:r>
      <w:r>
        <w:rPr/>
        <w:t>the</w:t>
      </w:r>
      <w:r>
        <w:rPr>
          <w:spacing w:val="-4"/>
        </w:rPr>
        <w:t> </w:t>
      </w:r>
      <w:r>
        <w:rPr/>
        <w:t>methodological</w:t>
      </w:r>
      <w:r>
        <w:rPr>
          <w:spacing w:val="-4"/>
        </w:rPr>
        <w:t> </w:t>
      </w:r>
      <w:r>
        <w:rPr/>
        <w:t>approach which the study toed provided an adequate and comprehensive estimation to the discourse’s weakness which had hitherto not been addressed in prior researches.</w:t>
      </w:r>
    </w:p>
    <w:p>
      <w:pPr>
        <w:pStyle w:val="BodyText"/>
        <w:spacing w:line="480" w:lineRule="auto"/>
        <w:ind w:left="940" w:right="1441"/>
        <w:jc w:val="both"/>
      </w:pPr>
      <w:r>
        <w:rPr/>
        <w:t>Second, employing multiple measures to proxy financial reporting quality is also a plus to academic literature. This is important because of the sensitivity of the results to the type of measures</w:t>
      </w:r>
      <w:r>
        <w:rPr>
          <w:spacing w:val="-10"/>
        </w:rPr>
        <w:t> </w:t>
      </w:r>
      <w:r>
        <w:rPr/>
        <w:t>used,</w:t>
      </w:r>
      <w:r>
        <w:rPr>
          <w:spacing w:val="-11"/>
        </w:rPr>
        <w:t> </w:t>
      </w:r>
      <w:r>
        <w:rPr/>
        <w:t>on</w:t>
      </w:r>
      <w:r>
        <w:rPr>
          <w:spacing w:val="-11"/>
        </w:rPr>
        <w:t> </w:t>
      </w:r>
      <w:r>
        <w:rPr/>
        <w:t>one</w:t>
      </w:r>
      <w:r>
        <w:rPr>
          <w:spacing w:val="-12"/>
        </w:rPr>
        <w:t> </w:t>
      </w:r>
      <w:r>
        <w:rPr/>
        <w:t>hand,</w:t>
      </w:r>
      <w:r>
        <w:rPr>
          <w:spacing w:val="-11"/>
        </w:rPr>
        <w:t> </w:t>
      </w:r>
      <w:r>
        <w:rPr/>
        <w:t>and</w:t>
      </w:r>
      <w:r>
        <w:rPr>
          <w:spacing w:val="-11"/>
        </w:rPr>
        <w:t> </w:t>
      </w:r>
      <w:r>
        <w:rPr/>
        <w:t>also</w:t>
      </w:r>
      <w:r>
        <w:rPr>
          <w:spacing w:val="-10"/>
        </w:rPr>
        <w:t> </w:t>
      </w:r>
      <w:r>
        <w:rPr/>
        <w:t>because</w:t>
      </w:r>
      <w:r>
        <w:rPr>
          <w:spacing w:val="-12"/>
        </w:rPr>
        <w:t> </w:t>
      </w:r>
      <w:r>
        <w:rPr/>
        <w:t>each</w:t>
      </w:r>
      <w:r>
        <w:rPr>
          <w:spacing w:val="-9"/>
        </w:rPr>
        <w:t> </w:t>
      </w:r>
      <w:r>
        <w:rPr/>
        <w:t>measure</w:t>
      </w:r>
      <w:r>
        <w:rPr>
          <w:spacing w:val="-12"/>
        </w:rPr>
        <w:t> </w:t>
      </w:r>
      <w:r>
        <w:rPr/>
        <w:t>has</w:t>
      </w:r>
      <w:r>
        <w:rPr>
          <w:spacing w:val="-10"/>
        </w:rPr>
        <w:t> </w:t>
      </w:r>
      <w:r>
        <w:rPr/>
        <w:t>its</w:t>
      </w:r>
      <w:r>
        <w:rPr>
          <w:spacing w:val="-10"/>
        </w:rPr>
        <w:t> </w:t>
      </w:r>
      <w:r>
        <w:rPr/>
        <w:t>own</w:t>
      </w:r>
      <w:r>
        <w:rPr>
          <w:spacing w:val="-11"/>
        </w:rPr>
        <w:t> </w:t>
      </w:r>
      <w:r>
        <w:rPr/>
        <w:t>strength</w:t>
      </w:r>
      <w:r>
        <w:rPr>
          <w:spacing w:val="-10"/>
        </w:rPr>
        <w:t> </w:t>
      </w:r>
      <w:r>
        <w:rPr/>
        <w:t>and</w:t>
      </w:r>
      <w:r>
        <w:rPr>
          <w:spacing w:val="-11"/>
        </w:rPr>
        <w:t> </w:t>
      </w:r>
      <w:r>
        <w:rPr/>
        <w:t>weakness and therefore, a combination of several measures is more likely to provide a comprehensive research outcome.</w:t>
      </w:r>
    </w:p>
    <w:p>
      <w:pPr>
        <w:spacing w:after="0" w:line="480" w:lineRule="auto"/>
        <w:jc w:val="both"/>
        <w:sectPr>
          <w:pgSz w:w="11910" w:h="16840"/>
          <w:pgMar w:header="0" w:footer="971" w:top="1360" w:bottom="1160" w:left="500" w:right="0"/>
        </w:sectPr>
      </w:pPr>
    </w:p>
    <w:p>
      <w:pPr>
        <w:pStyle w:val="BodyText"/>
        <w:spacing w:line="480" w:lineRule="auto" w:before="61"/>
        <w:ind w:left="940" w:right="1436"/>
        <w:jc w:val="both"/>
      </w:pPr>
      <w:r>
        <w:rPr/>
        <w:t>Third, the study provides elaborate and current information to policy makers such as the Security and Exchange Commission (SEC) and managers of public companies in Nigeria on CG as determinants of reporting quality in post-IFRS regime.</w:t>
      </w:r>
    </w:p>
    <w:p>
      <w:pPr>
        <w:pStyle w:val="BodyText"/>
        <w:spacing w:line="480" w:lineRule="auto"/>
        <w:ind w:left="940" w:right="1438"/>
        <w:jc w:val="both"/>
      </w:pPr>
      <w:r>
        <w:rPr/>
        <w:t>Fourth,</w:t>
      </w:r>
      <w:r>
        <w:rPr>
          <w:spacing w:val="-15"/>
        </w:rPr>
        <w:t> </w:t>
      </w:r>
      <w:r>
        <w:rPr/>
        <w:t>it</w:t>
      </w:r>
      <w:r>
        <w:rPr>
          <w:spacing w:val="-14"/>
        </w:rPr>
        <w:t> </w:t>
      </w:r>
      <w:r>
        <w:rPr/>
        <w:t>helps</w:t>
      </w:r>
      <w:r>
        <w:rPr>
          <w:spacing w:val="-14"/>
        </w:rPr>
        <w:t> </w:t>
      </w:r>
      <w:r>
        <w:rPr/>
        <w:t>explain</w:t>
      </w:r>
      <w:r>
        <w:rPr>
          <w:spacing w:val="-14"/>
        </w:rPr>
        <w:t> </w:t>
      </w:r>
      <w:r>
        <w:rPr/>
        <w:t>the</w:t>
      </w:r>
      <w:r>
        <w:rPr>
          <w:spacing w:val="-15"/>
        </w:rPr>
        <w:t> </w:t>
      </w:r>
      <w:r>
        <w:rPr/>
        <w:t>impact</w:t>
      </w:r>
      <w:r>
        <w:rPr>
          <w:spacing w:val="-14"/>
        </w:rPr>
        <w:t> </w:t>
      </w:r>
      <w:r>
        <w:rPr/>
        <w:t>of</w:t>
      </w:r>
      <w:r>
        <w:rPr>
          <w:spacing w:val="-15"/>
        </w:rPr>
        <w:t> </w:t>
      </w:r>
      <w:r>
        <w:rPr/>
        <w:t>CG</w:t>
      </w:r>
      <w:r>
        <w:rPr>
          <w:spacing w:val="-15"/>
        </w:rPr>
        <w:t> </w:t>
      </w:r>
      <w:r>
        <w:rPr/>
        <w:t>on</w:t>
      </w:r>
      <w:r>
        <w:rPr>
          <w:spacing w:val="-13"/>
        </w:rPr>
        <w:t> </w:t>
      </w:r>
      <w:r>
        <w:rPr/>
        <w:t>the</w:t>
      </w:r>
      <w:r>
        <w:rPr>
          <w:spacing w:val="-15"/>
        </w:rPr>
        <w:t> </w:t>
      </w:r>
      <w:r>
        <w:rPr/>
        <w:t>reporting</w:t>
      </w:r>
      <w:r>
        <w:rPr>
          <w:spacing w:val="-14"/>
        </w:rPr>
        <w:t> </w:t>
      </w:r>
      <w:r>
        <w:rPr/>
        <w:t>quality</w:t>
      </w:r>
      <w:r>
        <w:rPr>
          <w:spacing w:val="-14"/>
        </w:rPr>
        <w:t> </w:t>
      </w:r>
      <w:r>
        <w:rPr/>
        <w:t>of</w:t>
      </w:r>
      <w:r>
        <w:rPr>
          <w:spacing w:val="-15"/>
        </w:rPr>
        <w:t> </w:t>
      </w:r>
      <w:r>
        <w:rPr/>
        <w:t>firms</w:t>
      </w:r>
      <w:r>
        <w:rPr>
          <w:spacing w:val="-14"/>
        </w:rPr>
        <w:t> </w:t>
      </w:r>
      <w:r>
        <w:rPr/>
        <w:t>listed</w:t>
      </w:r>
      <w:r>
        <w:rPr>
          <w:spacing w:val="-13"/>
        </w:rPr>
        <w:t> </w:t>
      </w:r>
      <w:r>
        <w:rPr/>
        <w:t>on</w:t>
      </w:r>
      <w:r>
        <w:rPr>
          <w:spacing w:val="-14"/>
        </w:rPr>
        <w:t> </w:t>
      </w:r>
      <w:r>
        <w:rPr/>
        <w:t>the</w:t>
      </w:r>
      <w:r>
        <w:rPr>
          <w:spacing w:val="-15"/>
        </w:rPr>
        <w:t> </w:t>
      </w:r>
      <w:r>
        <w:rPr/>
        <w:t>Nigerian Stock Exchange from institutional and regulatory perspectives different from prior studies.</w:t>
      </w:r>
    </w:p>
    <w:p>
      <w:pPr>
        <w:pStyle w:val="Heading3"/>
        <w:numPr>
          <w:ilvl w:val="1"/>
          <w:numId w:val="36"/>
        </w:numPr>
        <w:tabs>
          <w:tab w:pos="1360" w:val="left" w:leader="none"/>
        </w:tabs>
        <w:spacing w:line="240" w:lineRule="auto" w:before="0" w:after="0"/>
        <w:ind w:left="1360" w:right="0" w:hanging="420"/>
        <w:jc w:val="both"/>
      </w:pPr>
      <w:r>
        <w:rPr/>
        <w:drawing>
          <wp:anchor distT="0" distB="0" distL="0" distR="0" allowOverlap="1" layoutInCell="1" locked="0" behindDoc="1" simplePos="0" relativeHeight="477768704">
            <wp:simplePos x="0" y="0"/>
            <wp:positionH relativeFrom="page">
              <wp:posOffset>1095451</wp:posOffset>
            </wp:positionH>
            <wp:positionV relativeFrom="paragraph">
              <wp:posOffset>59584</wp:posOffset>
            </wp:positionV>
            <wp:extent cx="5106847" cy="5238115"/>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5" cstate="print"/>
                    <a:stretch>
                      <a:fillRect/>
                    </a:stretch>
                  </pic:blipFill>
                  <pic:spPr>
                    <a:xfrm>
                      <a:off x="0" y="0"/>
                      <a:ext cx="5106847" cy="5238115"/>
                    </a:xfrm>
                    <a:prstGeom prst="rect">
                      <a:avLst/>
                    </a:prstGeom>
                  </pic:spPr>
                </pic:pic>
              </a:graphicData>
            </a:graphic>
          </wp:anchor>
        </w:drawing>
      </w:r>
      <w:bookmarkStart w:name="_TOC_250002" w:id="68"/>
      <w:r>
        <w:rPr/>
        <w:t>Suggestions</w:t>
      </w:r>
      <w:r>
        <w:rPr>
          <w:spacing w:val="-2"/>
        </w:rPr>
        <w:t> </w:t>
      </w:r>
      <w:r>
        <w:rPr/>
        <w:t>for</w:t>
      </w:r>
      <w:r>
        <w:rPr>
          <w:spacing w:val="-2"/>
        </w:rPr>
        <w:t> </w:t>
      </w:r>
      <w:r>
        <w:rPr/>
        <w:t>Further</w:t>
      </w:r>
      <w:bookmarkEnd w:id="68"/>
      <w:r>
        <w:rPr>
          <w:spacing w:val="-2"/>
        </w:rPr>
        <w:t> Studies</w:t>
      </w:r>
    </w:p>
    <w:p>
      <w:pPr>
        <w:pStyle w:val="BodyText"/>
        <w:spacing w:before="1"/>
        <w:rPr>
          <w:b/>
        </w:rPr>
      </w:pPr>
    </w:p>
    <w:p>
      <w:pPr>
        <w:pStyle w:val="BodyText"/>
        <w:spacing w:line="480" w:lineRule="auto"/>
        <w:ind w:left="940" w:right="1434"/>
        <w:jc w:val="both"/>
      </w:pPr>
      <w:r>
        <w:rPr/>
        <w:t>First,</w:t>
      </w:r>
      <w:r>
        <w:rPr>
          <w:spacing w:val="-3"/>
        </w:rPr>
        <w:t> </w:t>
      </w:r>
      <w:r>
        <w:rPr/>
        <w:t>the</w:t>
      </w:r>
      <w:r>
        <w:rPr>
          <w:spacing w:val="-4"/>
        </w:rPr>
        <w:t> </w:t>
      </w:r>
      <w:r>
        <w:rPr/>
        <w:t>study</w:t>
      </w:r>
      <w:r>
        <w:rPr>
          <w:spacing w:val="-3"/>
        </w:rPr>
        <w:t> </w:t>
      </w:r>
      <w:r>
        <w:rPr/>
        <w:t>suggests</w:t>
      </w:r>
      <w:r>
        <w:rPr>
          <w:spacing w:val="-6"/>
        </w:rPr>
        <w:t> </w:t>
      </w:r>
      <w:r>
        <w:rPr/>
        <w:t>that</w:t>
      </w:r>
      <w:r>
        <w:rPr>
          <w:spacing w:val="-3"/>
        </w:rPr>
        <w:t> </w:t>
      </w:r>
      <w:r>
        <w:rPr/>
        <w:t>further</w:t>
      </w:r>
      <w:r>
        <w:rPr>
          <w:spacing w:val="-5"/>
        </w:rPr>
        <w:t> </w:t>
      </w:r>
      <w:r>
        <w:rPr/>
        <w:t>investigation</w:t>
      </w:r>
      <w:r>
        <w:rPr>
          <w:spacing w:val="-3"/>
        </w:rPr>
        <w:t> </w:t>
      </w:r>
      <w:r>
        <w:rPr/>
        <w:t>should</w:t>
      </w:r>
      <w:r>
        <w:rPr>
          <w:spacing w:val="-3"/>
        </w:rPr>
        <w:t> </w:t>
      </w:r>
      <w:r>
        <w:rPr/>
        <w:t>be</w:t>
      </w:r>
      <w:r>
        <w:rPr>
          <w:spacing w:val="-4"/>
        </w:rPr>
        <w:t> </w:t>
      </w:r>
      <w:r>
        <w:rPr/>
        <w:t>carried</w:t>
      </w:r>
      <w:r>
        <w:rPr>
          <w:spacing w:val="-3"/>
        </w:rPr>
        <w:t> </w:t>
      </w:r>
      <w:r>
        <w:rPr/>
        <w:t>out</w:t>
      </w:r>
      <w:r>
        <w:rPr>
          <w:spacing w:val="-3"/>
        </w:rPr>
        <w:t> </w:t>
      </w:r>
      <w:r>
        <w:rPr/>
        <w:t>on</w:t>
      </w:r>
      <w:r>
        <w:rPr>
          <w:spacing w:val="-1"/>
        </w:rPr>
        <w:t> </w:t>
      </w:r>
      <w:r>
        <w:rPr/>
        <w:t>non-financial</w:t>
      </w:r>
      <w:r>
        <w:rPr>
          <w:spacing w:val="-3"/>
        </w:rPr>
        <w:t> </w:t>
      </w:r>
      <w:r>
        <w:rPr/>
        <w:t>listed companies</w:t>
      </w:r>
      <w:r>
        <w:rPr>
          <w:spacing w:val="-1"/>
        </w:rPr>
        <w:t> </w:t>
      </w:r>
      <w:r>
        <w:rPr/>
        <w:t>on</w:t>
      </w:r>
      <w:r>
        <w:rPr>
          <w:spacing w:val="-1"/>
        </w:rPr>
        <w:t> </w:t>
      </w:r>
      <w:r>
        <w:rPr/>
        <w:t>the</w:t>
      </w:r>
      <w:r>
        <w:rPr>
          <w:spacing w:val="-2"/>
        </w:rPr>
        <w:t> </w:t>
      </w:r>
      <w:r>
        <w:rPr/>
        <w:t>Nigerian</w:t>
      </w:r>
      <w:r>
        <w:rPr>
          <w:spacing w:val="-1"/>
        </w:rPr>
        <w:t> </w:t>
      </w:r>
      <w:r>
        <w:rPr/>
        <w:t>Stock</w:t>
      </w:r>
      <w:r>
        <w:rPr>
          <w:spacing w:val="-2"/>
        </w:rPr>
        <w:t> </w:t>
      </w:r>
      <w:r>
        <w:rPr/>
        <w:t>Exchange.</w:t>
      </w:r>
      <w:r>
        <w:rPr>
          <w:spacing w:val="-1"/>
        </w:rPr>
        <w:t> </w:t>
      </w:r>
      <w:r>
        <w:rPr/>
        <w:t>The reason</w:t>
      </w:r>
      <w:r>
        <w:rPr>
          <w:spacing w:val="-1"/>
        </w:rPr>
        <w:t> </w:t>
      </w:r>
      <w:r>
        <w:rPr/>
        <w:t>being</w:t>
      </w:r>
      <w:r>
        <w:rPr>
          <w:spacing w:val="-1"/>
        </w:rPr>
        <w:t> </w:t>
      </w:r>
      <w:r>
        <w:rPr/>
        <w:t>that</w:t>
      </w:r>
      <w:r>
        <w:rPr>
          <w:spacing w:val="-1"/>
        </w:rPr>
        <w:t> </w:t>
      </w:r>
      <w:r>
        <w:rPr/>
        <w:t>financial</w:t>
      </w:r>
      <w:r>
        <w:rPr>
          <w:spacing w:val="-1"/>
        </w:rPr>
        <w:t> </w:t>
      </w:r>
      <w:r>
        <w:rPr/>
        <w:t>institutions</w:t>
      </w:r>
      <w:r>
        <w:rPr>
          <w:spacing w:val="-1"/>
        </w:rPr>
        <w:t> </w:t>
      </w:r>
      <w:r>
        <w:rPr/>
        <w:t>enjoy robust and high compliance to regulatory mechanisms, therefore, the impact of CG on companies’ outcome is not likely to be the same for other sectors.</w:t>
      </w:r>
    </w:p>
    <w:p>
      <w:pPr>
        <w:pStyle w:val="BodyText"/>
        <w:spacing w:line="480" w:lineRule="auto"/>
        <w:ind w:left="940" w:right="1437"/>
        <w:jc w:val="both"/>
      </w:pPr>
      <w:r>
        <w:rPr/>
        <w:t>Second, the study suggests a further investigation using a composite score to proxy CG. The composite</w:t>
      </w:r>
      <w:r>
        <w:rPr>
          <w:spacing w:val="-4"/>
        </w:rPr>
        <w:t> </w:t>
      </w:r>
      <w:r>
        <w:rPr/>
        <w:t>score</w:t>
      </w:r>
      <w:r>
        <w:rPr>
          <w:spacing w:val="-5"/>
        </w:rPr>
        <w:t> </w:t>
      </w:r>
      <w:r>
        <w:rPr/>
        <w:t>should</w:t>
      </w:r>
      <w:r>
        <w:rPr>
          <w:spacing w:val="-3"/>
        </w:rPr>
        <w:t> </w:t>
      </w:r>
      <w:r>
        <w:rPr/>
        <w:t>be</w:t>
      </w:r>
      <w:r>
        <w:rPr>
          <w:spacing w:val="-4"/>
        </w:rPr>
        <w:t> </w:t>
      </w:r>
      <w:r>
        <w:rPr/>
        <w:t>derived</w:t>
      </w:r>
      <w:r>
        <w:rPr>
          <w:spacing w:val="-2"/>
        </w:rPr>
        <w:t> </w:t>
      </w:r>
      <w:r>
        <w:rPr/>
        <w:t>using</w:t>
      </w:r>
      <w:r>
        <w:rPr>
          <w:spacing w:val="-3"/>
        </w:rPr>
        <w:t> </w:t>
      </w:r>
      <w:r>
        <w:rPr/>
        <w:t>the</w:t>
      </w:r>
      <w:r>
        <w:rPr>
          <w:spacing w:val="-3"/>
        </w:rPr>
        <w:t> </w:t>
      </w:r>
      <w:r>
        <w:rPr/>
        <w:t>unweighted</w:t>
      </w:r>
      <w:r>
        <w:rPr>
          <w:spacing w:val="-3"/>
        </w:rPr>
        <w:t> </w:t>
      </w:r>
      <w:r>
        <w:rPr/>
        <w:t>content</w:t>
      </w:r>
      <w:r>
        <w:rPr>
          <w:spacing w:val="-3"/>
        </w:rPr>
        <w:t> </w:t>
      </w:r>
      <w:r>
        <w:rPr/>
        <w:t>analysis</w:t>
      </w:r>
      <w:r>
        <w:rPr>
          <w:spacing w:val="-3"/>
        </w:rPr>
        <w:t> </w:t>
      </w:r>
      <w:r>
        <w:rPr/>
        <w:t>cutting</w:t>
      </w:r>
      <w:r>
        <w:rPr>
          <w:spacing w:val="-3"/>
        </w:rPr>
        <w:t> </w:t>
      </w:r>
      <w:r>
        <w:rPr/>
        <w:t>across board of directors’ compositions and functioning, assurance and auditing, ownership structure and relationship with shareholders, business conduct and ethics, and sustainability issues and transparency.</w:t>
      </w:r>
      <w:r>
        <w:rPr>
          <w:spacing w:val="-7"/>
        </w:rPr>
        <w:t> </w:t>
      </w:r>
      <w:r>
        <w:rPr/>
        <w:t>One</w:t>
      </w:r>
      <w:r>
        <w:rPr>
          <w:spacing w:val="-8"/>
        </w:rPr>
        <w:t> </w:t>
      </w:r>
      <w:r>
        <w:rPr/>
        <w:t>advantage</w:t>
      </w:r>
      <w:r>
        <w:rPr>
          <w:spacing w:val="-8"/>
        </w:rPr>
        <w:t> </w:t>
      </w:r>
      <w:r>
        <w:rPr/>
        <w:t>of</w:t>
      </w:r>
      <w:r>
        <w:rPr>
          <w:spacing w:val="-6"/>
        </w:rPr>
        <w:t> </w:t>
      </w:r>
      <w:r>
        <w:rPr/>
        <w:t>this</w:t>
      </w:r>
      <w:r>
        <w:rPr>
          <w:spacing w:val="-7"/>
        </w:rPr>
        <w:t> </w:t>
      </w:r>
      <w:r>
        <w:rPr/>
        <w:t>score</w:t>
      </w:r>
      <w:r>
        <w:rPr>
          <w:spacing w:val="-7"/>
        </w:rPr>
        <w:t> </w:t>
      </w:r>
      <w:r>
        <w:rPr/>
        <w:t>is</w:t>
      </w:r>
      <w:r>
        <w:rPr>
          <w:spacing w:val="-7"/>
        </w:rPr>
        <w:t> </w:t>
      </w:r>
      <w:r>
        <w:rPr/>
        <w:t>that</w:t>
      </w:r>
      <w:r>
        <w:rPr>
          <w:spacing w:val="-7"/>
        </w:rPr>
        <w:t> </w:t>
      </w:r>
      <w:r>
        <w:rPr/>
        <w:t>it</w:t>
      </w:r>
      <w:r>
        <w:rPr>
          <w:spacing w:val="-4"/>
        </w:rPr>
        <w:t> </w:t>
      </w:r>
      <w:r>
        <w:rPr/>
        <w:t>reflects</w:t>
      </w:r>
      <w:r>
        <w:rPr>
          <w:spacing w:val="-7"/>
        </w:rPr>
        <w:t> </w:t>
      </w:r>
      <w:r>
        <w:rPr/>
        <w:t>the</w:t>
      </w:r>
      <w:r>
        <w:rPr>
          <w:spacing w:val="-8"/>
        </w:rPr>
        <w:t> </w:t>
      </w:r>
      <w:r>
        <w:rPr/>
        <w:t>several</w:t>
      </w:r>
      <w:r>
        <w:rPr>
          <w:spacing w:val="-5"/>
        </w:rPr>
        <w:t> </w:t>
      </w:r>
      <w:r>
        <w:rPr/>
        <w:t>dimensions</w:t>
      </w:r>
      <w:r>
        <w:rPr>
          <w:spacing w:val="-7"/>
        </w:rPr>
        <w:t> </w:t>
      </w:r>
      <w:r>
        <w:rPr/>
        <w:t>of</w:t>
      </w:r>
      <w:r>
        <w:rPr>
          <w:spacing w:val="-8"/>
        </w:rPr>
        <w:t> </w:t>
      </w:r>
      <w:r>
        <w:rPr/>
        <w:t>corporate governance unlike studies which focused on specific attributes.</w:t>
      </w:r>
    </w:p>
    <w:p>
      <w:pPr>
        <w:spacing w:after="0" w:line="480" w:lineRule="auto"/>
        <w:jc w:val="both"/>
        <w:sectPr>
          <w:pgSz w:w="11910" w:h="16840"/>
          <w:pgMar w:header="0" w:footer="971" w:top="1360" w:bottom="1160" w:left="500" w:right="0"/>
        </w:sectPr>
      </w:pPr>
    </w:p>
    <w:p>
      <w:pPr>
        <w:pStyle w:val="Heading3"/>
        <w:spacing w:before="61"/>
        <w:ind w:left="0" w:right="501"/>
        <w:jc w:val="center"/>
      </w:pPr>
      <w:bookmarkStart w:name="_TOC_250001" w:id="69"/>
      <w:bookmarkEnd w:id="69"/>
      <w:r>
        <w:rPr>
          <w:spacing w:val="-2"/>
        </w:rPr>
        <w:t>References</w:t>
      </w:r>
    </w:p>
    <w:p>
      <w:pPr>
        <w:pStyle w:val="BodyText"/>
        <w:rPr>
          <w:b/>
        </w:rPr>
      </w:pPr>
    </w:p>
    <w:p>
      <w:pPr>
        <w:spacing w:before="0"/>
        <w:ind w:left="1480" w:right="1438" w:hanging="632"/>
        <w:jc w:val="both"/>
        <w:rPr>
          <w:sz w:val="24"/>
        </w:rPr>
      </w:pPr>
      <w:r>
        <w:rPr>
          <w:sz w:val="24"/>
        </w:rPr>
        <w:t>Abata, M. A. (2015). Impact of IFRS on Financial Reporting Practices in Nigeria (A case of KPMG). </w:t>
      </w:r>
      <w:r>
        <w:rPr>
          <w:i/>
          <w:sz w:val="24"/>
        </w:rPr>
        <w:t>Global Journal of Contemporary Research in Accounting, Auditing </w:t>
      </w:r>
      <w:r>
        <w:rPr>
          <w:i/>
          <w:sz w:val="24"/>
        </w:rPr>
        <w:t>and Business Ethics, 1</w:t>
      </w:r>
      <w:r>
        <w:rPr>
          <w:sz w:val="24"/>
        </w:rPr>
        <w:t>(1), 263-281</w:t>
      </w:r>
    </w:p>
    <w:p>
      <w:pPr>
        <w:pStyle w:val="BodyText"/>
      </w:pPr>
    </w:p>
    <w:p>
      <w:pPr>
        <w:spacing w:before="0"/>
        <w:ind w:left="1571" w:right="1445" w:hanging="723"/>
        <w:jc w:val="both"/>
        <w:rPr>
          <w:sz w:val="24"/>
        </w:rPr>
      </w:pPr>
      <w:r>
        <w:rPr>
          <w:sz w:val="24"/>
        </w:rPr>
        <w:t>Abbott, L.J., Parker, S. and Peters, G.F. (2004). Audit committee characteristics and restatements. </w:t>
      </w:r>
      <w:r>
        <w:rPr>
          <w:i/>
          <w:sz w:val="24"/>
        </w:rPr>
        <w:t>Auditing: A Journal of Practice &amp; Theory</w:t>
      </w:r>
      <w:r>
        <w:rPr>
          <w:sz w:val="24"/>
        </w:rPr>
        <w:t>, </w:t>
      </w:r>
      <w:r>
        <w:rPr>
          <w:i/>
          <w:sz w:val="24"/>
        </w:rPr>
        <w:t>23</w:t>
      </w:r>
      <w:r>
        <w:rPr>
          <w:sz w:val="24"/>
        </w:rPr>
        <w:t>(5), 69-87.</w:t>
      </w:r>
    </w:p>
    <w:p>
      <w:pPr>
        <w:pStyle w:val="BodyText"/>
      </w:pPr>
    </w:p>
    <w:p>
      <w:pPr>
        <w:pStyle w:val="BodyText"/>
        <w:ind w:left="1571" w:right="1436" w:hanging="723"/>
        <w:jc w:val="both"/>
      </w:pPr>
      <w:r>
        <w:rPr/>
        <w:drawing>
          <wp:anchor distT="0" distB="0" distL="0" distR="0" allowOverlap="1" layoutInCell="1" locked="0" behindDoc="1" simplePos="0" relativeHeight="477769216">
            <wp:simplePos x="0" y="0"/>
            <wp:positionH relativeFrom="page">
              <wp:posOffset>1095451</wp:posOffset>
            </wp:positionH>
            <wp:positionV relativeFrom="paragraph">
              <wp:posOffset>234829</wp:posOffset>
            </wp:positionV>
            <wp:extent cx="5106847" cy="5238115"/>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5" cstate="print"/>
                    <a:stretch>
                      <a:fillRect/>
                    </a:stretch>
                  </pic:blipFill>
                  <pic:spPr>
                    <a:xfrm>
                      <a:off x="0" y="0"/>
                      <a:ext cx="5106847" cy="5238115"/>
                    </a:xfrm>
                    <a:prstGeom prst="rect">
                      <a:avLst/>
                    </a:prstGeom>
                  </pic:spPr>
                </pic:pic>
              </a:graphicData>
            </a:graphic>
          </wp:anchor>
        </w:drawing>
      </w:r>
      <w:r>
        <w:rPr/>
        <w:t>Abbott, L.J., Parker, S., &amp; Peters, G.F. (2000). The effectiveness of blue ribbon committee recommendations in mitigating financial misstatement. </w:t>
      </w:r>
      <w:r>
        <w:rPr>
          <w:i/>
        </w:rPr>
        <w:t>An empirical study working </w:t>
      </w:r>
      <w:r>
        <w:rPr>
          <w:i/>
          <w:spacing w:val="-2"/>
        </w:rPr>
        <w:t>paper</w:t>
      </w:r>
      <w:r>
        <w:rPr>
          <w:spacing w:val="-2"/>
        </w:rPr>
        <w:t>.</w:t>
      </w:r>
    </w:p>
    <w:p>
      <w:pPr>
        <w:pStyle w:val="BodyText"/>
        <w:spacing w:before="1"/>
      </w:pPr>
    </w:p>
    <w:p>
      <w:pPr>
        <w:spacing w:before="0"/>
        <w:ind w:left="1571" w:right="1438" w:hanging="723"/>
        <w:jc w:val="both"/>
        <w:rPr>
          <w:sz w:val="24"/>
        </w:rPr>
      </w:pPr>
      <w:r>
        <w:rPr>
          <w:sz w:val="24"/>
        </w:rPr>
        <w:t>Abdelsalam,</w:t>
      </w:r>
      <w:r>
        <w:rPr>
          <w:spacing w:val="-15"/>
          <w:sz w:val="24"/>
        </w:rPr>
        <w:t> </w:t>
      </w:r>
      <w:r>
        <w:rPr>
          <w:sz w:val="24"/>
        </w:rPr>
        <w:t>O.</w:t>
      </w:r>
      <w:r>
        <w:rPr>
          <w:spacing w:val="-15"/>
          <w:sz w:val="24"/>
        </w:rPr>
        <w:t> </w:t>
      </w:r>
      <w:r>
        <w:rPr>
          <w:sz w:val="24"/>
        </w:rPr>
        <w:t>H.,</w:t>
      </w:r>
      <w:r>
        <w:rPr>
          <w:spacing w:val="-15"/>
          <w:sz w:val="24"/>
        </w:rPr>
        <w:t> </w:t>
      </w:r>
      <w:r>
        <w:rPr>
          <w:sz w:val="24"/>
        </w:rPr>
        <w:t>&amp;</w:t>
      </w:r>
      <w:r>
        <w:rPr>
          <w:spacing w:val="-15"/>
          <w:sz w:val="24"/>
        </w:rPr>
        <w:t> </w:t>
      </w:r>
      <w:r>
        <w:rPr>
          <w:sz w:val="24"/>
        </w:rPr>
        <w:t>Street,</w:t>
      </w:r>
      <w:r>
        <w:rPr>
          <w:spacing w:val="-15"/>
          <w:sz w:val="24"/>
        </w:rPr>
        <w:t> </w:t>
      </w:r>
      <w:r>
        <w:rPr>
          <w:sz w:val="24"/>
        </w:rPr>
        <w:t>D.</w:t>
      </w:r>
      <w:r>
        <w:rPr>
          <w:spacing w:val="-15"/>
          <w:sz w:val="24"/>
        </w:rPr>
        <w:t> </w:t>
      </w:r>
      <w:r>
        <w:rPr>
          <w:sz w:val="24"/>
        </w:rPr>
        <w:t>L.</w:t>
      </w:r>
      <w:r>
        <w:rPr>
          <w:spacing w:val="-15"/>
          <w:sz w:val="24"/>
        </w:rPr>
        <w:t> </w:t>
      </w:r>
      <w:r>
        <w:rPr>
          <w:sz w:val="24"/>
        </w:rPr>
        <w:t>(2007).</w:t>
      </w:r>
      <w:r>
        <w:rPr>
          <w:spacing w:val="-15"/>
          <w:sz w:val="24"/>
        </w:rPr>
        <w:t> </w:t>
      </w:r>
      <w:r>
        <w:rPr>
          <w:sz w:val="24"/>
        </w:rPr>
        <w:t>Corporate</w:t>
      </w:r>
      <w:r>
        <w:rPr>
          <w:spacing w:val="-15"/>
          <w:sz w:val="24"/>
        </w:rPr>
        <w:t> </w:t>
      </w:r>
      <w:r>
        <w:rPr>
          <w:sz w:val="24"/>
        </w:rPr>
        <w:t>governance</w:t>
      </w:r>
      <w:r>
        <w:rPr>
          <w:spacing w:val="-15"/>
          <w:sz w:val="24"/>
        </w:rPr>
        <w:t> </w:t>
      </w:r>
      <w:r>
        <w:rPr>
          <w:sz w:val="24"/>
        </w:rPr>
        <w:t>and</w:t>
      </w:r>
      <w:r>
        <w:rPr>
          <w:spacing w:val="-15"/>
          <w:sz w:val="24"/>
        </w:rPr>
        <w:t> </w:t>
      </w:r>
      <w:r>
        <w:rPr>
          <w:sz w:val="24"/>
        </w:rPr>
        <w:t>the</w:t>
      </w:r>
      <w:r>
        <w:rPr>
          <w:spacing w:val="-15"/>
          <w:sz w:val="24"/>
        </w:rPr>
        <w:t> </w:t>
      </w:r>
      <w:r>
        <w:rPr>
          <w:sz w:val="24"/>
        </w:rPr>
        <w:t>timeliness</w:t>
      </w:r>
      <w:r>
        <w:rPr>
          <w:spacing w:val="-15"/>
          <w:sz w:val="24"/>
        </w:rPr>
        <w:t> </w:t>
      </w:r>
      <w:r>
        <w:rPr>
          <w:sz w:val="24"/>
        </w:rPr>
        <w:t>of</w:t>
      </w:r>
      <w:r>
        <w:rPr>
          <w:spacing w:val="-15"/>
          <w:sz w:val="24"/>
        </w:rPr>
        <w:t> </w:t>
      </w:r>
      <w:r>
        <w:rPr>
          <w:sz w:val="24"/>
        </w:rPr>
        <w:t>corporate internet reporting by UK listed companies. </w:t>
      </w:r>
      <w:r>
        <w:rPr>
          <w:i/>
          <w:sz w:val="24"/>
        </w:rPr>
        <w:t>Journal of International Accounting, Auditing and Taxation, 16</w:t>
      </w:r>
      <w:r>
        <w:rPr>
          <w:sz w:val="24"/>
        </w:rPr>
        <w:t>(2), 111–130.</w:t>
      </w:r>
    </w:p>
    <w:p>
      <w:pPr>
        <w:pStyle w:val="BodyText"/>
      </w:pPr>
    </w:p>
    <w:p>
      <w:pPr>
        <w:pStyle w:val="BodyText"/>
        <w:ind w:left="1571" w:right="1439" w:hanging="723"/>
        <w:jc w:val="both"/>
      </w:pPr>
      <w:r>
        <w:rPr/>
        <w:t>Abdelsalam, O., &amp; El-Masry, A. (2008). The impact of board independence and ownership structure on the timeliness of corporate internet reporting of Irish- listed companies. </w:t>
      </w:r>
      <w:r>
        <w:rPr>
          <w:i/>
        </w:rPr>
        <w:t>Managerial Finance, 34</w:t>
      </w:r>
      <w:r>
        <w:rPr/>
        <w:t>(12), 907-918.</w:t>
      </w:r>
    </w:p>
    <w:p>
      <w:pPr>
        <w:pStyle w:val="BodyText"/>
      </w:pPr>
    </w:p>
    <w:p>
      <w:pPr>
        <w:pStyle w:val="BodyText"/>
        <w:tabs>
          <w:tab w:pos="3241" w:val="left" w:leader="none"/>
          <w:tab w:pos="4260" w:val="left" w:leader="none"/>
          <w:tab w:pos="6146" w:val="left" w:leader="none"/>
          <w:tab w:pos="7904" w:val="left" w:leader="none"/>
          <w:tab w:pos="9655" w:val="left" w:leader="none"/>
        </w:tabs>
        <w:ind w:left="1571" w:right="1438" w:hanging="723"/>
        <w:jc w:val="both"/>
      </w:pPr>
      <w:r>
        <w:rPr/>
        <w:t>Abdallah, W. (2000). The effect of cultural and religious values on accounting systems and </w:t>
      </w:r>
      <w:r>
        <w:rPr>
          <w:spacing w:val="-2"/>
        </w:rPr>
        <w:t>practices</w:t>
      </w:r>
      <w:r>
        <w:rPr/>
        <w:tab/>
      </w:r>
      <w:r>
        <w:rPr>
          <w:spacing w:val="-6"/>
        </w:rPr>
        <w:t>of</w:t>
      </w:r>
      <w:r>
        <w:rPr/>
        <w:tab/>
      </w:r>
      <w:r>
        <w:rPr>
          <w:spacing w:val="-2"/>
        </w:rPr>
        <w:t>developing</w:t>
      </w:r>
      <w:r>
        <w:rPr/>
        <w:tab/>
      </w:r>
      <w:r>
        <w:rPr>
          <w:spacing w:val="-2"/>
        </w:rPr>
        <w:t>countries.</w:t>
      </w:r>
      <w:r>
        <w:rPr/>
        <w:tab/>
      </w:r>
      <w:r>
        <w:rPr>
          <w:spacing w:val="-2"/>
        </w:rPr>
        <w:t>Available</w:t>
      </w:r>
      <w:r>
        <w:rPr/>
        <w:tab/>
      </w:r>
      <w:r>
        <w:rPr>
          <w:spacing w:val="-4"/>
        </w:rPr>
        <w:t>on: </w:t>
      </w:r>
      <w:hyperlink r:id="rId11">
        <w:r>
          <w:rPr>
            <w:spacing w:val="-2"/>
            <w:u w:val="single"/>
          </w:rPr>
          <w:t>http://panopticon.csustan.edu/cpa99/html/abdallah.html</w:t>
        </w:r>
      </w:hyperlink>
      <w:r>
        <w:rPr>
          <w:spacing w:val="-2"/>
        </w:rPr>
        <w:t>.</w:t>
      </w:r>
    </w:p>
    <w:p>
      <w:pPr>
        <w:pStyle w:val="BodyText"/>
      </w:pPr>
    </w:p>
    <w:p>
      <w:pPr>
        <w:pStyle w:val="BodyText"/>
        <w:ind w:left="823" w:right="1413"/>
        <w:jc w:val="center"/>
      </w:pPr>
      <w:r>
        <w:rPr/>
        <w:t>Abdel-Khalik,</w:t>
      </w:r>
      <w:r>
        <w:rPr>
          <w:spacing w:val="-15"/>
        </w:rPr>
        <w:t> </w:t>
      </w:r>
      <w:r>
        <w:rPr/>
        <w:t>A.,</w:t>
      </w:r>
      <w:r>
        <w:rPr>
          <w:spacing w:val="-14"/>
        </w:rPr>
        <w:t> </w:t>
      </w:r>
      <w:r>
        <w:rPr/>
        <w:t>&amp;</w:t>
      </w:r>
      <w:r>
        <w:rPr>
          <w:spacing w:val="-13"/>
        </w:rPr>
        <w:t> </w:t>
      </w:r>
      <w:r>
        <w:rPr/>
        <w:t>Rashadi,</w:t>
      </w:r>
      <w:r>
        <w:rPr>
          <w:spacing w:val="-13"/>
        </w:rPr>
        <w:t> </w:t>
      </w:r>
      <w:r>
        <w:rPr/>
        <w:t>S.</w:t>
      </w:r>
      <w:r>
        <w:rPr>
          <w:spacing w:val="-13"/>
        </w:rPr>
        <w:t> </w:t>
      </w:r>
      <w:r>
        <w:rPr/>
        <w:t>(1998).</w:t>
      </w:r>
      <w:r>
        <w:rPr>
          <w:spacing w:val="-13"/>
        </w:rPr>
        <w:t> </w:t>
      </w:r>
      <w:r>
        <w:rPr/>
        <w:t>Research</w:t>
      </w:r>
      <w:r>
        <w:rPr>
          <w:spacing w:val="-11"/>
        </w:rPr>
        <w:t> </w:t>
      </w:r>
      <w:r>
        <w:rPr/>
        <w:t>opportunities</w:t>
      </w:r>
      <w:r>
        <w:rPr>
          <w:spacing w:val="-13"/>
        </w:rPr>
        <w:t> </w:t>
      </w:r>
      <w:r>
        <w:rPr/>
        <w:t>in</w:t>
      </w:r>
      <w:r>
        <w:rPr>
          <w:spacing w:val="-13"/>
        </w:rPr>
        <w:t> </w:t>
      </w:r>
      <w:r>
        <w:rPr/>
        <w:t>auditing:</w:t>
      </w:r>
      <w:r>
        <w:rPr>
          <w:spacing w:val="-15"/>
        </w:rPr>
        <w:t> </w:t>
      </w:r>
      <w:r>
        <w:rPr/>
        <w:t>The</w:t>
      </w:r>
      <w:r>
        <w:rPr>
          <w:spacing w:val="-15"/>
        </w:rPr>
        <w:t> </w:t>
      </w:r>
      <w:r>
        <w:rPr/>
        <w:t>second</w:t>
      </w:r>
      <w:r>
        <w:rPr>
          <w:spacing w:val="-12"/>
        </w:rPr>
        <w:t> </w:t>
      </w:r>
      <w:r>
        <w:rPr>
          <w:spacing w:val="-2"/>
        </w:rPr>
        <w:t>decade.</w:t>
      </w:r>
    </w:p>
    <w:p>
      <w:pPr>
        <w:pStyle w:val="BodyText"/>
        <w:ind w:left="1571"/>
      </w:pPr>
      <w:r>
        <w:rPr/>
        <w:t>American</w:t>
      </w:r>
      <w:r>
        <w:rPr>
          <w:spacing w:val="-4"/>
        </w:rPr>
        <w:t> </w:t>
      </w:r>
      <w:r>
        <w:rPr/>
        <w:t>Accounting</w:t>
      </w:r>
      <w:r>
        <w:rPr>
          <w:spacing w:val="-2"/>
        </w:rPr>
        <w:t> </w:t>
      </w:r>
      <w:r>
        <w:rPr/>
        <w:t>Association.</w:t>
      </w:r>
      <w:r>
        <w:rPr>
          <w:spacing w:val="-2"/>
        </w:rPr>
        <w:t> </w:t>
      </w:r>
      <w:r>
        <w:rPr/>
        <w:t>Retrieved</w:t>
      </w:r>
      <w:r>
        <w:rPr>
          <w:spacing w:val="-2"/>
        </w:rPr>
        <w:t> </w:t>
      </w:r>
      <w:r>
        <w:rPr/>
        <w:t>from </w:t>
      </w:r>
      <w:r>
        <w:rPr>
          <w:spacing w:val="-2"/>
        </w:rPr>
        <w:t>researchgate.net</w:t>
      </w:r>
    </w:p>
    <w:p>
      <w:pPr>
        <w:pStyle w:val="BodyText"/>
      </w:pPr>
    </w:p>
    <w:p>
      <w:pPr>
        <w:spacing w:before="0"/>
        <w:ind w:left="823" w:right="1418" w:firstLine="0"/>
        <w:jc w:val="center"/>
        <w:rPr>
          <w:sz w:val="24"/>
        </w:rPr>
      </w:pPr>
      <w:r>
        <w:rPr>
          <w:sz w:val="24"/>
        </w:rPr>
        <w:t>Abdullah,</w:t>
      </w:r>
      <w:r>
        <w:rPr>
          <w:spacing w:val="40"/>
          <w:sz w:val="24"/>
        </w:rPr>
        <w:t> </w:t>
      </w:r>
      <w:r>
        <w:rPr>
          <w:sz w:val="24"/>
        </w:rPr>
        <w:t>S.</w:t>
      </w:r>
      <w:r>
        <w:rPr>
          <w:spacing w:val="40"/>
          <w:sz w:val="24"/>
        </w:rPr>
        <w:t> </w:t>
      </w:r>
      <w:r>
        <w:rPr>
          <w:sz w:val="24"/>
        </w:rPr>
        <w:t>N.</w:t>
      </w:r>
      <w:r>
        <w:rPr>
          <w:spacing w:val="40"/>
          <w:sz w:val="24"/>
        </w:rPr>
        <w:t> </w:t>
      </w:r>
      <w:r>
        <w:rPr>
          <w:sz w:val="24"/>
        </w:rPr>
        <w:t>(2006).</w:t>
      </w:r>
      <w:r>
        <w:rPr>
          <w:spacing w:val="40"/>
          <w:sz w:val="24"/>
        </w:rPr>
        <w:t> </w:t>
      </w:r>
      <w:r>
        <w:rPr>
          <w:sz w:val="24"/>
        </w:rPr>
        <w:t>Board</w:t>
      </w:r>
      <w:r>
        <w:rPr>
          <w:spacing w:val="40"/>
          <w:sz w:val="24"/>
        </w:rPr>
        <w:t> </w:t>
      </w:r>
      <w:r>
        <w:rPr>
          <w:sz w:val="24"/>
        </w:rPr>
        <w:t>composition,</w:t>
      </w:r>
      <w:r>
        <w:rPr>
          <w:spacing w:val="40"/>
          <w:sz w:val="24"/>
        </w:rPr>
        <w:t> </w:t>
      </w:r>
      <w:r>
        <w:rPr>
          <w:sz w:val="24"/>
        </w:rPr>
        <w:t>audit</w:t>
      </w:r>
      <w:r>
        <w:rPr>
          <w:spacing w:val="40"/>
          <w:sz w:val="24"/>
        </w:rPr>
        <w:t> </w:t>
      </w:r>
      <w:r>
        <w:rPr>
          <w:sz w:val="24"/>
        </w:rPr>
        <w:t>committee</w:t>
      </w:r>
      <w:r>
        <w:rPr>
          <w:spacing w:val="40"/>
          <w:sz w:val="24"/>
        </w:rPr>
        <w:t> </w:t>
      </w:r>
      <w:r>
        <w:rPr>
          <w:sz w:val="24"/>
        </w:rPr>
        <w:t>and</w:t>
      </w:r>
      <w:r>
        <w:rPr>
          <w:spacing w:val="40"/>
          <w:sz w:val="24"/>
        </w:rPr>
        <w:t> </w:t>
      </w:r>
      <w:r>
        <w:rPr>
          <w:sz w:val="24"/>
        </w:rPr>
        <w:t>timeliness</w:t>
      </w:r>
      <w:r>
        <w:rPr>
          <w:spacing w:val="40"/>
          <w:sz w:val="24"/>
        </w:rPr>
        <w:t> </w:t>
      </w:r>
      <w:r>
        <w:rPr>
          <w:sz w:val="24"/>
        </w:rPr>
        <w:t>of</w:t>
      </w:r>
      <w:r>
        <w:rPr>
          <w:spacing w:val="40"/>
          <w:sz w:val="24"/>
        </w:rPr>
        <w:t> </w:t>
      </w:r>
      <w:r>
        <w:rPr>
          <w:sz w:val="24"/>
        </w:rPr>
        <w:t>corporate financial reporting in Malaysia. </w:t>
      </w:r>
      <w:r>
        <w:rPr>
          <w:i/>
          <w:sz w:val="24"/>
        </w:rPr>
        <w:t>Corporate Ownership and Control, 4</w:t>
      </w:r>
      <w:r>
        <w:rPr>
          <w:sz w:val="24"/>
        </w:rPr>
        <w:t>(2), 33-45.</w:t>
      </w:r>
    </w:p>
    <w:p>
      <w:pPr>
        <w:pStyle w:val="BodyText"/>
      </w:pPr>
    </w:p>
    <w:p>
      <w:pPr>
        <w:spacing w:before="0"/>
        <w:ind w:left="1571" w:right="1436" w:hanging="723"/>
        <w:jc w:val="both"/>
        <w:rPr>
          <w:sz w:val="22"/>
        </w:rPr>
      </w:pPr>
      <w:r>
        <w:rPr>
          <w:sz w:val="22"/>
        </w:rPr>
        <w:t>Adam,</w:t>
      </w:r>
      <w:r>
        <w:rPr>
          <w:spacing w:val="-12"/>
          <w:sz w:val="22"/>
        </w:rPr>
        <w:t> </w:t>
      </w:r>
      <w:r>
        <w:rPr>
          <w:sz w:val="22"/>
        </w:rPr>
        <w:t>A.</w:t>
      </w:r>
      <w:r>
        <w:rPr>
          <w:spacing w:val="-12"/>
          <w:sz w:val="22"/>
        </w:rPr>
        <w:t> </w:t>
      </w:r>
      <w:r>
        <w:rPr>
          <w:sz w:val="22"/>
        </w:rPr>
        <w:t>A.</w:t>
      </w:r>
      <w:r>
        <w:rPr>
          <w:spacing w:val="-12"/>
          <w:sz w:val="22"/>
        </w:rPr>
        <w:t> </w:t>
      </w:r>
      <w:r>
        <w:rPr>
          <w:sz w:val="22"/>
        </w:rPr>
        <w:t>(2007).</w:t>
      </w:r>
      <w:r>
        <w:rPr>
          <w:spacing w:val="-12"/>
          <w:sz w:val="22"/>
        </w:rPr>
        <w:t> </w:t>
      </w:r>
      <w:r>
        <w:rPr>
          <w:sz w:val="22"/>
        </w:rPr>
        <w:t>Africa</w:t>
      </w:r>
      <w:r>
        <w:rPr>
          <w:spacing w:val="-14"/>
          <w:sz w:val="22"/>
        </w:rPr>
        <w:t> </w:t>
      </w:r>
      <w:r>
        <w:rPr>
          <w:sz w:val="22"/>
        </w:rPr>
        <w:t>and</w:t>
      </w:r>
      <w:r>
        <w:rPr>
          <w:spacing w:val="-12"/>
          <w:sz w:val="22"/>
        </w:rPr>
        <w:t> </w:t>
      </w:r>
      <w:r>
        <w:rPr>
          <w:sz w:val="22"/>
        </w:rPr>
        <w:t>standard</w:t>
      </w:r>
      <w:r>
        <w:rPr>
          <w:spacing w:val="-12"/>
          <w:sz w:val="22"/>
        </w:rPr>
        <w:t> </w:t>
      </w:r>
      <w:r>
        <w:rPr>
          <w:sz w:val="22"/>
        </w:rPr>
        <w:t>setting</w:t>
      </w:r>
      <w:r>
        <w:rPr>
          <w:spacing w:val="-14"/>
          <w:sz w:val="22"/>
        </w:rPr>
        <w:t> </w:t>
      </w:r>
      <w:r>
        <w:rPr>
          <w:sz w:val="22"/>
        </w:rPr>
        <w:t>initiative.</w:t>
      </w:r>
      <w:r>
        <w:rPr>
          <w:spacing w:val="-8"/>
          <w:sz w:val="22"/>
        </w:rPr>
        <w:t> </w:t>
      </w:r>
      <w:r>
        <w:rPr>
          <w:i/>
          <w:sz w:val="22"/>
        </w:rPr>
        <w:t>The</w:t>
      </w:r>
      <w:r>
        <w:rPr>
          <w:i/>
          <w:spacing w:val="-12"/>
          <w:sz w:val="22"/>
        </w:rPr>
        <w:t> </w:t>
      </w:r>
      <w:r>
        <w:rPr>
          <w:i/>
          <w:sz w:val="22"/>
        </w:rPr>
        <w:t>Nigeria</w:t>
      </w:r>
      <w:r>
        <w:rPr>
          <w:i/>
          <w:spacing w:val="-12"/>
          <w:sz w:val="22"/>
        </w:rPr>
        <w:t> </w:t>
      </w:r>
      <w:r>
        <w:rPr>
          <w:i/>
          <w:sz w:val="22"/>
        </w:rPr>
        <w:t>Accountant:</w:t>
      </w:r>
      <w:r>
        <w:rPr>
          <w:i/>
          <w:spacing w:val="-11"/>
          <w:sz w:val="22"/>
        </w:rPr>
        <w:t> </w:t>
      </w:r>
      <w:r>
        <w:rPr>
          <w:i/>
          <w:sz w:val="22"/>
        </w:rPr>
        <w:t>The</w:t>
      </w:r>
      <w:r>
        <w:rPr>
          <w:i/>
          <w:spacing w:val="-12"/>
          <w:sz w:val="22"/>
        </w:rPr>
        <w:t> </w:t>
      </w:r>
      <w:r>
        <w:rPr>
          <w:i/>
          <w:sz w:val="22"/>
        </w:rPr>
        <w:t>Official</w:t>
      </w:r>
      <w:r>
        <w:rPr>
          <w:i/>
          <w:spacing w:val="-11"/>
          <w:sz w:val="22"/>
        </w:rPr>
        <w:t> </w:t>
      </w:r>
      <w:r>
        <w:rPr>
          <w:i/>
          <w:sz w:val="22"/>
        </w:rPr>
        <w:t>Journal of the Institute of Chartered Accountants of Nigeria, 43</w:t>
      </w:r>
      <w:r>
        <w:rPr>
          <w:sz w:val="22"/>
        </w:rPr>
        <w:t>(4), 4-5.</w:t>
      </w:r>
    </w:p>
    <w:p>
      <w:pPr>
        <w:pStyle w:val="BodyText"/>
        <w:spacing w:before="21"/>
        <w:rPr>
          <w:sz w:val="22"/>
        </w:rPr>
      </w:pPr>
    </w:p>
    <w:p>
      <w:pPr>
        <w:spacing w:before="1"/>
        <w:ind w:left="1571" w:right="1434" w:hanging="723"/>
        <w:jc w:val="both"/>
        <w:rPr>
          <w:sz w:val="24"/>
        </w:rPr>
      </w:pPr>
      <w:r>
        <w:rPr>
          <w:sz w:val="24"/>
        </w:rPr>
        <w:t>Afify, H. A. E. (2009). Determinants of audit report lag: Does implementing corporate governance have any impact? Empirical evidence from Egypt. </w:t>
      </w:r>
      <w:r>
        <w:rPr>
          <w:i/>
          <w:sz w:val="24"/>
        </w:rPr>
        <w:t>Journal of Applied Accounting Research, 10</w:t>
      </w:r>
      <w:r>
        <w:rPr>
          <w:sz w:val="24"/>
        </w:rPr>
        <w:t>(1) 56–86.</w:t>
      </w:r>
    </w:p>
    <w:p>
      <w:pPr>
        <w:pStyle w:val="BodyText"/>
      </w:pPr>
    </w:p>
    <w:p>
      <w:pPr>
        <w:spacing w:before="0"/>
        <w:ind w:left="1571" w:right="1439" w:hanging="723"/>
        <w:jc w:val="both"/>
        <w:rPr>
          <w:sz w:val="24"/>
        </w:rPr>
      </w:pPr>
      <w:r>
        <w:rPr>
          <w:sz w:val="24"/>
        </w:rPr>
        <w:t>Agrawal, A., &amp; Chadha, S. (2005). Corporate governance and accounting scandals. </w:t>
      </w:r>
      <w:r>
        <w:rPr>
          <w:i/>
          <w:sz w:val="24"/>
        </w:rPr>
        <w:t>Journal of Law and Economics</w:t>
      </w:r>
      <w:r>
        <w:rPr>
          <w:sz w:val="24"/>
        </w:rPr>
        <w:t>, </w:t>
      </w:r>
      <w:r>
        <w:rPr>
          <w:i/>
          <w:sz w:val="24"/>
        </w:rPr>
        <w:t>48</w:t>
      </w:r>
      <w:r>
        <w:rPr>
          <w:sz w:val="24"/>
        </w:rPr>
        <w:t>(2), 371-406.</w:t>
      </w:r>
    </w:p>
    <w:p>
      <w:pPr>
        <w:pStyle w:val="BodyText"/>
      </w:pPr>
    </w:p>
    <w:p>
      <w:pPr>
        <w:pStyle w:val="BodyText"/>
        <w:ind w:left="823" w:right="1417"/>
        <w:jc w:val="center"/>
      </w:pPr>
      <w:r>
        <w:rPr/>
        <w:t>Aifuwa,</w:t>
      </w:r>
      <w:r>
        <w:rPr>
          <w:spacing w:val="12"/>
        </w:rPr>
        <w:t> </w:t>
      </w:r>
      <w:r>
        <w:rPr/>
        <w:t>H.</w:t>
      </w:r>
      <w:r>
        <w:rPr>
          <w:spacing w:val="13"/>
        </w:rPr>
        <w:t> </w:t>
      </w:r>
      <w:r>
        <w:rPr/>
        <w:t>O.,</w:t>
      </w:r>
      <w:r>
        <w:rPr>
          <w:spacing w:val="15"/>
        </w:rPr>
        <w:t> </w:t>
      </w:r>
      <w:r>
        <w:rPr/>
        <w:t>&amp;</w:t>
      </w:r>
      <w:r>
        <w:rPr>
          <w:spacing w:val="13"/>
        </w:rPr>
        <w:t> </w:t>
      </w:r>
      <w:r>
        <w:rPr/>
        <w:t>Embele,</w:t>
      </w:r>
      <w:r>
        <w:rPr>
          <w:spacing w:val="13"/>
        </w:rPr>
        <w:t> </w:t>
      </w:r>
      <w:r>
        <w:rPr/>
        <w:t>K.</w:t>
      </w:r>
      <w:r>
        <w:rPr>
          <w:spacing w:val="15"/>
        </w:rPr>
        <w:t> </w:t>
      </w:r>
      <w:r>
        <w:rPr/>
        <w:t>(2019).</w:t>
      </w:r>
      <w:r>
        <w:rPr>
          <w:spacing w:val="12"/>
        </w:rPr>
        <w:t> </w:t>
      </w:r>
      <w:r>
        <w:rPr/>
        <w:t>Board</w:t>
      </w:r>
      <w:r>
        <w:rPr>
          <w:spacing w:val="12"/>
        </w:rPr>
        <w:t> </w:t>
      </w:r>
      <w:r>
        <w:rPr/>
        <w:t>Characteristics</w:t>
      </w:r>
      <w:r>
        <w:rPr>
          <w:spacing w:val="15"/>
        </w:rPr>
        <w:t> </w:t>
      </w:r>
      <w:r>
        <w:rPr/>
        <w:t>and</w:t>
      </w:r>
      <w:r>
        <w:rPr>
          <w:spacing w:val="15"/>
        </w:rPr>
        <w:t> </w:t>
      </w:r>
      <w:r>
        <w:rPr/>
        <w:t>Financial</w:t>
      </w:r>
      <w:r>
        <w:rPr>
          <w:spacing w:val="16"/>
        </w:rPr>
        <w:t> </w:t>
      </w:r>
      <w:r>
        <w:rPr/>
        <w:t>Reporting</w:t>
      </w:r>
      <w:r>
        <w:rPr>
          <w:spacing w:val="14"/>
        </w:rPr>
        <w:t> </w:t>
      </w:r>
      <w:r>
        <w:rPr>
          <w:spacing w:val="-2"/>
        </w:rPr>
        <w:t>Quality.</w:t>
      </w:r>
    </w:p>
    <w:p>
      <w:pPr>
        <w:spacing w:before="0"/>
        <w:ind w:left="1571" w:right="0" w:firstLine="0"/>
        <w:jc w:val="left"/>
        <w:rPr>
          <w:sz w:val="24"/>
        </w:rPr>
      </w:pPr>
      <w:r>
        <w:rPr>
          <w:i/>
          <w:sz w:val="24"/>
        </w:rPr>
        <w:t>Journal</w:t>
      </w:r>
      <w:r>
        <w:rPr>
          <w:i/>
          <w:spacing w:val="-1"/>
          <w:sz w:val="24"/>
        </w:rPr>
        <w:t> </w:t>
      </w:r>
      <w:r>
        <w:rPr>
          <w:i/>
          <w:sz w:val="24"/>
        </w:rPr>
        <w:t>of</w:t>
      </w:r>
      <w:r>
        <w:rPr>
          <w:i/>
          <w:spacing w:val="-1"/>
          <w:sz w:val="24"/>
        </w:rPr>
        <w:t> </w:t>
      </w:r>
      <w:r>
        <w:rPr>
          <w:i/>
          <w:sz w:val="24"/>
        </w:rPr>
        <w:t>Accounting</w:t>
      </w:r>
      <w:r>
        <w:rPr>
          <w:i/>
          <w:spacing w:val="-1"/>
          <w:sz w:val="24"/>
        </w:rPr>
        <w:t> </w:t>
      </w:r>
      <w:r>
        <w:rPr>
          <w:i/>
          <w:sz w:val="24"/>
        </w:rPr>
        <w:t>and Financial</w:t>
      </w:r>
      <w:r>
        <w:rPr>
          <w:i/>
          <w:spacing w:val="-1"/>
          <w:sz w:val="24"/>
        </w:rPr>
        <w:t> </w:t>
      </w:r>
      <w:r>
        <w:rPr>
          <w:i/>
          <w:sz w:val="24"/>
        </w:rPr>
        <w:t>Management,</w:t>
      </w:r>
      <w:r>
        <w:rPr>
          <w:i/>
          <w:spacing w:val="-1"/>
          <w:sz w:val="24"/>
        </w:rPr>
        <w:t> </w:t>
      </w:r>
      <w:r>
        <w:rPr>
          <w:i/>
          <w:sz w:val="24"/>
        </w:rPr>
        <w:t>5</w:t>
      </w:r>
      <w:r>
        <w:rPr>
          <w:i/>
          <w:spacing w:val="2"/>
          <w:sz w:val="24"/>
        </w:rPr>
        <w:t> </w:t>
      </w:r>
      <w:r>
        <w:rPr>
          <w:sz w:val="24"/>
        </w:rPr>
        <w:t>(1),</w:t>
      </w:r>
      <w:r>
        <w:rPr>
          <w:spacing w:val="-1"/>
          <w:sz w:val="24"/>
        </w:rPr>
        <w:t> </w:t>
      </w:r>
      <w:r>
        <w:rPr>
          <w:sz w:val="24"/>
        </w:rPr>
        <w:t>30</w:t>
      </w:r>
      <w:r>
        <w:rPr>
          <w:spacing w:val="-1"/>
          <w:sz w:val="24"/>
        </w:rPr>
        <w:t> </w:t>
      </w:r>
      <w:r>
        <w:rPr>
          <w:sz w:val="24"/>
        </w:rPr>
        <w:t>– </w:t>
      </w:r>
      <w:r>
        <w:rPr>
          <w:spacing w:val="-5"/>
          <w:sz w:val="24"/>
        </w:rPr>
        <w:t>49.</w:t>
      </w:r>
    </w:p>
    <w:p>
      <w:pPr>
        <w:pStyle w:val="BodyText"/>
      </w:pPr>
    </w:p>
    <w:p>
      <w:pPr>
        <w:spacing w:before="0"/>
        <w:ind w:left="1571" w:right="1445" w:hanging="723"/>
        <w:jc w:val="both"/>
        <w:rPr>
          <w:sz w:val="24"/>
        </w:rPr>
      </w:pPr>
      <w:r>
        <w:rPr>
          <w:sz w:val="24"/>
        </w:rPr>
        <w:t>Akpan, E. O., &amp; Amran, N. A. (2014). Board characteristics and company performance: Evidence from Nigeria. </w:t>
      </w:r>
      <w:r>
        <w:rPr>
          <w:i/>
          <w:sz w:val="24"/>
        </w:rPr>
        <w:t>Journal of Finance and Accounting, 2</w:t>
      </w:r>
      <w:r>
        <w:rPr>
          <w:sz w:val="24"/>
        </w:rPr>
        <w:t>(1), 81–89.</w:t>
      </w:r>
    </w:p>
    <w:p>
      <w:pPr>
        <w:pStyle w:val="BodyText"/>
      </w:pPr>
    </w:p>
    <w:p>
      <w:pPr>
        <w:pStyle w:val="BodyText"/>
        <w:spacing w:before="1"/>
        <w:ind w:left="1571" w:right="1435" w:hanging="723"/>
        <w:jc w:val="both"/>
      </w:pPr>
      <w:r>
        <w:rPr/>
        <w:t>Armstrong, C. S., Guay,W. R., &amp; Weber, J. P. (2010). The role of information and financial reporting in corporate governance and debt contracting. </w:t>
      </w:r>
      <w:r>
        <w:rPr>
          <w:i/>
        </w:rPr>
        <w:t>Journal of Accounting and Economics, 50</w:t>
      </w:r>
      <w:r>
        <w:rPr/>
        <w:t>(2), 179–234.</w:t>
      </w:r>
    </w:p>
    <w:p>
      <w:pPr>
        <w:spacing w:after="0"/>
        <w:jc w:val="both"/>
        <w:sectPr>
          <w:pgSz w:w="11910" w:h="16840"/>
          <w:pgMar w:header="0" w:footer="971" w:top="1360" w:bottom="1160" w:left="500" w:right="0"/>
        </w:sectPr>
      </w:pPr>
    </w:p>
    <w:p>
      <w:pPr>
        <w:pStyle w:val="BodyText"/>
        <w:spacing w:before="77"/>
        <w:ind w:left="1571" w:right="1442" w:hanging="723"/>
        <w:jc w:val="both"/>
      </w:pPr>
      <w:r>
        <w:rPr/>
        <w:t>Ahmed, S.A., Neel, M., &amp; Wang, D. (2010): Does mandatory adoption of IFRS improve accounting quality? Preliminary evidence. Working Paper, Texas A&amp;M University.</w:t>
      </w:r>
    </w:p>
    <w:p>
      <w:pPr>
        <w:spacing w:before="251"/>
        <w:ind w:left="1571" w:right="1433" w:hanging="723"/>
        <w:jc w:val="both"/>
        <w:rPr>
          <w:sz w:val="22"/>
        </w:rPr>
      </w:pPr>
      <w:r>
        <w:rPr>
          <w:sz w:val="22"/>
        </w:rPr>
        <w:t>Ahmed,</w:t>
      </w:r>
      <w:r>
        <w:rPr>
          <w:spacing w:val="-9"/>
          <w:sz w:val="22"/>
        </w:rPr>
        <w:t> </w:t>
      </w:r>
      <w:r>
        <w:rPr>
          <w:sz w:val="22"/>
        </w:rPr>
        <w:t>A.</w:t>
      </w:r>
      <w:r>
        <w:rPr>
          <w:spacing w:val="-12"/>
          <w:sz w:val="22"/>
        </w:rPr>
        <w:t> </w:t>
      </w:r>
      <w:r>
        <w:rPr>
          <w:sz w:val="22"/>
        </w:rPr>
        <w:t>(2011).</w:t>
      </w:r>
      <w:r>
        <w:rPr>
          <w:spacing w:val="-10"/>
          <w:sz w:val="22"/>
        </w:rPr>
        <w:t> </w:t>
      </w:r>
      <w:r>
        <w:rPr>
          <w:sz w:val="22"/>
        </w:rPr>
        <w:t>Practical</w:t>
      </w:r>
      <w:r>
        <w:rPr>
          <w:spacing w:val="-9"/>
          <w:sz w:val="22"/>
        </w:rPr>
        <w:t> </w:t>
      </w:r>
      <w:r>
        <w:rPr>
          <w:sz w:val="22"/>
        </w:rPr>
        <w:t>challenges</w:t>
      </w:r>
      <w:r>
        <w:rPr>
          <w:spacing w:val="-9"/>
          <w:sz w:val="22"/>
        </w:rPr>
        <w:t> </w:t>
      </w:r>
      <w:r>
        <w:rPr>
          <w:sz w:val="22"/>
        </w:rPr>
        <w:t>of</w:t>
      </w:r>
      <w:r>
        <w:rPr>
          <w:spacing w:val="-9"/>
          <w:sz w:val="22"/>
        </w:rPr>
        <w:t> </w:t>
      </w:r>
      <w:r>
        <w:rPr>
          <w:sz w:val="22"/>
        </w:rPr>
        <w:t>HRS</w:t>
      </w:r>
      <w:r>
        <w:rPr>
          <w:spacing w:val="-10"/>
          <w:sz w:val="22"/>
        </w:rPr>
        <w:t> </w:t>
      </w:r>
      <w:r>
        <w:rPr>
          <w:sz w:val="22"/>
        </w:rPr>
        <w:t>implementation.</w:t>
      </w:r>
      <w:r>
        <w:rPr>
          <w:spacing w:val="-12"/>
          <w:sz w:val="22"/>
        </w:rPr>
        <w:t> </w:t>
      </w:r>
      <w:r>
        <w:rPr>
          <w:sz w:val="22"/>
        </w:rPr>
        <w:t>What</w:t>
      </w:r>
      <w:r>
        <w:rPr>
          <w:spacing w:val="-8"/>
          <w:sz w:val="22"/>
        </w:rPr>
        <w:t> </w:t>
      </w:r>
      <w:r>
        <w:rPr>
          <w:sz w:val="22"/>
        </w:rPr>
        <w:t>Bank</w:t>
      </w:r>
      <w:r>
        <w:rPr>
          <w:spacing w:val="-9"/>
          <w:sz w:val="22"/>
        </w:rPr>
        <w:t> </w:t>
      </w:r>
      <w:r>
        <w:rPr>
          <w:sz w:val="22"/>
        </w:rPr>
        <w:t>Regulators</w:t>
      </w:r>
      <w:r>
        <w:rPr>
          <w:spacing w:val="-12"/>
          <w:sz w:val="22"/>
        </w:rPr>
        <w:t> </w:t>
      </w:r>
      <w:r>
        <w:rPr>
          <w:sz w:val="22"/>
        </w:rPr>
        <w:t>Need</w:t>
      </w:r>
      <w:r>
        <w:rPr>
          <w:spacing w:val="-10"/>
          <w:sz w:val="22"/>
        </w:rPr>
        <w:t> </w:t>
      </w:r>
      <w:r>
        <w:rPr>
          <w:sz w:val="22"/>
        </w:rPr>
        <w:t>To</w:t>
      </w:r>
      <w:r>
        <w:rPr>
          <w:spacing w:val="-10"/>
          <w:sz w:val="22"/>
        </w:rPr>
        <w:t> </w:t>
      </w:r>
      <w:r>
        <w:rPr>
          <w:sz w:val="22"/>
        </w:rPr>
        <w:t>Know, IFRS International Conference Nigeria. Retrieved from research gate.</w:t>
      </w:r>
    </w:p>
    <w:p>
      <w:pPr>
        <w:pStyle w:val="BodyText"/>
        <w:spacing w:before="24"/>
        <w:rPr>
          <w:sz w:val="22"/>
        </w:rPr>
      </w:pPr>
    </w:p>
    <w:p>
      <w:pPr>
        <w:spacing w:before="0"/>
        <w:ind w:left="1571" w:right="1437" w:hanging="723"/>
        <w:jc w:val="both"/>
        <w:rPr>
          <w:sz w:val="24"/>
        </w:rPr>
      </w:pPr>
      <w:r>
        <w:rPr>
          <w:sz w:val="24"/>
        </w:rPr>
        <w:t>Ahmed,</w:t>
      </w:r>
      <w:r>
        <w:rPr>
          <w:spacing w:val="-11"/>
          <w:sz w:val="24"/>
        </w:rPr>
        <w:t> </w:t>
      </w:r>
      <w:r>
        <w:rPr>
          <w:sz w:val="24"/>
        </w:rPr>
        <w:t>K.,</w:t>
      </w:r>
      <w:r>
        <w:rPr>
          <w:spacing w:val="-11"/>
          <w:sz w:val="24"/>
        </w:rPr>
        <w:t> </w:t>
      </w:r>
      <w:r>
        <w:rPr>
          <w:sz w:val="24"/>
        </w:rPr>
        <w:t>Hossain,</w:t>
      </w:r>
      <w:r>
        <w:rPr>
          <w:spacing w:val="-10"/>
          <w:sz w:val="24"/>
        </w:rPr>
        <w:t> </w:t>
      </w:r>
      <w:r>
        <w:rPr>
          <w:sz w:val="24"/>
        </w:rPr>
        <w:t>M.,</w:t>
      </w:r>
      <w:r>
        <w:rPr>
          <w:spacing w:val="-13"/>
          <w:sz w:val="24"/>
        </w:rPr>
        <w:t> </w:t>
      </w:r>
      <w:r>
        <w:rPr>
          <w:sz w:val="24"/>
        </w:rPr>
        <w:t>&amp;</w:t>
      </w:r>
      <w:r>
        <w:rPr>
          <w:spacing w:val="-10"/>
          <w:sz w:val="24"/>
        </w:rPr>
        <w:t> </w:t>
      </w:r>
      <w:r>
        <w:rPr>
          <w:sz w:val="24"/>
        </w:rPr>
        <w:t>Adams,</w:t>
      </w:r>
      <w:r>
        <w:rPr>
          <w:spacing w:val="-10"/>
          <w:sz w:val="24"/>
        </w:rPr>
        <w:t> </w:t>
      </w:r>
      <w:r>
        <w:rPr>
          <w:sz w:val="24"/>
        </w:rPr>
        <w:t>M.</w:t>
      </w:r>
      <w:r>
        <w:rPr>
          <w:spacing w:val="-10"/>
          <w:sz w:val="24"/>
        </w:rPr>
        <w:t> </w:t>
      </w:r>
      <w:r>
        <w:rPr>
          <w:sz w:val="24"/>
        </w:rPr>
        <w:t>(2006).</w:t>
      </w:r>
      <w:r>
        <w:rPr>
          <w:spacing w:val="-11"/>
          <w:sz w:val="24"/>
        </w:rPr>
        <w:t> </w:t>
      </w:r>
      <w:r>
        <w:rPr>
          <w:sz w:val="24"/>
        </w:rPr>
        <w:t>The</w:t>
      </w:r>
      <w:r>
        <w:rPr>
          <w:spacing w:val="-12"/>
          <w:sz w:val="24"/>
        </w:rPr>
        <w:t> </w:t>
      </w:r>
      <w:r>
        <w:rPr>
          <w:sz w:val="24"/>
        </w:rPr>
        <w:t>effects</w:t>
      </w:r>
      <w:r>
        <w:rPr>
          <w:spacing w:val="-10"/>
          <w:sz w:val="24"/>
        </w:rPr>
        <w:t> </w:t>
      </w:r>
      <w:r>
        <w:rPr>
          <w:sz w:val="24"/>
        </w:rPr>
        <w:t>of</w:t>
      </w:r>
      <w:r>
        <w:rPr>
          <w:spacing w:val="-11"/>
          <w:sz w:val="24"/>
        </w:rPr>
        <w:t> </w:t>
      </w:r>
      <w:r>
        <w:rPr>
          <w:sz w:val="24"/>
        </w:rPr>
        <w:t>board</w:t>
      </w:r>
      <w:r>
        <w:rPr>
          <w:spacing w:val="-11"/>
          <w:sz w:val="24"/>
        </w:rPr>
        <w:t> </w:t>
      </w:r>
      <w:r>
        <w:rPr>
          <w:sz w:val="24"/>
        </w:rPr>
        <w:t>composition</w:t>
      </w:r>
      <w:r>
        <w:rPr>
          <w:spacing w:val="-10"/>
          <w:sz w:val="24"/>
        </w:rPr>
        <w:t> </w:t>
      </w:r>
      <w:r>
        <w:rPr>
          <w:sz w:val="24"/>
        </w:rPr>
        <w:t>and</w:t>
      </w:r>
      <w:r>
        <w:rPr>
          <w:spacing w:val="-11"/>
          <w:sz w:val="24"/>
        </w:rPr>
        <w:t> </w:t>
      </w:r>
      <w:r>
        <w:rPr>
          <w:sz w:val="24"/>
        </w:rPr>
        <w:t>board</w:t>
      </w:r>
      <w:r>
        <w:rPr>
          <w:spacing w:val="-11"/>
          <w:sz w:val="24"/>
        </w:rPr>
        <w:t> </w:t>
      </w:r>
      <w:r>
        <w:rPr>
          <w:sz w:val="24"/>
        </w:rPr>
        <w:t>size on the informativeness of annual accounting earnings. </w:t>
      </w:r>
      <w:r>
        <w:rPr>
          <w:i/>
          <w:sz w:val="24"/>
        </w:rPr>
        <w:t>Corporate Governance: An International Review, 14</w:t>
      </w:r>
      <w:r>
        <w:rPr>
          <w:sz w:val="24"/>
        </w:rPr>
        <w:t>(5), 418-431</w:t>
      </w:r>
    </w:p>
    <w:p>
      <w:pPr>
        <w:pStyle w:val="BodyText"/>
      </w:pPr>
    </w:p>
    <w:p>
      <w:pPr>
        <w:spacing w:before="0"/>
        <w:ind w:left="1571" w:right="1434" w:hanging="723"/>
        <w:jc w:val="both"/>
        <w:rPr>
          <w:sz w:val="23"/>
        </w:rPr>
      </w:pPr>
      <w:r>
        <w:rPr/>
        <w:drawing>
          <wp:anchor distT="0" distB="0" distL="0" distR="0" allowOverlap="1" layoutInCell="1" locked="0" behindDoc="1" simplePos="0" relativeHeight="477769728">
            <wp:simplePos x="0" y="0"/>
            <wp:positionH relativeFrom="page">
              <wp:posOffset>1095451</wp:posOffset>
            </wp:positionH>
            <wp:positionV relativeFrom="paragraph">
              <wp:posOffset>-71243</wp:posOffset>
            </wp:positionV>
            <wp:extent cx="5106847" cy="523811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5" cstate="print"/>
                    <a:stretch>
                      <a:fillRect/>
                    </a:stretch>
                  </pic:blipFill>
                  <pic:spPr>
                    <a:xfrm>
                      <a:off x="0" y="0"/>
                      <a:ext cx="5106847" cy="5238115"/>
                    </a:xfrm>
                    <a:prstGeom prst="rect">
                      <a:avLst/>
                    </a:prstGeom>
                  </pic:spPr>
                </pic:pic>
              </a:graphicData>
            </a:graphic>
          </wp:anchor>
        </w:drawing>
      </w:r>
      <w:r>
        <w:rPr>
          <w:sz w:val="23"/>
        </w:rPr>
        <w:t>Ames, D. (2013). IFRS adoption and accounting quality: The case of South Africa. </w:t>
      </w:r>
      <w:r>
        <w:rPr>
          <w:i/>
          <w:sz w:val="23"/>
        </w:rPr>
        <w:t>Journal of Applied Economics and Business Research, 3</w:t>
      </w:r>
      <w:r>
        <w:rPr>
          <w:sz w:val="23"/>
        </w:rPr>
        <w:t>(3), 154- 165.</w:t>
      </w:r>
    </w:p>
    <w:p>
      <w:pPr>
        <w:pStyle w:val="BodyText"/>
        <w:spacing w:before="2"/>
        <w:rPr>
          <w:sz w:val="23"/>
        </w:rPr>
      </w:pPr>
    </w:p>
    <w:p>
      <w:pPr>
        <w:spacing w:before="0"/>
        <w:ind w:left="1571" w:right="1439" w:hanging="723"/>
        <w:jc w:val="both"/>
        <w:rPr>
          <w:sz w:val="24"/>
        </w:rPr>
      </w:pPr>
      <w:r>
        <w:rPr>
          <w:sz w:val="24"/>
        </w:rPr>
        <w:t>Anderson, R. C., Mansi, S. A., &amp;Reeb, D. M. (2004). Board characteristics, accounting report Integrity and the cost of debt</w:t>
      </w:r>
      <w:r>
        <w:rPr>
          <w:i/>
          <w:sz w:val="24"/>
        </w:rPr>
        <w:t>. Journal of Accounting and Economics</w:t>
      </w:r>
      <w:r>
        <w:rPr>
          <w:sz w:val="24"/>
        </w:rPr>
        <w:t>, </w:t>
      </w:r>
      <w:r>
        <w:rPr>
          <w:i/>
          <w:sz w:val="24"/>
        </w:rPr>
        <w:t>37</w:t>
      </w:r>
      <w:r>
        <w:rPr>
          <w:sz w:val="24"/>
        </w:rPr>
        <w:t>(5), 315- 342.</w:t>
      </w:r>
    </w:p>
    <w:p>
      <w:pPr>
        <w:pStyle w:val="BodyText"/>
      </w:pPr>
    </w:p>
    <w:p>
      <w:pPr>
        <w:pStyle w:val="BodyText"/>
      </w:pPr>
    </w:p>
    <w:p>
      <w:pPr>
        <w:pStyle w:val="BodyText"/>
        <w:ind w:left="1571" w:right="1436" w:hanging="723"/>
        <w:jc w:val="both"/>
      </w:pPr>
      <w:r>
        <w:rPr/>
        <w:t>Alzoubi, E.S.S. (2012). Board characteristics and financial reporting quality among Jordanian listed companies: Proposing conceptual framework. </w:t>
      </w:r>
      <w:r>
        <w:rPr>
          <w:i/>
        </w:rPr>
        <w:t>Asian Journal of Finance &amp; Accounting, 4</w:t>
      </w:r>
      <w:r>
        <w:rPr/>
        <w:t>(1946-052X), 126-151</w:t>
      </w:r>
    </w:p>
    <w:p>
      <w:pPr>
        <w:pStyle w:val="BodyText"/>
      </w:pPr>
    </w:p>
    <w:p>
      <w:pPr>
        <w:spacing w:before="0"/>
        <w:ind w:left="1571" w:right="1438" w:hanging="723"/>
        <w:jc w:val="both"/>
        <w:rPr>
          <w:sz w:val="24"/>
        </w:rPr>
      </w:pPr>
      <w:r>
        <w:rPr>
          <w:sz w:val="24"/>
        </w:rPr>
        <w:t>Anderson, R.C., Mansi, S.A., &amp; Reeb, D.M. (2004). Board characteristics, accounting report integrity, and cost of debt. </w:t>
      </w:r>
      <w:r>
        <w:rPr>
          <w:i/>
          <w:sz w:val="24"/>
        </w:rPr>
        <w:t>Journal of Accounting and Economics, 37(</w:t>
      </w:r>
      <w:r>
        <w:rPr>
          <w:sz w:val="24"/>
        </w:rPr>
        <w:t>3), 315–342.</w:t>
      </w:r>
    </w:p>
    <w:p>
      <w:pPr>
        <w:pStyle w:val="BodyText"/>
      </w:pPr>
    </w:p>
    <w:p>
      <w:pPr>
        <w:spacing w:before="1"/>
        <w:ind w:left="1571" w:right="1438" w:hanging="723"/>
        <w:jc w:val="both"/>
        <w:rPr>
          <w:sz w:val="24"/>
        </w:rPr>
      </w:pPr>
      <w:r>
        <w:rPr>
          <w:sz w:val="24"/>
        </w:rPr>
        <w:t>Aubert, F., &amp; Grudnitski, G. (2011). The impact and importance of mandatory adoption of International Financial Reporting Standards in Europe. </w:t>
      </w:r>
      <w:r>
        <w:rPr>
          <w:i/>
          <w:sz w:val="24"/>
        </w:rPr>
        <w:t>Journal of International Financial Management and Accounting, 22 </w:t>
      </w:r>
      <w:r>
        <w:rPr>
          <w:sz w:val="24"/>
        </w:rPr>
        <w:t>(1), 1–26</w:t>
      </w:r>
    </w:p>
    <w:p>
      <w:pPr>
        <w:pStyle w:val="BodyText"/>
      </w:pPr>
    </w:p>
    <w:p>
      <w:pPr>
        <w:spacing w:before="0"/>
        <w:ind w:left="1571" w:right="1439" w:hanging="723"/>
        <w:jc w:val="both"/>
        <w:rPr>
          <w:sz w:val="24"/>
        </w:rPr>
      </w:pPr>
      <w:r>
        <w:rPr>
          <w:sz w:val="24"/>
        </w:rPr>
        <w:t>Ball,</w:t>
      </w:r>
      <w:r>
        <w:rPr>
          <w:spacing w:val="-3"/>
          <w:sz w:val="24"/>
        </w:rPr>
        <w:t> </w:t>
      </w:r>
      <w:r>
        <w:rPr>
          <w:sz w:val="24"/>
        </w:rPr>
        <w:t>R.,</w:t>
      </w:r>
      <w:r>
        <w:rPr>
          <w:spacing w:val="-3"/>
          <w:sz w:val="24"/>
        </w:rPr>
        <w:t> </w:t>
      </w:r>
      <w:r>
        <w:rPr>
          <w:sz w:val="24"/>
        </w:rPr>
        <w:t>&amp;</w:t>
      </w:r>
      <w:r>
        <w:rPr>
          <w:spacing w:val="-3"/>
          <w:sz w:val="24"/>
        </w:rPr>
        <w:t> </w:t>
      </w:r>
      <w:r>
        <w:rPr>
          <w:sz w:val="24"/>
        </w:rPr>
        <w:t>Brown,</w:t>
      </w:r>
      <w:r>
        <w:rPr>
          <w:spacing w:val="-3"/>
          <w:sz w:val="24"/>
        </w:rPr>
        <w:t> </w:t>
      </w:r>
      <w:r>
        <w:rPr>
          <w:sz w:val="24"/>
        </w:rPr>
        <w:t>P.</w:t>
      </w:r>
      <w:r>
        <w:rPr>
          <w:spacing w:val="-3"/>
          <w:sz w:val="24"/>
        </w:rPr>
        <w:t> </w:t>
      </w:r>
      <w:r>
        <w:rPr>
          <w:sz w:val="24"/>
        </w:rPr>
        <w:t>(1968).</w:t>
      </w:r>
      <w:r>
        <w:rPr>
          <w:spacing w:val="-4"/>
          <w:sz w:val="24"/>
        </w:rPr>
        <w:t> </w:t>
      </w:r>
      <w:r>
        <w:rPr>
          <w:sz w:val="24"/>
        </w:rPr>
        <w:t>An</w:t>
      </w:r>
      <w:r>
        <w:rPr>
          <w:spacing w:val="-2"/>
          <w:sz w:val="24"/>
        </w:rPr>
        <w:t> </w:t>
      </w:r>
      <w:r>
        <w:rPr>
          <w:sz w:val="24"/>
        </w:rPr>
        <w:t>empirical</w:t>
      </w:r>
      <w:r>
        <w:rPr>
          <w:spacing w:val="-1"/>
          <w:sz w:val="24"/>
        </w:rPr>
        <w:t> </w:t>
      </w:r>
      <w:r>
        <w:rPr>
          <w:sz w:val="24"/>
        </w:rPr>
        <w:t>evaluation</w:t>
      </w:r>
      <w:r>
        <w:rPr>
          <w:spacing w:val="-3"/>
          <w:sz w:val="24"/>
        </w:rPr>
        <w:t> </w:t>
      </w:r>
      <w:r>
        <w:rPr>
          <w:sz w:val="24"/>
        </w:rPr>
        <w:t>of</w:t>
      </w:r>
      <w:r>
        <w:rPr>
          <w:spacing w:val="-4"/>
          <w:sz w:val="24"/>
        </w:rPr>
        <w:t> </w:t>
      </w:r>
      <w:r>
        <w:rPr>
          <w:sz w:val="24"/>
        </w:rPr>
        <w:t>accounting</w:t>
      </w:r>
      <w:r>
        <w:rPr>
          <w:spacing w:val="-3"/>
          <w:sz w:val="24"/>
        </w:rPr>
        <w:t> </w:t>
      </w:r>
      <w:r>
        <w:rPr>
          <w:sz w:val="24"/>
        </w:rPr>
        <w:t>income</w:t>
      </w:r>
      <w:r>
        <w:rPr>
          <w:spacing w:val="-3"/>
          <w:sz w:val="24"/>
        </w:rPr>
        <w:t> </w:t>
      </w:r>
      <w:r>
        <w:rPr>
          <w:sz w:val="24"/>
        </w:rPr>
        <w:t>numbers. </w:t>
      </w:r>
      <w:r>
        <w:rPr>
          <w:i/>
          <w:sz w:val="24"/>
        </w:rPr>
        <w:t>Journal of Accounting Research, 6</w:t>
      </w:r>
      <w:r>
        <w:rPr>
          <w:sz w:val="24"/>
        </w:rPr>
        <w:t>(2), 159-178.</w:t>
      </w:r>
    </w:p>
    <w:p>
      <w:pPr>
        <w:pStyle w:val="BodyText"/>
      </w:pPr>
    </w:p>
    <w:p>
      <w:pPr>
        <w:pStyle w:val="BodyText"/>
        <w:ind w:left="849"/>
      </w:pPr>
      <w:r>
        <w:rPr/>
        <w:t>Ball,</w:t>
      </w:r>
      <w:r>
        <w:rPr>
          <w:spacing w:val="-14"/>
        </w:rPr>
        <w:t> </w:t>
      </w:r>
      <w:r>
        <w:rPr/>
        <w:t>R.</w:t>
      </w:r>
      <w:r>
        <w:rPr>
          <w:spacing w:val="-14"/>
        </w:rPr>
        <w:t> </w:t>
      </w:r>
      <w:r>
        <w:rPr/>
        <w:t>(2006).</w:t>
      </w:r>
      <w:r>
        <w:rPr>
          <w:spacing w:val="-14"/>
        </w:rPr>
        <w:t> </w:t>
      </w:r>
      <w:r>
        <w:rPr/>
        <w:t>International</w:t>
      </w:r>
      <w:r>
        <w:rPr>
          <w:spacing w:val="-14"/>
        </w:rPr>
        <w:t> </w:t>
      </w:r>
      <w:r>
        <w:rPr/>
        <w:t>Financial</w:t>
      </w:r>
      <w:r>
        <w:rPr>
          <w:spacing w:val="-13"/>
        </w:rPr>
        <w:t> </w:t>
      </w:r>
      <w:r>
        <w:rPr/>
        <w:t>Reporting</w:t>
      </w:r>
      <w:r>
        <w:rPr>
          <w:spacing w:val="-13"/>
        </w:rPr>
        <w:t> </w:t>
      </w:r>
      <w:r>
        <w:rPr/>
        <w:t>Standards</w:t>
      </w:r>
      <w:r>
        <w:rPr>
          <w:spacing w:val="-15"/>
        </w:rPr>
        <w:t> </w:t>
      </w:r>
      <w:r>
        <w:rPr/>
        <w:t>(IFRS):</w:t>
      </w:r>
      <w:r>
        <w:rPr>
          <w:spacing w:val="-14"/>
        </w:rPr>
        <w:t> </w:t>
      </w:r>
      <w:r>
        <w:rPr/>
        <w:t>pros</w:t>
      </w:r>
      <w:r>
        <w:rPr>
          <w:spacing w:val="-15"/>
        </w:rPr>
        <w:t> </w:t>
      </w:r>
      <w:r>
        <w:rPr/>
        <w:t>and</w:t>
      </w:r>
      <w:r>
        <w:rPr>
          <w:spacing w:val="-11"/>
        </w:rPr>
        <w:t> </w:t>
      </w:r>
      <w:r>
        <w:rPr/>
        <w:t>cons</w:t>
      </w:r>
      <w:r>
        <w:rPr>
          <w:spacing w:val="-13"/>
        </w:rPr>
        <w:t> </w:t>
      </w:r>
      <w:r>
        <w:rPr/>
        <w:t>for</w:t>
      </w:r>
      <w:r>
        <w:rPr>
          <w:spacing w:val="-15"/>
        </w:rPr>
        <w:t> </w:t>
      </w:r>
      <w:r>
        <w:rPr>
          <w:spacing w:val="-2"/>
        </w:rPr>
        <w:t>investors.</w:t>
      </w:r>
    </w:p>
    <w:p>
      <w:pPr>
        <w:spacing w:before="0"/>
        <w:ind w:left="1571" w:right="0" w:firstLine="0"/>
        <w:jc w:val="left"/>
        <w:rPr>
          <w:sz w:val="24"/>
        </w:rPr>
      </w:pPr>
      <w:r>
        <w:rPr>
          <w:i/>
          <w:sz w:val="24"/>
        </w:rPr>
        <w:t>Accounting</w:t>
      </w:r>
      <w:r>
        <w:rPr>
          <w:i/>
          <w:spacing w:val="-2"/>
          <w:sz w:val="24"/>
        </w:rPr>
        <w:t> </w:t>
      </w:r>
      <w:r>
        <w:rPr>
          <w:i/>
          <w:sz w:val="24"/>
        </w:rPr>
        <w:t>and</w:t>
      </w:r>
      <w:r>
        <w:rPr>
          <w:i/>
          <w:spacing w:val="-1"/>
          <w:sz w:val="24"/>
        </w:rPr>
        <w:t> </w:t>
      </w:r>
      <w:r>
        <w:rPr>
          <w:i/>
          <w:sz w:val="24"/>
        </w:rPr>
        <w:t>Business</w:t>
      </w:r>
      <w:r>
        <w:rPr>
          <w:i/>
          <w:spacing w:val="-2"/>
          <w:sz w:val="24"/>
        </w:rPr>
        <w:t> </w:t>
      </w:r>
      <w:r>
        <w:rPr>
          <w:i/>
          <w:sz w:val="24"/>
        </w:rPr>
        <w:t>Research,</w:t>
      </w:r>
      <w:r>
        <w:rPr>
          <w:i/>
          <w:spacing w:val="-1"/>
          <w:sz w:val="24"/>
        </w:rPr>
        <w:t> </w:t>
      </w:r>
      <w:r>
        <w:rPr>
          <w:i/>
          <w:sz w:val="24"/>
        </w:rPr>
        <w:t>7</w:t>
      </w:r>
      <w:r>
        <w:rPr>
          <w:sz w:val="24"/>
        </w:rPr>
        <w:t>(4),</w:t>
      </w:r>
      <w:r>
        <w:rPr>
          <w:spacing w:val="-1"/>
          <w:sz w:val="24"/>
        </w:rPr>
        <w:t> </w:t>
      </w:r>
      <w:r>
        <w:rPr>
          <w:sz w:val="24"/>
        </w:rPr>
        <w:t>5-</w:t>
      </w:r>
      <w:r>
        <w:rPr>
          <w:spacing w:val="-5"/>
          <w:sz w:val="24"/>
        </w:rPr>
        <w:t>27.</w:t>
      </w:r>
    </w:p>
    <w:p>
      <w:pPr>
        <w:pStyle w:val="BodyText"/>
      </w:pPr>
    </w:p>
    <w:p>
      <w:pPr>
        <w:pStyle w:val="BodyText"/>
        <w:ind w:left="1571" w:right="1441" w:hanging="723"/>
        <w:jc w:val="both"/>
      </w:pPr>
      <w:r>
        <w:rPr/>
        <w:t>Bartov, E., Gul, F. A., &amp;Tsui, J.S.L. (2000). Discretionary-accruals models and audit qualifications. </w:t>
      </w:r>
      <w:r>
        <w:rPr>
          <w:i/>
        </w:rPr>
        <w:t>Working paper</w:t>
      </w:r>
      <w:r>
        <w:rPr/>
        <w:t>, New York University, New York.</w:t>
      </w:r>
    </w:p>
    <w:p>
      <w:pPr>
        <w:spacing w:before="274"/>
        <w:ind w:left="1571" w:right="1445" w:hanging="723"/>
        <w:jc w:val="both"/>
        <w:rPr>
          <w:i/>
          <w:sz w:val="24"/>
        </w:rPr>
      </w:pPr>
      <w:r>
        <w:rPr>
          <w:sz w:val="24"/>
        </w:rPr>
        <w:t>Barth, M., Landsman, W., &amp; Lang, M. (2008). International Accounting Standards and accounting quality. </w:t>
      </w:r>
      <w:r>
        <w:rPr>
          <w:i/>
          <w:sz w:val="24"/>
        </w:rPr>
        <w:t>Journal of Accounting Research</w:t>
      </w:r>
      <w:r>
        <w:rPr>
          <w:sz w:val="24"/>
        </w:rPr>
        <w:t>, </w:t>
      </w:r>
      <w:r>
        <w:rPr>
          <w:i/>
          <w:sz w:val="24"/>
        </w:rPr>
        <w:t>46</w:t>
      </w:r>
      <w:r>
        <w:rPr>
          <w:sz w:val="24"/>
        </w:rPr>
        <w:t>(3), </w:t>
      </w:r>
      <w:r>
        <w:rPr>
          <w:i/>
          <w:sz w:val="24"/>
        </w:rPr>
        <w:t>467-498</w:t>
      </w:r>
    </w:p>
    <w:p>
      <w:pPr>
        <w:pStyle w:val="BodyText"/>
        <w:rPr>
          <w:i/>
        </w:rPr>
      </w:pPr>
    </w:p>
    <w:p>
      <w:pPr>
        <w:spacing w:before="0"/>
        <w:ind w:left="1571" w:right="1438" w:hanging="723"/>
        <w:jc w:val="both"/>
        <w:rPr>
          <w:sz w:val="24"/>
        </w:rPr>
      </w:pPr>
      <w:r>
        <w:rPr>
          <w:sz w:val="24"/>
        </w:rPr>
        <w:t>Baatwah,</w:t>
      </w:r>
      <w:r>
        <w:rPr>
          <w:spacing w:val="-6"/>
          <w:sz w:val="24"/>
        </w:rPr>
        <w:t> </w:t>
      </w:r>
      <w:r>
        <w:rPr>
          <w:sz w:val="24"/>
        </w:rPr>
        <w:t>S.</w:t>
      </w:r>
      <w:r>
        <w:rPr>
          <w:spacing w:val="-6"/>
          <w:sz w:val="24"/>
        </w:rPr>
        <w:t> </w:t>
      </w:r>
      <w:r>
        <w:rPr>
          <w:sz w:val="24"/>
        </w:rPr>
        <w:t>R.,</w:t>
      </w:r>
      <w:r>
        <w:rPr>
          <w:spacing w:val="-6"/>
          <w:sz w:val="24"/>
        </w:rPr>
        <w:t> </w:t>
      </w:r>
      <w:r>
        <w:rPr>
          <w:sz w:val="24"/>
        </w:rPr>
        <w:t>Salleh,</w:t>
      </w:r>
      <w:r>
        <w:rPr>
          <w:spacing w:val="-6"/>
          <w:sz w:val="24"/>
        </w:rPr>
        <w:t> </w:t>
      </w:r>
      <w:r>
        <w:rPr>
          <w:sz w:val="24"/>
        </w:rPr>
        <w:t>Z.,</w:t>
      </w:r>
      <w:r>
        <w:rPr>
          <w:spacing w:val="-6"/>
          <w:sz w:val="24"/>
        </w:rPr>
        <w:t> </w:t>
      </w:r>
      <w:r>
        <w:rPr>
          <w:sz w:val="24"/>
        </w:rPr>
        <w:t>&amp;</w:t>
      </w:r>
      <w:r>
        <w:rPr>
          <w:spacing w:val="-5"/>
          <w:sz w:val="24"/>
        </w:rPr>
        <w:t> </w:t>
      </w:r>
      <w:r>
        <w:rPr>
          <w:sz w:val="24"/>
        </w:rPr>
        <w:t>Ahmad,</w:t>
      </w:r>
      <w:r>
        <w:rPr>
          <w:spacing w:val="-6"/>
          <w:sz w:val="24"/>
        </w:rPr>
        <w:t> </w:t>
      </w:r>
      <w:r>
        <w:rPr>
          <w:sz w:val="24"/>
        </w:rPr>
        <w:t>N.</w:t>
      </w:r>
      <w:r>
        <w:rPr>
          <w:spacing w:val="-6"/>
          <w:sz w:val="24"/>
        </w:rPr>
        <w:t> </w:t>
      </w:r>
      <w:r>
        <w:rPr>
          <w:sz w:val="24"/>
        </w:rPr>
        <w:t>(2015a).</w:t>
      </w:r>
      <w:r>
        <w:rPr>
          <w:spacing w:val="-3"/>
          <w:sz w:val="24"/>
        </w:rPr>
        <w:t> </w:t>
      </w:r>
      <w:r>
        <w:rPr>
          <w:sz w:val="24"/>
        </w:rPr>
        <w:t>Corporate</w:t>
      </w:r>
      <w:r>
        <w:rPr>
          <w:spacing w:val="-6"/>
          <w:sz w:val="24"/>
        </w:rPr>
        <w:t> </w:t>
      </w:r>
      <w:r>
        <w:rPr>
          <w:sz w:val="24"/>
        </w:rPr>
        <w:t>governance</w:t>
      </w:r>
      <w:r>
        <w:rPr>
          <w:spacing w:val="-7"/>
          <w:sz w:val="24"/>
        </w:rPr>
        <w:t> </w:t>
      </w:r>
      <w:r>
        <w:rPr>
          <w:sz w:val="24"/>
        </w:rPr>
        <w:t>mechanisms</w:t>
      </w:r>
      <w:r>
        <w:rPr>
          <w:spacing w:val="-6"/>
          <w:sz w:val="24"/>
        </w:rPr>
        <w:t> </w:t>
      </w:r>
      <w:r>
        <w:rPr>
          <w:sz w:val="24"/>
        </w:rPr>
        <w:t>and</w:t>
      </w:r>
      <w:r>
        <w:rPr>
          <w:spacing w:val="-6"/>
          <w:sz w:val="24"/>
        </w:rPr>
        <w:t> </w:t>
      </w:r>
      <w:r>
        <w:rPr>
          <w:sz w:val="24"/>
        </w:rPr>
        <w:t>audit report</w:t>
      </w:r>
      <w:r>
        <w:rPr>
          <w:spacing w:val="-4"/>
          <w:sz w:val="24"/>
        </w:rPr>
        <w:t> </w:t>
      </w:r>
      <w:r>
        <w:rPr>
          <w:sz w:val="24"/>
        </w:rPr>
        <w:t>timeliness:</w:t>
      </w:r>
      <w:r>
        <w:rPr>
          <w:spacing w:val="-3"/>
          <w:sz w:val="24"/>
        </w:rPr>
        <w:t> </w:t>
      </w:r>
      <w:r>
        <w:rPr>
          <w:sz w:val="24"/>
        </w:rPr>
        <w:t>empirical</w:t>
      </w:r>
      <w:r>
        <w:rPr>
          <w:spacing w:val="-3"/>
          <w:sz w:val="24"/>
        </w:rPr>
        <w:t> </w:t>
      </w:r>
      <w:r>
        <w:rPr>
          <w:sz w:val="24"/>
        </w:rPr>
        <w:t>evidence</w:t>
      </w:r>
      <w:r>
        <w:rPr>
          <w:spacing w:val="-4"/>
          <w:sz w:val="24"/>
        </w:rPr>
        <w:t> </w:t>
      </w:r>
      <w:r>
        <w:rPr>
          <w:sz w:val="24"/>
        </w:rPr>
        <w:t>from</w:t>
      </w:r>
      <w:r>
        <w:rPr>
          <w:spacing w:val="-3"/>
          <w:sz w:val="24"/>
        </w:rPr>
        <w:t> </w:t>
      </w:r>
      <w:r>
        <w:rPr>
          <w:sz w:val="24"/>
        </w:rPr>
        <w:t>Oman. </w:t>
      </w:r>
      <w:r>
        <w:rPr>
          <w:i/>
          <w:sz w:val="24"/>
        </w:rPr>
        <w:t>International</w:t>
      </w:r>
      <w:r>
        <w:rPr>
          <w:i/>
          <w:spacing w:val="-3"/>
          <w:sz w:val="24"/>
        </w:rPr>
        <w:t> </w:t>
      </w:r>
      <w:r>
        <w:rPr>
          <w:i/>
          <w:sz w:val="24"/>
        </w:rPr>
        <w:t>Journal</w:t>
      </w:r>
      <w:r>
        <w:rPr>
          <w:i/>
          <w:spacing w:val="-3"/>
          <w:sz w:val="24"/>
        </w:rPr>
        <w:t> </w:t>
      </w:r>
      <w:r>
        <w:rPr>
          <w:i/>
          <w:sz w:val="24"/>
        </w:rPr>
        <w:t>of</w:t>
      </w:r>
      <w:r>
        <w:rPr>
          <w:i/>
          <w:spacing w:val="-4"/>
          <w:sz w:val="24"/>
        </w:rPr>
        <w:t> </w:t>
      </w:r>
      <w:r>
        <w:rPr>
          <w:i/>
          <w:sz w:val="24"/>
        </w:rPr>
        <w:t>Accounting, Auditing and Performance Evaluation</w:t>
      </w:r>
      <w:r>
        <w:rPr>
          <w:sz w:val="24"/>
        </w:rPr>
        <w:t>, </w:t>
      </w:r>
      <w:r>
        <w:rPr>
          <w:i/>
          <w:sz w:val="24"/>
        </w:rPr>
        <w:t>11</w:t>
      </w:r>
      <w:r>
        <w:rPr>
          <w:sz w:val="24"/>
        </w:rPr>
        <w:t>(3-4), 312-337.</w:t>
      </w:r>
    </w:p>
    <w:p>
      <w:pPr>
        <w:pStyle w:val="BodyText"/>
      </w:pPr>
    </w:p>
    <w:p>
      <w:pPr>
        <w:pStyle w:val="BodyText"/>
        <w:ind w:left="1571" w:right="1446" w:hanging="723"/>
        <w:jc w:val="both"/>
      </w:pPr>
      <w:r>
        <w:rPr/>
        <w:t>Beasley, M. (1996). An empirical analysis of the relation between the board of director composition and financial statement fraud. </w:t>
      </w:r>
      <w:r>
        <w:rPr>
          <w:i/>
        </w:rPr>
        <w:t>The Accounting Review</w:t>
      </w:r>
      <w:r>
        <w:rPr/>
        <w:t>, </w:t>
      </w:r>
      <w:r>
        <w:rPr>
          <w:i/>
        </w:rPr>
        <w:t>71</w:t>
      </w:r>
      <w:r>
        <w:rPr/>
        <w:t>(4), 443-465.</w:t>
      </w:r>
    </w:p>
    <w:p>
      <w:pPr>
        <w:spacing w:after="0"/>
        <w:jc w:val="both"/>
        <w:sectPr>
          <w:pgSz w:w="11910" w:h="16840"/>
          <w:pgMar w:header="0" w:footer="971" w:top="1620" w:bottom="1160" w:left="500" w:right="0"/>
        </w:sectPr>
      </w:pPr>
    </w:p>
    <w:p>
      <w:pPr>
        <w:spacing w:before="61"/>
        <w:ind w:left="1571" w:right="1436" w:hanging="723"/>
        <w:jc w:val="both"/>
        <w:rPr>
          <w:sz w:val="24"/>
        </w:rPr>
      </w:pPr>
      <w:r>
        <w:rPr>
          <w:sz w:val="24"/>
        </w:rPr>
        <w:t>Beasley, M. S., &amp; Petroni, K. R. (2001). Board independence and audit-firm type. </w:t>
      </w:r>
      <w:r>
        <w:rPr>
          <w:i/>
          <w:sz w:val="24"/>
        </w:rPr>
        <w:t>Auditing: A Journal of Practice &amp; Theory, 20</w:t>
      </w:r>
      <w:r>
        <w:rPr>
          <w:sz w:val="24"/>
        </w:rPr>
        <w:t>(1), 97-114.</w:t>
      </w:r>
    </w:p>
    <w:p>
      <w:pPr>
        <w:pStyle w:val="BodyText"/>
      </w:pPr>
    </w:p>
    <w:p>
      <w:pPr>
        <w:pStyle w:val="BodyText"/>
        <w:ind w:left="849"/>
      </w:pPr>
      <w:r>
        <w:rPr/>
        <w:t>Berle,</w:t>
      </w:r>
      <w:r>
        <w:rPr>
          <w:spacing w:val="47"/>
        </w:rPr>
        <w:t> </w:t>
      </w:r>
      <w:r>
        <w:rPr/>
        <w:t>A.</w:t>
      </w:r>
      <w:r>
        <w:rPr>
          <w:spacing w:val="48"/>
        </w:rPr>
        <w:t> </w:t>
      </w:r>
      <w:r>
        <w:rPr/>
        <w:t>A.,</w:t>
      </w:r>
      <w:r>
        <w:rPr>
          <w:spacing w:val="48"/>
        </w:rPr>
        <w:t> </w:t>
      </w:r>
      <w:r>
        <w:rPr/>
        <w:t>&amp;</w:t>
      </w:r>
      <w:r>
        <w:rPr>
          <w:spacing w:val="49"/>
        </w:rPr>
        <w:t> </w:t>
      </w:r>
      <w:r>
        <w:rPr/>
        <w:t>Means,</w:t>
      </w:r>
      <w:r>
        <w:rPr>
          <w:spacing w:val="49"/>
        </w:rPr>
        <w:t> </w:t>
      </w:r>
      <w:r>
        <w:rPr/>
        <w:t>G.</w:t>
      </w:r>
      <w:r>
        <w:rPr>
          <w:spacing w:val="48"/>
        </w:rPr>
        <w:t> </w:t>
      </w:r>
      <w:r>
        <w:rPr/>
        <w:t>G.</w:t>
      </w:r>
      <w:r>
        <w:rPr>
          <w:spacing w:val="48"/>
        </w:rPr>
        <w:t> </w:t>
      </w:r>
      <w:r>
        <w:rPr/>
        <w:t>C.</w:t>
      </w:r>
      <w:r>
        <w:rPr>
          <w:spacing w:val="46"/>
        </w:rPr>
        <w:t> </w:t>
      </w:r>
      <w:r>
        <w:rPr/>
        <w:t>(1932).</w:t>
      </w:r>
      <w:r>
        <w:rPr>
          <w:spacing w:val="48"/>
        </w:rPr>
        <w:t> </w:t>
      </w:r>
      <w:r>
        <w:rPr/>
        <w:t>The</w:t>
      </w:r>
      <w:r>
        <w:rPr>
          <w:spacing w:val="47"/>
        </w:rPr>
        <w:t> </w:t>
      </w:r>
      <w:r>
        <w:rPr/>
        <w:t>Modern</w:t>
      </w:r>
      <w:r>
        <w:rPr>
          <w:spacing w:val="48"/>
        </w:rPr>
        <w:t> </w:t>
      </w:r>
      <w:r>
        <w:rPr/>
        <w:t>Corporation</w:t>
      </w:r>
      <w:r>
        <w:rPr>
          <w:spacing w:val="49"/>
        </w:rPr>
        <w:t> </w:t>
      </w:r>
      <w:r>
        <w:rPr/>
        <w:t>and</w:t>
      </w:r>
      <w:r>
        <w:rPr>
          <w:spacing w:val="49"/>
        </w:rPr>
        <w:t> </w:t>
      </w:r>
      <w:r>
        <w:rPr/>
        <w:t>Private</w:t>
      </w:r>
      <w:r>
        <w:rPr>
          <w:spacing w:val="49"/>
        </w:rPr>
        <w:t> </w:t>
      </w:r>
      <w:r>
        <w:rPr>
          <w:spacing w:val="-2"/>
        </w:rPr>
        <w:t>Property.</w:t>
      </w:r>
    </w:p>
    <w:p>
      <w:pPr>
        <w:pStyle w:val="BodyText"/>
        <w:ind w:left="1571"/>
      </w:pPr>
      <w:r>
        <w:rPr/>
        <w:t>Transaction</w:t>
      </w:r>
      <w:r>
        <w:rPr>
          <w:spacing w:val="-4"/>
        </w:rPr>
        <w:t> </w:t>
      </w:r>
      <w:r>
        <w:rPr>
          <w:spacing w:val="-2"/>
        </w:rPr>
        <w:t>Publishers.</w:t>
      </w:r>
    </w:p>
    <w:p>
      <w:pPr>
        <w:pStyle w:val="BodyText"/>
      </w:pPr>
    </w:p>
    <w:p>
      <w:pPr>
        <w:spacing w:before="0"/>
        <w:ind w:left="1571" w:right="1440" w:hanging="723"/>
        <w:jc w:val="both"/>
        <w:rPr>
          <w:sz w:val="24"/>
        </w:rPr>
      </w:pPr>
      <w:r>
        <w:rPr>
          <w:sz w:val="24"/>
        </w:rPr>
        <w:t>Becker,</w:t>
      </w:r>
      <w:r>
        <w:rPr>
          <w:spacing w:val="-3"/>
          <w:sz w:val="24"/>
        </w:rPr>
        <w:t> </w:t>
      </w:r>
      <w:r>
        <w:rPr>
          <w:sz w:val="24"/>
        </w:rPr>
        <w:t>C.,</w:t>
      </w:r>
      <w:r>
        <w:rPr>
          <w:spacing w:val="-3"/>
          <w:sz w:val="24"/>
        </w:rPr>
        <w:t> </w:t>
      </w:r>
      <w:r>
        <w:rPr>
          <w:sz w:val="24"/>
        </w:rPr>
        <w:t>DeFond,</w:t>
      </w:r>
      <w:r>
        <w:rPr>
          <w:spacing w:val="-3"/>
          <w:sz w:val="24"/>
        </w:rPr>
        <w:t> </w:t>
      </w:r>
      <w:r>
        <w:rPr>
          <w:sz w:val="24"/>
        </w:rPr>
        <w:t>M.,</w:t>
      </w:r>
      <w:r>
        <w:rPr>
          <w:spacing w:val="-1"/>
          <w:sz w:val="24"/>
        </w:rPr>
        <w:t> </w:t>
      </w:r>
      <w:r>
        <w:rPr>
          <w:sz w:val="24"/>
        </w:rPr>
        <w:t>Jiambalvo,</w:t>
      </w:r>
      <w:r>
        <w:rPr>
          <w:spacing w:val="-3"/>
          <w:sz w:val="24"/>
        </w:rPr>
        <w:t> </w:t>
      </w:r>
      <w:r>
        <w:rPr>
          <w:sz w:val="24"/>
        </w:rPr>
        <w:t>J.,</w:t>
      </w:r>
      <w:r>
        <w:rPr>
          <w:spacing w:val="-3"/>
          <w:sz w:val="24"/>
        </w:rPr>
        <w:t> </w:t>
      </w:r>
      <w:r>
        <w:rPr>
          <w:sz w:val="24"/>
        </w:rPr>
        <w:t>&amp;</w:t>
      </w:r>
      <w:r>
        <w:rPr>
          <w:spacing w:val="-3"/>
          <w:sz w:val="24"/>
        </w:rPr>
        <w:t> </w:t>
      </w:r>
      <w:r>
        <w:rPr>
          <w:sz w:val="24"/>
        </w:rPr>
        <w:t>Subramanyam,</w:t>
      </w:r>
      <w:r>
        <w:rPr>
          <w:spacing w:val="-3"/>
          <w:sz w:val="24"/>
        </w:rPr>
        <w:t> </w:t>
      </w:r>
      <w:r>
        <w:rPr>
          <w:sz w:val="24"/>
        </w:rPr>
        <w:t>K.</w:t>
      </w:r>
      <w:r>
        <w:rPr>
          <w:spacing w:val="-3"/>
          <w:sz w:val="24"/>
        </w:rPr>
        <w:t> </w:t>
      </w:r>
      <w:r>
        <w:rPr>
          <w:sz w:val="24"/>
        </w:rPr>
        <w:t>(1998).</w:t>
      </w:r>
      <w:r>
        <w:rPr>
          <w:spacing w:val="-3"/>
          <w:sz w:val="24"/>
        </w:rPr>
        <w:t> </w:t>
      </w:r>
      <w:r>
        <w:rPr>
          <w:sz w:val="24"/>
        </w:rPr>
        <w:t>The</w:t>
      </w:r>
      <w:r>
        <w:rPr>
          <w:spacing w:val="-4"/>
          <w:sz w:val="24"/>
        </w:rPr>
        <w:t> </w:t>
      </w:r>
      <w:r>
        <w:rPr>
          <w:sz w:val="24"/>
        </w:rPr>
        <w:t>effect</w:t>
      </w:r>
      <w:r>
        <w:rPr>
          <w:spacing w:val="-3"/>
          <w:sz w:val="24"/>
        </w:rPr>
        <w:t> </w:t>
      </w:r>
      <w:r>
        <w:rPr>
          <w:sz w:val="24"/>
        </w:rPr>
        <w:t>of</w:t>
      </w:r>
      <w:r>
        <w:rPr>
          <w:spacing w:val="-3"/>
          <w:sz w:val="24"/>
        </w:rPr>
        <w:t> </w:t>
      </w:r>
      <w:r>
        <w:rPr>
          <w:sz w:val="24"/>
        </w:rPr>
        <w:t>audit</w:t>
      </w:r>
      <w:r>
        <w:rPr>
          <w:spacing w:val="-3"/>
          <w:sz w:val="24"/>
        </w:rPr>
        <w:t> </w:t>
      </w:r>
      <w:r>
        <w:rPr>
          <w:sz w:val="24"/>
        </w:rPr>
        <w:t>quality on earnings management. </w:t>
      </w:r>
      <w:r>
        <w:rPr>
          <w:i/>
          <w:sz w:val="24"/>
        </w:rPr>
        <w:t>Contemporary Accounting Research, 15</w:t>
      </w:r>
      <w:r>
        <w:rPr>
          <w:sz w:val="24"/>
        </w:rPr>
        <w:t>(5), 1-24.</w:t>
      </w:r>
    </w:p>
    <w:p>
      <w:pPr>
        <w:pStyle w:val="BodyText"/>
      </w:pPr>
    </w:p>
    <w:p>
      <w:pPr>
        <w:spacing w:before="0"/>
        <w:ind w:left="1571" w:right="1441" w:hanging="723"/>
        <w:jc w:val="both"/>
        <w:rPr>
          <w:sz w:val="24"/>
        </w:rPr>
      </w:pPr>
      <w:r>
        <w:rPr/>
        <w:drawing>
          <wp:anchor distT="0" distB="0" distL="0" distR="0" allowOverlap="1" layoutInCell="1" locked="0" behindDoc="1" simplePos="0" relativeHeight="477770240">
            <wp:simplePos x="0" y="0"/>
            <wp:positionH relativeFrom="page">
              <wp:posOffset>1095451</wp:posOffset>
            </wp:positionH>
            <wp:positionV relativeFrom="paragraph">
              <wp:posOffset>234829</wp:posOffset>
            </wp:positionV>
            <wp:extent cx="5538139" cy="5238115"/>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12" cstate="print"/>
                    <a:stretch>
                      <a:fillRect/>
                    </a:stretch>
                  </pic:blipFill>
                  <pic:spPr>
                    <a:xfrm>
                      <a:off x="0" y="0"/>
                      <a:ext cx="5538139" cy="5238115"/>
                    </a:xfrm>
                    <a:prstGeom prst="rect">
                      <a:avLst/>
                    </a:prstGeom>
                  </pic:spPr>
                </pic:pic>
              </a:graphicData>
            </a:graphic>
          </wp:anchor>
        </w:drawing>
      </w:r>
      <w:r>
        <w:rPr>
          <w:sz w:val="24"/>
        </w:rPr>
        <w:t>Beekes, W., &amp; Brown, P. (2006). Better-Governed Australian firms make more informative disclosures. </w:t>
      </w:r>
      <w:r>
        <w:rPr>
          <w:i/>
          <w:sz w:val="24"/>
        </w:rPr>
        <w:t>Journal of Business Finance and Accounting</w:t>
      </w:r>
      <w:r>
        <w:rPr>
          <w:sz w:val="24"/>
        </w:rPr>
        <w:t>, </w:t>
      </w:r>
      <w:r>
        <w:rPr>
          <w:i/>
          <w:sz w:val="24"/>
        </w:rPr>
        <w:t>33</w:t>
      </w:r>
      <w:r>
        <w:rPr>
          <w:sz w:val="24"/>
        </w:rPr>
        <w:t>(3), 422-450.</w:t>
      </w:r>
    </w:p>
    <w:p>
      <w:pPr>
        <w:pStyle w:val="BodyText"/>
        <w:spacing w:before="1"/>
      </w:pPr>
    </w:p>
    <w:p>
      <w:pPr>
        <w:spacing w:before="0"/>
        <w:ind w:left="1571" w:right="1439" w:hanging="723"/>
        <w:jc w:val="both"/>
        <w:rPr>
          <w:sz w:val="24"/>
        </w:rPr>
      </w:pPr>
      <w:r>
        <w:rPr>
          <w:sz w:val="24"/>
        </w:rPr>
        <w:t>Beekes, W., Pope, P., &amp; Young,</w:t>
      </w:r>
      <w:r>
        <w:rPr>
          <w:spacing w:val="-1"/>
          <w:sz w:val="24"/>
        </w:rPr>
        <w:t> </w:t>
      </w:r>
      <w:r>
        <w:rPr>
          <w:sz w:val="24"/>
        </w:rPr>
        <w:t>S. (2004).</w:t>
      </w:r>
      <w:r>
        <w:rPr>
          <w:spacing w:val="-1"/>
          <w:sz w:val="24"/>
        </w:rPr>
        <w:t> </w:t>
      </w:r>
      <w:r>
        <w:rPr>
          <w:sz w:val="24"/>
        </w:rPr>
        <w:t>The</w:t>
      </w:r>
      <w:r>
        <w:rPr>
          <w:spacing w:val="-2"/>
          <w:sz w:val="24"/>
        </w:rPr>
        <w:t> </w:t>
      </w:r>
      <w:r>
        <w:rPr>
          <w:sz w:val="24"/>
        </w:rPr>
        <w:t>link between earnings and timeliness, earnings conservatism and board composition: Evidence from the UK. </w:t>
      </w:r>
      <w:r>
        <w:rPr>
          <w:i/>
          <w:sz w:val="24"/>
        </w:rPr>
        <w:t>Corporate Governance: An International Review</w:t>
      </w:r>
      <w:r>
        <w:rPr>
          <w:sz w:val="24"/>
        </w:rPr>
        <w:t>, </w:t>
      </w:r>
      <w:r>
        <w:rPr>
          <w:i/>
          <w:sz w:val="24"/>
        </w:rPr>
        <w:t>12</w:t>
      </w:r>
      <w:r>
        <w:rPr>
          <w:sz w:val="24"/>
        </w:rPr>
        <w:t>(2), 14-59.</w:t>
      </w:r>
    </w:p>
    <w:p>
      <w:pPr>
        <w:pStyle w:val="BodyText"/>
      </w:pPr>
    </w:p>
    <w:p>
      <w:pPr>
        <w:spacing w:before="0"/>
        <w:ind w:left="1571" w:right="1438" w:hanging="723"/>
        <w:jc w:val="both"/>
        <w:rPr>
          <w:sz w:val="24"/>
        </w:rPr>
      </w:pPr>
      <w:r>
        <w:rPr>
          <w:sz w:val="24"/>
        </w:rPr>
        <w:t>Blue Ribbon Committee. (1999). </w:t>
      </w:r>
      <w:r>
        <w:rPr>
          <w:i/>
          <w:sz w:val="24"/>
        </w:rPr>
        <w:t>Report and recommendations of the Blue Ribbon Committee on improving effectiveness of corporate audit committees</w:t>
      </w:r>
      <w:r>
        <w:rPr>
          <w:sz w:val="24"/>
        </w:rPr>
        <w:t>. New York Stock Exchange and</w:t>
      </w:r>
      <w:r>
        <w:rPr>
          <w:spacing w:val="-4"/>
          <w:sz w:val="24"/>
        </w:rPr>
        <w:t> </w:t>
      </w:r>
      <w:r>
        <w:rPr>
          <w:sz w:val="24"/>
        </w:rPr>
        <w:t>National</w:t>
      </w:r>
      <w:r>
        <w:rPr>
          <w:spacing w:val="-2"/>
          <w:sz w:val="24"/>
        </w:rPr>
        <w:t> </w:t>
      </w:r>
      <w:r>
        <w:rPr>
          <w:sz w:val="24"/>
        </w:rPr>
        <w:t>Association</w:t>
      </w:r>
      <w:r>
        <w:rPr>
          <w:spacing w:val="1"/>
          <w:sz w:val="24"/>
        </w:rPr>
        <w:t> </w:t>
      </w:r>
      <w:r>
        <w:rPr>
          <w:sz w:val="24"/>
        </w:rPr>
        <w:t>of</w:t>
      </w:r>
      <w:r>
        <w:rPr>
          <w:spacing w:val="-2"/>
          <w:sz w:val="24"/>
        </w:rPr>
        <w:t> </w:t>
      </w:r>
      <w:r>
        <w:rPr>
          <w:sz w:val="24"/>
        </w:rPr>
        <w:t>Securities</w:t>
      </w:r>
      <w:r>
        <w:rPr>
          <w:spacing w:val="-2"/>
          <w:sz w:val="24"/>
        </w:rPr>
        <w:t> </w:t>
      </w:r>
      <w:r>
        <w:rPr>
          <w:sz w:val="24"/>
        </w:rPr>
        <w:t>Dealers.</w:t>
      </w:r>
      <w:r>
        <w:rPr>
          <w:spacing w:val="-1"/>
          <w:sz w:val="24"/>
        </w:rPr>
        <w:t> </w:t>
      </w:r>
      <w:r>
        <w:rPr>
          <w:sz w:val="24"/>
        </w:rPr>
        <w:t>Retrieved</w:t>
      </w:r>
      <w:r>
        <w:rPr>
          <w:spacing w:val="-2"/>
          <w:sz w:val="24"/>
        </w:rPr>
        <w:t> </w:t>
      </w:r>
      <w:r>
        <w:rPr>
          <w:sz w:val="24"/>
        </w:rPr>
        <w:t>from</w:t>
      </w:r>
      <w:r>
        <w:rPr>
          <w:spacing w:val="2"/>
          <w:sz w:val="24"/>
        </w:rPr>
        <w:t> </w:t>
      </w:r>
      <w:hyperlink r:id="rId13">
        <w:r>
          <w:rPr>
            <w:spacing w:val="-2"/>
            <w:sz w:val="24"/>
          </w:rPr>
          <w:t>www.researchgate.com</w:t>
        </w:r>
      </w:hyperlink>
    </w:p>
    <w:p>
      <w:pPr>
        <w:pStyle w:val="BodyText"/>
      </w:pPr>
    </w:p>
    <w:p>
      <w:pPr>
        <w:pStyle w:val="BodyText"/>
        <w:ind w:left="1571" w:right="1437" w:hanging="723"/>
        <w:jc w:val="both"/>
      </w:pPr>
      <w:r>
        <w:rPr/>
        <w:t>Bilic,</w:t>
      </w:r>
      <w:r>
        <w:rPr>
          <w:spacing w:val="-6"/>
        </w:rPr>
        <w:t> </w:t>
      </w:r>
      <w:r>
        <w:rPr/>
        <w:t>I.,</w:t>
      </w:r>
      <w:r>
        <w:rPr>
          <w:spacing w:val="-6"/>
        </w:rPr>
        <w:t> </w:t>
      </w:r>
      <w:r>
        <w:rPr/>
        <w:t>&amp;Sustic,</w:t>
      </w:r>
      <w:r>
        <w:rPr>
          <w:spacing w:val="-6"/>
        </w:rPr>
        <w:t> </w:t>
      </w:r>
      <w:r>
        <w:rPr/>
        <w:t>I.</w:t>
      </w:r>
      <w:r>
        <w:rPr>
          <w:spacing w:val="-4"/>
        </w:rPr>
        <w:t> </w:t>
      </w:r>
      <w:r>
        <w:rPr/>
        <w:t>(2011).</w:t>
      </w:r>
      <w:r>
        <w:rPr>
          <w:spacing w:val="-3"/>
        </w:rPr>
        <w:t> </w:t>
      </w:r>
      <w:r>
        <w:rPr/>
        <w:t>Influence</w:t>
      </w:r>
      <w:r>
        <w:rPr>
          <w:spacing w:val="-7"/>
        </w:rPr>
        <w:t> </w:t>
      </w:r>
      <w:r>
        <w:rPr/>
        <w:t>of</w:t>
      </w:r>
      <w:r>
        <w:rPr>
          <w:spacing w:val="-3"/>
        </w:rPr>
        <w:t> </w:t>
      </w:r>
      <w:r>
        <w:rPr/>
        <w:t>ethics</w:t>
      </w:r>
      <w:r>
        <w:rPr>
          <w:spacing w:val="-6"/>
        </w:rPr>
        <w:t> </w:t>
      </w:r>
      <w:r>
        <w:rPr/>
        <w:t>education</w:t>
      </w:r>
      <w:r>
        <w:rPr>
          <w:spacing w:val="-6"/>
        </w:rPr>
        <w:t> </w:t>
      </w:r>
      <w:r>
        <w:rPr/>
        <w:t>on</w:t>
      </w:r>
      <w:r>
        <w:rPr>
          <w:spacing w:val="-6"/>
        </w:rPr>
        <w:t> </w:t>
      </w:r>
      <w:r>
        <w:rPr/>
        <w:t>management</w:t>
      </w:r>
      <w:r>
        <w:rPr>
          <w:spacing w:val="-5"/>
        </w:rPr>
        <w:t> </w:t>
      </w:r>
      <w:r>
        <w:rPr/>
        <w:t>and</w:t>
      </w:r>
      <w:r>
        <w:rPr>
          <w:spacing w:val="-6"/>
        </w:rPr>
        <w:t> </w:t>
      </w:r>
      <w:r>
        <w:rPr/>
        <w:t>entrepreneurship students’ attitude toward ethical behavior: case of Croatia. </w:t>
      </w:r>
      <w:r>
        <w:rPr>
          <w:i/>
        </w:rPr>
        <w:t>The Business Review, Cambridge, 17 </w:t>
      </w:r>
      <w:r>
        <w:rPr/>
        <w:t>(2), 197-204.</w:t>
      </w:r>
    </w:p>
    <w:p>
      <w:pPr>
        <w:pStyle w:val="BodyText"/>
      </w:pPr>
    </w:p>
    <w:p>
      <w:pPr>
        <w:pStyle w:val="BodyText"/>
        <w:ind w:left="1571" w:right="1442" w:hanging="723"/>
        <w:jc w:val="both"/>
      </w:pPr>
      <w:r>
        <w:rPr/>
        <w:t>Bradbury,</w:t>
      </w:r>
      <w:r>
        <w:rPr>
          <w:spacing w:val="-6"/>
        </w:rPr>
        <w:t> </w:t>
      </w:r>
      <w:r>
        <w:rPr/>
        <w:t>M.,</w:t>
      </w:r>
      <w:r>
        <w:rPr>
          <w:spacing w:val="-6"/>
        </w:rPr>
        <w:t> </w:t>
      </w:r>
      <w:r>
        <w:rPr/>
        <w:t>Mak,</w:t>
      </w:r>
      <w:r>
        <w:rPr>
          <w:spacing w:val="-6"/>
        </w:rPr>
        <w:t> </w:t>
      </w:r>
      <w:r>
        <w:rPr/>
        <w:t>Y.</w:t>
      </w:r>
      <w:r>
        <w:rPr>
          <w:spacing w:val="-6"/>
        </w:rPr>
        <w:t> </w:t>
      </w:r>
      <w:r>
        <w:rPr/>
        <w:t>&amp;</w:t>
      </w:r>
      <w:r>
        <w:rPr>
          <w:spacing w:val="-5"/>
        </w:rPr>
        <w:t> </w:t>
      </w:r>
      <w:r>
        <w:rPr/>
        <w:t>Tan,</w:t>
      </w:r>
      <w:r>
        <w:rPr>
          <w:spacing w:val="-6"/>
        </w:rPr>
        <w:t> </w:t>
      </w:r>
      <w:r>
        <w:rPr/>
        <w:t>S.</w:t>
      </w:r>
      <w:r>
        <w:rPr>
          <w:spacing w:val="-6"/>
        </w:rPr>
        <w:t> </w:t>
      </w:r>
      <w:r>
        <w:rPr/>
        <w:t>(2006).</w:t>
      </w:r>
      <w:r>
        <w:rPr>
          <w:spacing w:val="-6"/>
        </w:rPr>
        <w:t> </w:t>
      </w:r>
      <w:r>
        <w:rPr/>
        <w:t>Board</w:t>
      </w:r>
      <w:r>
        <w:rPr>
          <w:spacing w:val="-7"/>
        </w:rPr>
        <w:t> </w:t>
      </w:r>
      <w:r>
        <w:rPr/>
        <w:t>characteristics,</w:t>
      </w:r>
      <w:r>
        <w:rPr>
          <w:spacing w:val="-6"/>
        </w:rPr>
        <w:t> </w:t>
      </w:r>
      <w:r>
        <w:rPr/>
        <w:t>audit</w:t>
      </w:r>
      <w:r>
        <w:rPr>
          <w:spacing w:val="-5"/>
        </w:rPr>
        <w:t> </w:t>
      </w:r>
      <w:r>
        <w:rPr/>
        <w:t>committee</w:t>
      </w:r>
      <w:r>
        <w:rPr>
          <w:spacing w:val="-7"/>
        </w:rPr>
        <w:t> </w:t>
      </w:r>
      <w:r>
        <w:rPr/>
        <w:t>characteristics and abnormal accruals. </w:t>
      </w:r>
      <w:r>
        <w:rPr>
          <w:i/>
        </w:rPr>
        <w:t>Pacific Accounting Review</w:t>
      </w:r>
      <w:r>
        <w:rPr/>
        <w:t>, </w:t>
      </w:r>
      <w:r>
        <w:rPr>
          <w:i/>
        </w:rPr>
        <w:t>18</w:t>
      </w:r>
      <w:r>
        <w:rPr/>
        <w:t>(3), 47-68.</w:t>
      </w:r>
    </w:p>
    <w:p>
      <w:pPr>
        <w:pStyle w:val="BodyText"/>
      </w:pPr>
    </w:p>
    <w:p>
      <w:pPr>
        <w:pStyle w:val="BodyText"/>
        <w:ind w:left="1571" w:right="1434" w:hanging="723"/>
        <w:jc w:val="both"/>
      </w:pPr>
      <w:r>
        <w:rPr/>
        <w:t>Brown, J., Falaschetti, D. &amp; Orlando, M. (2010). Auditor independence and earnings quality: Evidence for market discipline vs. Sarbanes-Oxley proscriptions. </w:t>
      </w:r>
      <w:r>
        <w:rPr>
          <w:i/>
        </w:rPr>
        <w:t>American Law and Economics Review</w:t>
      </w:r>
      <w:r>
        <w:rPr/>
        <w:t>, </w:t>
      </w:r>
      <w:r>
        <w:rPr>
          <w:i/>
        </w:rPr>
        <w:t>12</w:t>
      </w:r>
      <w:r>
        <w:rPr/>
        <w:t>(1), 39-68.</w:t>
      </w:r>
    </w:p>
    <w:p>
      <w:pPr>
        <w:pStyle w:val="BodyText"/>
      </w:pPr>
    </w:p>
    <w:p>
      <w:pPr>
        <w:spacing w:before="1"/>
        <w:ind w:left="1571" w:right="1437" w:hanging="723"/>
        <w:jc w:val="both"/>
        <w:rPr>
          <w:sz w:val="24"/>
        </w:rPr>
      </w:pPr>
      <w:r>
        <w:rPr>
          <w:sz w:val="24"/>
        </w:rPr>
        <w:t>Brown, L., &amp; Caylor, M. (2006). Corporate governance and firm valuation. </w:t>
      </w:r>
      <w:r>
        <w:rPr>
          <w:i/>
          <w:sz w:val="24"/>
        </w:rPr>
        <w:t>Journal of Accounting and Public Policy</w:t>
      </w:r>
      <w:r>
        <w:rPr>
          <w:sz w:val="24"/>
        </w:rPr>
        <w:t>, </w:t>
      </w:r>
      <w:r>
        <w:rPr>
          <w:i/>
          <w:sz w:val="24"/>
        </w:rPr>
        <w:t>25(</w:t>
      </w:r>
      <w:r>
        <w:rPr>
          <w:sz w:val="24"/>
        </w:rPr>
        <w:t>4), 409-434.</w:t>
      </w:r>
    </w:p>
    <w:p>
      <w:pPr>
        <w:spacing w:before="276"/>
        <w:ind w:left="1571" w:right="1439" w:hanging="723"/>
        <w:jc w:val="both"/>
        <w:rPr>
          <w:sz w:val="24"/>
        </w:rPr>
      </w:pPr>
      <w:r>
        <w:rPr>
          <w:sz w:val="24"/>
        </w:rPr>
        <w:t>Bolibok, P. (2014). The impact of IFRS on the value relevance of accounting data of banks listed on the Warsaw Stock Exchange. </w:t>
      </w:r>
      <w:r>
        <w:rPr>
          <w:i/>
          <w:sz w:val="24"/>
        </w:rPr>
        <w:t>Copernican Journal of Finance &amp; Accounting, 3</w:t>
      </w:r>
      <w:r>
        <w:rPr>
          <w:sz w:val="24"/>
        </w:rPr>
        <w:t>(1), 34-43.</w:t>
      </w:r>
    </w:p>
    <w:p>
      <w:pPr>
        <w:pStyle w:val="BodyText"/>
      </w:pPr>
    </w:p>
    <w:p>
      <w:pPr>
        <w:pStyle w:val="BodyText"/>
        <w:ind w:left="1571" w:right="1435" w:hanging="723"/>
        <w:jc w:val="both"/>
      </w:pPr>
      <w:r>
        <w:rPr/>
        <w:t>Burgstahler, D., Hail, L., &amp; Leuz, C. (2006). The</w:t>
      </w:r>
      <w:r>
        <w:rPr>
          <w:spacing w:val="-2"/>
        </w:rPr>
        <w:t> </w:t>
      </w:r>
      <w:r>
        <w:rPr/>
        <w:t>importance of reporting incentives: Earnings management</w:t>
      </w:r>
      <w:r>
        <w:rPr>
          <w:spacing w:val="-4"/>
        </w:rPr>
        <w:t> </w:t>
      </w:r>
      <w:r>
        <w:rPr/>
        <w:t>in</w:t>
      </w:r>
      <w:r>
        <w:rPr>
          <w:spacing w:val="-4"/>
        </w:rPr>
        <w:t> </w:t>
      </w:r>
      <w:r>
        <w:rPr/>
        <w:t>European</w:t>
      </w:r>
      <w:r>
        <w:rPr>
          <w:spacing w:val="-2"/>
        </w:rPr>
        <w:t> </w:t>
      </w:r>
      <w:r>
        <w:rPr/>
        <w:t>private</w:t>
      </w:r>
      <w:r>
        <w:rPr>
          <w:spacing w:val="-4"/>
        </w:rPr>
        <w:t> </w:t>
      </w:r>
      <w:r>
        <w:rPr/>
        <w:t>and</w:t>
      </w:r>
      <w:r>
        <w:rPr>
          <w:spacing w:val="-4"/>
        </w:rPr>
        <w:t> </w:t>
      </w:r>
      <w:r>
        <w:rPr/>
        <w:t>public</w:t>
      </w:r>
      <w:r>
        <w:rPr>
          <w:spacing w:val="-5"/>
        </w:rPr>
        <w:t> </w:t>
      </w:r>
      <w:r>
        <w:rPr/>
        <w:t>firms. </w:t>
      </w:r>
      <w:r>
        <w:rPr>
          <w:i/>
        </w:rPr>
        <w:t>The</w:t>
      </w:r>
      <w:r>
        <w:rPr>
          <w:i/>
          <w:spacing w:val="-5"/>
        </w:rPr>
        <w:t> </w:t>
      </w:r>
      <w:r>
        <w:rPr>
          <w:i/>
        </w:rPr>
        <w:t>Accounting</w:t>
      </w:r>
      <w:r>
        <w:rPr>
          <w:i/>
          <w:spacing w:val="-4"/>
        </w:rPr>
        <w:t> </w:t>
      </w:r>
      <w:r>
        <w:rPr>
          <w:i/>
        </w:rPr>
        <w:t>Review</w:t>
      </w:r>
      <w:r>
        <w:rPr/>
        <w:t>,</w:t>
      </w:r>
      <w:r>
        <w:rPr>
          <w:spacing w:val="-2"/>
        </w:rPr>
        <w:t> </w:t>
      </w:r>
      <w:r>
        <w:rPr>
          <w:i/>
        </w:rPr>
        <w:t>81</w:t>
      </w:r>
      <w:r>
        <w:rPr/>
        <w:t>(5),</w:t>
      </w:r>
      <w:r>
        <w:rPr>
          <w:spacing w:val="-4"/>
        </w:rPr>
        <w:t> </w:t>
      </w:r>
      <w:r>
        <w:rPr/>
        <w:t>983- </w:t>
      </w:r>
      <w:r>
        <w:rPr>
          <w:spacing w:val="-2"/>
        </w:rPr>
        <w:t>1016.</w:t>
      </w:r>
    </w:p>
    <w:p>
      <w:pPr>
        <w:pStyle w:val="BodyText"/>
      </w:pPr>
    </w:p>
    <w:p>
      <w:pPr>
        <w:spacing w:before="0"/>
        <w:ind w:left="1571" w:right="1439" w:hanging="723"/>
        <w:jc w:val="both"/>
        <w:rPr>
          <w:sz w:val="24"/>
        </w:rPr>
      </w:pPr>
      <w:r>
        <w:rPr>
          <w:sz w:val="24"/>
        </w:rPr>
        <w:t>Burgstahler, D., &amp; Dichev, I. (1997). Earnings management to avoid earnings decreases and losses. </w:t>
      </w:r>
      <w:r>
        <w:rPr>
          <w:i/>
          <w:sz w:val="24"/>
        </w:rPr>
        <w:t>Journal of accounting and economics, 24</w:t>
      </w:r>
      <w:r>
        <w:rPr>
          <w:sz w:val="24"/>
        </w:rPr>
        <w:t>(1), 99-126.</w:t>
      </w:r>
    </w:p>
    <w:p>
      <w:pPr>
        <w:pStyle w:val="BodyText"/>
      </w:pPr>
    </w:p>
    <w:p>
      <w:pPr>
        <w:pStyle w:val="BodyText"/>
        <w:ind w:left="849"/>
      </w:pPr>
      <w:r>
        <w:rPr/>
        <w:t>Bushman,</w:t>
      </w:r>
      <w:r>
        <w:rPr>
          <w:spacing w:val="-8"/>
        </w:rPr>
        <w:t> </w:t>
      </w:r>
      <w:r>
        <w:rPr/>
        <w:t>R.,</w:t>
      </w:r>
      <w:r>
        <w:rPr>
          <w:spacing w:val="-6"/>
        </w:rPr>
        <w:t> </w:t>
      </w:r>
      <w:r>
        <w:rPr/>
        <w:t>&amp;</w:t>
      </w:r>
      <w:r>
        <w:rPr>
          <w:spacing w:val="-6"/>
        </w:rPr>
        <w:t> </w:t>
      </w:r>
      <w:r>
        <w:rPr/>
        <w:t>Smith,</w:t>
      </w:r>
      <w:r>
        <w:rPr>
          <w:spacing w:val="-6"/>
        </w:rPr>
        <w:t> </w:t>
      </w:r>
      <w:r>
        <w:rPr/>
        <w:t>A.</w:t>
      </w:r>
      <w:r>
        <w:rPr>
          <w:spacing w:val="-7"/>
        </w:rPr>
        <w:t> </w:t>
      </w:r>
      <w:r>
        <w:rPr/>
        <w:t>(2001).</w:t>
      </w:r>
      <w:r>
        <w:rPr>
          <w:spacing w:val="-4"/>
        </w:rPr>
        <w:t> </w:t>
      </w:r>
      <w:r>
        <w:rPr/>
        <w:t>Financial</w:t>
      </w:r>
      <w:r>
        <w:rPr>
          <w:spacing w:val="-4"/>
        </w:rPr>
        <w:t> </w:t>
      </w:r>
      <w:r>
        <w:rPr/>
        <w:t>accounting</w:t>
      </w:r>
      <w:r>
        <w:rPr>
          <w:spacing w:val="-6"/>
        </w:rPr>
        <w:t> </w:t>
      </w:r>
      <w:r>
        <w:rPr/>
        <w:t>information</w:t>
      </w:r>
      <w:r>
        <w:rPr>
          <w:spacing w:val="-6"/>
        </w:rPr>
        <w:t> </w:t>
      </w:r>
      <w:r>
        <w:rPr/>
        <w:t>and</w:t>
      </w:r>
      <w:r>
        <w:rPr>
          <w:spacing w:val="-4"/>
        </w:rPr>
        <w:t> </w:t>
      </w:r>
      <w:r>
        <w:rPr/>
        <w:t>corporate</w:t>
      </w:r>
      <w:r>
        <w:rPr>
          <w:spacing w:val="-4"/>
        </w:rPr>
        <w:t> </w:t>
      </w:r>
      <w:r>
        <w:rPr>
          <w:spacing w:val="-2"/>
        </w:rPr>
        <w:t>governance.</w:t>
      </w:r>
    </w:p>
    <w:p>
      <w:pPr>
        <w:spacing w:before="0"/>
        <w:ind w:left="1571" w:right="0" w:firstLine="0"/>
        <w:jc w:val="left"/>
        <w:rPr>
          <w:sz w:val="24"/>
        </w:rPr>
      </w:pPr>
      <w:r>
        <w:rPr>
          <w:i/>
          <w:sz w:val="24"/>
        </w:rPr>
        <w:t>Journal</w:t>
      </w:r>
      <w:r>
        <w:rPr>
          <w:i/>
          <w:spacing w:val="-1"/>
          <w:sz w:val="24"/>
        </w:rPr>
        <w:t> </w:t>
      </w:r>
      <w:r>
        <w:rPr>
          <w:i/>
          <w:sz w:val="24"/>
        </w:rPr>
        <w:t>of</w:t>
      </w:r>
      <w:r>
        <w:rPr>
          <w:i/>
          <w:spacing w:val="-1"/>
          <w:sz w:val="24"/>
        </w:rPr>
        <w:t> </w:t>
      </w:r>
      <w:r>
        <w:rPr>
          <w:i/>
          <w:sz w:val="24"/>
        </w:rPr>
        <w:t>Accounting and</w:t>
      </w:r>
      <w:r>
        <w:rPr>
          <w:i/>
          <w:spacing w:val="-1"/>
          <w:sz w:val="24"/>
        </w:rPr>
        <w:t> </w:t>
      </w:r>
      <w:r>
        <w:rPr>
          <w:i/>
          <w:sz w:val="24"/>
        </w:rPr>
        <w:t>Economics</w:t>
      </w:r>
      <w:r>
        <w:rPr>
          <w:sz w:val="24"/>
        </w:rPr>
        <w:t>,</w:t>
      </w:r>
      <w:r>
        <w:rPr>
          <w:spacing w:val="-1"/>
          <w:sz w:val="24"/>
        </w:rPr>
        <w:t> </w:t>
      </w:r>
      <w:r>
        <w:rPr>
          <w:i/>
          <w:sz w:val="24"/>
        </w:rPr>
        <w:t>32</w:t>
      </w:r>
      <w:r>
        <w:rPr>
          <w:sz w:val="24"/>
        </w:rPr>
        <w:t>(3), 237-</w:t>
      </w:r>
      <w:r>
        <w:rPr>
          <w:spacing w:val="-4"/>
          <w:sz w:val="24"/>
        </w:rPr>
        <w:t>351.</w:t>
      </w:r>
    </w:p>
    <w:p>
      <w:pPr>
        <w:pStyle w:val="BodyText"/>
      </w:pPr>
    </w:p>
    <w:p>
      <w:pPr>
        <w:pStyle w:val="BodyText"/>
        <w:ind w:left="1571" w:right="1442" w:hanging="723"/>
        <w:jc w:val="both"/>
      </w:pPr>
      <w:r>
        <w:rPr/>
        <w:t>Bushman, R., &amp; Smith, A. (2003). Transparency, financial accounting information, and corporate governance. </w:t>
      </w:r>
      <w:r>
        <w:rPr>
          <w:i/>
        </w:rPr>
        <w:t>Economic Policy Review, 9</w:t>
      </w:r>
      <w:r>
        <w:rPr/>
        <w:t>(1), 65-87.</w:t>
      </w:r>
    </w:p>
    <w:p>
      <w:pPr>
        <w:spacing w:after="0"/>
        <w:jc w:val="both"/>
        <w:sectPr>
          <w:pgSz w:w="11910" w:h="16840"/>
          <w:pgMar w:header="0" w:footer="971" w:top="1360" w:bottom="1160" w:left="500" w:right="0"/>
        </w:sectPr>
      </w:pPr>
    </w:p>
    <w:p>
      <w:pPr>
        <w:pStyle w:val="BodyText"/>
        <w:spacing w:before="77"/>
        <w:ind w:left="1571" w:right="1440" w:hanging="723"/>
        <w:jc w:val="both"/>
      </w:pPr>
      <w:r>
        <w:rPr/>
        <w:t>Bushman, R., Chen, Q., Engel, E. &amp; Smith, A. (2004). Financial accounting information, organizational complexity and corporate governance systems. </w:t>
      </w:r>
      <w:r>
        <w:rPr>
          <w:i/>
        </w:rPr>
        <w:t>Journal of Accounting and Economics</w:t>
      </w:r>
      <w:r>
        <w:rPr/>
        <w:t>, </w:t>
      </w:r>
      <w:r>
        <w:rPr>
          <w:i/>
        </w:rPr>
        <w:t>37</w:t>
      </w:r>
      <w:r>
        <w:rPr/>
        <w:t>(2), 167-201.</w:t>
      </w:r>
    </w:p>
    <w:p>
      <w:pPr>
        <w:pStyle w:val="BodyText"/>
      </w:pPr>
    </w:p>
    <w:p>
      <w:pPr>
        <w:pStyle w:val="BodyText"/>
        <w:ind w:left="1571" w:right="1444" w:hanging="723"/>
        <w:jc w:val="both"/>
      </w:pPr>
      <w:r>
        <w:rPr/>
        <w:t>Cadbury Report (1992). Report of the Committee on the financial aspects of corporate governance. London gee. </w:t>
      </w:r>
      <w:hyperlink r:id="rId14">
        <w:r>
          <w:rPr>
            <w:u w:val="single"/>
          </w:rPr>
          <w:t>www.elsevier.com/locate/econbase</w:t>
        </w:r>
      </w:hyperlink>
      <w:r>
        <w:rPr/>
        <w:t>.</w:t>
      </w:r>
    </w:p>
    <w:p>
      <w:pPr>
        <w:pStyle w:val="BodyText"/>
      </w:pPr>
    </w:p>
    <w:p>
      <w:pPr>
        <w:pStyle w:val="BodyText"/>
        <w:ind w:left="1571" w:right="1444" w:hanging="723"/>
        <w:jc w:val="both"/>
      </w:pPr>
      <w:r>
        <w:rPr/>
        <w:drawing>
          <wp:anchor distT="0" distB="0" distL="0" distR="0" allowOverlap="1" layoutInCell="1" locked="0" behindDoc="1" simplePos="0" relativeHeight="477770752">
            <wp:simplePos x="0" y="0"/>
            <wp:positionH relativeFrom="page">
              <wp:posOffset>1095451</wp:posOffset>
            </wp:positionH>
            <wp:positionV relativeFrom="paragraph">
              <wp:posOffset>410060</wp:posOffset>
            </wp:positionV>
            <wp:extent cx="5106847" cy="5238115"/>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5" cstate="print"/>
                    <a:stretch>
                      <a:fillRect/>
                    </a:stretch>
                  </pic:blipFill>
                  <pic:spPr>
                    <a:xfrm>
                      <a:off x="0" y="0"/>
                      <a:ext cx="5106847" cy="5238115"/>
                    </a:xfrm>
                    <a:prstGeom prst="rect">
                      <a:avLst/>
                    </a:prstGeom>
                  </pic:spPr>
                </pic:pic>
              </a:graphicData>
            </a:graphic>
          </wp:anchor>
        </w:drawing>
      </w:r>
      <w:r>
        <w:rPr/>
        <w:t>Carcello,</w:t>
      </w:r>
      <w:r>
        <w:rPr>
          <w:spacing w:val="-15"/>
        </w:rPr>
        <w:t> </w:t>
      </w:r>
      <w:r>
        <w:rPr/>
        <w:t>J.V.,</w:t>
      </w:r>
      <w:r>
        <w:rPr>
          <w:spacing w:val="-14"/>
        </w:rPr>
        <w:t> </w:t>
      </w:r>
      <w:r>
        <w:rPr/>
        <w:t>Hollingsworth,</w:t>
      </w:r>
      <w:r>
        <w:rPr>
          <w:spacing w:val="-15"/>
        </w:rPr>
        <w:t> </w:t>
      </w:r>
      <w:r>
        <w:rPr/>
        <w:t>C.</w:t>
      </w:r>
      <w:r>
        <w:rPr>
          <w:spacing w:val="-15"/>
        </w:rPr>
        <w:t> </w:t>
      </w:r>
      <w:r>
        <w:rPr/>
        <w:t>W.,</w:t>
      </w:r>
      <w:r>
        <w:rPr>
          <w:spacing w:val="-13"/>
        </w:rPr>
        <w:t> </w:t>
      </w:r>
      <w:r>
        <w:rPr/>
        <w:t>Klien,</w:t>
      </w:r>
      <w:r>
        <w:rPr>
          <w:spacing w:val="-15"/>
        </w:rPr>
        <w:t> </w:t>
      </w:r>
      <w:r>
        <w:rPr/>
        <w:t>A.,</w:t>
      </w:r>
      <w:r>
        <w:rPr>
          <w:spacing w:val="-15"/>
        </w:rPr>
        <w:t> </w:t>
      </w:r>
      <w:r>
        <w:rPr/>
        <w:t>&amp;</w:t>
      </w:r>
      <w:r>
        <w:rPr>
          <w:spacing w:val="-10"/>
        </w:rPr>
        <w:t> </w:t>
      </w:r>
      <w:r>
        <w:rPr/>
        <w:t>Neal,</w:t>
      </w:r>
      <w:r>
        <w:rPr>
          <w:spacing w:val="-15"/>
        </w:rPr>
        <w:t> </w:t>
      </w:r>
      <w:r>
        <w:rPr/>
        <w:t>T.</w:t>
      </w:r>
      <w:r>
        <w:rPr>
          <w:spacing w:val="-14"/>
        </w:rPr>
        <w:t> </w:t>
      </w:r>
      <w:r>
        <w:rPr/>
        <w:t>L.</w:t>
      </w:r>
      <w:r>
        <w:rPr>
          <w:spacing w:val="-15"/>
        </w:rPr>
        <w:t> </w:t>
      </w:r>
      <w:r>
        <w:rPr/>
        <w:t>(2006).</w:t>
      </w:r>
      <w:r>
        <w:rPr>
          <w:spacing w:val="-15"/>
        </w:rPr>
        <w:t> </w:t>
      </w:r>
      <w:r>
        <w:rPr/>
        <w:t>Audit</w:t>
      </w:r>
      <w:r>
        <w:rPr>
          <w:spacing w:val="-13"/>
        </w:rPr>
        <w:t> </w:t>
      </w:r>
      <w:r>
        <w:rPr/>
        <w:t>committee</w:t>
      </w:r>
      <w:r>
        <w:rPr>
          <w:spacing w:val="-15"/>
        </w:rPr>
        <w:t> </w:t>
      </w:r>
      <w:r>
        <w:rPr/>
        <w:t>financial expertise, competing corporate governance mechanism and earnings management. </w:t>
      </w:r>
      <w:r>
        <w:rPr>
          <w:i/>
        </w:rPr>
        <w:t>Working paper</w:t>
      </w:r>
      <w:r>
        <w:rPr/>
        <w:t>.</w:t>
      </w:r>
    </w:p>
    <w:p>
      <w:pPr>
        <w:pStyle w:val="BodyText"/>
        <w:spacing w:before="1"/>
      </w:pPr>
    </w:p>
    <w:p>
      <w:pPr>
        <w:spacing w:before="0"/>
        <w:ind w:left="1571" w:right="1437" w:hanging="723"/>
        <w:jc w:val="both"/>
        <w:rPr>
          <w:sz w:val="24"/>
        </w:rPr>
      </w:pPr>
      <w:r>
        <w:rPr>
          <w:sz w:val="24"/>
        </w:rPr>
        <w:t>Callao, S., Jarne, J.I., &amp; Lainez, J. A. (2007). Adoption of IFRS in Spain: Effect on the comparability</w:t>
      </w:r>
      <w:r>
        <w:rPr>
          <w:spacing w:val="-13"/>
          <w:sz w:val="24"/>
        </w:rPr>
        <w:t> </w:t>
      </w:r>
      <w:r>
        <w:rPr>
          <w:sz w:val="24"/>
        </w:rPr>
        <w:t>and</w:t>
      </w:r>
      <w:r>
        <w:rPr>
          <w:spacing w:val="-13"/>
          <w:sz w:val="24"/>
        </w:rPr>
        <w:t> </w:t>
      </w:r>
      <w:r>
        <w:rPr>
          <w:sz w:val="24"/>
        </w:rPr>
        <w:t>relevance</w:t>
      </w:r>
      <w:r>
        <w:rPr>
          <w:spacing w:val="-14"/>
          <w:sz w:val="24"/>
        </w:rPr>
        <w:t> </w:t>
      </w:r>
      <w:r>
        <w:rPr>
          <w:sz w:val="24"/>
        </w:rPr>
        <w:t>of</w:t>
      </w:r>
      <w:r>
        <w:rPr>
          <w:spacing w:val="-13"/>
          <w:sz w:val="24"/>
        </w:rPr>
        <w:t> </w:t>
      </w:r>
      <w:r>
        <w:rPr>
          <w:sz w:val="24"/>
        </w:rPr>
        <w:t>financial</w:t>
      </w:r>
      <w:r>
        <w:rPr>
          <w:spacing w:val="-13"/>
          <w:sz w:val="24"/>
        </w:rPr>
        <w:t> </w:t>
      </w:r>
      <w:r>
        <w:rPr>
          <w:sz w:val="24"/>
        </w:rPr>
        <w:t>reporting.</w:t>
      </w:r>
      <w:r>
        <w:rPr>
          <w:spacing w:val="-10"/>
          <w:sz w:val="24"/>
        </w:rPr>
        <w:t> </w:t>
      </w:r>
      <w:r>
        <w:rPr>
          <w:i/>
          <w:sz w:val="24"/>
        </w:rPr>
        <w:t>Journal</w:t>
      </w:r>
      <w:r>
        <w:rPr>
          <w:i/>
          <w:spacing w:val="-12"/>
          <w:sz w:val="24"/>
        </w:rPr>
        <w:t> </w:t>
      </w:r>
      <w:r>
        <w:rPr>
          <w:i/>
          <w:sz w:val="24"/>
        </w:rPr>
        <w:t>of</w:t>
      </w:r>
      <w:r>
        <w:rPr>
          <w:i/>
          <w:spacing w:val="-12"/>
          <w:sz w:val="24"/>
        </w:rPr>
        <w:t> </w:t>
      </w:r>
      <w:r>
        <w:rPr>
          <w:i/>
          <w:sz w:val="24"/>
        </w:rPr>
        <w:t>International</w:t>
      </w:r>
      <w:r>
        <w:rPr>
          <w:i/>
          <w:spacing w:val="-15"/>
          <w:sz w:val="24"/>
        </w:rPr>
        <w:t> </w:t>
      </w:r>
      <w:r>
        <w:rPr>
          <w:i/>
          <w:sz w:val="24"/>
        </w:rPr>
        <w:t>Accounting, Auditing and Taxation, 16 </w:t>
      </w:r>
      <w:r>
        <w:rPr>
          <w:sz w:val="24"/>
        </w:rPr>
        <w:t>(2), 148–178.</w:t>
      </w:r>
    </w:p>
    <w:p>
      <w:pPr>
        <w:pStyle w:val="BodyText"/>
      </w:pPr>
    </w:p>
    <w:p>
      <w:pPr>
        <w:pStyle w:val="BodyText"/>
        <w:ind w:left="849"/>
      </w:pPr>
      <w:r>
        <w:rPr/>
        <w:t>Cetin,</w:t>
      </w:r>
      <w:r>
        <w:rPr>
          <w:spacing w:val="6"/>
        </w:rPr>
        <w:t> </w:t>
      </w:r>
      <w:r>
        <w:rPr/>
        <w:t>Y.,</w:t>
      </w:r>
      <w:r>
        <w:rPr>
          <w:spacing w:val="8"/>
        </w:rPr>
        <w:t> </w:t>
      </w:r>
      <w:r>
        <w:rPr/>
        <w:t>&amp;</w:t>
      </w:r>
      <w:r>
        <w:rPr>
          <w:spacing w:val="8"/>
        </w:rPr>
        <w:t> </w:t>
      </w:r>
      <w:r>
        <w:rPr/>
        <w:t>Ugur,</w:t>
      </w:r>
      <w:r>
        <w:rPr>
          <w:spacing w:val="10"/>
        </w:rPr>
        <w:t> </w:t>
      </w:r>
      <w:r>
        <w:rPr/>
        <w:t>E.</w:t>
      </w:r>
      <w:r>
        <w:rPr>
          <w:spacing w:val="9"/>
        </w:rPr>
        <w:t> </w:t>
      </w:r>
      <w:r>
        <w:rPr/>
        <w:t>(2015).</w:t>
      </w:r>
      <w:r>
        <w:rPr>
          <w:spacing w:val="7"/>
        </w:rPr>
        <w:t> </w:t>
      </w:r>
      <w:r>
        <w:rPr/>
        <w:t>Accounting</w:t>
      </w:r>
      <w:r>
        <w:rPr>
          <w:spacing w:val="9"/>
        </w:rPr>
        <w:t> </w:t>
      </w:r>
      <w:r>
        <w:rPr/>
        <w:t>quality</w:t>
      </w:r>
      <w:r>
        <w:rPr>
          <w:spacing w:val="8"/>
        </w:rPr>
        <w:t> </w:t>
      </w:r>
      <w:r>
        <w:rPr/>
        <w:t>models:</w:t>
      </w:r>
      <w:r>
        <w:rPr>
          <w:spacing w:val="9"/>
        </w:rPr>
        <w:t> </w:t>
      </w:r>
      <w:r>
        <w:rPr/>
        <w:t>A</w:t>
      </w:r>
      <w:r>
        <w:rPr>
          <w:spacing w:val="7"/>
        </w:rPr>
        <w:t> </w:t>
      </w:r>
      <w:r>
        <w:rPr/>
        <w:t>comprehensive</w:t>
      </w:r>
      <w:r>
        <w:rPr>
          <w:spacing w:val="8"/>
        </w:rPr>
        <w:t> </w:t>
      </w:r>
      <w:r>
        <w:rPr/>
        <w:t>literature</w:t>
      </w:r>
      <w:r>
        <w:rPr>
          <w:spacing w:val="8"/>
        </w:rPr>
        <w:t> </w:t>
      </w:r>
      <w:r>
        <w:rPr>
          <w:spacing w:val="-2"/>
        </w:rPr>
        <w:t>review.</w:t>
      </w:r>
    </w:p>
    <w:p>
      <w:pPr>
        <w:spacing w:before="0"/>
        <w:ind w:left="1571" w:right="0" w:firstLine="0"/>
        <w:jc w:val="left"/>
        <w:rPr>
          <w:sz w:val="24"/>
        </w:rPr>
      </w:pPr>
      <w:r>
        <w:rPr>
          <w:i/>
          <w:sz w:val="24"/>
        </w:rPr>
        <w:t>International</w:t>
      </w:r>
      <w:r>
        <w:rPr>
          <w:i/>
          <w:spacing w:val="-3"/>
          <w:sz w:val="24"/>
        </w:rPr>
        <w:t> </w:t>
      </w:r>
      <w:r>
        <w:rPr>
          <w:i/>
          <w:sz w:val="24"/>
        </w:rPr>
        <w:t>Journal of</w:t>
      </w:r>
      <w:r>
        <w:rPr>
          <w:i/>
          <w:spacing w:val="-1"/>
          <w:sz w:val="24"/>
        </w:rPr>
        <w:t> </w:t>
      </w:r>
      <w:r>
        <w:rPr>
          <w:i/>
          <w:sz w:val="24"/>
        </w:rPr>
        <w:t>Economics, Commerce</w:t>
      </w:r>
      <w:r>
        <w:rPr>
          <w:i/>
          <w:spacing w:val="-2"/>
          <w:sz w:val="24"/>
        </w:rPr>
        <w:t> </w:t>
      </w:r>
      <w:r>
        <w:rPr>
          <w:i/>
          <w:sz w:val="24"/>
        </w:rPr>
        <w:t>and Management,</w:t>
      </w:r>
      <w:r>
        <w:rPr>
          <w:i/>
          <w:spacing w:val="-1"/>
          <w:sz w:val="24"/>
        </w:rPr>
        <w:t> </w:t>
      </w:r>
      <w:r>
        <w:rPr>
          <w:i/>
          <w:sz w:val="24"/>
        </w:rPr>
        <w:t>3</w:t>
      </w:r>
      <w:r>
        <w:rPr>
          <w:sz w:val="24"/>
        </w:rPr>
        <w:t>(5), 33-</w:t>
      </w:r>
      <w:r>
        <w:rPr>
          <w:spacing w:val="-5"/>
          <w:sz w:val="24"/>
        </w:rPr>
        <w:t>66</w:t>
      </w:r>
    </w:p>
    <w:p>
      <w:pPr>
        <w:pStyle w:val="BodyText"/>
        <w:spacing w:before="240"/>
        <w:ind w:left="1571" w:right="1438" w:hanging="723"/>
        <w:jc w:val="both"/>
      </w:pPr>
      <w:r>
        <w:rPr/>
        <w:t>Clark, R.C. (2005). Corporate governance changes in the wake of the Sarbanes-Oxley Act: A morality tale for policy makers too. Retrieved from </w:t>
      </w:r>
      <w:hyperlink r:id="rId15">
        <w:r>
          <w:rPr>
            <w:u w:val="single"/>
          </w:rPr>
          <w:t>www.ssrn.com</w:t>
        </w:r>
      </w:hyperlink>
      <w:r>
        <w:rPr/>
        <w:t>.</w:t>
      </w:r>
    </w:p>
    <w:p>
      <w:pPr>
        <w:pStyle w:val="BodyText"/>
      </w:pPr>
    </w:p>
    <w:p>
      <w:pPr>
        <w:pStyle w:val="BodyText"/>
        <w:ind w:left="1571" w:right="1438" w:hanging="723"/>
        <w:jc w:val="both"/>
      </w:pPr>
      <w:r>
        <w:rPr/>
        <w:t>Claessens, S., &amp; Djankov, S. (1998). Managers, incentives and corporate performance: Evidence from the Czech Republic. World Bank, </w:t>
      </w:r>
      <w:r>
        <w:rPr>
          <w:i/>
        </w:rPr>
        <w:t>mimeo</w:t>
      </w:r>
      <w:r>
        <w:rPr/>
        <w:t>.</w:t>
      </w:r>
    </w:p>
    <w:p>
      <w:pPr>
        <w:pStyle w:val="BodyText"/>
      </w:pPr>
    </w:p>
    <w:p>
      <w:pPr>
        <w:pStyle w:val="BodyText"/>
        <w:ind w:left="1571" w:right="1441" w:hanging="723"/>
        <w:jc w:val="both"/>
      </w:pPr>
      <w:r>
        <w:rPr/>
        <w:t>Chang,</w:t>
      </w:r>
      <w:r>
        <w:rPr>
          <w:spacing w:val="-15"/>
        </w:rPr>
        <w:t> </w:t>
      </w:r>
      <w:r>
        <w:rPr/>
        <w:t>J.</w:t>
      </w:r>
      <w:r>
        <w:rPr>
          <w:spacing w:val="-15"/>
        </w:rPr>
        <w:t> </w:t>
      </w:r>
      <w:r>
        <w:rPr/>
        <w:t>C.,</w:t>
      </w:r>
      <w:r>
        <w:rPr>
          <w:spacing w:val="-15"/>
        </w:rPr>
        <w:t> </w:t>
      </w:r>
      <w:r>
        <w:rPr/>
        <w:t>&amp;</w:t>
      </w:r>
      <w:r>
        <w:rPr>
          <w:spacing w:val="-15"/>
        </w:rPr>
        <w:t> </w:t>
      </w:r>
      <w:r>
        <w:rPr/>
        <w:t>Sun,</w:t>
      </w:r>
      <w:r>
        <w:rPr>
          <w:spacing w:val="-15"/>
        </w:rPr>
        <w:t> </w:t>
      </w:r>
      <w:r>
        <w:rPr/>
        <w:t>H.</w:t>
      </w:r>
      <w:r>
        <w:rPr>
          <w:spacing w:val="-15"/>
        </w:rPr>
        <w:t> </w:t>
      </w:r>
      <w:r>
        <w:rPr/>
        <w:t>L.</w:t>
      </w:r>
      <w:r>
        <w:rPr>
          <w:spacing w:val="-15"/>
        </w:rPr>
        <w:t> </w:t>
      </w:r>
      <w:r>
        <w:rPr/>
        <w:t>(2009).</w:t>
      </w:r>
      <w:r>
        <w:rPr>
          <w:spacing w:val="-15"/>
        </w:rPr>
        <w:t> </w:t>
      </w:r>
      <w:r>
        <w:rPr/>
        <w:t>Cross-listed</w:t>
      </w:r>
      <w:r>
        <w:rPr>
          <w:spacing w:val="-15"/>
        </w:rPr>
        <w:t> </w:t>
      </w:r>
      <w:r>
        <w:rPr/>
        <w:t>foreign</w:t>
      </w:r>
      <w:r>
        <w:rPr>
          <w:spacing w:val="-15"/>
        </w:rPr>
        <w:t> </w:t>
      </w:r>
      <w:r>
        <w:rPr/>
        <w:t>firms’</w:t>
      </w:r>
      <w:r>
        <w:rPr>
          <w:spacing w:val="-15"/>
        </w:rPr>
        <w:t> </w:t>
      </w:r>
      <w:r>
        <w:rPr/>
        <w:t>earnings</w:t>
      </w:r>
      <w:r>
        <w:rPr>
          <w:spacing w:val="-15"/>
        </w:rPr>
        <w:t> </w:t>
      </w:r>
      <w:r>
        <w:rPr/>
        <w:t>informativeness,</w:t>
      </w:r>
      <w:r>
        <w:rPr>
          <w:spacing w:val="-15"/>
        </w:rPr>
        <w:t> </w:t>
      </w:r>
      <w:r>
        <w:rPr/>
        <w:t>earnings management and disclosures of corporate governance information under SOX. </w:t>
      </w:r>
      <w:r>
        <w:rPr>
          <w:i/>
        </w:rPr>
        <w:t>International Journal of Accounting, 44</w:t>
      </w:r>
      <w:r>
        <w:rPr/>
        <w:t>(1), 1-32</w:t>
      </w:r>
    </w:p>
    <w:p>
      <w:pPr>
        <w:pStyle w:val="BodyText"/>
      </w:pPr>
    </w:p>
    <w:p>
      <w:pPr>
        <w:pStyle w:val="BodyText"/>
        <w:ind w:left="1571" w:right="1433" w:hanging="723"/>
        <w:jc w:val="both"/>
      </w:pPr>
      <w:r>
        <w:rPr/>
        <w:t>Chen, C. Y., Lin, C. J., &amp; Lin, Y. C. (2008).Audit partner tenure, audit firm tenure and discretionary</w:t>
      </w:r>
      <w:r>
        <w:rPr>
          <w:spacing w:val="-10"/>
        </w:rPr>
        <w:t> </w:t>
      </w:r>
      <w:r>
        <w:rPr/>
        <w:t>accruals:</w:t>
      </w:r>
      <w:r>
        <w:rPr>
          <w:spacing w:val="-11"/>
        </w:rPr>
        <w:t> </w:t>
      </w:r>
      <w:r>
        <w:rPr/>
        <w:t>Does</w:t>
      </w:r>
      <w:r>
        <w:rPr>
          <w:spacing w:val="-11"/>
        </w:rPr>
        <w:t> </w:t>
      </w:r>
      <w:r>
        <w:rPr/>
        <w:t>long</w:t>
      </w:r>
      <w:r>
        <w:rPr>
          <w:spacing w:val="-11"/>
        </w:rPr>
        <w:t> </w:t>
      </w:r>
      <w:r>
        <w:rPr/>
        <w:t>auditor</w:t>
      </w:r>
      <w:r>
        <w:rPr>
          <w:spacing w:val="-12"/>
        </w:rPr>
        <w:t> </w:t>
      </w:r>
      <w:r>
        <w:rPr/>
        <w:t>tenure</w:t>
      </w:r>
      <w:r>
        <w:rPr>
          <w:spacing w:val="-13"/>
        </w:rPr>
        <w:t> </w:t>
      </w:r>
      <w:r>
        <w:rPr/>
        <w:t>impair</w:t>
      </w:r>
      <w:r>
        <w:rPr>
          <w:spacing w:val="-12"/>
        </w:rPr>
        <w:t> </w:t>
      </w:r>
      <w:r>
        <w:rPr/>
        <w:t>earnings</w:t>
      </w:r>
      <w:r>
        <w:rPr>
          <w:spacing w:val="-12"/>
        </w:rPr>
        <w:t> </w:t>
      </w:r>
      <w:r>
        <w:rPr/>
        <w:t>quality?</w:t>
      </w:r>
      <w:r>
        <w:rPr>
          <w:spacing w:val="-5"/>
        </w:rPr>
        <w:t> </w:t>
      </w:r>
      <w:r>
        <w:rPr>
          <w:i/>
        </w:rPr>
        <w:t>Contemporary Accounting Research</w:t>
      </w:r>
      <w:r>
        <w:rPr/>
        <w:t>, </w:t>
      </w:r>
      <w:r>
        <w:rPr>
          <w:i/>
        </w:rPr>
        <w:t>25</w:t>
      </w:r>
      <w:r>
        <w:rPr/>
        <w:t>(2), 415-445.</w:t>
      </w:r>
    </w:p>
    <w:p>
      <w:pPr>
        <w:pStyle w:val="BodyText"/>
      </w:pPr>
    </w:p>
    <w:p>
      <w:pPr>
        <w:spacing w:before="1"/>
        <w:ind w:left="1571" w:right="1438" w:hanging="723"/>
        <w:jc w:val="both"/>
        <w:rPr>
          <w:sz w:val="24"/>
        </w:rPr>
      </w:pPr>
      <w:r>
        <w:rPr>
          <w:sz w:val="24"/>
        </w:rPr>
        <w:t>Chua, Y. L., Chee, S. C., &amp; Graeme, G. (2012). The impact of mandatory IFRS adoption on accounting quality: Evidence from Australia. </w:t>
      </w:r>
      <w:r>
        <w:rPr>
          <w:i/>
          <w:sz w:val="24"/>
        </w:rPr>
        <w:t>Journal of International Accounting Research, 11</w:t>
      </w:r>
      <w:r>
        <w:rPr>
          <w:sz w:val="24"/>
        </w:rPr>
        <w:t>(1), 119-146.</w:t>
      </w:r>
    </w:p>
    <w:p>
      <w:pPr>
        <w:pStyle w:val="BodyText"/>
      </w:pPr>
    </w:p>
    <w:p>
      <w:pPr>
        <w:spacing w:before="0"/>
        <w:ind w:left="1571" w:right="1436" w:hanging="723"/>
        <w:jc w:val="both"/>
        <w:rPr>
          <w:sz w:val="24"/>
        </w:rPr>
      </w:pPr>
      <w:r>
        <w:rPr>
          <w:sz w:val="24"/>
        </w:rPr>
        <w:t>Chung,</w:t>
      </w:r>
      <w:r>
        <w:rPr>
          <w:spacing w:val="-15"/>
          <w:sz w:val="24"/>
        </w:rPr>
        <w:t> </w:t>
      </w:r>
      <w:r>
        <w:rPr>
          <w:sz w:val="24"/>
        </w:rPr>
        <w:t>R.,</w:t>
      </w:r>
      <w:r>
        <w:rPr>
          <w:spacing w:val="-15"/>
          <w:sz w:val="24"/>
        </w:rPr>
        <w:t> </w:t>
      </w:r>
      <w:r>
        <w:rPr>
          <w:sz w:val="24"/>
        </w:rPr>
        <w:t>Firth,</w:t>
      </w:r>
      <w:r>
        <w:rPr>
          <w:spacing w:val="-15"/>
          <w:sz w:val="24"/>
        </w:rPr>
        <w:t> </w:t>
      </w:r>
      <w:r>
        <w:rPr>
          <w:sz w:val="24"/>
        </w:rPr>
        <w:t>M.,</w:t>
      </w:r>
      <w:r>
        <w:rPr>
          <w:spacing w:val="-15"/>
          <w:sz w:val="24"/>
        </w:rPr>
        <w:t> </w:t>
      </w:r>
      <w:r>
        <w:rPr>
          <w:sz w:val="24"/>
        </w:rPr>
        <w:t>&amp;</w:t>
      </w:r>
      <w:r>
        <w:rPr>
          <w:spacing w:val="-15"/>
          <w:sz w:val="24"/>
        </w:rPr>
        <w:t> </w:t>
      </w:r>
      <w:r>
        <w:rPr>
          <w:sz w:val="24"/>
        </w:rPr>
        <w:t>Kim,</w:t>
      </w:r>
      <w:r>
        <w:rPr>
          <w:spacing w:val="-15"/>
          <w:sz w:val="24"/>
        </w:rPr>
        <w:t> </w:t>
      </w:r>
      <w:r>
        <w:rPr>
          <w:sz w:val="24"/>
        </w:rPr>
        <w:t>J.</w:t>
      </w:r>
      <w:r>
        <w:rPr>
          <w:spacing w:val="-15"/>
          <w:sz w:val="24"/>
        </w:rPr>
        <w:t> </w:t>
      </w:r>
      <w:r>
        <w:rPr>
          <w:sz w:val="24"/>
        </w:rPr>
        <w:t>(2003).</w:t>
      </w:r>
      <w:r>
        <w:rPr>
          <w:spacing w:val="-15"/>
          <w:sz w:val="24"/>
        </w:rPr>
        <w:t> </w:t>
      </w:r>
      <w:r>
        <w:rPr>
          <w:sz w:val="24"/>
        </w:rPr>
        <w:t>Auditor</w:t>
      </w:r>
      <w:r>
        <w:rPr>
          <w:spacing w:val="-15"/>
          <w:sz w:val="24"/>
        </w:rPr>
        <w:t> </w:t>
      </w:r>
      <w:r>
        <w:rPr>
          <w:sz w:val="24"/>
        </w:rPr>
        <w:t>conservatism</w:t>
      </w:r>
      <w:r>
        <w:rPr>
          <w:spacing w:val="-15"/>
          <w:sz w:val="24"/>
        </w:rPr>
        <w:t> </w:t>
      </w:r>
      <w:r>
        <w:rPr>
          <w:sz w:val="24"/>
        </w:rPr>
        <w:t>and</w:t>
      </w:r>
      <w:r>
        <w:rPr>
          <w:spacing w:val="-15"/>
          <w:sz w:val="24"/>
        </w:rPr>
        <w:t> </w:t>
      </w:r>
      <w:r>
        <w:rPr>
          <w:sz w:val="24"/>
        </w:rPr>
        <w:t>reported</w:t>
      </w:r>
      <w:r>
        <w:rPr>
          <w:spacing w:val="-15"/>
          <w:sz w:val="24"/>
        </w:rPr>
        <w:t> </w:t>
      </w:r>
      <w:r>
        <w:rPr>
          <w:sz w:val="24"/>
        </w:rPr>
        <w:t>earnings.</w:t>
      </w:r>
      <w:r>
        <w:rPr>
          <w:spacing w:val="-13"/>
          <w:sz w:val="24"/>
        </w:rPr>
        <w:t> </w:t>
      </w:r>
      <w:r>
        <w:rPr>
          <w:i/>
          <w:sz w:val="24"/>
        </w:rPr>
        <w:t>Accounting Business Research</w:t>
      </w:r>
      <w:r>
        <w:rPr>
          <w:sz w:val="24"/>
        </w:rPr>
        <w:t>, </w:t>
      </w:r>
      <w:r>
        <w:rPr>
          <w:i/>
          <w:sz w:val="24"/>
        </w:rPr>
        <w:t>33</w:t>
      </w:r>
      <w:r>
        <w:rPr>
          <w:sz w:val="24"/>
        </w:rPr>
        <w:t>(4), 19-32.</w:t>
      </w:r>
    </w:p>
    <w:p>
      <w:pPr>
        <w:pStyle w:val="BodyText"/>
      </w:pPr>
    </w:p>
    <w:p>
      <w:pPr>
        <w:spacing w:before="0"/>
        <w:ind w:left="1571" w:right="1434" w:hanging="723"/>
        <w:jc w:val="both"/>
        <w:rPr>
          <w:sz w:val="24"/>
        </w:rPr>
      </w:pPr>
      <w:r>
        <w:rPr>
          <w:sz w:val="24"/>
        </w:rPr>
        <w:t>Cohen, J. R., Gaynor, L. M., Krishnamoorthy, G., &amp; Wright, A. M. (2011). The impact on auditor judgments of CEO influence on audit committee independence. </w:t>
      </w:r>
      <w:r>
        <w:rPr>
          <w:i/>
          <w:sz w:val="24"/>
        </w:rPr>
        <w:t>Auditing: A Journal of Practice &amp; Theory, 30</w:t>
      </w:r>
      <w:r>
        <w:rPr>
          <w:sz w:val="24"/>
        </w:rPr>
        <w:t>(4), 129- 147.</w:t>
      </w:r>
    </w:p>
    <w:p>
      <w:pPr>
        <w:pStyle w:val="BodyText"/>
      </w:pPr>
    </w:p>
    <w:p>
      <w:pPr>
        <w:spacing w:before="0"/>
        <w:ind w:left="1571" w:right="1437" w:hanging="723"/>
        <w:jc w:val="both"/>
        <w:rPr>
          <w:sz w:val="24"/>
        </w:rPr>
      </w:pPr>
      <w:r>
        <w:rPr>
          <w:sz w:val="24"/>
        </w:rPr>
        <w:t>Collins,</w:t>
      </w:r>
      <w:r>
        <w:rPr>
          <w:spacing w:val="-15"/>
          <w:sz w:val="24"/>
        </w:rPr>
        <w:t> </w:t>
      </w:r>
      <w:r>
        <w:rPr>
          <w:sz w:val="24"/>
        </w:rPr>
        <w:t>D.,</w:t>
      </w:r>
      <w:r>
        <w:rPr>
          <w:spacing w:val="-15"/>
          <w:sz w:val="24"/>
        </w:rPr>
        <w:t> </w:t>
      </w:r>
      <w:r>
        <w:rPr>
          <w:sz w:val="24"/>
        </w:rPr>
        <w:t>&amp;Kothari,</w:t>
      </w:r>
      <w:r>
        <w:rPr>
          <w:spacing w:val="-15"/>
          <w:sz w:val="24"/>
        </w:rPr>
        <w:t> </w:t>
      </w:r>
      <w:r>
        <w:rPr>
          <w:sz w:val="24"/>
        </w:rPr>
        <w:t>S.</w:t>
      </w:r>
      <w:r>
        <w:rPr>
          <w:spacing w:val="-15"/>
          <w:sz w:val="24"/>
        </w:rPr>
        <w:t> </w:t>
      </w:r>
      <w:r>
        <w:rPr>
          <w:sz w:val="24"/>
        </w:rPr>
        <w:t>(1989).</w:t>
      </w:r>
      <w:r>
        <w:rPr>
          <w:spacing w:val="-15"/>
          <w:sz w:val="24"/>
        </w:rPr>
        <w:t> </w:t>
      </w:r>
      <w:r>
        <w:rPr>
          <w:sz w:val="24"/>
        </w:rPr>
        <w:t>An</w:t>
      </w:r>
      <w:r>
        <w:rPr>
          <w:spacing w:val="-15"/>
          <w:sz w:val="24"/>
        </w:rPr>
        <w:t> </w:t>
      </w:r>
      <w:r>
        <w:rPr>
          <w:sz w:val="24"/>
        </w:rPr>
        <w:t>analysis</w:t>
      </w:r>
      <w:r>
        <w:rPr>
          <w:spacing w:val="-15"/>
          <w:sz w:val="24"/>
        </w:rPr>
        <w:t> </w:t>
      </w:r>
      <w:r>
        <w:rPr>
          <w:sz w:val="24"/>
        </w:rPr>
        <w:t>of</w:t>
      </w:r>
      <w:r>
        <w:rPr>
          <w:spacing w:val="-15"/>
          <w:sz w:val="24"/>
        </w:rPr>
        <w:t> </w:t>
      </w:r>
      <w:r>
        <w:rPr>
          <w:sz w:val="24"/>
        </w:rPr>
        <w:t>inter-temporal</w:t>
      </w:r>
      <w:r>
        <w:rPr>
          <w:spacing w:val="-15"/>
          <w:sz w:val="24"/>
        </w:rPr>
        <w:t> </w:t>
      </w:r>
      <w:r>
        <w:rPr>
          <w:sz w:val="24"/>
        </w:rPr>
        <w:t>and</w:t>
      </w:r>
      <w:r>
        <w:rPr>
          <w:spacing w:val="-15"/>
          <w:sz w:val="24"/>
        </w:rPr>
        <w:t> </w:t>
      </w:r>
      <w:r>
        <w:rPr>
          <w:sz w:val="24"/>
        </w:rPr>
        <w:t>cross-</w:t>
      </w:r>
      <w:r>
        <w:rPr>
          <w:spacing w:val="-15"/>
          <w:sz w:val="24"/>
        </w:rPr>
        <w:t> </w:t>
      </w:r>
      <w:r>
        <w:rPr>
          <w:sz w:val="24"/>
        </w:rPr>
        <w:t>sectional</w:t>
      </w:r>
      <w:r>
        <w:rPr>
          <w:spacing w:val="-15"/>
          <w:sz w:val="24"/>
        </w:rPr>
        <w:t> </w:t>
      </w:r>
      <w:r>
        <w:rPr>
          <w:sz w:val="24"/>
        </w:rPr>
        <w:t>determinants of earnings responses coefficients. </w:t>
      </w:r>
      <w:r>
        <w:rPr>
          <w:i/>
          <w:sz w:val="24"/>
        </w:rPr>
        <w:t>Journal of Accounting and Economics, 11</w:t>
      </w:r>
      <w:r>
        <w:rPr>
          <w:sz w:val="24"/>
        </w:rPr>
        <w:t>(5), 143- </w:t>
      </w:r>
      <w:r>
        <w:rPr>
          <w:spacing w:val="-4"/>
          <w:sz w:val="24"/>
        </w:rPr>
        <w:t>181.</w:t>
      </w:r>
    </w:p>
    <w:p>
      <w:pPr>
        <w:pStyle w:val="BodyText"/>
        <w:spacing w:before="240"/>
        <w:ind w:left="849"/>
      </w:pPr>
      <w:r>
        <w:rPr/>
        <w:t>Conger,</w:t>
      </w:r>
      <w:r>
        <w:rPr>
          <w:spacing w:val="46"/>
        </w:rPr>
        <w:t> </w:t>
      </w:r>
      <w:r>
        <w:rPr/>
        <w:t>J.</w:t>
      </w:r>
      <w:r>
        <w:rPr>
          <w:spacing w:val="49"/>
        </w:rPr>
        <w:t> </w:t>
      </w:r>
      <w:r>
        <w:rPr/>
        <w:t>A.,</w:t>
      </w:r>
      <w:r>
        <w:rPr>
          <w:spacing w:val="49"/>
        </w:rPr>
        <w:t> </w:t>
      </w:r>
      <w:r>
        <w:rPr/>
        <w:t>Finegold,</w:t>
      </w:r>
      <w:r>
        <w:rPr>
          <w:spacing w:val="49"/>
        </w:rPr>
        <w:t> </w:t>
      </w:r>
      <w:r>
        <w:rPr/>
        <w:t>D.,</w:t>
      </w:r>
      <w:r>
        <w:rPr>
          <w:spacing w:val="51"/>
        </w:rPr>
        <w:t> </w:t>
      </w:r>
      <w:r>
        <w:rPr/>
        <w:t>&amp;</w:t>
      </w:r>
      <w:r>
        <w:rPr>
          <w:spacing w:val="49"/>
        </w:rPr>
        <w:t> </w:t>
      </w:r>
      <w:r>
        <w:rPr/>
        <w:t>Lawler,</w:t>
      </w:r>
      <w:r>
        <w:rPr>
          <w:spacing w:val="48"/>
        </w:rPr>
        <w:t> </w:t>
      </w:r>
      <w:r>
        <w:rPr/>
        <w:t>E.</w:t>
      </w:r>
      <w:r>
        <w:rPr>
          <w:spacing w:val="49"/>
        </w:rPr>
        <w:t> </w:t>
      </w:r>
      <w:r>
        <w:rPr/>
        <w:t>E.</w:t>
      </w:r>
      <w:r>
        <w:rPr>
          <w:spacing w:val="51"/>
        </w:rPr>
        <w:t> </w:t>
      </w:r>
      <w:r>
        <w:rPr/>
        <w:t>(1998).</w:t>
      </w:r>
      <w:r>
        <w:rPr>
          <w:spacing w:val="50"/>
        </w:rPr>
        <w:t> </w:t>
      </w:r>
      <w:r>
        <w:rPr/>
        <w:t>Appraising</w:t>
      </w:r>
      <w:r>
        <w:rPr>
          <w:spacing w:val="49"/>
        </w:rPr>
        <w:t> </w:t>
      </w:r>
      <w:r>
        <w:rPr/>
        <w:t>boardroom</w:t>
      </w:r>
      <w:r>
        <w:rPr>
          <w:spacing w:val="49"/>
        </w:rPr>
        <w:t> </w:t>
      </w:r>
      <w:r>
        <w:rPr>
          <w:spacing w:val="-2"/>
        </w:rPr>
        <w:t>performance</w:t>
      </w:r>
    </w:p>
    <w:p>
      <w:pPr>
        <w:spacing w:before="1"/>
        <w:ind w:left="1571" w:right="0" w:firstLine="0"/>
        <w:jc w:val="left"/>
        <w:rPr>
          <w:sz w:val="24"/>
        </w:rPr>
      </w:pPr>
      <w:r>
        <w:rPr>
          <w:i/>
          <w:sz w:val="24"/>
        </w:rPr>
        <w:t>Harvard</w:t>
      </w:r>
      <w:r>
        <w:rPr>
          <w:i/>
          <w:spacing w:val="-1"/>
          <w:sz w:val="24"/>
        </w:rPr>
        <w:t> </w:t>
      </w:r>
      <w:r>
        <w:rPr>
          <w:i/>
          <w:sz w:val="24"/>
        </w:rPr>
        <w:t>Business</w:t>
      </w:r>
      <w:r>
        <w:rPr>
          <w:i/>
          <w:spacing w:val="-1"/>
          <w:sz w:val="24"/>
        </w:rPr>
        <w:t> </w:t>
      </w:r>
      <w:r>
        <w:rPr>
          <w:i/>
          <w:sz w:val="24"/>
        </w:rPr>
        <w:t>Review,</w:t>
      </w:r>
      <w:r>
        <w:rPr>
          <w:i/>
          <w:spacing w:val="-1"/>
          <w:sz w:val="24"/>
        </w:rPr>
        <w:t> </w:t>
      </w:r>
      <w:r>
        <w:rPr>
          <w:i/>
          <w:sz w:val="24"/>
        </w:rPr>
        <w:t>76</w:t>
      </w:r>
      <w:r>
        <w:rPr>
          <w:sz w:val="24"/>
        </w:rPr>
        <w:t>(6),</w:t>
      </w:r>
      <w:r>
        <w:rPr>
          <w:spacing w:val="-1"/>
          <w:sz w:val="24"/>
        </w:rPr>
        <w:t> </w:t>
      </w:r>
      <w:r>
        <w:rPr>
          <w:sz w:val="24"/>
        </w:rPr>
        <w:t>136-</w:t>
      </w:r>
      <w:r>
        <w:rPr>
          <w:spacing w:val="-4"/>
          <w:sz w:val="24"/>
        </w:rPr>
        <w:t>164.</w:t>
      </w:r>
    </w:p>
    <w:p>
      <w:pPr>
        <w:spacing w:after="0"/>
        <w:jc w:val="left"/>
        <w:rPr>
          <w:sz w:val="24"/>
        </w:rPr>
        <w:sectPr>
          <w:pgSz w:w="11910" w:h="16840"/>
          <w:pgMar w:header="0" w:footer="971" w:top="1620" w:bottom="1160" w:left="500" w:right="0"/>
        </w:sectPr>
      </w:pPr>
    </w:p>
    <w:p>
      <w:pPr>
        <w:pStyle w:val="BodyText"/>
        <w:spacing w:before="61"/>
        <w:ind w:left="1571" w:right="1438" w:hanging="723"/>
        <w:jc w:val="both"/>
      </w:pPr>
      <w:r>
        <w:rPr/>
        <w:t>Cormier, D. (2013). The incidence of corporate governance and IFRS on information asymmetry and value relevance of earnings: Some Canadian evidence. Retrieved from </w:t>
      </w:r>
      <w:hyperlink r:id="rId13">
        <w:r>
          <w:rPr>
            <w:spacing w:val="-2"/>
            <w:u w:val="single"/>
          </w:rPr>
          <w:t>www.researchgate.com</w:t>
        </w:r>
      </w:hyperlink>
    </w:p>
    <w:p>
      <w:pPr>
        <w:pStyle w:val="BodyText"/>
        <w:spacing w:before="240"/>
        <w:ind w:left="823" w:right="1419"/>
        <w:jc w:val="center"/>
      </w:pPr>
      <w:r>
        <w:rPr/>
        <w:t>Couderc,</w:t>
      </w:r>
      <w:r>
        <w:rPr>
          <w:spacing w:val="65"/>
        </w:rPr>
        <w:t> </w:t>
      </w:r>
      <w:r>
        <w:rPr/>
        <w:t>N.</w:t>
      </w:r>
      <w:r>
        <w:rPr>
          <w:spacing w:val="70"/>
        </w:rPr>
        <w:t> </w:t>
      </w:r>
      <w:r>
        <w:rPr/>
        <w:t>(2005).</w:t>
      </w:r>
      <w:r>
        <w:rPr>
          <w:spacing w:val="67"/>
        </w:rPr>
        <w:t> </w:t>
      </w:r>
      <w:r>
        <w:rPr/>
        <w:t>Corporate</w:t>
      </w:r>
      <w:r>
        <w:rPr>
          <w:spacing w:val="69"/>
        </w:rPr>
        <w:t> </w:t>
      </w:r>
      <w:r>
        <w:rPr/>
        <w:t>cash</w:t>
      </w:r>
      <w:r>
        <w:rPr>
          <w:spacing w:val="68"/>
        </w:rPr>
        <w:t> </w:t>
      </w:r>
      <w:r>
        <w:rPr/>
        <w:t>holdings:</w:t>
      </w:r>
      <w:r>
        <w:rPr>
          <w:spacing w:val="70"/>
        </w:rPr>
        <w:t> </w:t>
      </w:r>
      <w:r>
        <w:rPr/>
        <w:t>Financial</w:t>
      </w:r>
      <w:r>
        <w:rPr>
          <w:spacing w:val="68"/>
        </w:rPr>
        <w:t> </w:t>
      </w:r>
      <w:r>
        <w:rPr/>
        <w:t>determinants</w:t>
      </w:r>
      <w:r>
        <w:rPr>
          <w:spacing w:val="69"/>
        </w:rPr>
        <w:t> </w:t>
      </w:r>
      <w:r>
        <w:rPr/>
        <w:t>and</w:t>
      </w:r>
      <w:r>
        <w:rPr>
          <w:spacing w:val="68"/>
        </w:rPr>
        <w:t> </w:t>
      </w:r>
      <w:r>
        <w:rPr>
          <w:spacing w:val="-2"/>
        </w:rPr>
        <w:t>consequences.</w:t>
      </w:r>
    </w:p>
    <w:p>
      <w:pPr>
        <w:spacing w:before="0"/>
        <w:ind w:left="1571" w:right="0" w:firstLine="0"/>
        <w:jc w:val="left"/>
        <w:rPr>
          <w:i/>
          <w:sz w:val="24"/>
        </w:rPr>
      </w:pPr>
      <w:r>
        <w:rPr>
          <w:i/>
          <w:sz w:val="24"/>
        </w:rPr>
        <w:t>Working</w:t>
      </w:r>
      <w:r>
        <w:rPr>
          <w:i/>
          <w:spacing w:val="-2"/>
          <w:sz w:val="24"/>
        </w:rPr>
        <w:t> Paper.</w:t>
      </w:r>
    </w:p>
    <w:p>
      <w:pPr>
        <w:spacing w:before="239"/>
        <w:ind w:left="1571" w:right="1431" w:hanging="723"/>
        <w:jc w:val="both"/>
        <w:rPr>
          <w:sz w:val="22"/>
        </w:rPr>
      </w:pPr>
      <w:r>
        <w:rPr>
          <w:sz w:val="22"/>
        </w:rPr>
        <w:t>Covrig,</w:t>
      </w:r>
      <w:r>
        <w:rPr>
          <w:spacing w:val="-13"/>
          <w:sz w:val="22"/>
        </w:rPr>
        <w:t> </w:t>
      </w:r>
      <w:r>
        <w:rPr>
          <w:sz w:val="22"/>
        </w:rPr>
        <w:t>V.,</w:t>
      </w:r>
      <w:r>
        <w:rPr>
          <w:spacing w:val="-11"/>
          <w:sz w:val="22"/>
        </w:rPr>
        <w:t> </w:t>
      </w:r>
      <w:r>
        <w:rPr>
          <w:sz w:val="22"/>
        </w:rPr>
        <w:t>DeFond,</w:t>
      </w:r>
      <w:r>
        <w:rPr>
          <w:spacing w:val="-13"/>
          <w:sz w:val="22"/>
        </w:rPr>
        <w:t> </w:t>
      </w:r>
      <w:r>
        <w:rPr>
          <w:sz w:val="22"/>
        </w:rPr>
        <w:t>M.,</w:t>
      </w:r>
      <w:r>
        <w:rPr>
          <w:spacing w:val="-13"/>
          <w:sz w:val="22"/>
        </w:rPr>
        <w:t> </w:t>
      </w:r>
      <w:r>
        <w:rPr>
          <w:sz w:val="22"/>
        </w:rPr>
        <w:t>&amp;</w:t>
      </w:r>
      <w:r>
        <w:rPr>
          <w:spacing w:val="-12"/>
          <w:sz w:val="22"/>
        </w:rPr>
        <w:t> </w:t>
      </w:r>
      <w:r>
        <w:rPr>
          <w:sz w:val="22"/>
        </w:rPr>
        <w:t>Hung,</w:t>
      </w:r>
      <w:r>
        <w:rPr>
          <w:spacing w:val="-11"/>
          <w:sz w:val="22"/>
        </w:rPr>
        <w:t> </w:t>
      </w:r>
      <w:r>
        <w:rPr>
          <w:sz w:val="22"/>
        </w:rPr>
        <w:t>M</w:t>
      </w:r>
      <w:r>
        <w:rPr>
          <w:spacing w:val="-13"/>
          <w:sz w:val="22"/>
        </w:rPr>
        <w:t> </w:t>
      </w:r>
      <w:r>
        <w:rPr>
          <w:sz w:val="22"/>
        </w:rPr>
        <w:t>(2007).</w:t>
      </w:r>
      <w:r>
        <w:rPr>
          <w:spacing w:val="-13"/>
          <w:sz w:val="22"/>
        </w:rPr>
        <w:t> </w:t>
      </w:r>
      <w:r>
        <w:rPr>
          <w:sz w:val="22"/>
        </w:rPr>
        <w:t>Home</w:t>
      </w:r>
      <w:r>
        <w:rPr>
          <w:spacing w:val="-11"/>
          <w:sz w:val="22"/>
        </w:rPr>
        <w:t> </w:t>
      </w:r>
      <w:r>
        <w:rPr>
          <w:sz w:val="22"/>
        </w:rPr>
        <w:t>bias,</w:t>
      </w:r>
      <w:r>
        <w:rPr>
          <w:spacing w:val="-11"/>
          <w:sz w:val="22"/>
        </w:rPr>
        <w:t> </w:t>
      </w:r>
      <w:r>
        <w:rPr>
          <w:sz w:val="22"/>
        </w:rPr>
        <w:t>foreign</w:t>
      </w:r>
      <w:r>
        <w:rPr>
          <w:spacing w:val="-13"/>
          <w:sz w:val="22"/>
        </w:rPr>
        <w:t> </w:t>
      </w:r>
      <w:r>
        <w:rPr>
          <w:sz w:val="22"/>
        </w:rPr>
        <w:t>mutual</w:t>
      </w:r>
      <w:r>
        <w:rPr>
          <w:spacing w:val="-12"/>
          <w:sz w:val="22"/>
        </w:rPr>
        <w:t> </w:t>
      </w:r>
      <w:r>
        <w:rPr>
          <w:sz w:val="22"/>
        </w:rPr>
        <w:t>fund</w:t>
      </w:r>
      <w:r>
        <w:rPr>
          <w:spacing w:val="-9"/>
          <w:sz w:val="22"/>
        </w:rPr>
        <w:t> </w:t>
      </w:r>
      <w:r>
        <w:rPr>
          <w:sz w:val="22"/>
        </w:rPr>
        <w:t>holdings,</w:t>
      </w:r>
      <w:r>
        <w:rPr>
          <w:spacing w:val="-11"/>
          <w:sz w:val="22"/>
        </w:rPr>
        <w:t> </w:t>
      </w:r>
      <w:r>
        <w:rPr>
          <w:sz w:val="22"/>
        </w:rPr>
        <w:t>and</w:t>
      </w:r>
      <w:r>
        <w:rPr>
          <w:spacing w:val="-9"/>
          <w:sz w:val="22"/>
        </w:rPr>
        <w:t> </w:t>
      </w:r>
      <w:r>
        <w:rPr>
          <w:sz w:val="22"/>
        </w:rPr>
        <w:t>the</w:t>
      </w:r>
      <w:r>
        <w:rPr>
          <w:spacing w:val="-13"/>
          <w:sz w:val="22"/>
        </w:rPr>
        <w:t> </w:t>
      </w:r>
      <w:r>
        <w:rPr>
          <w:sz w:val="22"/>
        </w:rPr>
        <w:t>voluntary adoption</w:t>
      </w:r>
      <w:r>
        <w:rPr>
          <w:spacing w:val="-10"/>
          <w:sz w:val="22"/>
        </w:rPr>
        <w:t> </w:t>
      </w:r>
      <w:r>
        <w:rPr>
          <w:sz w:val="22"/>
        </w:rPr>
        <w:t>of</w:t>
      </w:r>
      <w:r>
        <w:rPr>
          <w:spacing w:val="-8"/>
          <w:sz w:val="22"/>
        </w:rPr>
        <w:t> </w:t>
      </w:r>
      <w:r>
        <w:rPr>
          <w:sz w:val="22"/>
        </w:rPr>
        <w:t>International</w:t>
      </w:r>
      <w:r>
        <w:rPr>
          <w:spacing w:val="-8"/>
          <w:sz w:val="22"/>
        </w:rPr>
        <w:t> </w:t>
      </w:r>
      <w:r>
        <w:rPr>
          <w:sz w:val="22"/>
        </w:rPr>
        <w:t>Accounting</w:t>
      </w:r>
      <w:r>
        <w:rPr>
          <w:spacing w:val="-12"/>
          <w:sz w:val="22"/>
        </w:rPr>
        <w:t> </w:t>
      </w:r>
      <w:r>
        <w:rPr>
          <w:sz w:val="22"/>
        </w:rPr>
        <w:t>Standards.</w:t>
      </w:r>
      <w:r>
        <w:rPr>
          <w:spacing w:val="-5"/>
          <w:sz w:val="22"/>
        </w:rPr>
        <w:t> </w:t>
      </w:r>
      <w:r>
        <w:rPr>
          <w:i/>
          <w:sz w:val="22"/>
        </w:rPr>
        <w:t>Journal</w:t>
      </w:r>
      <w:r>
        <w:rPr>
          <w:i/>
          <w:spacing w:val="-8"/>
          <w:sz w:val="22"/>
        </w:rPr>
        <w:t> </w:t>
      </w:r>
      <w:r>
        <w:rPr>
          <w:i/>
          <w:sz w:val="22"/>
        </w:rPr>
        <w:t>of</w:t>
      </w:r>
      <w:r>
        <w:rPr>
          <w:i/>
          <w:spacing w:val="-10"/>
          <w:sz w:val="22"/>
        </w:rPr>
        <w:t> </w:t>
      </w:r>
      <w:r>
        <w:rPr>
          <w:i/>
          <w:sz w:val="22"/>
        </w:rPr>
        <w:t>Accounting</w:t>
      </w:r>
      <w:r>
        <w:rPr>
          <w:i/>
          <w:spacing w:val="-9"/>
          <w:sz w:val="22"/>
        </w:rPr>
        <w:t> </w:t>
      </w:r>
      <w:r>
        <w:rPr>
          <w:i/>
          <w:sz w:val="22"/>
        </w:rPr>
        <w:t>Research,</w:t>
      </w:r>
      <w:r>
        <w:rPr>
          <w:i/>
          <w:spacing w:val="-10"/>
          <w:sz w:val="22"/>
        </w:rPr>
        <w:t> </w:t>
      </w:r>
      <w:r>
        <w:rPr>
          <w:i/>
          <w:sz w:val="22"/>
        </w:rPr>
        <w:t>45</w:t>
      </w:r>
      <w:r>
        <w:rPr>
          <w:sz w:val="22"/>
        </w:rPr>
        <w:t>(5),</w:t>
      </w:r>
      <w:r>
        <w:rPr>
          <w:spacing w:val="-9"/>
          <w:sz w:val="22"/>
        </w:rPr>
        <w:t> </w:t>
      </w:r>
      <w:r>
        <w:rPr>
          <w:spacing w:val="-2"/>
          <w:sz w:val="22"/>
        </w:rPr>
        <w:t>41–70.</w:t>
      </w:r>
    </w:p>
    <w:p>
      <w:pPr>
        <w:pStyle w:val="BodyText"/>
        <w:spacing w:before="241"/>
        <w:ind w:left="1571" w:right="1447" w:hanging="723"/>
        <w:jc w:val="both"/>
      </w:pPr>
      <w:r>
        <w:rPr/>
        <w:drawing>
          <wp:anchor distT="0" distB="0" distL="0" distR="0" allowOverlap="1" layoutInCell="1" locked="0" behindDoc="1" simplePos="0" relativeHeight="477771264">
            <wp:simplePos x="0" y="0"/>
            <wp:positionH relativeFrom="page">
              <wp:posOffset>1095451</wp:posOffset>
            </wp:positionH>
            <wp:positionV relativeFrom="paragraph">
              <wp:posOffset>310362</wp:posOffset>
            </wp:positionV>
            <wp:extent cx="5106847" cy="5238115"/>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5" cstate="print"/>
                    <a:stretch>
                      <a:fillRect/>
                    </a:stretch>
                  </pic:blipFill>
                  <pic:spPr>
                    <a:xfrm>
                      <a:off x="0" y="0"/>
                      <a:ext cx="5106847" cy="5238115"/>
                    </a:xfrm>
                    <a:prstGeom prst="rect">
                      <a:avLst/>
                    </a:prstGeom>
                  </pic:spPr>
                </pic:pic>
              </a:graphicData>
            </a:graphic>
          </wp:anchor>
        </w:drawing>
      </w:r>
      <w:r>
        <w:rPr/>
        <w:t>Cruz, A.F. (2015). Essays in cash holdings. Thesis submitted to the graduate programme in business management at University of Brasilia. Retrieved from repositorio.unb.br.</w:t>
      </w:r>
    </w:p>
    <w:p>
      <w:pPr>
        <w:pStyle w:val="BodyText"/>
        <w:spacing w:before="241"/>
        <w:ind w:left="1571" w:right="1445" w:hanging="723"/>
        <w:jc w:val="both"/>
      </w:pPr>
      <w:r>
        <w:rPr/>
        <w:t>Daily, C. M., &amp; Dalton, D. R. (1994b). Corporate governance and the bankrupt firm: An empirical assessment. </w:t>
      </w:r>
      <w:r>
        <w:rPr>
          <w:i/>
        </w:rPr>
        <w:t>Strategic Management Journal</w:t>
      </w:r>
      <w:r>
        <w:rPr/>
        <w:t>, </w:t>
      </w:r>
      <w:r>
        <w:rPr>
          <w:i/>
        </w:rPr>
        <w:t>15</w:t>
      </w:r>
      <w:r>
        <w:rPr/>
        <w:t>(3), 643–654.</w:t>
      </w:r>
    </w:p>
    <w:p>
      <w:pPr>
        <w:pStyle w:val="BodyText"/>
      </w:pPr>
    </w:p>
    <w:p>
      <w:pPr>
        <w:pStyle w:val="BodyText"/>
        <w:ind w:left="1571" w:right="1437" w:hanging="723"/>
        <w:jc w:val="both"/>
      </w:pPr>
      <w:r>
        <w:rPr/>
        <w:t>Daske,</w:t>
      </w:r>
      <w:r>
        <w:rPr>
          <w:spacing w:val="-5"/>
        </w:rPr>
        <w:t> </w:t>
      </w:r>
      <w:r>
        <w:rPr/>
        <w:t>H.,</w:t>
      </w:r>
      <w:r>
        <w:rPr>
          <w:spacing w:val="-5"/>
        </w:rPr>
        <w:t> </w:t>
      </w:r>
      <w:r>
        <w:rPr/>
        <w:t>Hail,</w:t>
      </w:r>
      <w:r>
        <w:rPr>
          <w:spacing w:val="-5"/>
        </w:rPr>
        <w:t> </w:t>
      </w:r>
      <w:r>
        <w:rPr/>
        <w:t>L.,</w:t>
      </w:r>
      <w:r>
        <w:rPr>
          <w:spacing w:val="-5"/>
        </w:rPr>
        <w:t> </w:t>
      </w:r>
      <w:r>
        <w:rPr/>
        <w:t>Leuz,</w:t>
      </w:r>
      <w:r>
        <w:rPr>
          <w:spacing w:val="-5"/>
        </w:rPr>
        <w:t> </w:t>
      </w:r>
      <w:r>
        <w:rPr/>
        <w:t>C.,</w:t>
      </w:r>
      <w:r>
        <w:rPr>
          <w:spacing w:val="-5"/>
        </w:rPr>
        <w:t> </w:t>
      </w:r>
      <w:r>
        <w:rPr/>
        <w:t>&amp;</w:t>
      </w:r>
      <w:r>
        <w:rPr>
          <w:spacing w:val="-4"/>
        </w:rPr>
        <w:t> </w:t>
      </w:r>
      <w:r>
        <w:rPr/>
        <w:t>Verdi,</w:t>
      </w:r>
      <w:r>
        <w:rPr>
          <w:spacing w:val="-5"/>
        </w:rPr>
        <w:t> </w:t>
      </w:r>
      <w:r>
        <w:rPr/>
        <w:t>R.</w:t>
      </w:r>
      <w:r>
        <w:rPr>
          <w:spacing w:val="-5"/>
        </w:rPr>
        <w:t> </w:t>
      </w:r>
      <w:r>
        <w:rPr/>
        <w:t>(2008).</w:t>
      </w:r>
      <w:r>
        <w:rPr>
          <w:spacing w:val="-2"/>
        </w:rPr>
        <w:t> </w:t>
      </w:r>
      <w:r>
        <w:rPr/>
        <w:t>Mandatory</w:t>
      </w:r>
      <w:r>
        <w:rPr>
          <w:spacing w:val="-3"/>
        </w:rPr>
        <w:t> </w:t>
      </w:r>
      <w:r>
        <w:rPr/>
        <w:t>IFRS</w:t>
      </w:r>
      <w:r>
        <w:rPr>
          <w:spacing w:val="-4"/>
        </w:rPr>
        <w:t> </w:t>
      </w:r>
      <w:r>
        <w:rPr/>
        <w:t>reporting</w:t>
      </w:r>
      <w:r>
        <w:rPr>
          <w:spacing w:val="-5"/>
        </w:rPr>
        <w:t> </w:t>
      </w:r>
      <w:r>
        <w:rPr/>
        <w:t>around</w:t>
      </w:r>
      <w:r>
        <w:rPr>
          <w:spacing w:val="-6"/>
        </w:rPr>
        <w:t> </w:t>
      </w:r>
      <w:r>
        <w:rPr/>
        <w:t>the</w:t>
      </w:r>
      <w:r>
        <w:rPr>
          <w:spacing w:val="-5"/>
        </w:rPr>
        <w:t> </w:t>
      </w:r>
      <w:r>
        <w:rPr/>
        <w:t>world: Early</w:t>
      </w:r>
      <w:r>
        <w:rPr>
          <w:spacing w:val="-3"/>
        </w:rPr>
        <w:t> </w:t>
      </w:r>
      <w:r>
        <w:rPr/>
        <w:t>evidence</w:t>
      </w:r>
      <w:r>
        <w:rPr>
          <w:spacing w:val="-3"/>
        </w:rPr>
        <w:t> </w:t>
      </w:r>
      <w:r>
        <w:rPr/>
        <w:t>on</w:t>
      </w:r>
      <w:r>
        <w:rPr>
          <w:spacing w:val="-2"/>
        </w:rPr>
        <w:t> </w:t>
      </w:r>
      <w:r>
        <w:rPr/>
        <w:t>the</w:t>
      </w:r>
      <w:r>
        <w:rPr>
          <w:spacing w:val="-3"/>
        </w:rPr>
        <w:t> </w:t>
      </w:r>
      <w:r>
        <w:rPr/>
        <w:t>economic</w:t>
      </w:r>
      <w:r>
        <w:rPr>
          <w:spacing w:val="-3"/>
        </w:rPr>
        <w:t> </w:t>
      </w:r>
      <w:r>
        <w:rPr/>
        <w:t>consequences. </w:t>
      </w:r>
      <w:r>
        <w:rPr>
          <w:i/>
        </w:rPr>
        <w:t>Journal</w:t>
      </w:r>
      <w:r>
        <w:rPr>
          <w:i/>
          <w:spacing w:val="-2"/>
        </w:rPr>
        <w:t> </w:t>
      </w:r>
      <w:r>
        <w:rPr>
          <w:i/>
        </w:rPr>
        <w:t>of</w:t>
      </w:r>
      <w:r>
        <w:rPr>
          <w:i/>
          <w:spacing w:val="-2"/>
        </w:rPr>
        <w:t> </w:t>
      </w:r>
      <w:r>
        <w:rPr>
          <w:i/>
        </w:rPr>
        <w:t>Accounting</w:t>
      </w:r>
      <w:r>
        <w:rPr>
          <w:i/>
          <w:spacing w:val="-2"/>
        </w:rPr>
        <w:t> </w:t>
      </w:r>
      <w:r>
        <w:rPr>
          <w:i/>
        </w:rPr>
        <w:t>Research,</w:t>
      </w:r>
      <w:r>
        <w:rPr>
          <w:i/>
          <w:spacing w:val="-2"/>
        </w:rPr>
        <w:t> </w:t>
      </w:r>
      <w:r>
        <w:rPr>
          <w:i/>
        </w:rPr>
        <w:t>46</w:t>
      </w:r>
      <w:r>
        <w:rPr/>
        <w:t>(5), </w:t>
      </w:r>
      <w:r>
        <w:rPr>
          <w:spacing w:val="-2"/>
        </w:rPr>
        <w:t>1085–1142.</w:t>
      </w:r>
    </w:p>
    <w:p>
      <w:pPr>
        <w:pStyle w:val="BodyText"/>
      </w:pPr>
    </w:p>
    <w:p>
      <w:pPr>
        <w:spacing w:before="0"/>
        <w:ind w:left="823" w:right="1420" w:firstLine="0"/>
        <w:jc w:val="center"/>
        <w:rPr>
          <w:sz w:val="24"/>
        </w:rPr>
      </w:pPr>
      <w:r>
        <w:rPr>
          <w:sz w:val="24"/>
        </w:rPr>
        <w:t>Dabor, E. L., &amp; Adeyemi, S. B. (2009). Corporate governance and the credibility of financial statement. </w:t>
      </w:r>
      <w:r>
        <w:rPr>
          <w:i/>
          <w:sz w:val="24"/>
        </w:rPr>
        <w:t>Journal of Business Systems, Governance and Ethics, 4</w:t>
      </w:r>
      <w:r>
        <w:rPr>
          <w:sz w:val="24"/>
        </w:rPr>
        <w:t>(1), 312-331.</w:t>
      </w:r>
    </w:p>
    <w:p>
      <w:pPr>
        <w:pStyle w:val="BodyText"/>
      </w:pPr>
    </w:p>
    <w:p>
      <w:pPr>
        <w:spacing w:before="0"/>
        <w:ind w:left="1571" w:right="1438" w:hanging="723"/>
        <w:jc w:val="both"/>
        <w:rPr>
          <w:sz w:val="24"/>
        </w:rPr>
      </w:pPr>
      <w:r>
        <w:rPr>
          <w:sz w:val="24"/>
        </w:rPr>
        <w:t>DeAngelo, L. (1981). Auditor size and audit quality. </w:t>
      </w:r>
      <w:r>
        <w:rPr>
          <w:i/>
          <w:sz w:val="24"/>
        </w:rPr>
        <w:t>Journal of Accounting and Economics</w:t>
      </w:r>
      <w:r>
        <w:rPr>
          <w:sz w:val="24"/>
        </w:rPr>
        <w:t>, </w:t>
      </w:r>
      <w:r>
        <w:rPr>
          <w:i/>
          <w:sz w:val="24"/>
        </w:rPr>
        <w:t>3</w:t>
      </w:r>
      <w:r>
        <w:rPr>
          <w:sz w:val="24"/>
        </w:rPr>
        <w:t>(2), 183-199.</w:t>
      </w:r>
    </w:p>
    <w:p>
      <w:pPr>
        <w:pStyle w:val="BodyText"/>
        <w:spacing w:before="241"/>
      </w:pPr>
    </w:p>
    <w:p>
      <w:pPr>
        <w:pStyle w:val="BodyText"/>
        <w:ind w:left="1571" w:right="1436" w:hanging="723"/>
        <w:jc w:val="both"/>
      </w:pPr>
      <w:r>
        <w:rPr/>
        <w:t>Daily,</w:t>
      </w:r>
      <w:r>
        <w:rPr>
          <w:spacing w:val="-15"/>
        </w:rPr>
        <w:t> </w:t>
      </w:r>
      <w:r>
        <w:rPr/>
        <w:t>C.,</w:t>
      </w:r>
      <w:r>
        <w:rPr>
          <w:spacing w:val="-15"/>
        </w:rPr>
        <w:t> </w:t>
      </w:r>
      <w:r>
        <w:rPr/>
        <w:t>Johnson,</w:t>
      </w:r>
      <w:r>
        <w:rPr>
          <w:spacing w:val="-15"/>
        </w:rPr>
        <w:t> </w:t>
      </w:r>
      <w:r>
        <w:rPr/>
        <w:t>J.,</w:t>
      </w:r>
      <w:r>
        <w:rPr>
          <w:spacing w:val="-15"/>
        </w:rPr>
        <w:t> </w:t>
      </w:r>
      <w:r>
        <w:rPr/>
        <w:t>Ellstrand,</w:t>
      </w:r>
      <w:r>
        <w:rPr>
          <w:spacing w:val="-15"/>
        </w:rPr>
        <w:t> </w:t>
      </w:r>
      <w:r>
        <w:rPr/>
        <w:t>A.,</w:t>
      </w:r>
      <w:r>
        <w:rPr>
          <w:spacing w:val="-15"/>
        </w:rPr>
        <w:t> </w:t>
      </w:r>
      <w:r>
        <w:rPr/>
        <w:t>&amp;</w:t>
      </w:r>
      <w:r>
        <w:rPr>
          <w:spacing w:val="-15"/>
        </w:rPr>
        <w:t> </w:t>
      </w:r>
      <w:r>
        <w:rPr/>
        <w:t>Dalton,</w:t>
      </w:r>
      <w:r>
        <w:rPr>
          <w:spacing w:val="-15"/>
        </w:rPr>
        <w:t> </w:t>
      </w:r>
      <w:r>
        <w:rPr/>
        <w:t>D.</w:t>
      </w:r>
      <w:r>
        <w:rPr>
          <w:spacing w:val="-15"/>
        </w:rPr>
        <w:t> </w:t>
      </w:r>
      <w:r>
        <w:rPr/>
        <w:t>(1998).</w:t>
      </w:r>
      <w:r>
        <w:rPr>
          <w:spacing w:val="-15"/>
        </w:rPr>
        <w:t> </w:t>
      </w:r>
      <w:r>
        <w:rPr/>
        <w:t>Compensation</w:t>
      </w:r>
      <w:r>
        <w:rPr>
          <w:spacing w:val="-15"/>
        </w:rPr>
        <w:t> </w:t>
      </w:r>
      <w:r>
        <w:rPr/>
        <w:t>committee</w:t>
      </w:r>
      <w:r>
        <w:rPr>
          <w:spacing w:val="-15"/>
        </w:rPr>
        <w:t> </w:t>
      </w:r>
      <w:r>
        <w:rPr/>
        <w:t>composition as</w:t>
      </w:r>
      <w:r>
        <w:rPr>
          <w:spacing w:val="-2"/>
        </w:rPr>
        <w:t> </w:t>
      </w:r>
      <w:r>
        <w:rPr/>
        <w:t>a</w:t>
      </w:r>
      <w:r>
        <w:rPr>
          <w:spacing w:val="-3"/>
        </w:rPr>
        <w:t> </w:t>
      </w:r>
      <w:r>
        <w:rPr/>
        <w:t>determinant</w:t>
      </w:r>
      <w:r>
        <w:rPr>
          <w:spacing w:val="-2"/>
        </w:rPr>
        <w:t> </w:t>
      </w:r>
      <w:r>
        <w:rPr/>
        <w:t>of</w:t>
      </w:r>
      <w:r>
        <w:rPr>
          <w:spacing w:val="-3"/>
        </w:rPr>
        <w:t> </w:t>
      </w:r>
      <w:r>
        <w:rPr/>
        <w:t>CEO</w:t>
      </w:r>
      <w:r>
        <w:rPr>
          <w:spacing w:val="-1"/>
        </w:rPr>
        <w:t> </w:t>
      </w:r>
      <w:r>
        <w:rPr/>
        <w:t>compensation. </w:t>
      </w:r>
      <w:r>
        <w:rPr>
          <w:i/>
        </w:rPr>
        <w:t>Academy</w:t>
      </w:r>
      <w:r>
        <w:rPr>
          <w:i/>
          <w:spacing w:val="-1"/>
        </w:rPr>
        <w:t> </w:t>
      </w:r>
      <w:r>
        <w:rPr>
          <w:i/>
        </w:rPr>
        <w:t>of</w:t>
      </w:r>
      <w:r>
        <w:rPr>
          <w:i/>
          <w:spacing w:val="-2"/>
        </w:rPr>
        <w:t> </w:t>
      </w:r>
      <w:r>
        <w:rPr>
          <w:i/>
        </w:rPr>
        <w:t>Management</w:t>
      </w:r>
      <w:r>
        <w:rPr>
          <w:i/>
          <w:spacing w:val="-2"/>
        </w:rPr>
        <w:t> </w:t>
      </w:r>
      <w:r>
        <w:rPr>
          <w:i/>
        </w:rPr>
        <w:t>Journal, 41</w:t>
      </w:r>
      <w:r>
        <w:rPr/>
        <w:t>(2),</w:t>
      </w:r>
      <w:r>
        <w:rPr>
          <w:spacing w:val="-2"/>
        </w:rPr>
        <w:t> </w:t>
      </w:r>
      <w:r>
        <w:rPr/>
        <w:t>209– </w:t>
      </w:r>
      <w:r>
        <w:rPr>
          <w:spacing w:val="-4"/>
        </w:rPr>
        <w:t>220</w:t>
      </w:r>
    </w:p>
    <w:p>
      <w:pPr>
        <w:pStyle w:val="BodyText"/>
        <w:spacing w:before="240"/>
        <w:ind w:left="1571" w:right="1438" w:hanging="723"/>
        <w:jc w:val="both"/>
      </w:pPr>
      <w:r>
        <w:rPr/>
        <w:t>Daily, C.M., &amp; Dalton, D.R. (1994a). Bankruptcy and corporate governance: The impact of board composition and structure. </w:t>
      </w:r>
      <w:r>
        <w:rPr>
          <w:i/>
        </w:rPr>
        <w:t>Academy of Management Journal, 37</w:t>
      </w:r>
      <w:r>
        <w:rPr/>
        <w:t>(5), 1603-1617.</w:t>
      </w:r>
    </w:p>
    <w:p>
      <w:pPr>
        <w:pStyle w:val="BodyText"/>
        <w:spacing w:before="240"/>
        <w:ind w:left="1571" w:right="1445" w:hanging="723"/>
        <w:jc w:val="both"/>
      </w:pPr>
      <w:r>
        <w:rPr/>
        <w:t>Daily, C. M., &amp; Dalton, D. R. (1994b). Corporate governance and the bankrupt firm: An empirical assessment. </w:t>
      </w:r>
      <w:r>
        <w:rPr>
          <w:i/>
        </w:rPr>
        <w:t>Strategic Management Journal</w:t>
      </w:r>
      <w:r>
        <w:rPr/>
        <w:t>, </w:t>
      </w:r>
      <w:r>
        <w:rPr>
          <w:i/>
        </w:rPr>
        <w:t>15</w:t>
      </w:r>
      <w:r>
        <w:rPr/>
        <w:t>(3), 643–654.</w:t>
      </w:r>
    </w:p>
    <w:p>
      <w:pPr>
        <w:pStyle w:val="BodyText"/>
        <w:spacing w:before="240"/>
        <w:ind w:left="1571" w:right="1433" w:hanging="723"/>
        <w:jc w:val="both"/>
      </w:pPr>
      <w:r>
        <w:rPr/>
        <w:t>DeAngelo, L.,(1986). Accounting Numbers as Market Valuation Substitutes: A Study of </w:t>
      </w:r>
      <w:r>
        <w:rPr>
          <w:spacing w:val="-2"/>
        </w:rPr>
        <w:t>Management Buyouts</w:t>
      </w:r>
      <w:r>
        <w:rPr/>
        <w:t> </w:t>
      </w:r>
      <w:r>
        <w:rPr>
          <w:spacing w:val="-2"/>
        </w:rPr>
        <w:t>of</w:t>
      </w:r>
      <w:r>
        <w:rPr>
          <w:spacing w:val="1"/>
        </w:rPr>
        <w:t> </w:t>
      </w:r>
      <w:r>
        <w:rPr>
          <w:spacing w:val="-2"/>
        </w:rPr>
        <w:t>Public Stockholders.</w:t>
      </w:r>
      <w:r>
        <w:rPr>
          <w:spacing w:val="1"/>
        </w:rPr>
        <w:t> </w:t>
      </w:r>
      <w:r>
        <w:rPr>
          <w:i/>
          <w:spacing w:val="-2"/>
        </w:rPr>
        <w:t>The</w:t>
      </w:r>
      <w:r>
        <w:rPr>
          <w:i/>
          <w:spacing w:val="-3"/>
        </w:rPr>
        <w:t> </w:t>
      </w:r>
      <w:r>
        <w:rPr>
          <w:i/>
          <w:spacing w:val="-2"/>
        </w:rPr>
        <w:t>Accounting</w:t>
      </w:r>
      <w:r>
        <w:rPr>
          <w:i/>
          <w:spacing w:val="-1"/>
        </w:rPr>
        <w:t> </w:t>
      </w:r>
      <w:r>
        <w:rPr>
          <w:i/>
          <w:spacing w:val="-2"/>
        </w:rPr>
        <w:t>Review,61 </w:t>
      </w:r>
      <w:r>
        <w:rPr>
          <w:spacing w:val="-2"/>
        </w:rPr>
        <w:t>(14), 400–420.</w:t>
      </w:r>
    </w:p>
    <w:p>
      <w:pPr>
        <w:pStyle w:val="BodyText"/>
        <w:spacing w:before="241"/>
        <w:ind w:left="823" w:right="1414"/>
        <w:jc w:val="center"/>
      </w:pPr>
      <w:r>
        <w:rPr/>
        <w:t>Dechow,</w:t>
      </w:r>
      <w:r>
        <w:rPr>
          <w:spacing w:val="39"/>
        </w:rPr>
        <w:t> </w:t>
      </w:r>
      <w:r>
        <w:rPr/>
        <w:t>P.</w:t>
      </w:r>
      <w:r>
        <w:rPr>
          <w:spacing w:val="41"/>
        </w:rPr>
        <w:t> </w:t>
      </w:r>
      <w:r>
        <w:rPr/>
        <w:t>M.,</w:t>
      </w:r>
      <w:r>
        <w:rPr>
          <w:spacing w:val="42"/>
        </w:rPr>
        <w:t> </w:t>
      </w:r>
      <w:r>
        <w:rPr/>
        <w:t>Sloan,</w:t>
      </w:r>
      <w:r>
        <w:rPr>
          <w:spacing w:val="41"/>
        </w:rPr>
        <w:t> </w:t>
      </w:r>
      <w:r>
        <w:rPr/>
        <w:t>R.</w:t>
      </w:r>
      <w:r>
        <w:rPr>
          <w:spacing w:val="41"/>
        </w:rPr>
        <w:t> </w:t>
      </w:r>
      <w:r>
        <w:rPr/>
        <w:t>G.,</w:t>
      </w:r>
      <w:r>
        <w:rPr>
          <w:spacing w:val="41"/>
        </w:rPr>
        <w:t> </w:t>
      </w:r>
      <w:r>
        <w:rPr/>
        <w:t>&amp;</w:t>
      </w:r>
      <w:r>
        <w:rPr>
          <w:spacing w:val="43"/>
        </w:rPr>
        <w:t> </w:t>
      </w:r>
      <w:r>
        <w:rPr/>
        <w:t>Sweeney,</w:t>
      </w:r>
      <w:r>
        <w:rPr>
          <w:spacing w:val="41"/>
        </w:rPr>
        <w:t> </w:t>
      </w:r>
      <w:r>
        <w:rPr/>
        <w:t>A.</w:t>
      </w:r>
      <w:r>
        <w:rPr>
          <w:spacing w:val="41"/>
        </w:rPr>
        <w:t> </w:t>
      </w:r>
      <w:r>
        <w:rPr/>
        <w:t>P.</w:t>
      </w:r>
      <w:r>
        <w:rPr>
          <w:spacing w:val="41"/>
        </w:rPr>
        <w:t> </w:t>
      </w:r>
      <w:r>
        <w:rPr/>
        <w:t>(1995).</w:t>
      </w:r>
      <w:r>
        <w:rPr>
          <w:spacing w:val="45"/>
        </w:rPr>
        <w:t> </w:t>
      </w:r>
      <w:r>
        <w:rPr/>
        <w:t>Detecting</w:t>
      </w:r>
      <w:r>
        <w:rPr>
          <w:spacing w:val="41"/>
        </w:rPr>
        <w:t> </w:t>
      </w:r>
      <w:r>
        <w:rPr/>
        <w:t>earnings</w:t>
      </w:r>
      <w:r>
        <w:rPr>
          <w:spacing w:val="43"/>
        </w:rPr>
        <w:t> </w:t>
      </w:r>
      <w:r>
        <w:rPr>
          <w:spacing w:val="-2"/>
        </w:rPr>
        <w:t>management.</w:t>
      </w:r>
    </w:p>
    <w:p>
      <w:pPr>
        <w:spacing w:before="0"/>
        <w:ind w:left="1571" w:right="0" w:firstLine="0"/>
        <w:jc w:val="left"/>
        <w:rPr>
          <w:sz w:val="24"/>
        </w:rPr>
      </w:pPr>
      <w:r>
        <w:rPr>
          <w:i/>
          <w:sz w:val="24"/>
        </w:rPr>
        <w:t>Accounting</w:t>
      </w:r>
      <w:r>
        <w:rPr>
          <w:i/>
          <w:spacing w:val="-3"/>
          <w:sz w:val="24"/>
        </w:rPr>
        <w:t> </w:t>
      </w:r>
      <w:r>
        <w:rPr>
          <w:i/>
          <w:sz w:val="24"/>
        </w:rPr>
        <w:t>Review,</w:t>
      </w:r>
      <w:r>
        <w:rPr>
          <w:i/>
          <w:spacing w:val="-1"/>
          <w:sz w:val="24"/>
        </w:rPr>
        <w:t> </w:t>
      </w:r>
      <w:r>
        <w:rPr>
          <w:i/>
          <w:sz w:val="24"/>
        </w:rPr>
        <w:t>70</w:t>
      </w:r>
      <w:r>
        <w:rPr>
          <w:sz w:val="24"/>
        </w:rPr>
        <w:t>(2),</w:t>
      </w:r>
      <w:r>
        <w:rPr>
          <w:spacing w:val="-1"/>
          <w:sz w:val="24"/>
        </w:rPr>
        <w:t> </w:t>
      </w:r>
      <w:r>
        <w:rPr>
          <w:sz w:val="24"/>
        </w:rPr>
        <w:t>193-</w:t>
      </w:r>
      <w:r>
        <w:rPr>
          <w:spacing w:val="-4"/>
          <w:sz w:val="24"/>
        </w:rPr>
        <w:t>225.</w:t>
      </w:r>
    </w:p>
    <w:p>
      <w:pPr>
        <w:pStyle w:val="BodyText"/>
        <w:spacing w:line="237" w:lineRule="auto" w:before="242"/>
        <w:ind w:left="1571" w:right="1444" w:hanging="723"/>
        <w:jc w:val="both"/>
      </w:pPr>
      <w:r>
        <w:rPr/>
        <w:t>Dechow,</w:t>
      </w:r>
      <w:r>
        <w:rPr>
          <w:spacing w:val="-15"/>
        </w:rPr>
        <w:t> </w:t>
      </w:r>
      <w:r>
        <w:rPr/>
        <w:t>P.</w:t>
      </w:r>
      <w:r>
        <w:rPr>
          <w:spacing w:val="-15"/>
        </w:rPr>
        <w:t> </w:t>
      </w:r>
      <w:r>
        <w:rPr/>
        <w:t>M.,</w:t>
      </w:r>
      <w:r>
        <w:rPr>
          <w:spacing w:val="-12"/>
        </w:rPr>
        <w:t> </w:t>
      </w:r>
      <w:r>
        <w:rPr/>
        <w:t>&amp;</w:t>
      </w:r>
      <w:r>
        <w:rPr>
          <w:spacing w:val="-14"/>
        </w:rPr>
        <w:t> </w:t>
      </w:r>
      <w:r>
        <w:rPr/>
        <w:t>Dichev,</w:t>
      </w:r>
      <w:r>
        <w:rPr>
          <w:spacing w:val="-12"/>
        </w:rPr>
        <w:t> </w:t>
      </w:r>
      <w:r>
        <w:rPr/>
        <w:t>I.</w:t>
      </w:r>
      <w:r>
        <w:rPr>
          <w:spacing w:val="-14"/>
        </w:rPr>
        <w:t> </w:t>
      </w:r>
      <w:r>
        <w:rPr/>
        <w:t>D.</w:t>
      </w:r>
      <w:r>
        <w:rPr>
          <w:spacing w:val="-13"/>
        </w:rPr>
        <w:t> </w:t>
      </w:r>
      <w:r>
        <w:rPr/>
        <w:t>(2002).</w:t>
      </w:r>
      <w:r>
        <w:rPr>
          <w:spacing w:val="-15"/>
        </w:rPr>
        <w:t> </w:t>
      </w:r>
      <w:r>
        <w:rPr/>
        <w:t>The</w:t>
      </w:r>
      <w:r>
        <w:rPr>
          <w:spacing w:val="-15"/>
        </w:rPr>
        <w:t> </w:t>
      </w:r>
      <w:r>
        <w:rPr/>
        <w:t>quality</w:t>
      </w:r>
      <w:r>
        <w:rPr>
          <w:spacing w:val="-14"/>
        </w:rPr>
        <w:t> </w:t>
      </w:r>
      <w:r>
        <w:rPr/>
        <w:t>of</w:t>
      </w:r>
      <w:r>
        <w:rPr>
          <w:spacing w:val="-15"/>
        </w:rPr>
        <w:t> </w:t>
      </w:r>
      <w:r>
        <w:rPr/>
        <w:t>accruals</w:t>
      </w:r>
      <w:r>
        <w:rPr>
          <w:spacing w:val="-14"/>
        </w:rPr>
        <w:t> </w:t>
      </w:r>
      <w:r>
        <w:rPr/>
        <w:t>and</w:t>
      </w:r>
      <w:r>
        <w:rPr>
          <w:spacing w:val="-12"/>
        </w:rPr>
        <w:t> </w:t>
      </w:r>
      <w:r>
        <w:rPr/>
        <w:t>earnings:</w:t>
      </w:r>
      <w:r>
        <w:rPr>
          <w:spacing w:val="-14"/>
        </w:rPr>
        <w:t> </w:t>
      </w:r>
      <w:r>
        <w:rPr/>
        <w:t>The</w:t>
      </w:r>
      <w:r>
        <w:rPr>
          <w:spacing w:val="-15"/>
        </w:rPr>
        <w:t> </w:t>
      </w:r>
      <w:r>
        <w:rPr/>
        <w:t>role</w:t>
      </w:r>
      <w:r>
        <w:rPr>
          <w:spacing w:val="-15"/>
        </w:rPr>
        <w:t> </w:t>
      </w:r>
      <w:r>
        <w:rPr/>
        <w:t>of</w:t>
      </w:r>
      <w:r>
        <w:rPr>
          <w:spacing w:val="-15"/>
        </w:rPr>
        <w:t> </w:t>
      </w:r>
      <w:r>
        <w:rPr/>
        <w:t>accrual estimation errors. </w:t>
      </w:r>
      <w:r>
        <w:rPr>
          <w:i/>
        </w:rPr>
        <w:t>The Accounting Review, 77</w:t>
      </w:r>
      <w:r>
        <w:rPr/>
        <w:t>(s-1), 35-59.</w:t>
      </w:r>
    </w:p>
    <w:p>
      <w:pPr>
        <w:pStyle w:val="BodyText"/>
        <w:spacing w:before="241"/>
        <w:ind w:left="1571" w:right="1438" w:hanging="723"/>
        <w:jc w:val="both"/>
      </w:pPr>
      <w:r>
        <w:rPr/>
        <w:t>Dechow, P., Sloan, R., &amp; Sweeney, A. (1996). Causes and consequences of earnings manipulation: An analysis of firms subject to enforcement actions by the SEC. </w:t>
      </w:r>
      <w:r>
        <w:rPr>
          <w:i/>
        </w:rPr>
        <w:t>Contemporary Accounting Research</w:t>
      </w:r>
      <w:r>
        <w:rPr/>
        <w:t>, </w:t>
      </w:r>
      <w:r>
        <w:rPr>
          <w:i/>
        </w:rPr>
        <w:t>13</w:t>
      </w:r>
      <w:r>
        <w:rPr/>
        <w:t>(1), 1-36.</w:t>
      </w:r>
    </w:p>
    <w:p>
      <w:pPr>
        <w:spacing w:before="240"/>
        <w:ind w:left="823" w:right="1420" w:firstLine="0"/>
        <w:jc w:val="center"/>
        <w:rPr>
          <w:sz w:val="24"/>
        </w:rPr>
      </w:pPr>
      <w:r>
        <w:rPr>
          <w:sz w:val="24"/>
        </w:rPr>
        <w:t>Dedman, E. (2000). An investigation into the determinants of UK board structure before and after Cadbury. </w:t>
      </w:r>
      <w:r>
        <w:rPr>
          <w:i/>
          <w:sz w:val="24"/>
        </w:rPr>
        <w:t>Corporate Governance: An International Review, 8</w:t>
      </w:r>
      <w:r>
        <w:rPr>
          <w:sz w:val="24"/>
        </w:rPr>
        <w:t>(3), 133-153.</w:t>
      </w:r>
    </w:p>
    <w:p>
      <w:pPr>
        <w:spacing w:after="0"/>
        <w:jc w:val="center"/>
        <w:rPr>
          <w:sz w:val="24"/>
        </w:rPr>
        <w:sectPr>
          <w:pgSz w:w="11910" w:h="16840"/>
          <w:pgMar w:header="0" w:footer="971" w:top="1360" w:bottom="1160" w:left="500" w:right="0"/>
        </w:sectPr>
      </w:pPr>
    </w:p>
    <w:p>
      <w:pPr>
        <w:pStyle w:val="BodyText"/>
        <w:spacing w:before="77"/>
        <w:ind w:left="1571" w:right="1435" w:hanging="723"/>
        <w:jc w:val="both"/>
      </w:pPr>
      <w:r>
        <w:rPr/>
        <w:t>DeFond,</w:t>
      </w:r>
      <w:r>
        <w:rPr>
          <w:spacing w:val="-3"/>
        </w:rPr>
        <w:t> </w:t>
      </w:r>
      <w:r>
        <w:rPr/>
        <w:t>M.</w:t>
      </w:r>
      <w:r>
        <w:rPr>
          <w:spacing w:val="-1"/>
        </w:rPr>
        <w:t> </w:t>
      </w:r>
      <w:r>
        <w:rPr/>
        <w:t>L.,</w:t>
      </w:r>
      <w:r>
        <w:rPr>
          <w:spacing w:val="-3"/>
        </w:rPr>
        <w:t> </w:t>
      </w:r>
      <w:r>
        <w:rPr/>
        <w:t>&amp;</w:t>
      </w:r>
      <w:r>
        <w:rPr>
          <w:spacing w:val="-3"/>
        </w:rPr>
        <w:t> </w:t>
      </w:r>
      <w:r>
        <w:rPr/>
        <w:t>Jiambalvo,</w:t>
      </w:r>
      <w:r>
        <w:rPr>
          <w:spacing w:val="-3"/>
        </w:rPr>
        <w:t> </w:t>
      </w:r>
      <w:r>
        <w:rPr/>
        <w:t>J.</w:t>
      </w:r>
      <w:r>
        <w:rPr>
          <w:spacing w:val="-3"/>
        </w:rPr>
        <w:t> </w:t>
      </w:r>
      <w:r>
        <w:rPr/>
        <w:t>(1991).</w:t>
      </w:r>
      <w:r>
        <w:rPr>
          <w:spacing w:val="-2"/>
        </w:rPr>
        <w:t> </w:t>
      </w:r>
      <w:r>
        <w:rPr/>
        <w:t>Incidence</w:t>
      </w:r>
      <w:r>
        <w:rPr>
          <w:spacing w:val="-2"/>
        </w:rPr>
        <w:t> </w:t>
      </w:r>
      <w:r>
        <w:rPr/>
        <w:t>and</w:t>
      </w:r>
      <w:r>
        <w:rPr>
          <w:spacing w:val="-3"/>
        </w:rPr>
        <w:t> </w:t>
      </w:r>
      <w:r>
        <w:rPr/>
        <w:t>circumstances</w:t>
      </w:r>
      <w:r>
        <w:rPr>
          <w:spacing w:val="-3"/>
        </w:rPr>
        <w:t> </w:t>
      </w:r>
      <w:r>
        <w:rPr/>
        <w:t>of</w:t>
      </w:r>
      <w:r>
        <w:rPr>
          <w:spacing w:val="-3"/>
        </w:rPr>
        <w:t> </w:t>
      </w:r>
      <w:r>
        <w:rPr/>
        <w:t>accounting</w:t>
      </w:r>
      <w:r>
        <w:rPr>
          <w:spacing w:val="-3"/>
        </w:rPr>
        <w:t> </w:t>
      </w:r>
      <w:r>
        <w:rPr/>
        <w:t>errors. </w:t>
      </w:r>
      <w:r>
        <w:rPr>
          <w:i/>
        </w:rPr>
        <w:t>The Accounting Review, 66</w:t>
      </w:r>
      <w:r>
        <w:rPr/>
        <w:t>(5), 643-655.</w:t>
      </w:r>
    </w:p>
    <w:p>
      <w:pPr>
        <w:pStyle w:val="BodyText"/>
      </w:pPr>
    </w:p>
    <w:p>
      <w:pPr>
        <w:spacing w:before="0"/>
        <w:ind w:left="1571" w:right="1442" w:hanging="723"/>
        <w:jc w:val="both"/>
        <w:rPr>
          <w:sz w:val="24"/>
        </w:rPr>
      </w:pPr>
      <w:r>
        <w:rPr>
          <w:sz w:val="24"/>
        </w:rPr>
        <w:t>Demsetz, H., &amp; Lehn, K. (1985). The structure of corporate ownership: Causes and consequences. </w:t>
      </w:r>
      <w:r>
        <w:rPr>
          <w:i/>
          <w:sz w:val="24"/>
        </w:rPr>
        <w:t>Journal of Political Economy</w:t>
      </w:r>
      <w:r>
        <w:rPr>
          <w:sz w:val="24"/>
        </w:rPr>
        <w:t>, </w:t>
      </w:r>
      <w:r>
        <w:rPr>
          <w:i/>
          <w:sz w:val="24"/>
        </w:rPr>
        <w:t>33</w:t>
      </w:r>
      <w:r>
        <w:rPr>
          <w:sz w:val="24"/>
        </w:rPr>
        <w:t>(5), 3-53.</w:t>
      </w:r>
    </w:p>
    <w:p>
      <w:pPr>
        <w:pStyle w:val="BodyText"/>
      </w:pPr>
    </w:p>
    <w:p>
      <w:pPr>
        <w:spacing w:before="0"/>
        <w:ind w:left="1571" w:right="1434" w:hanging="723"/>
        <w:jc w:val="both"/>
        <w:rPr>
          <w:i/>
          <w:sz w:val="24"/>
        </w:rPr>
      </w:pPr>
      <w:r>
        <w:rPr/>
        <w:drawing>
          <wp:anchor distT="0" distB="0" distL="0" distR="0" allowOverlap="1" layoutInCell="1" locked="0" behindDoc="1" simplePos="0" relativeHeight="477771776">
            <wp:simplePos x="0" y="0"/>
            <wp:positionH relativeFrom="page">
              <wp:posOffset>1095451</wp:posOffset>
            </wp:positionH>
            <wp:positionV relativeFrom="paragraph">
              <wp:posOffset>585305</wp:posOffset>
            </wp:positionV>
            <wp:extent cx="5106847" cy="5238115"/>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16" cstate="print"/>
                    <a:stretch>
                      <a:fillRect/>
                    </a:stretch>
                  </pic:blipFill>
                  <pic:spPr>
                    <a:xfrm>
                      <a:off x="0" y="0"/>
                      <a:ext cx="5106847" cy="5238115"/>
                    </a:xfrm>
                    <a:prstGeom prst="rect">
                      <a:avLst/>
                    </a:prstGeom>
                  </pic:spPr>
                </pic:pic>
              </a:graphicData>
            </a:graphic>
          </wp:anchor>
        </w:drawing>
      </w:r>
      <w:r>
        <w:rPr>
          <w:sz w:val="24"/>
        </w:rPr>
        <w:t>Ding, Y., Hope, O., Jeanjean, T., &amp; Stolowy H. (2007). Differences between domestic accounting</w:t>
      </w:r>
      <w:r>
        <w:rPr>
          <w:spacing w:val="-9"/>
          <w:sz w:val="24"/>
        </w:rPr>
        <w:t> </w:t>
      </w:r>
      <w:r>
        <w:rPr>
          <w:sz w:val="24"/>
        </w:rPr>
        <w:t>standards</w:t>
      </w:r>
      <w:r>
        <w:rPr>
          <w:spacing w:val="-7"/>
          <w:sz w:val="24"/>
        </w:rPr>
        <w:t> </w:t>
      </w:r>
      <w:r>
        <w:rPr>
          <w:sz w:val="24"/>
        </w:rPr>
        <w:t>and</w:t>
      </w:r>
      <w:r>
        <w:rPr>
          <w:spacing w:val="-5"/>
          <w:sz w:val="24"/>
        </w:rPr>
        <w:t> </w:t>
      </w:r>
      <w:r>
        <w:rPr>
          <w:sz w:val="24"/>
        </w:rPr>
        <w:t>IAS:</w:t>
      </w:r>
      <w:r>
        <w:rPr>
          <w:spacing w:val="-9"/>
          <w:sz w:val="24"/>
        </w:rPr>
        <w:t> </w:t>
      </w:r>
      <w:r>
        <w:rPr>
          <w:sz w:val="24"/>
        </w:rPr>
        <w:t>Measurement,</w:t>
      </w:r>
      <w:r>
        <w:rPr>
          <w:spacing w:val="-9"/>
          <w:sz w:val="24"/>
        </w:rPr>
        <w:t> </w:t>
      </w:r>
      <w:r>
        <w:rPr>
          <w:sz w:val="24"/>
        </w:rPr>
        <w:t>determinants</w:t>
      </w:r>
      <w:r>
        <w:rPr>
          <w:spacing w:val="-9"/>
          <w:sz w:val="24"/>
        </w:rPr>
        <w:t> </w:t>
      </w:r>
      <w:r>
        <w:rPr>
          <w:sz w:val="24"/>
        </w:rPr>
        <w:t>and</w:t>
      </w:r>
      <w:r>
        <w:rPr>
          <w:spacing w:val="-9"/>
          <w:sz w:val="24"/>
        </w:rPr>
        <w:t> </w:t>
      </w:r>
      <w:r>
        <w:rPr>
          <w:sz w:val="24"/>
        </w:rPr>
        <w:t>implications.</w:t>
      </w:r>
      <w:r>
        <w:rPr>
          <w:spacing w:val="-6"/>
          <w:sz w:val="24"/>
        </w:rPr>
        <w:t> </w:t>
      </w:r>
      <w:r>
        <w:rPr>
          <w:i/>
          <w:sz w:val="24"/>
        </w:rPr>
        <w:t>Journal</w:t>
      </w:r>
      <w:r>
        <w:rPr>
          <w:i/>
          <w:spacing w:val="-9"/>
          <w:sz w:val="24"/>
        </w:rPr>
        <w:t> </w:t>
      </w:r>
      <w:r>
        <w:rPr>
          <w:i/>
          <w:sz w:val="24"/>
        </w:rPr>
        <w:t>of Accounting and Public Policy, 26</w:t>
      </w:r>
      <w:r>
        <w:rPr>
          <w:sz w:val="24"/>
        </w:rPr>
        <w:t>(4), </w:t>
      </w:r>
      <w:r>
        <w:rPr>
          <w:i/>
          <w:sz w:val="24"/>
        </w:rPr>
        <w:t>1-38.</w:t>
      </w:r>
    </w:p>
    <w:p>
      <w:pPr>
        <w:pStyle w:val="BodyText"/>
        <w:rPr>
          <w:i/>
        </w:rPr>
      </w:pPr>
    </w:p>
    <w:p>
      <w:pPr>
        <w:spacing w:before="0"/>
        <w:ind w:left="1571" w:right="1439" w:hanging="723"/>
        <w:jc w:val="both"/>
        <w:rPr>
          <w:sz w:val="24"/>
        </w:rPr>
      </w:pPr>
      <w:r>
        <w:rPr>
          <w:sz w:val="24"/>
        </w:rPr>
        <w:t>Easton,</w:t>
      </w:r>
      <w:r>
        <w:rPr>
          <w:spacing w:val="-3"/>
          <w:sz w:val="24"/>
        </w:rPr>
        <w:t> </w:t>
      </w:r>
      <w:r>
        <w:rPr>
          <w:sz w:val="24"/>
        </w:rPr>
        <w:t>P.D.,</w:t>
      </w:r>
      <w:r>
        <w:rPr>
          <w:spacing w:val="-3"/>
          <w:sz w:val="24"/>
        </w:rPr>
        <w:t> </w:t>
      </w:r>
      <w:r>
        <w:rPr>
          <w:sz w:val="24"/>
        </w:rPr>
        <w:t>&amp;</w:t>
      </w:r>
      <w:r>
        <w:rPr>
          <w:spacing w:val="-3"/>
          <w:sz w:val="24"/>
        </w:rPr>
        <w:t> </w:t>
      </w:r>
      <w:r>
        <w:rPr>
          <w:sz w:val="24"/>
        </w:rPr>
        <w:t>Harris,</w:t>
      </w:r>
      <w:r>
        <w:rPr>
          <w:spacing w:val="-3"/>
          <w:sz w:val="24"/>
        </w:rPr>
        <w:t> </w:t>
      </w:r>
      <w:r>
        <w:rPr>
          <w:sz w:val="24"/>
        </w:rPr>
        <w:t>T.S.</w:t>
      </w:r>
      <w:r>
        <w:rPr>
          <w:spacing w:val="-3"/>
          <w:sz w:val="24"/>
        </w:rPr>
        <w:t> </w:t>
      </w:r>
      <w:r>
        <w:rPr>
          <w:sz w:val="24"/>
        </w:rPr>
        <w:t>(1991).</w:t>
      </w:r>
      <w:r>
        <w:rPr>
          <w:spacing w:val="-3"/>
          <w:sz w:val="24"/>
        </w:rPr>
        <w:t> </w:t>
      </w:r>
      <w:r>
        <w:rPr>
          <w:sz w:val="24"/>
        </w:rPr>
        <w:t>Earnings</w:t>
      </w:r>
      <w:r>
        <w:rPr>
          <w:spacing w:val="-1"/>
          <w:sz w:val="24"/>
        </w:rPr>
        <w:t> </w:t>
      </w:r>
      <w:r>
        <w:rPr>
          <w:sz w:val="24"/>
        </w:rPr>
        <w:t>as</w:t>
      </w:r>
      <w:r>
        <w:rPr>
          <w:spacing w:val="-3"/>
          <w:sz w:val="24"/>
        </w:rPr>
        <w:t> </w:t>
      </w:r>
      <w:r>
        <w:rPr>
          <w:sz w:val="24"/>
        </w:rPr>
        <w:t>an</w:t>
      </w:r>
      <w:r>
        <w:rPr>
          <w:spacing w:val="-3"/>
          <w:sz w:val="24"/>
        </w:rPr>
        <w:t> </w:t>
      </w:r>
      <w:r>
        <w:rPr>
          <w:sz w:val="24"/>
        </w:rPr>
        <w:t>explanatory</w:t>
      </w:r>
      <w:r>
        <w:rPr>
          <w:spacing w:val="-3"/>
          <w:sz w:val="24"/>
        </w:rPr>
        <w:t> </w:t>
      </w:r>
      <w:r>
        <w:rPr>
          <w:sz w:val="24"/>
        </w:rPr>
        <w:t>variable</w:t>
      </w:r>
      <w:r>
        <w:rPr>
          <w:spacing w:val="-2"/>
          <w:sz w:val="24"/>
        </w:rPr>
        <w:t> </w:t>
      </w:r>
      <w:r>
        <w:rPr>
          <w:sz w:val="24"/>
        </w:rPr>
        <w:t>for</w:t>
      </w:r>
      <w:r>
        <w:rPr>
          <w:spacing w:val="-3"/>
          <w:sz w:val="24"/>
        </w:rPr>
        <w:t> </w:t>
      </w:r>
      <w:r>
        <w:rPr>
          <w:sz w:val="24"/>
        </w:rPr>
        <w:t>returns. </w:t>
      </w:r>
      <w:r>
        <w:rPr>
          <w:i/>
          <w:sz w:val="24"/>
        </w:rPr>
        <w:t>Journal</w:t>
      </w:r>
      <w:r>
        <w:rPr>
          <w:i/>
          <w:spacing w:val="-3"/>
          <w:sz w:val="24"/>
        </w:rPr>
        <w:t> </w:t>
      </w:r>
      <w:r>
        <w:rPr>
          <w:i/>
          <w:sz w:val="24"/>
        </w:rPr>
        <w:t>of Accounting Research, 29</w:t>
      </w:r>
      <w:r>
        <w:rPr>
          <w:sz w:val="24"/>
        </w:rPr>
        <w:t>(1), 19-36.</w:t>
      </w:r>
    </w:p>
    <w:p>
      <w:pPr>
        <w:pStyle w:val="BodyText"/>
        <w:spacing w:before="1"/>
      </w:pPr>
    </w:p>
    <w:p>
      <w:pPr>
        <w:spacing w:before="0"/>
        <w:ind w:left="1571" w:right="1435" w:hanging="723"/>
        <w:jc w:val="both"/>
        <w:rPr>
          <w:sz w:val="24"/>
        </w:rPr>
      </w:pPr>
      <w:r>
        <w:rPr>
          <w:sz w:val="24"/>
        </w:rPr>
        <w:t>Easton,</w:t>
      </w:r>
      <w:r>
        <w:rPr>
          <w:spacing w:val="-5"/>
          <w:sz w:val="24"/>
        </w:rPr>
        <w:t> </w:t>
      </w:r>
      <w:r>
        <w:rPr>
          <w:sz w:val="24"/>
        </w:rPr>
        <w:t>P.D.,</w:t>
      </w:r>
      <w:r>
        <w:rPr>
          <w:spacing w:val="-6"/>
          <w:sz w:val="24"/>
        </w:rPr>
        <w:t> </w:t>
      </w:r>
      <w:r>
        <w:rPr>
          <w:sz w:val="24"/>
        </w:rPr>
        <w:t>&amp;Zmijewski,</w:t>
      </w:r>
      <w:r>
        <w:rPr>
          <w:spacing w:val="-6"/>
          <w:sz w:val="24"/>
        </w:rPr>
        <w:t> </w:t>
      </w:r>
      <w:r>
        <w:rPr>
          <w:sz w:val="24"/>
        </w:rPr>
        <w:t>M.E.</w:t>
      </w:r>
      <w:r>
        <w:rPr>
          <w:spacing w:val="-6"/>
          <w:sz w:val="24"/>
        </w:rPr>
        <w:t> </w:t>
      </w:r>
      <w:r>
        <w:rPr>
          <w:sz w:val="24"/>
        </w:rPr>
        <w:t>(1989).</w:t>
      </w:r>
      <w:r>
        <w:rPr>
          <w:spacing w:val="-7"/>
          <w:sz w:val="24"/>
        </w:rPr>
        <w:t> </w:t>
      </w:r>
      <w:r>
        <w:rPr>
          <w:sz w:val="24"/>
        </w:rPr>
        <w:t>Cross-sectional</w:t>
      </w:r>
      <w:r>
        <w:rPr>
          <w:spacing w:val="-5"/>
          <w:sz w:val="24"/>
        </w:rPr>
        <w:t> </w:t>
      </w:r>
      <w:r>
        <w:rPr>
          <w:sz w:val="24"/>
        </w:rPr>
        <w:t>variation</w:t>
      </w:r>
      <w:r>
        <w:rPr>
          <w:spacing w:val="-6"/>
          <w:sz w:val="24"/>
        </w:rPr>
        <w:t> </w:t>
      </w:r>
      <w:r>
        <w:rPr>
          <w:sz w:val="24"/>
        </w:rPr>
        <w:t>in</w:t>
      </w:r>
      <w:r>
        <w:rPr>
          <w:spacing w:val="-5"/>
          <w:sz w:val="24"/>
        </w:rPr>
        <w:t> </w:t>
      </w:r>
      <w:r>
        <w:rPr>
          <w:sz w:val="24"/>
        </w:rPr>
        <w:t>the</w:t>
      </w:r>
      <w:r>
        <w:rPr>
          <w:spacing w:val="-6"/>
          <w:sz w:val="24"/>
        </w:rPr>
        <w:t> </w:t>
      </w:r>
      <w:r>
        <w:rPr>
          <w:sz w:val="24"/>
        </w:rPr>
        <w:t>stock</w:t>
      </w:r>
      <w:r>
        <w:rPr>
          <w:spacing w:val="-6"/>
          <w:sz w:val="24"/>
        </w:rPr>
        <w:t> </w:t>
      </w:r>
      <w:r>
        <w:rPr>
          <w:sz w:val="24"/>
        </w:rPr>
        <w:t>market</w:t>
      </w:r>
      <w:r>
        <w:rPr>
          <w:spacing w:val="-3"/>
          <w:sz w:val="24"/>
        </w:rPr>
        <w:t> </w:t>
      </w:r>
      <w:r>
        <w:rPr>
          <w:sz w:val="24"/>
        </w:rPr>
        <w:t>response to</w:t>
      </w:r>
      <w:r>
        <w:rPr>
          <w:spacing w:val="-7"/>
          <w:sz w:val="24"/>
        </w:rPr>
        <w:t> </w:t>
      </w:r>
      <w:r>
        <w:rPr>
          <w:sz w:val="24"/>
        </w:rPr>
        <w:t>accounting</w:t>
      </w:r>
      <w:r>
        <w:rPr>
          <w:spacing w:val="-8"/>
          <w:sz w:val="24"/>
        </w:rPr>
        <w:t> </w:t>
      </w:r>
      <w:r>
        <w:rPr>
          <w:sz w:val="24"/>
        </w:rPr>
        <w:t>earnings</w:t>
      </w:r>
      <w:r>
        <w:rPr>
          <w:spacing w:val="-8"/>
          <w:sz w:val="24"/>
        </w:rPr>
        <w:t> </w:t>
      </w:r>
      <w:r>
        <w:rPr>
          <w:sz w:val="24"/>
        </w:rPr>
        <w:t>announcements.</w:t>
      </w:r>
      <w:r>
        <w:rPr>
          <w:spacing w:val="-7"/>
          <w:sz w:val="24"/>
        </w:rPr>
        <w:t> </w:t>
      </w:r>
      <w:r>
        <w:rPr>
          <w:i/>
          <w:sz w:val="24"/>
        </w:rPr>
        <w:t>Journal</w:t>
      </w:r>
      <w:r>
        <w:rPr>
          <w:i/>
          <w:spacing w:val="-7"/>
          <w:sz w:val="24"/>
        </w:rPr>
        <w:t> </w:t>
      </w:r>
      <w:r>
        <w:rPr>
          <w:i/>
          <w:sz w:val="24"/>
        </w:rPr>
        <w:t>of</w:t>
      </w:r>
      <w:r>
        <w:rPr>
          <w:i/>
          <w:spacing w:val="-7"/>
          <w:sz w:val="24"/>
        </w:rPr>
        <w:t> </w:t>
      </w:r>
      <w:r>
        <w:rPr>
          <w:i/>
          <w:sz w:val="24"/>
        </w:rPr>
        <w:t>Accounting</w:t>
      </w:r>
      <w:r>
        <w:rPr>
          <w:i/>
          <w:spacing w:val="-8"/>
          <w:sz w:val="24"/>
        </w:rPr>
        <w:t> </w:t>
      </w:r>
      <w:r>
        <w:rPr>
          <w:i/>
          <w:sz w:val="24"/>
        </w:rPr>
        <w:t>and</w:t>
      </w:r>
      <w:r>
        <w:rPr>
          <w:i/>
          <w:spacing w:val="-8"/>
          <w:sz w:val="24"/>
        </w:rPr>
        <w:t> </w:t>
      </w:r>
      <w:r>
        <w:rPr>
          <w:i/>
          <w:sz w:val="24"/>
        </w:rPr>
        <w:t>Economics,</w:t>
      </w:r>
      <w:r>
        <w:rPr>
          <w:i/>
          <w:spacing w:val="-8"/>
          <w:sz w:val="24"/>
        </w:rPr>
        <w:t> </w:t>
      </w:r>
      <w:r>
        <w:rPr>
          <w:i/>
          <w:sz w:val="24"/>
        </w:rPr>
        <w:t>11</w:t>
      </w:r>
      <w:r>
        <w:rPr>
          <w:sz w:val="24"/>
        </w:rPr>
        <w:t>(2-3), </w:t>
      </w:r>
      <w:r>
        <w:rPr>
          <w:spacing w:val="-2"/>
          <w:sz w:val="24"/>
        </w:rPr>
        <w:t>117-141.</w:t>
      </w:r>
    </w:p>
    <w:p>
      <w:pPr>
        <w:pStyle w:val="BodyText"/>
        <w:spacing w:before="240"/>
        <w:ind w:left="1571" w:right="1445" w:hanging="723"/>
        <w:jc w:val="both"/>
      </w:pPr>
      <w:r>
        <w:rPr/>
        <w:t>EWMI (2007). Program / lectures on corporate governance: Three models of corporate governance. Retrieved from </w:t>
      </w:r>
      <w:hyperlink r:id="rId17">
        <w:r>
          <w:rPr/>
          <w:t>www.researchgate.net</w:t>
        </w:r>
      </w:hyperlink>
    </w:p>
    <w:p>
      <w:pPr>
        <w:pStyle w:val="BodyText"/>
        <w:spacing w:before="240"/>
        <w:ind w:left="1571" w:right="1446" w:hanging="723"/>
        <w:jc w:val="both"/>
      </w:pPr>
      <w:r>
        <w:rPr/>
        <w:t>Ewert, R., &amp; Wagenhofer. A. (2005). Economic effects of tightening accounting standards to restrict earnings management. </w:t>
      </w:r>
      <w:r>
        <w:rPr>
          <w:i/>
        </w:rPr>
        <w:t>The Accounting Review 80 </w:t>
      </w:r>
      <w:r>
        <w:rPr/>
        <w:t>(4), 1101-1124.</w:t>
      </w:r>
    </w:p>
    <w:p>
      <w:pPr>
        <w:spacing w:before="240"/>
        <w:ind w:left="1571" w:right="1444" w:hanging="723"/>
        <w:jc w:val="both"/>
        <w:rPr>
          <w:sz w:val="24"/>
        </w:rPr>
      </w:pPr>
      <w:r>
        <w:rPr>
          <w:sz w:val="24"/>
        </w:rPr>
        <w:t>Epstein, B. J., &amp; Jermakowicz, E. K. (2009). IFRS converges to U.S. GAAP on segment reporting</w:t>
      </w:r>
      <w:r>
        <w:rPr>
          <w:i/>
          <w:sz w:val="24"/>
        </w:rPr>
        <w:t>. Journal of Accountancy</w:t>
      </w:r>
      <w:r>
        <w:rPr>
          <w:sz w:val="24"/>
        </w:rPr>
        <w:t>, </w:t>
      </w:r>
      <w:r>
        <w:rPr>
          <w:i/>
          <w:sz w:val="24"/>
        </w:rPr>
        <w:t>207</w:t>
      </w:r>
      <w:r>
        <w:rPr>
          <w:sz w:val="24"/>
        </w:rPr>
        <w:t>(5), 24-50.</w:t>
      </w:r>
    </w:p>
    <w:p>
      <w:pPr>
        <w:pStyle w:val="BodyText"/>
      </w:pPr>
    </w:p>
    <w:p>
      <w:pPr>
        <w:spacing w:before="0"/>
        <w:ind w:left="1571" w:right="1435" w:hanging="723"/>
        <w:jc w:val="both"/>
        <w:rPr>
          <w:sz w:val="24"/>
        </w:rPr>
      </w:pPr>
      <w:r>
        <w:rPr>
          <w:sz w:val="24"/>
        </w:rPr>
        <w:t>Farber, D. (2005). Restoring trust after fraud: Does corporate governance Matter? </w:t>
      </w:r>
      <w:r>
        <w:rPr>
          <w:i/>
          <w:sz w:val="24"/>
        </w:rPr>
        <w:t>The Accounting Review, 80</w:t>
      </w:r>
      <w:r>
        <w:rPr>
          <w:sz w:val="24"/>
        </w:rPr>
        <w:t>(5), 539-561.</w:t>
      </w:r>
    </w:p>
    <w:p>
      <w:pPr>
        <w:pStyle w:val="BodyText"/>
        <w:spacing w:before="240"/>
      </w:pPr>
    </w:p>
    <w:p>
      <w:pPr>
        <w:spacing w:before="0"/>
        <w:ind w:left="1571" w:right="1434" w:hanging="723"/>
        <w:jc w:val="both"/>
        <w:rPr>
          <w:sz w:val="24"/>
        </w:rPr>
      </w:pPr>
      <w:r>
        <w:rPr>
          <w:sz w:val="24"/>
        </w:rPr>
        <w:t>Fama,</w:t>
      </w:r>
      <w:r>
        <w:rPr>
          <w:spacing w:val="-3"/>
          <w:sz w:val="24"/>
        </w:rPr>
        <w:t> </w:t>
      </w:r>
      <w:r>
        <w:rPr>
          <w:sz w:val="24"/>
        </w:rPr>
        <w:t>E.</w:t>
      </w:r>
      <w:r>
        <w:rPr>
          <w:spacing w:val="-1"/>
          <w:sz w:val="24"/>
        </w:rPr>
        <w:t> </w:t>
      </w:r>
      <w:r>
        <w:rPr>
          <w:sz w:val="24"/>
        </w:rPr>
        <w:t>F.,</w:t>
      </w:r>
      <w:r>
        <w:rPr>
          <w:spacing w:val="-3"/>
          <w:sz w:val="24"/>
        </w:rPr>
        <w:t> </w:t>
      </w:r>
      <w:r>
        <w:rPr>
          <w:sz w:val="24"/>
        </w:rPr>
        <w:t>&amp;</w:t>
      </w:r>
      <w:r>
        <w:rPr>
          <w:spacing w:val="-3"/>
          <w:sz w:val="24"/>
        </w:rPr>
        <w:t> </w:t>
      </w:r>
      <w:r>
        <w:rPr>
          <w:sz w:val="24"/>
        </w:rPr>
        <w:t>Jensen,</w:t>
      </w:r>
      <w:r>
        <w:rPr>
          <w:spacing w:val="-3"/>
          <w:sz w:val="24"/>
        </w:rPr>
        <w:t> </w:t>
      </w:r>
      <w:r>
        <w:rPr>
          <w:sz w:val="24"/>
        </w:rPr>
        <w:t>M.</w:t>
      </w:r>
      <w:r>
        <w:rPr>
          <w:spacing w:val="-3"/>
          <w:sz w:val="24"/>
        </w:rPr>
        <w:t> </w:t>
      </w:r>
      <w:r>
        <w:rPr>
          <w:sz w:val="24"/>
        </w:rPr>
        <w:t>C.</w:t>
      </w:r>
      <w:r>
        <w:rPr>
          <w:spacing w:val="-3"/>
          <w:sz w:val="24"/>
        </w:rPr>
        <w:t> </w:t>
      </w:r>
      <w:r>
        <w:rPr>
          <w:sz w:val="24"/>
        </w:rPr>
        <w:t>(1983).</w:t>
      </w:r>
      <w:r>
        <w:rPr>
          <w:spacing w:val="-3"/>
          <w:sz w:val="24"/>
        </w:rPr>
        <w:t> </w:t>
      </w:r>
      <w:r>
        <w:rPr>
          <w:sz w:val="24"/>
        </w:rPr>
        <w:t>Separation</w:t>
      </w:r>
      <w:r>
        <w:rPr>
          <w:spacing w:val="-3"/>
          <w:sz w:val="24"/>
        </w:rPr>
        <w:t> </w:t>
      </w:r>
      <w:r>
        <w:rPr>
          <w:sz w:val="24"/>
        </w:rPr>
        <w:t>of</w:t>
      </w:r>
      <w:r>
        <w:rPr>
          <w:spacing w:val="-2"/>
          <w:sz w:val="24"/>
        </w:rPr>
        <w:t> </w:t>
      </w:r>
      <w:r>
        <w:rPr>
          <w:sz w:val="24"/>
        </w:rPr>
        <w:t>ownership</w:t>
      </w:r>
      <w:r>
        <w:rPr>
          <w:spacing w:val="-3"/>
          <w:sz w:val="24"/>
        </w:rPr>
        <w:t> </w:t>
      </w:r>
      <w:r>
        <w:rPr>
          <w:sz w:val="24"/>
        </w:rPr>
        <w:t>and</w:t>
      </w:r>
      <w:r>
        <w:rPr>
          <w:spacing w:val="-1"/>
          <w:sz w:val="24"/>
        </w:rPr>
        <w:t> </w:t>
      </w:r>
      <w:r>
        <w:rPr>
          <w:sz w:val="24"/>
        </w:rPr>
        <w:t>control. </w:t>
      </w:r>
      <w:r>
        <w:rPr>
          <w:i/>
          <w:sz w:val="24"/>
        </w:rPr>
        <w:t>Journal</w:t>
      </w:r>
      <w:r>
        <w:rPr>
          <w:i/>
          <w:spacing w:val="-3"/>
          <w:sz w:val="24"/>
        </w:rPr>
        <w:t> </w:t>
      </w:r>
      <w:r>
        <w:rPr>
          <w:i/>
          <w:sz w:val="24"/>
        </w:rPr>
        <w:t>of</w:t>
      </w:r>
      <w:r>
        <w:rPr>
          <w:i/>
          <w:spacing w:val="-3"/>
          <w:sz w:val="24"/>
        </w:rPr>
        <w:t> </w:t>
      </w:r>
      <w:r>
        <w:rPr>
          <w:i/>
          <w:sz w:val="24"/>
        </w:rPr>
        <w:t>Law</w:t>
      </w:r>
      <w:r>
        <w:rPr>
          <w:i/>
          <w:spacing w:val="-3"/>
          <w:sz w:val="24"/>
        </w:rPr>
        <w:t> </w:t>
      </w:r>
      <w:r>
        <w:rPr>
          <w:i/>
          <w:sz w:val="24"/>
        </w:rPr>
        <w:t>and Economics, 26</w:t>
      </w:r>
      <w:r>
        <w:rPr>
          <w:sz w:val="24"/>
        </w:rPr>
        <w:t>(2) 301-325.</w:t>
      </w:r>
    </w:p>
    <w:p>
      <w:pPr>
        <w:pStyle w:val="BodyText"/>
      </w:pPr>
    </w:p>
    <w:p>
      <w:pPr>
        <w:spacing w:before="1"/>
        <w:ind w:left="1571" w:right="1435" w:hanging="723"/>
        <w:jc w:val="both"/>
        <w:rPr>
          <w:sz w:val="24"/>
        </w:rPr>
      </w:pPr>
      <w:r>
        <w:rPr>
          <w:sz w:val="24"/>
        </w:rPr>
        <w:t>Fan, J., &amp; Wong, J. (2002). Corporate ownership structure and the informativeness of accounting earnings in East Asia. </w:t>
      </w:r>
      <w:r>
        <w:rPr>
          <w:i/>
          <w:sz w:val="24"/>
        </w:rPr>
        <w:t>Journal of Accounting and Economics</w:t>
      </w:r>
      <w:r>
        <w:rPr>
          <w:sz w:val="24"/>
        </w:rPr>
        <w:t>, </w:t>
      </w:r>
      <w:r>
        <w:rPr>
          <w:i/>
          <w:sz w:val="24"/>
        </w:rPr>
        <w:t>33</w:t>
      </w:r>
      <w:r>
        <w:rPr>
          <w:sz w:val="24"/>
        </w:rPr>
        <w:t>(4), 401- </w:t>
      </w:r>
      <w:r>
        <w:rPr>
          <w:spacing w:val="-4"/>
          <w:sz w:val="24"/>
        </w:rPr>
        <w:t>425.</w:t>
      </w:r>
    </w:p>
    <w:p>
      <w:pPr>
        <w:pStyle w:val="BodyText"/>
      </w:pPr>
    </w:p>
    <w:p>
      <w:pPr>
        <w:spacing w:before="0"/>
        <w:ind w:left="1571" w:right="1438" w:hanging="723"/>
        <w:jc w:val="both"/>
        <w:rPr>
          <w:sz w:val="24"/>
        </w:rPr>
      </w:pPr>
      <w:r>
        <w:rPr>
          <w:sz w:val="24"/>
        </w:rPr>
        <w:t>Feltham, G.A., &amp; Ohlson, J. A. (1995). Valuation and clean surplus accounting for operating and financial activities. </w:t>
      </w:r>
      <w:r>
        <w:rPr>
          <w:i/>
          <w:sz w:val="24"/>
        </w:rPr>
        <w:t>Contemporary Accounting Research, 11</w:t>
      </w:r>
      <w:r>
        <w:rPr>
          <w:sz w:val="24"/>
        </w:rPr>
        <w:t>(2), 689-731.</w:t>
      </w:r>
    </w:p>
    <w:p>
      <w:pPr>
        <w:pStyle w:val="BodyText"/>
      </w:pPr>
    </w:p>
    <w:p>
      <w:pPr>
        <w:spacing w:before="0"/>
        <w:ind w:left="1571" w:right="1437" w:hanging="723"/>
        <w:jc w:val="both"/>
        <w:rPr>
          <w:sz w:val="24"/>
        </w:rPr>
      </w:pPr>
      <w:r>
        <w:rPr>
          <w:sz w:val="24"/>
        </w:rPr>
        <w:t>Firth, M., Fung, P., &amp; Rui, O. (2007). Ownership, two-tier board structure, and the informativeness of earnings: Evidence from China. </w:t>
      </w:r>
      <w:r>
        <w:rPr>
          <w:i/>
          <w:sz w:val="24"/>
        </w:rPr>
        <w:t>Journal of Accounting and Public Policy</w:t>
      </w:r>
      <w:r>
        <w:rPr>
          <w:sz w:val="24"/>
        </w:rPr>
        <w:t>, </w:t>
      </w:r>
      <w:r>
        <w:rPr>
          <w:i/>
          <w:sz w:val="24"/>
        </w:rPr>
        <w:t>26</w:t>
      </w:r>
      <w:r>
        <w:rPr>
          <w:sz w:val="24"/>
        </w:rPr>
        <w:t>(4), 463-496.</w:t>
      </w:r>
    </w:p>
    <w:p>
      <w:pPr>
        <w:pStyle w:val="BodyText"/>
        <w:spacing w:before="240"/>
        <w:ind w:left="1571" w:right="1446" w:hanging="723"/>
        <w:jc w:val="both"/>
      </w:pPr>
      <w:r>
        <w:rPr/>
        <w:t>Financial Reporting Council of Nigeria (2018). Adoption and compliance with Nigerian code of corporate governance. Retrieved from </w:t>
      </w:r>
      <w:hyperlink r:id="rId18">
        <w:r>
          <w:rPr/>
          <w:t>www.frcn.gov.ng</w:t>
        </w:r>
      </w:hyperlink>
    </w:p>
    <w:p>
      <w:pPr>
        <w:pStyle w:val="BodyText"/>
        <w:tabs>
          <w:tab w:pos="3714" w:val="left" w:leader="none"/>
          <w:tab w:pos="5441" w:val="left" w:leader="none"/>
          <w:tab w:pos="7641" w:val="left" w:leader="none"/>
          <w:tab w:pos="9498" w:val="left" w:leader="none"/>
        </w:tabs>
        <w:spacing w:before="240"/>
        <w:ind w:left="1571" w:right="1438" w:hanging="723"/>
        <w:jc w:val="both"/>
      </w:pPr>
      <w:r>
        <w:rPr/>
        <w:t>Finance Committee on Corporate Governance (2002). Malaysia Code on Corporate </w:t>
      </w:r>
      <w:r>
        <w:rPr>
          <w:spacing w:val="-2"/>
        </w:rPr>
        <w:t>Governance,</w:t>
      </w:r>
      <w:r>
        <w:rPr/>
        <w:tab/>
      </w:r>
      <w:r>
        <w:rPr>
          <w:spacing w:val="-2"/>
        </w:rPr>
        <w:t>Security</w:t>
      </w:r>
      <w:r>
        <w:rPr/>
        <w:tab/>
      </w:r>
      <w:r>
        <w:rPr>
          <w:spacing w:val="-2"/>
        </w:rPr>
        <w:t>Commission.</w:t>
      </w:r>
      <w:r>
        <w:rPr/>
        <w:tab/>
      </w:r>
      <w:r>
        <w:rPr>
          <w:spacing w:val="-2"/>
        </w:rPr>
        <w:t>Retrieved</w:t>
      </w:r>
      <w:r>
        <w:rPr/>
        <w:tab/>
      </w:r>
      <w:r>
        <w:rPr>
          <w:spacing w:val="-4"/>
        </w:rPr>
        <w:t>from </w:t>
      </w:r>
      <w:hyperlink r:id="rId19">
        <w:r>
          <w:rPr>
            <w:spacing w:val="-2"/>
            <w:u w:val="single"/>
          </w:rPr>
          <w:t>www.gomalaysiatour.com/administrator/admin/pdf/4dcf82cb5b8dc.pdf</w:t>
        </w:r>
      </w:hyperlink>
    </w:p>
    <w:p>
      <w:pPr>
        <w:spacing w:after="0"/>
        <w:jc w:val="both"/>
        <w:sectPr>
          <w:pgSz w:w="11910" w:h="16840"/>
          <w:pgMar w:header="0" w:footer="971" w:top="1620" w:bottom="1160" w:left="500" w:right="0"/>
        </w:sectPr>
      </w:pPr>
    </w:p>
    <w:p>
      <w:pPr>
        <w:spacing w:before="61"/>
        <w:ind w:left="1571" w:right="1438" w:hanging="723"/>
        <w:jc w:val="both"/>
        <w:rPr>
          <w:sz w:val="24"/>
        </w:rPr>
      </w:pPr>
      <w:r>
        <w:rPr>
          <w:sz w:val="24"/>
        </w:rPr>
        <w:t>Franks,</w:t>
      </w:r>
      <w:r>
        <w:rPr>
          <w:spacing w:val="-2"/>
          <w:sz w:val="24"/>
        </w:rPr>
        <w:t> </w:t>
      </w:r>
      <w:r>
        <w:rPr>
          <w:sz w:val="24"/>
        </w:rPr>
        <w:t>J.,</w:t>
      </w:r>
      <w:r>
        <w:rPr>
          <w:spacing w:val="-5"/>
          <w:sz w:val="24"/>
        </w:rPr>
        <w:t> </w:t>
      </w:r>
      <w:r>
        <w:rPr>
          <w:sz w:val="24"/>
        </w:rPr>
        <w:t>&amp;</w:t>
      </w:r>
      <w:r>
        <w:rPr>
          <w:spacing w:val="-4"/>
          <w:sz w:val="24"/>
        </w:rPr>
        <w:t> </w:t>
      </w:r>
      <w:r>
        <w:rPr>
          <w:sz w:val="24"/>
        </w:rPr>
        <w:t>Mayer,</w:t>
      </w:r>
      <w:r>
        <w:rPr>
          <w:spacing w:val="-6"/>
          <w:sz w:val="24"/>
        </w:rPr>
        <w:t> </w:t>
      </w:r>
      <w:r>
        <w:rPr>
          <w:sz w:val="24"/>
        </w:rPr>
        <w:t>C.</w:t>
      </w:r>
      <w:r>
        <w:rPr>
          <w:spacing w:val="-3"/>
          <w:sz w:val="24"/>
        </w:rPr>
        <w:t> </w:t>
      </w:r>
      <w:r>
        <w:rPr>
          <w:sz w:val="24"/>
        </w:rPr>
        <w:t>(1995).</w:t>
      </w:r>
      <w:r>
        <w:rPr>
          <w:spacing w:val="-5"/>
          <w:sz w:val="24"/>
        </w:rPr>
        <w:t> </w:t>
      </w:r>
      <w:r>
        <w:rPr>
          <w:sz w:val="24"/>
        </w:rPr>
        <w:t>Ownership</w:t>
      </w:r>
      <w:r>
        <w:rPr>
          <w:spacing w:val="-5"/>
          <w:sz w:val="24"/>
        </w:rPr>
        <w:t> </w:t>
      </w:r>
      <w:r>
        <w:rPr>
          <w:sz w:val="24"/>
        </w:rPr>
        <w:t>and</w:t>
      </w:r>
      <w:r>
        <w:rPr>
          <w:spacing w:val="-3"/>
          <w:sz w:val="24"/>
        </w:rPr>
        <w:t> </w:t>
      </w:r>
      <w:r>
        <w:rPr>
          <w:sz w:val="24"/>
        </w:rPr>
        <w:t>control,</w:t>
      </w:r>
      <w:r>
        <w:rPr>
          <w:spacing w:val="-2"/>
          <w:sz w:val="24"/>
        </w:rPr>
        <w:t> </w:t>
      </w:r>
      <w:r>
        <w:rPr>
          <w:sz w:val="24"/>
        </w:rPr>
        <w:t>In:</w:t>
      </w:r>
      <w:r>
        <w:rPr>
          <w:spacing w:val="-4"/>
          <w:sz w:val="24"/>
        </w:rPr>
        <w:t> </w:t>
      </w:r>
      <w:r>
        <w:rPr>
          <w:sz w:val="24"/>
        </w:rPr>
        <w:t>H.</w:t>
      </w:r>
      <w:r>
        <w:rPr>
          <w:spacing w:val="-5"/>
          <w:sz w:val="24"/>
        </w:rPr>
        <w:t> </w:t>
      </w:r>
      <w:r>
        <w:rPr>
          <w:sz w:val="24"/>
        </w:rPr>
        <w:t>Siebert</w:t>
      </w:r>
      <w:r>
        <w:rPr>
          <w:spacing w:val="-5"/>
          <w:sz w:val="24"/>
        </w:rPr>
        <w:t> </w:t>
      </w:r>
      <w:r>
        <w:rPr>
          <w:sz w:val="24"/>
        </w:rPr>
        <w:t>(ed.), </w:t>
      </w:r>
      <w:r>
        <w:rPr>
          <w:i/>
          <w:sz w:val="24"/>
        </w:rPr>
        <w:t>Trends</w:t>
      </w:r>
      <w:r>
        <w:rPr>
          <w:i/>
          <w:spacing w:val="-5"/>
          <w:sz w:val="24"/>
        </w:rPr>
        <w:t> </w:t>
      </w:r>
      <w:r>
        <w:rPr>
          <w:i/>
          <w:sz w:val="24"/>
        </w:rPr>
        <w:t>in</w:t>
      </w:r>
      <w:r>
        <w:rPr>
          <w:i/>
          <w:spacing w:val="-4"/>
          <w:sz w:val="24"/>
        </w:rPr>
        <w:t> </w:t>
      </w:r>
      <w:r>
        <w:rPr>
          <w:i/>
          <w:sz w:val="24"/>
        </w:rPr>
        <w:t>Business Organization. </w:t>
      </w:r>
      <w:r>
        <w:rPr>
          <w:sz w:val="24"/>
        </w:rPr>
        <w:t>Tubingen: Mohr. Retrieved from </w:t>
      </w:r>
      <w:hyperlink r:id="rId17">
        <w:r>
          <w:rPr>
            <w:sz w:val="24"/>
            <w:u w:val="single"/>
          </w:rPr>
          <w:t>www.researchgate.net</w:t>
        </w:r>
      </w:hyperlink>
      <w:r>
        <w:rPr>
          <w:sz w:val="24"/>
        </w:rPr>
        <w:t>.</w:t>
      </w:r>
    </w:p>
    <w:p>
      <w:pPr>
        <w:spacing w:before="240"/>
        <w:ind w:left="1571" w:right="1438" w:hanging="723"/>
        <w:jc w:val="both"/>
        <w:rPr>
          <w:sz w:val="24"/>
        </w:rPr>
      </w:pPr>
      <w:r>
        <w:rPr>
          <w:sz w:val="24"/>
        </w:rPr>
        <w:t>Flavia, A., Bogdan, G. (n.d.). Knowledge and models of corporate governance. </w:t>
      </w:r>
      <w:r>
        <w:rPr>
          <w:i/>
          <w:sz w:val="24"/>
        </w:rPr>
        <w:t>Romanian Economic and Business Review</w:t>
      </w:r>
      <w:r>
        <w:rPr>
          <w:sz w:val="24"/>
        </w:rPr>
        <w:t>, </w:t>
      </w:r>
      <w:r>
        <w:rPr>
          <w:i/>
          <w:sz w:val="24"/>
        </w:rPr>
        <w:t>3</w:t>
      </w:r>
      <w:r>
        <w:rPr>
          <w:sz w:val="24"/>
        </w:rPr>
        <w:t>(4), 58-64.</w:t>
      </w:r>
    </w:p>
    <w:p>
      <w:pPr>
        <w:pStyle w:val="BodyText"/>
      </w:pPr>
    </w:p>
    <w:p>
      <w:pPr>
        <w:spacing w:before="0"/>
        <w:ind w:left="849" w:right="0" w:firstLine="0"/>
        <w:jc w:val="left"/>
        <w:rPr>
          <w:sz w:val="24"/>
        </w:rPr>
      </w:pPr>
      <w:r>
        <w:rPr>
          <w:sz w:val="24"/>
        </w:rPr>
        <w:t>Freeman,</w:t>
      </w:r>
      <w:r>
        <w:rPr>
          <w:spacing w:val="-3"/>
          <w:sz w:val="24"/>
        </w:rPr>
        <w:t> </w:t>
      </w:r>
      <w:r>
        <w:rPr>
          <w:sz w:val="24"/>
        </w:rPr>
        <w:t>R.E.</w:t>
      </w:r>
      <w:r>
        <w:rPr>
          <w:spacing w:val="-1"/>
          <w:sz w:val="24"/>
        </w:rPr>
        <w:t> </w:t>
      </w:r>
      <w:r>
        <w:rPr>
          <w:sz w:val="24"/>
        </w:rPr>
        <w:t>(1984). </w:t>
      </w:r>
      <w:r>
        <w:rPr>
          <w:i/>
          <w:sz w:val="24"/>
        </w:rPr>
        <w:t>Strategic</w:t>
      </w:r>
      <w:r>
        <w:rPr>
          <w:i/>
          <w:spacing w:val="-2"/>
          <w:sz w:val="24"/>
        </w:rPr>
        <w:t> </w:t>
      </w:r>
      <w:r>
        <w:rPr>
          <w:i/>
          <w:sz w:val="24"/>
        </w:rPr>
        <w:t>management: A</w:t>
      </w:r>
      <w:r>
        <w:rPr>
          <w:i/>
          <w:spacing w:val="-1"/>
          <w:sz w:val="24"/>
        </w:rPr>
        <w:t> </w:t>
      </w:r>
      <w:r>
        <w:rPr>
          <w:i/>
          <w:sz w:val="24"/>
        </w:rPr>
        <w:t>stakeholder approach.</w:t>
      </w:r>
      <w:r>
        <w:rPr>
          <w:i/>
          <w:spacing w:val="1"/>
          <w:sz w:val="24"/>
        </w:rPr>
        <w:t> </w:t>
      </w:r>
      <w:r>
        <w:rPr>
          <w:sz w:val="24"/>
        </w:rPr>
        <w:t>Boston: </w:t>
      </w:r>
      <w:r>
        <w:rPr>
          <w:spacing w:val="-2"/>
          <w:sz w:val="24"/>
        </w:rPr>
        <w:t>Pitman</w:t>
      </w:r>
    </w:p>
    <w:p>
      <w:pPr>
        <w:pStyle w:val="BodyText"/>
        <w:spacing w:before="240"/>
      </w:pPr>
    </w:p>
    <w:p>
      <w:pPr>
        <w:spacing w:before="0"/>
        <w:ind w:left="1571" w:right="1438" w:hanging="723"/>
        <w:jc w:val="both"/>
        <w:rPr>
          <w:sz w:val="24"/>
        </w:rPr>
      </w:pPr>
      <w:r>
        <w:rPr/>
        <w:drawing>
          <wp:anchor distT="0" distB="0" distL="0" distR="0" allowOverlap="1" layoutInCell="1" locked="0" behindDoc="1" simplePos="0" relativeHeight="477772288">
            <wp:simplePos x="0" y="0"/>
            <wp:positionH relativeFrom="page">
              <wp:posOffset>1095451</wp:posOffset>
            </wp:positionH>
            <wp:positionV relativeFrom="paragraph">
              <wp:posOffset>280520</wp:posOffset>
            </wp:positionV>
            <wp:extent cx="5106847" cy="5238115"/>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20" cstate="print"/>
                    <a:stretch>
                      <a:fillRect/>
                    </a:stretch>
                  </pic:blipFill>
                  <pic:spPr>
                    <a:xfrm>
                      <a:off x="0" y="0"/>
                      <a:ext cx="5106847" cy="5238115"/>
                    </a:xfrm>
                    <a:prstGeom prst="rect">
                      <a:avLst/>
                    </a:prstGeom>
                  </pic:spPr>
                </pic:pic>
              </a:graphicData>
            </a:graphic>
          </wp:anchor>
        </w:drawing>
      </w:r>
      <w:r>
        <w:rPr>
          <w:sz w:val="24"/>
        </w:rPr>
        <w:t>Franks,</w:t>
      </w:r>
      <w:r>
        <w:rPr>
          <w:spacing w:val="-2"/>
          <w:sz w:val="24"/>
        </w:rPr>
        <w:t> </w:t>
      </w:r>
      <w:r>
        <w:rPr>
          <w:sz w:val="24"/>
        </w:rPr>
        <w:t>J.,</w:t>
      </w:r>
      <w:r>
        <w:rPr>
          <w:spacing w:val="-5"/>
          <w:sz w:val="24"/>
        </w:rPr>
        <w:t> </w:t>
      </w:r>
      <w:r>
        <w:rPr>
          <w:sz w:val="24"/>
        </w:rPr>
        <w:t>&amp;</w:t>
      </w:r>
      <w:r>
        <w:rPr>
          <w:spacing w:val="-4"/>
          <w:sz w:val="24"/>
        </w:rPr>
        <w:t> </w:t>
      </w:r>
      <w:r>
        <w:rPr>
          <w:sz w:val="24"/>
        </w:rPr>
        <w:t>Mayer,</w:t>
      </w:r>
      <w:r>
        <w:rPr>
          <w:spacing w:val="-6"/>
          <w:sz w:val="24"/>
        </w:rPr>
        <w:t> </w:t>
      </w:r>
      <w:r>
        <w:rPr>
          <w:sz w:val="24"/>
        </w:rPr>
        <w:t>C.</w:t>
      </w:r>
      <w:r>
        <w:rPr>
          <w:spacing w:val="-3"/>
          <w:sz w:val="24"/>
        </w:rPr>
        <w:t> </w:t>
      </w:r>
      <w:r>
        <w:rPr>
          <w:sz w:val="24"/>
        </w:rPr>
        <w:t>(1995).</w:t>
      </w:r>
      <w:r>
        <w:rPr>
          <w:spacing w:val="-5"/>
          <w:sz w:val="24"/>
        </w:rPr>
        <w:t> </w:t>
      </w:r>
      <w:r>
        <w:rPr>
          <w:sz w:val="24"/>
        </w:rPr>
        <w:t>Ownership</w:t>
      </w:r>
      <w:r>
        <w:rPr>
          <w:spacing w:val="-5"/>
          <w:sz w:val="24"/>
        </w:rPr>
        <w:t> </w:t>
      </w:r>
      <w:r>
        <w:rPr>
          <w:sz w:val="24"/>
        </w:rPr>
        <w:t>and</w:t>
      </w:r>
      <w:r>
        <w:rPr>
          <w:spacing w:val="-3"/>
          <w:sz w:val="24"/>
        </w:rPr>
        <w:t> </w:t>
      </w:r>
      <w:r>
        <w:rPr>
          <w:sz w:val="24"/>
        </w:rPr>
        <w:t>control,</w:t>
      </w:r>
      <w:r>
        <w:rPr>
          <w:spacing w:val="-2"/>
          <w:sz w:val="24"/>
        </w:rPr>
        <w:t> </w:t>
      </w:r>
      <w:r>
        <w:rPr>
          <w:sz w:val="24"/>
        </w:rPr>
        <w:t>In:</w:t>
      </w:r>
      <w:r>
        <w:rPr>
          <w:spacing w:val="-4"/>
          <w:sz w:val="24"/>
        </w:rPr>
        <w:t> </w:t>
      </w:r>
      <w:r>
        <w:rPr>
          <w:sz w:val="24"/>
        </w:rPr>
        <w:t>H.</w:t>
      </w:r>
      <w:r>
        <w:rPr>
          <w:spacing w:val="-5"/>
          <w:sz w:val="24"/>
        </w:rPr>
        <w:t> </w:t>
      </w:r>
      <w:r>
        <w:rPr>
          <w:sz w:val="24"/>
        </w:rPr>
        <w:t>Siebert</w:t>
      </w:r>
      <w:r>
        <w:rPr>
          <w:spacing w:val="-5"/>
          <w:sz w:val="24"/>
        </w:rPr>
        <w:t> </w:t>
      </w:r>
      <w:r>
        <w:rPr>
          <w:sz w:val="24"/>
        </w:rPr>
        <w:t>(ed.), </w:t>
      </w:r>
      <w:r>
        <w:rPr>
          <w:i/>
          <w:sz w:val="24"/>
        </w:rPr>
        <w:t>Trends</w:t>
      </w:r>
      <w:r>
        <w:rPr>
          <w:i/>
          <w:spacing w:val="-5"/>
          <w:sz w:val="24"/>
        </w:rPr>
        <w:t> </w:t>
      </w:r>
      <w:r>
        <w:rPr>
          <w:i/>
          <w:sz w:val="24"/>
        </w:rPr>
        <w:t>in</w:t>
      </w:r>
      <w:r>
        <w:rPr>
          <w:i/>
          <w:spacing w:val="-4"/>
          <w:sz w:val="24"/>
        </w:rPr>
        <w:t> </w:t>
      </w:r>
      <w:r>
        <w:rPr>
          <w:i/>
          <w:sz w:val="24"/>
        </w:rPr>
        <w:t>Business Organization. </w:t>
      </w:r>
      <w:r>
        <w:rPr>
          <w:sz w:val="24"/>
        </w:rPr>
        <w:t>Tubingen: Mohr. Retrieved from </w:t>
      </w:r>
      <w:hyperlink r:id="rId17">
        <w:r>
          <w:rPr>
            <w:sz w:val="24"/>
          </w:rPr>
          <w:t>www.researchgate.net</w:t>
        </w:r>
      </w:hyperlink>
      <w:r>
        <w:rPr>
          <w:sz w:val="24"/>
        </w:rPr>
        <w:t>.</w:t>
      </w:r>
    </w:p>
    <w:p>
      <w:pPr>
        <w:spacing w:before="240"/>
        <w:ind w:left="1571" w:right="1437" w:hanging="723"/>
        <w:jc w:val="both"/>
        <w:rPr>
          <w:sz w:val="22"/>
        </w:rPr>
      </w:pPr>
      <w:r>
        <w:rPr>
          <w:sz w:val="22"/>
        </w:rPr>
        <w:t>Gassen,</w:t>
      </w:r>
      <w:r>
        <w:rPr>
          <w:spacing w:val="-10"/>
          <w:sz w:val="22"/>
        </w:rPr>
        <w:t> </w:t>
      </w:r>
      <w:r>
        <w:rPr>
          <w:sz w:val="22"/>
        </w:rPr>
        <w:t>J.,</w:t>
      </w:r>
      <w:r>
        <w:rPr>
          <w:spacing w:val="-9"/>
          <w:sz w:val="22"/>
        </w:rPr>
        <w:t> </w:t>
      </w:r>
      <w:r>
        <w:rPr>
          <w:sz w:val="22"/>
        </w:rPr>
        <w:t>&amp;</w:t>
      </w:r>
      <w:r>
        <w:rPr>
          <w:spacing w:val="-7"/>
          <w:sz w:val="22"/>
        </w:rPr>
        <w:t> </w:t>
      </w:r>
      <w:r>
        <w:rPr>
          <w:sz w:val="22"/>
        </w:rPr>
        <w:t>Sellhorn,</w:t>
      </w:r>
      <w:r>
        <w:rPr>
          <w:spacing w:val="-8"/>
          <w:sz w:val="22"/>
        </w:rPr>
        <w:t> </w:t>
      </w:r>
      <w:r>
        <w:rPr>
          <w:sz w:val="22"/>
        </w:rPr>
        <w:t>T.</w:t>
      </w:r>
      <w:r>
        <w:rPr>
          <w:spacing w:val="-10"/>
          <w:sz w:val="22"/>
        </w:rPr>
        <w:t> </w:t>
      </w:r>
      <w:r>
        <w:rPr>
          <w:sz w:val="22"/>
        </w:rPr>
        <w:t>(2006).</w:t>
      </w:r>
      <w:r>
        <w:rPr>
          <w:spacing w:val="-6"/>
          <w:sz w:val="22"/>
        </w:rPr>
        <w:t> </w:t>
      </w:r>
      <w:r>
        <w:rPr>
          <w:sz w:val="22"/>
        </w:rPr>
        <w:t>Applying</w:t>
      </w:r>
      <w:r>
        <w:rPr>
          <w:spacing w:val="-8"/>
          <w:sz w:val="22"/>
        </w:rPr>
        <w:t> </w:t>
      </w:r>
      <w:r>
        <w:rPr>
          <w:sz w:val="22"/>
        </w:rPr>
        <w:t>IFRS</w:t>
      </w:r>
      <w:r>
        <w:rPr>
          <w:spacing w:val="-8"/>
          <w:sz w:val="22"/>
        </w:rPr>
        <w:t> </w:t>
      </w:r>
      <w:r>
        <w:rPr>
          <w:sz w:val="22"/>
        </w:rPr>
        <w:t>in</w:t>
      </w:r>
      <w:r>
        <w:rPr>
          <w:spacing w:val="-8"/>
          <w:sz w:val="22"/>
        </w:rPr>
        <w:t> </w:t>
      </w:r>
      <w:r>
        <w:rPr>
          <w:sz w:val="22"/>
        </w:rPr>
        <w:t>Germany:</w:t>
      </w:r>
      <w:r>
        <w:rPr>
          <w:spacing w:val="-7"/>
          <w:sz w:val="22"/>
        </w:rPr>
        <w:t> </w:t>
      </w:r>
      <w:r>
        <w:rPr>
          <w:sz w:val="22"/>
        </w:rPr>
        <w:t>Determinants</w:t>
      </w:r>
      <w:r>
        <w:rPr>
          <w:spacing w:val="-7"/>
          <w:sz w:val="22"/>
        </w:rPr>
        <w:t> </w:t>
      </w:r>
      <w:r>
        <w:rPr>
          <w:sz w:val="22"/>
        </w:rPr>
        <w:t>and</w:t>
      </w:r>
      <w:r>
        <w:rPr>
          <w:spacing w:val="-3"/>
          <w:sz w:val="22"/>
        </w:rPr>
        <w:t> </w:t>
      </w:r>
      <w:r>
        <w:rPr>
          <w:sz w:val="24"/>
        </w:rPr>
        <w:t>c</w:t>
      </w:r>
      <w:r>
        <w:rPr>
          <w:sz w:val="22"/>
        </w:rPr>
        <w:t>consequences.</w:t>
      </w:r>
      <w:r>
        <w:rPr>
          <w:spacing w:val="-7"/>
          <w:sz w:val="22"/>
        </w:rPr>
        <w:t> </w:t>
      </w:r>
      <w:r>
        <w:rPr>
          <w:i/>
          <w:sz w:val="22"/>
        </w:rPr>
        <w:t>Social Science Research Network, 58</w:t>
      </w:r>
      <w:r>
        <w:rPr>
          <w:sz w:val="22"/>
        </w:rPr>
        <w:t>(4), 1-38.</w:t>
      </w:r>
    </w:p>
    <w:p>
      <w:pPr>
        <w:spacing w:before="239"/>
        <w:ind w:left="1571" w:right="1437" w:hanging="723"/>
        <w:jc w:val="both"/>
        <w:rPr>
          <w:sz w:val="22"/>
        </w:rPr>
      </w:pPr>
      <w:r>
        <w:rPr>
          <w:sz w:val="22"/>
        </w:rPr>
        <w:t>Gordon, L. A., Loeb, M. P., &amp; Zhu, W. (2012). The impact of IFRS adoption on foreign direct investment. </w:t>
      </w:r>
      <w:r>
        <w:rPr>
          <w:i/>
          <w:sz w:val="22"/>
        </w:rPr>
        <w:t>Journal of Account. Public Policy</w:t>
      </w:r>
      <w:r>
        <w:rPr>
          <w:sz w:val="22"/>
        </w:rPr>
        <w:t>, 31(5), 374-398.</w:t>
      </w:r>
    </w:p>
    <w:p>
      <w:pPr>
        <w:spacing w:before="241"/>
        <w:ind w:left="1571" w:right="1437" w:hanging="723"/>
        <w:jc w:val="both"/>
        <w:rPr>
          <w:sz w:val="24"/>
        </w:rPr>
      </w:pPr>
      <w:r>
        <w:rPr>
          <w:sz w:val="24"/>
        </w:rPr>
        <w:t>Gompers,</w:t>
      </w:r>
      <w:r>
        <w:rPr>
          <w:spacing w:val="-11"/>
          <w:sz w:val="24"/>
        </w:rPr>
        <w:t> </w:t>
      </w:r>
      <w:r>
        <w:rPr>
          <w:sz w:val="24"/>
        </w:rPr>
        <w:t>P.,</w:t>
      </w:r>
      <w:r>
        <w:rPr>
          <w:spacing w:val="-8"/>
          <w:sz w:val="24"/>
        </w:rPr>
        <w:t> </w:t>
      </w:r>
      <w:r>
        <w:rPr>
          <w:sz w:val="24"/>
        </w:rPr>
        <w:t>Ishii,</w:t>
      </w:r>
      <w:r>
        <w:rPr>
          <w:spacing w:val="-11"/>
          <w:sz w:val="24"/>
        </w:rPr>
        <w:t> </w:t>
      </w:r>
      <w:r>
        <w:rPr>
          <w:sz w:val="24"/>
        </w:rPr>
        <w:t>J.,</w:t>
      </w:r>
      <w:r>
        <w:rPr>
          <w:spacing w:val="-10"/>
          <w:sz w:val="24"/>
        </w:rPr>
        <w:t> </w:t>
      </w:r>
      <w:r>
        <w:rPr>
          <w:sz w:val="24"/>
        </w:rPr>
        <w:t>&amp;</w:t>
      </w:r>
      <w:r>
        <w:rPr>
          <w:spacing w:val="-8"/>
          <w:sz w:val="24"/>
        </w:rPr>
        <w:t> </w:t>
      </w:r>
      <w:r>
        <w:rPr>
          <w:sz w:val="24"/>
        </w:rPr>
        <w:t>Metrick,</w:t>
      </w:r>
      <w:r>
        <w:rPr>
          <w:spacing w:val="-11"/>
          <w:sz w:val="24"/>
        </w:rPr>
        <w:t> </w:t>
      </w:r>
      <w:r>
        <w:rPr>
          <w:sz w:val="24"/>
        </w:rPr>
        <w:t>A.</w:t>
      </w:r>
      <w:r>
        <w:rPr>
          <w:spacing w:val="-11"/>
          <w:sz w:val="24"/>
        </w:rPr>
        <w:t> </w:t>
      </w:r>
      <w:r>
        <w:rPr>
          <w:sz w:val="24"/>
        </w:rPr>
        <w:t>(2003).</w:t>
      </w:r>
      <w:r>
        <w:rPr>
          <w:spacing w:val="-11"/>
          <w:sz w:val="24"/>
        </w:rPr>
        <w:t> </w:t>
      </w:r>
      <w:r>
        <w:rPr>
          <w:sz w:val="24"/>
        </w:rPr>
        <w:t>Corporate</w:t>
      </w:r>
      <w:r>
        <w:rPr>
          <w:spacing w:val="-11"/>
          <w:sz w:val="24"/>
        </w:rPr>
        <w:t> </w:t>
      </w:r>
      <w:r>
        <w:rPr>
          <w:sz w:val="24"/>
        </w:rPr>
        <w:t>governance</w:t>
      </w:r>
      <w:r>
        <w:rPr>
          <w:spacing w:val="-12"/>
          <w:sz w:val="24"/>
        </w:rPr>
        <w:t> </w:t>
      </w:r>
      <w:r>
        <w:rPr>
          <w:sz w:val="24"/>
        </w:rPr>
        <w:t>and</w:t>
      </w:r>
      <w:r>
        <w:rPr>
          <w:spacing w:val="-9"/>
          <w:sz w:val="24"/>
        </w:rPr>
        <w:t> </w:t>
      </w:r>
      <w:r>
        <w:rPr>
          <w:sz w:val="24"/>
        </w:rPr>
        <w:t>equity</w:t>
      </w:r>
      <w:r>
        <w:rPr>
          <w:spacing w:val="-11"/>
          <w:sz w:val="24"/>
        </w:rPr>
        <w:t> </w:t>
      </w:r>
      <w:r>
        <w:rPr>
          <w:sz w:val="24"/>
        </w:rPr>
        <w:t>prices.</w:t>
      </w:r>
      <w:r>
        <w:rPr>
          <w:spacing w:val="-6"/>
          <w:sz w:val="24"/>
        </w:rPr>
        <w:t> </w:t>
      </w:r>
      <w:r>
        <w:rPr>
          <w:i/>
          <w:sz w:val="24"/>
        </w:rPr>
        <w:t>Quarterly Journal of Economics, 118</w:t>
      </w:r>
      <w:r>
        <w:rPr>
          <w:sz w:val="24"/>
        </w:rPr>
        <w:t>(7), 107-155.</w:t>
      </w:r>
    </w:p>
    <w:p>
      <w:pPr>
        <w:pStyle w:val="BodyText"/>
        <w:spacing w:before="240"/>
        <w:ind w:left="1571" w:right="1440" w:hanging="723"/>
        <w:jc w:val="both"/>
      </w:pPr>
      <w:r>
        <w:rPr/>
        <w:t>Goh, B., Ng, J., &amp; Yong, K. (2009). Market pricing of banks’ fair value assets reported under SFAS 157 during the 2008 economic crisis. Working paper. Singapore Management </w:t>
      </w:r>
      <w:r>
        <w:rPr>
          <w:spacing w:val="-2"/>
        </w:rPr>
        <w:t>University.</w:t>
      </w:r>
    </w:p>
    <w:p>
      <w:pPr>
        <w:spacing w:before="0"/>
        <w:ind w:left="1571" w:right="1445" w:hanging="723"/>
        <w:jc w:val="both"/>
        <w:rPr>
          <w:sz w:val="24"/>
        </w:rPr>
      </w:pPr>
      <w:r>
        <w:rPr>
          <w:sz w:val="24"/>
        </w:rPr>
        <w:t>Gul, F. A., &amp; Leung, S. (2004). Board leadership, outside directors' expertise and voluntary corporate disclosures. </w:t>
      </w:r>
      <w:r>
        <w:rPr>
          <w:i/>
          <w:sz w:val="24"/>
        </w:rPr>
        <w:t>Journal of Accounting and Public Policy, 23</w:t>
      </w:r>
      <w:r>
        <w:rPr>
          <w:sz w:val="24"/>
        </w:rPr>
        <w:t>(5), 351–379.</w:t>
      </w:r>
    </w:p>
    <w:p>
      <w:pPr>
        <w:pStyle w:val="BodyText"/>
        <w:spacing w:before="1"/>
      </w:pPr>
    </w:p>
    <w:p>
      <w:pPr>
        <w:pStyle w:val="BodyText"/>
        <w:ind w:left="1571" w:right="1438" w:hanging="723"/>
        <w:jc w:val="both"/>
      </w:pPr>
      <w:r>
        <w:rPr/>
        <w:t>Gunny,</w:t>
      </w:r>
      <w:r>
        <w:rPr>
          <w:spacing w:val="-15"/>
        </w:rPr>
        <w:t> </w:t>
      </w:r>
      <w:r>
        <w:rPr/>
        <w:t>K.</w:t>
      </w:r>
      <w:r>
        <w:rPr>
          <w:spacing w:val="-15"/>
        </w:rPr>
        <w:t> </w:t>
      </w:r>
      <w:r>
        <w:rPr/>
        <w:t>(2010).</w:t>
      </w:r>
      <w:r>
        <w:rPr>
          <w:spacing w:val="-15"/>
        </w:rPr>
        <w:t> </w:t>
      </w:r>
      <w:r>
        <w:rPr/>
        <w:t>The</w:t>
      </w:r>
      <w:r>
        <w:rPr>
          <w:spacing w:val="-15"/>
        </w:rPr>
        <w:t> </w:t>
      </w:r>
      <w:r>
        <w:rPr/>
        <w:t>relation</w:t>
      </w:r>
      <w:r>
        <w:rPr>
          <w:spacing w:val="-15"/>
        </w:rPr>
        <w:t> </w:t>
      </w:r>
      <w:r>
        <w:rPr/>
        <w:t>between</w:t>
      </w:r>
      <w:r>
        <w:rPr>
          <w:spacing w:val="-15"/>
        </w:rPr>
        <w:t> </w:t>
      </w:r>
      <w:r>
        <w:rPr/>
        <w:t>earnings</w:t>
      </w:r>
      <w:r>
        <w:rPr>
          <w:spacing w:val="-15"/>
        </w:rPr>
        <w:t> </w:t>
      </w:r>
      <w:r>
        <w:rPr/>
        <w:t>management</w:t>
      </w:r>
      <w:r>
        <w:rPr>
          <w:spacing w:val="-15"/>
        </w:rPr>
        <w:t> </w:t>
      </w:r>
      <w:r>
        <w:rPr/>
        <w:t>using</w:t>
      </w:r>
      <w:r>
        <w:rPr>
          <w:spacing w:val="-15"/>
        </w:rPr>
        <w:t> </w:t>
      </w:r>
      <w:r>
        <w:rPr/>
        <w:t>real</w:t>
      </w:r>
      <w:r>
        <w:rPr>
          <w:spacing w:val="-15"/>
        </w:rPr>
        <w:t> </w:t>
      </w:r>
      <w:r>
        <w:rPr/>
        <w:t>activities</w:t>
      </w:r>
      <w:r>
        <w:rPr>
          <w:spacing w:val="-15"/>
        </w:rPr>
        <w:t> </w:t>
      </w:r>
      <w:r>
        <w:rPr/>
        <w:t>manipulation and future performance: evidence from beating earnings bench-marks. </w:t>
      </w:r>
      <w:r>
        <w:rPr>
          <w:i/>
        </w:rPr>
        <w:t>Contemporary Accounting Review 27 </w:t>
      </w:r>
      <w:r>
        <w:rPr/>
        <w:t>(3), 855-888</w:t>
      </w:r>
    </w:p>
    <w:p>
      <w:pPr>
        <w:pStyle w:val="BodyText"/>
      </w:pPr>
    </w:p>
    <w:p>
      <w:pPr>
        <w:spacing w:before="0"/>
        <w:ind w:left="1571" w:right="1441" w:hanging="723"/>
        <w:jc w:val="both"/>
        <w:rPr>
          <w:sz w:val="24"/>
        </w:rPr>
      </w:pPr>
      <w:r>
        <w:rPr>
          <w:sz w:val="24"/>
        </w:rPr>
        <w:t>Grundfest, J.A. (1990). Subordination of American capital. </w:t>
      </w:r>
      <w:r>
        <w:rPr>
          <w:i/>
          <w:sz w:val="24"/>
        </w:rPr>
        <w:t>Journal of Financial Economics, 27</w:t>
      </w:r>
      <w:r>
        <w:rPr>
          <w:sz w:val="24"/>
        </w:rPr>
        <w:t>(5), 89-114.</w:t>
      </w:r>
    </w:p>
    <w:p>
      <w:pPr>
        <w:pStyle w:val="BodyText"/>
      </w:pPr>
    </w:p>
    <w:p>
      <w:pPr>
        <w:spacing w:before="0"/>
        <w:ind w:left="1571" w:right="1439" w:hanging="723"/>
        <w:jc w:val="both"/>
        <w:rPr>
          <w:i/>
          <w:sz w:val="24"/>
        </w:rPr>
      </w:pPr>
      <w:r>
        <w:rPr>
          <w:sz w:val="24"/>
        </w:rPr>
        <w:t>Han, S. (2005). Ownership Structure and Quality of Financial Reporting. </w:t>
      </w:r>
      <w:r>
        <w:rPr>
          <w:i/>
          <w:sz w:val="24"/>
        </w:rPr>
        <w:t>Working Paper of University of Illinois.</w:t>
      </w:r>
    </w:p>
    <w:p>
      <w:pPr>
        <w:pStyle w:val="BodyText"/>
        <w:rPr>
          <w:i/>
        </w:rPr>
      </w:pPr>
    </w:p>
    <w:p>
      <w:pPr>
        <w:spacing w:before="0"/>
        <w:ind w:left="1571" w:right="1438" w:hanging="723"/>
        <w:jc w:val="both"/>
        <w:rPr>
          <w:sz w:val="24"/>
        </w:rPr>
      </w:pPr>
      <w:r>
        <w:rPr>
          <w:sz w:val="24"/>
        </w:rPr>
        <w:t>Haniffa,</w:t>
      </w:r>
      <w:r>
        <w:rPr>
          <w:spacing w:val="-10"/>
          <w:sz w:val="24"/>
        </w:rPr>
        <w:t> </w:t>
      </w:r>
      <w:r>
        <w:rPr>
          <w:sz w:val="24"/>
        </w:rPr>
        <w:t>R.,</w:t>
      </w:r>
      <w:r>
        <w:rPr>
          <w:spacing w:val="-12"/>
          <w:sz w:val="24"/>
        </w:rPr>
        <w:t> </w:t>
      </w:r>
      <w:r>
        <w:rPr>
          <w:sz w:val="24"/>
        </w:rPr>
        <w:t>&amp;</w:t>
      </w:r>
      <w:r>
        <w:rPr>
          <w:spacing w:val="-12"/>
          <w:sz w:val="24"/>
        </w:rPr>
        <w:t> </w:t>
      </w:r>
      <w:r>
        <w:rPr>
          <w:sz w:val="24"/>
        </w:rPr>
        <w:t>Hudaib,</w:t>
      </w:r>
      <w:r>
        <w:rPr>
          <w:spacing w:val="-12"/>
          <w:sz w:val="24"/>
        </w:rPr>
        <w:t> </w:t>
      </w:r>
      <w:r>
        <w:rPr>
          <w:sz w:val="24"/>
        </w:rPr>
        <w:t>M.</w:t>
      </w:r>
      <w:r>
        <w:rPr>
          <w:spacing w:val="-12"/>
          <w:sz w:val="24"/>
        </w:rPr>
        <w:t> </w:t>
      </w:r>
      <w:r>
        <w:rPr>
          <w:sz w:val="24"/>
        </w:rPr>
        <w:t>2006.</w:t>
      </w:r>
      <w:r>
        <w:rPr>
          <w:spacing w:val="-12"/>
          <w:sz w:val="24"/>
        </w:rPr>
        <w:t> </w:t>
      </w:r>
      <w:r>
        <w:rPr>
          <w:sz w:val="24"/>
        </w:rPr>
        <w:t>Corporate</w:t>
      </w:r>
      <w:r>
        <w:rPr>
          <w:spacing w:val="-10"/>
          <w:sz w:val="24"/>
        </w:rPr>
        <w:t> </w:t>
      </w:r>
      <w:r>
        <w:rPr>
          <w:sz w:val="24"/>
        </w:rPr>
        <w:t>governance</w:t>
      </w:r>
      <w:r>
        <w:rPr>
          <w:spacing w:val="-13"/>
          <w:sz w:val="24"/>
        </w:rPr>
        <w:t> </w:t>
      </w:r>
      <w:r>
        <w:rPr>
          <w:sz w:val="24"/>
        </w:rPr>
        <w:t>structure</w:t>
      </w:r>
      <w:r>
        <w:rPr>
          <w:spacing w:val="-11"/>
          <w:sz w:val="24"/>
        </w:rPr>
        <w:t> </w:t>
      </w:r>
      <w:r>
        <w:rPr>
          <w:sz w:val="24"/>
        </w:rPr>
        <w:t>and</w:t>
      </w:r>
      <w:r>
        <w:rPr>
          <w:spacing w:val="-12"/>
          <w:sz w:val="24"/>
        </w:rPr>
        <w:t> </w:t>
      </w:r>
      <w:r>
        <w:rPr>
          <w:sz w:val="24"/>
        </w:rPr>
        <w:t>performance</w:t>
      </w:r>
      <w:r>
        <w:rPr>
          <w:spacing w:val="-13"/>
          <w:sz w:val="24"/>
        </w:rPr>
        <w:t> </w:t>
      </w:r>
      <w:r>
        <w:rPr>
          <w:sz w:val="24"/>
        </w:rPr>
        <w:t>of</w:t>
      </w:r>
      <w:r>
        <w:rPr>
          <w:spacing w:val="-13"/>
          <w:sz w:val="24"/>
        </w:rPr>
        <w:t> </w:t>
      </w:r>
      <w:r>
        <w:rPr>
          <w:sz w:val="24"/>
        </w:rPr>
        <w:t>Malaysian listed companies. </w:t>
      </w:r>
      <w:r>
        <w:rPr>
          <w:i/>
          <w:sz w:val="24"/>
        </w:rPr>
        <w:t>Journal of Business Finance &amp; Accounting</w:t>
      </w:r>
      <w:r>
        <w:rPr>
          <w:sz w:val="24"/>
        </w:rPr>
        <w:t>, </w:t>
      </w:r>
      <w:r>
        <w:rPr>
          <w:i/>
          <w:sz w:val="24"/>
        </w:rPr>
        <w:t>33</w:t>
      </w:r>
      <w:r>
        <w:rPr>
          <w:sz w:val="24"/>
        </w:rPr>
        <w:t>(7/8), 1034-1062.</w:t>
      </w:r>
    </w:p>
    <w:p>
      <w:pPr>
        <w:pStyle w:val="BodyText"/>
      </w:pPr>
    </w:p>
    <w:p>
      <w:pPr>
        <w:pStyle w:val="BodyText"/>
        <w:spacing w:before="1"/>
        <w:ind w:left="1571" w:right="1444" w:hanging="723"/>
        <w:jc w:val="both"/>
      </w:pPr>
      <w:r>
        <w:rPr/>
        <w:t>Hermalin,</w:t>
      </w:r>
      <w:r>
        <w:rPr>
          <w:spacing w:val="-11"/>
        </w:rPr>
        <w:t> </w:t>
      </w:r>
      <w:r>
        <w:rPr/>
        <w:t>B.E.,</w:t>
      </w:r>
      <w:r>
        <w:rPr>
          <w:spacing w:val="-11"/>
        </w:rPr>
        <w:t> </w:t>
      </w:r>
      <w:r>
        <w:rPr/>
        <w:t>&amp;</w:t>
      </w:r>
      <w:r>
        <w:rPr>
          <w:spacing w:val="-8"/>
        </w:rPr>
        <w:t> </w:t>
      </w:r>
      <w:r>
        <w:rPr/>
        <w:t>Weisbach</w:t>
      </w:r>
      <w:r>
        <w:rPr>
          <w:spacing w:val="-11"/>
        </w:rPr>
        <w:t> </w:t>
      </w:r>
      <w:r>
        <w:rPr/>
        <w:t>M.S.</w:t>
      </w:r>
      <w:r>
        <w:rPr>
          <w:spacing w:val="-11"/>
        </w:rPr>
        <w:t> </w:t>
      </w:r>
      <w:r>
        <w:rPr/>
        <w:t>(1991).The</w:t>
      </w:r>
      <w:r>
        <w:rPr>
          <w:spacing w:val="-9"/>
        </w:rPr>
        <w:t> </w:t>
      </w:r>
      <w:r>
        <w:rPr/>
        <w:t>effect</w:t>
      </w:r>
      <w:r>
        <w:rPr>
          <w:spacing w:val="-10"/>
        </w:rPr>
        <w:t> </w:t>
      </w:r>
      <w:r>
        <w:rPr/>
        <w:t>of</w:t>
      </w:r>
      <w:r>
        <w:rPr>
          <w:spacing w:val="-11"/>
        </w:rPr>
        <w:t> </w:t>
      </w:r>
      <w:r>
        <w:rPr/>
        <w:t>board</w:t>
      </w:r>
      <w:r>
        <w:rPr>
          <w:spacing w:val="-9"/>
        </w:rPr>
        <w:t> </w:t>
      </w:r>
      <w:r>
        <w:rPr/>
        <w:t>composition</w:t>
      </w:r>
      <w:r>
        <w:rPr>
          <w:spacing w:val="-10"/>
        </w:rPr>
        <w:t> </w:t>
      </w:r>
      <w:r>
        <w:rPr/>
        <w:t>and</w:t>
      </w:r>
      <w:r>
        <w:rPr>
          <w:spacing w:val="-11"/>
        </w:rPr>
        <w:t> </w:t>
      </w:r>
      <w:r>
        <w:rPr/>
        <w:t>direct</w:t>
      </w:r>
      <w:r>
        <w:rPr>
          <w:spacing w:val="-10"/>
        </w:rPr>
        <w:t> </w:t>
      </w:r>
      <w:r>
        <w:rPr/>
        <w:t>incentives on board performance. </w:t>
      </w:r>
      <w:r>
        <w:rPr>
          <w:i/>
        </w:rPr>
        <w:t>Financial Management, 20</w:t>
      </w:r>
      <w:r>
        <w:rPr/>
        <w:t>(1), 101–112.</w:t>
      </w:r>
    </w:p>
    <w:p>
      <w:pPr>
        <w:pStyle w:val="BodyText"/>
        <w:spacing w:before="276"/>
        <w:ind w:left="1571" w:right="1436" w:hanging="723"/>
      </w:pPr>
      <w:r>
        <w:rPr/>
        <w:t>Healy,</w:t>
      </w:r>
      <w:r>
        <w:rPr>
          <w:spacing w:val="-3"/>
        </w:rPr>
        <w:t> </w:t>
      </w:r>
      <w:r>
        <w:rPr/>
        <w:t>P.</w:t>
      </w:r>
      <w:r>
        <w:rPr>
          <w:spacing w:val="-3"/>
        </w:rPr>
        <w:t> </w:t>
      </w:r>
      <w:r>
        <w:rPr/>
        <w:t>M.,</w:t>
      </w:r>
      <w:r>
        <w:rPr>
          <w:spacing w:val="-3"/>
        </w:rPr>
        <w:t> </w:t>
      </w:r>
      <w:r>
        <w:rPr/>
        <w:t>&amp;</w:t>
      </w:r>
      <w:r>
        <w:rPr>
          <w:spacing w:val="-3"/>
        </w:rPr>
        <w:t> </w:t>
      </w:r>
      <w:r>
        <w:rPr/>
        <w:t>Palepu,</w:t>
      </w:r>
      <w:r>
        <w:rPr>
          <w:spacing w:val="-3"/>
        </w:rPr>
        <w:t> </w:t>
      </w:r>
      <w:r>
        <w:rPr/>
        <w:t>K.</w:t>
      </w:r>
      <w:r>
        <w:rPr>
          <w:spacing w:val="-3"/>
        </w:rPr>
        <w:t> </w:t>
      </w:r>
      <w:r>
        <w:rPr/>
        <w:t>G.</w:t>
      </w:r>
      <w:r>
        <w:rPr>
          <w:spacing w:val="-3"/>
        </w:rPr>
        <w:t> </w:t>
      </w:r>
      <w:r>
        <w:rPr/>
        <w:t>(1993).</w:t>
      </w:r>
      <w:r>
        <w:rPr>
          <w:spacing w:val="-3"/>
        </w:rPr>
        <w:t> </w:t>
      </w:r>
      <w:r>
        <w:rPr/>
        <w:t>The</w:t>
      </w:r>
      <w:r>
        <w:rPr>
          <w:spacing w:val="-4"/>
        </w:rPr>
        <w:t> </w:t>
      </w:r>
      <w:r>
        <w:rPr/>
        <w:t>effect</w:t>
      </w:r>
      <w:r>
        <w:rPr>
          <w:spacing w:val="-1"/>
        </w:rPr>
        <w:t> </w:t>
      </w:r>
      <w:r>
        <w:rPr/>
        <w:t>of</w:t>
      </w:r>
      <w:r>
        <w:rPr>
          <w:spacing w:val="-3"/>
        </w:rPr>
        <w:t> </w:t>
      </w:r>
      <w:r>
        <w:rPr/>
        <w:t>firms'</w:t>
      </w:r>
      <w:r>
        <w:rPr>
          <w:spacing w:val="-3"/>
        </w:rPr>
        <w:t> </w:t>
      </w:r>
      <w:r>
        <w:rPr/>
        <w:t>financial</w:t>
      </w:r>
      <w:r>
        <w:rPr>
          <w:spacing w:val="-3"/>
        </w:rPr>
        <w:t> </w:t>
      </w:r>
      <w:r>
        <w:rPr/>
        <w:t>disclosure</w:t>
      </w:r>
      <w:r>
        <w:rPr>
          <w:spacing w:val="-5"/>
        </w:rPr>
        <w:t> </w:t>
      </w:r>
      <w:r>
        <w:rPr/>
        <w:t>strategies</w:t>
      </w:r>
      <w:r>
        <w:rPr>
          <w:spacing w:val="-3"/>
        </w:rPr>
        <w:t> </w:t>
      </w:r>
      <w:r>
        <w:rPr/>
        <w:t>on stock prices. </w:t>
      </w:r>
      <w:r>
        <w:rPr>
          <w:i/>
        </w:rPr>
        <w:t>Accounting Horizons, 7</w:t>
      </w:r>
      <w:r>
        <w:rPr/>
        <w:t>(1), 1-11.</w:t>
      </w:r>
    </w:p>
    <w:p>
      <w:pPr>
        <w:pStyle w:val="BodyText"/>
      </w:pPr>
    </w:p>
    <w:p>
      <w:pPr>
        <w:spacing w:before="0"/>
        <w:ind w:left="1571" w:right="1436" w:hanging="723"/>
        <w:jc w:val="left"/>
        <w:rPr>
          <w:sz w:val="24"/>
        </w:rPr>
      </w:pPr>
      <w:r>
        <w:rPr>
          <w:sz w:val="24"/>
        </w:rPr>
        <w:t>Healy,</w:t>
      </w:r>
      <w:r>
        <w:rPr>
          <w:spacing w:val="-3"/>
          <w:sz w:val="24"/>
        </w:rPr>
        <w:t> </w:t>
      </w:r>
      <w:r>
        <w:rPr>
          <w:sz w:val="24"/>
        </w:rPr>
        <w:t>P.</w:t>
      </w:r>
      <w:r>
        <w:rPr>
          <w:spacing w:val="-3"/>
          <w:sz w:val="24"/>
        </w:rPr>
        <w:t> </w:t>
      </w:r>
      <w:r>
        <w:rPr>
          <w:sz w:val="24"/>
        </w:rPr>
        <w:t>M.</w:t>
      </w:r>
      <w:r>
        <w:rPr>
          <w:spacing w:val="-3"/>
          <w:sz w:val="24"/>
        </w:rPr>
        <w:t> </w:t>
      </w:r>
      <w:r>
        <w:rPr>
          <w:sz w:val="24"/>
        </w:rPr>
        <w:t>(1985).</w:t>
      </w:r>
      <w:r>
        <w:rPr>
          <w:spacing w:val="-3"/>
          <w:sz w:val="24"/>
        </w:rPr>
        <w:t> </w:t>
      </w:r>
      <w:r>
        <w:rPr>
          <w:sz w:val="24"/>
        </w:rPr>
        <w:t>The</w:t>
      </w:r>
      <w:r>
        <w:rPr>
          <w:spacing w:val="-3"/>
          <w:sz w:val="24"/>
        </w:rPr>
        <w:t> </w:t>
      </w:r>
      <w:r>
        <w:rPr>
          <w:sz w:val="24"/>
        </w:rPr>
        <w:t>Effect</w:t>
      </w:r>
      <w:r>
        <w:rPr>
          <w:spacing w:val="-3"/>
          <w:sz w:val="24"/>
        </w:rPr>
        <w:t> </w:t>
      </w:r>
      <w:r>
        <w:rPr>
          <w:sz w:val="24"/>
        </w:rPr>
        <w:t>of</w:t>
      </w:r>
      <w:r>
        <w:rPr>
          <w:spacing w:val="-3"/>
          <w:sz w:val="24"/>
        </w:rPr>
        <w:t> </w:t>
      </w:r>
      <w:r>
        <w:rPr>
          <w:sz w:val="24"/>
        </w:rPr>
        <w:t>Bonus</w:t>
      </w:r>
      <w:r>
        <w:rPr>
          <w:spacing w:val="-3"/>
          <w:sz w:val="24"/>
        </w:rPr>
        <w:t> </w:t>
      </w:r>
      <w:r>
        <w:rPr>
          <w:sz w:val="24"/>
        </w:rPr>
        <w:t>Schemes</w:t>
      </w:r>
      <w:r>
        <w:rPr>
          <w:spacing w:val="-3"/>
          <w:sz w:val="24"/>
        </w:rPr>
        <w:t> </w:t>
      </w:r>
      <w:r>
        <w:rPr>
          <w:sz w:val="24"/>
        </w:rPr>
        <w:t>on</w:t>
      </w:r>
      <w:r>
        <w:rPr>
          <w:spacing w:val="-3"/>
          <w:sz w:val="24"/>
        </w:rPr>
        <w:t> </w:t>
      </w:r>
      <w:r>
        <w:rPr>
          <w:sz w:val="24"/>
        </w:rPr>
        <w:t>Accounting</w:t>
      </w:r>
      <w:r>
        <w:rPr>
          <w:spacing w:val="-3"/>
          <w:sz w:val="24"/>
        </w:rPr>
        <w:t> </w:t>
      </w:r>
      <w:r>
        <w:rPr>
          <w:sz w:val="24"/>
        </w:rPr>
        <w:t>Decisions. </w:t>
      </w:r>
      <w:r>
        <w:rPr>
          <w:i/>
          <w:sz w:val="24"/>
        </w:rPr>
        <w:t>Journal</w:t>
      </w:r>
      <w:r>
        <w:rPr>
          <w:i/>
          <w:spacing w:val="-3"/>
          <w:sz w:val="24"/>
        </w:rPr>
        <w:t> </w:t>
      </w:r>
      <w:r>
        <w:rPr>
          <w:i/>
          <w:sz w:val="24"/>
        </w:rPr>
        <w:t>of Accounting &amp; Economics, 7</w:t>
      </w:r>
      <w:r>
        <w:rPr>
          <w:sz w:val="24"/>
        </w:rPr>
        <w:t>(1-3), 85–107.</w:t>
      </w:r>
    </w:p>
    <w:p>
      <w:pPr>
        <w:pStyle w:val="BodyText"/>
      </w:pPr>
    </w:p>
    <w:p>
      <w:pPr>
        <w:pStyle w:val="BodyText"/>
        <w:ind w:left="1571" w:right="1436" w:hanging="723"/>
      </w:pPr>
      <w:r>
        <w:rPr/>
        <w:t>Healy,</w:t>
      </w:r>
      <w:r>
        <w:rPr>
          <w:spacing w:val="-3"/>
        </w:rPr>
        <w:t> </w:t>
      </w:r>
      <w:r>
        <w:rPr/>
        <w:t>M.</w:t>
      </w:r>
      <w:r>
        <w:rPr>
          <w:spacing w:val="-3"/>
        </w:rPr>
        <w:t> </w:t>
      </w:r>
      <w:r>
        <w:rPr/>
        <w:t>P.,</w:t>
      </w:r>
      <w:r>
        <w:rPr>
          <w:spacing w:val="-3"/>
        </w:rPr>
        <w:t> </w:t>
      </w:r>
      <w:r>
        <w:rPr/>
        <w:t>&amp;</w:t>
      </w:r>
      <w:r>
        <w:rPr>
          <w:spacing w:val="-3"/>
        </w:rPr>
        <w:t> </w:t>
      </w:r>
      <w:r>
        <w:rPr/>
        <w:t>Wahlen,</w:t>
      </w:r>
      <w:r>
        <w:rPr>
          <w:spacing w:val="-2"/>
        </w:rPr>
        <w:t> </w:t>
      </w:r>
      <w:r>
        <w:rPr/>
        <w:t>M.</w:t>
      </w:r>
      <w:r>
        <w:rPr>
          <w:spacing w:val="-3"/>
        </w:rPr>
        <w:t> </w:t>
      </w:r>
      <w:r>
        <w:rPr/>
        <w:t>J.</w:t>
      </w:r>
      <w:r>
        <w:rPr>
          <w:spacing w:val="-3"/>
        </w:rPr>
        <w:t> </w:t>
      </w:r>
      <w:r>
        <w:rPr/>
        <w:t>(1999).</w:t>
      </w:r>
      <w:r>
        <w:rPr>
          <w:spacing w:val="-2"/>
        </w:rPr>
        <w:t> </w:t>
      </w:r>
      <w:r>
        <w:rPr/>
        <w:t>A</w:t>
      </w:r>
      <w:r>
        <w:rPr>
          <w:spacing w:val="-3"/>
        </w:rPr>
        <w:t> </w:t>
      </w:r>
      <w:r>
        <w:rPr/>
        <w:t>review</w:t>
      </w:r>
      <w:r>
        <w:rPr>
          <w:spacing w:val="-3"/>
        </w:rPr>
        <w:t> </w:t>
      </w:r>
      <w:r>
        <w:rPr/>
        <w:t>of</w:t>
      </w:r>
      <w:r>
        <w:rPr>
          <w:spacing w:val="-3"/>
        </w:rPr>
        <w:t> </w:t>
      </w:r>
      <w:r>
        <w:rPr/>
        <w:t>the</w:t>
      </w:r>
      <w:r>
        <w:rPr>
          <w:spacing w:val="-3"/>
        </w:rPr>
        <w:t> </w:t>
      </w:r>
      <w:r>
        <w:rPr/>
        <w:t>earnings</w:t>
      </w:r>
      <w:r>
        <w:rPr>
          <w:spacing w:val="-3"/>
        </w:rPr>
        <w:t> </w:t>
      </w:r>
      <w:r>
        <w:rPr/>
        <w:t>management</w:t>
      </w:r>
      <w:r>
        <w:rPr>
          <w:spacing w:val="-3"/>
        </w:rPr>
        <w:t> </w:t>
      </w:r>
      <w:r>
        <w:rPr/>
        <w:t>literature</w:t>
      </w:r>
      <w:r>
        <w:rPr>
          <w:spacing w:val="-5"/>
        </w:rPr>
        <w:t> </w:t>
      </w:r>
      <w:r>
        <w:rPr/>
        <w:t>and</w:t>
      </w:r>
      <w:r>
        <w:rPr>
          <w:spacing w:val="-3"/>
        </w:rPr>
        <w:t> </w:t>
      </w:r>
      <w:r>
        <w:rPr/>
        <w:t>its implications for standard setting. </w:t>
      </w:r>
      <w:r>
        <w:rPr>
          <w:i/>
        </w:rPr>
        <w:t>Accounting Horizons, 13</w:t>
      </w:r>
      <w:r>
        <w:rPr/>
        <w:t>(4), 365-383.</w:t>
      </w:r>
    </w:p>
    <w:p>
      <w:pPr>
        <w:spacing w:after="0"/>
        <w:sectPr>
          <w:pgSz w:w="11910" w:h="16840"/>
          <w:pgMar w:header="0" w:footer="971" w:top="1360" w:bottom="1160" w:left="500" w:right="0"/>
        </w:sectPr>
      </w:pPr>
    </w:p>
    <w:p>
      <w:pPr>
        <w:pStyle w:val="BodyText"/>
        <w:spacing w:before="77"/>
        <w:ind w:left="1571" w:right="1436" w:hanging="723"/>
      </w:pPr>
      <w:r>
        <w:rPr/>
        <w:t>Hirotsugu</w:t>
      </w:r>
      <w:r>
        <w:rPr>
          <w:spacing w:val="-3"/>
        </w:rPr>
        <w:t> </w:t>
      </w:r>
      <w:r>
        <w:rPr/>
        <w:t>S.,</w:t>
      </w:r>
      <w:r>
        <w:rPr>
          <w:spacing w:val="-3"/>
        </w:rPr>
        <w:t> </w:t>
      </w:r>
      <w:r>
        <w:rPr/>
        <w:t>&amp;</w:t>
      </w:r>
      <w:r>
        <w:rPr>
          <w:spacing w:val="-3"/>
        </w:rPr>
        <w:t> </w:t>
      </w:r>
      <w:r>
        <w:rPr/>
        <w:t>Hitoshi,</w:t>
      </w:r>
      <w:r>
        <w:rPr>
          <w:spacing w:val="-6"/>
        </w:rPr>
        <w:t> </w:t>
      </w:r>
      <w:r>
        <w:rPr/>
        <w:t>A.</w:t>
      </w:r>
      <w:r>
        <w:rPr>
          <w:spacing w:val="-3"/>
        </w:rPr>
        <w:t> </w:t>
      </w:r>
      <w:r>
        <w:rPr/>
        <w:t>(2003).</w:t>
      </w:r>
      <w:r>
        <w:rPr>
          <w:spacing w:val="-2"/>
        </w:rPr>
        <w:t> </w:t>
      </w:r>
      <w:r>
        <w:rPr/>
        <w:t>The</w:t>
      </w:r>
      <w:r>
        <w:rPr>
          <w:spacing w:val="-5"/>
        </w:rPr>
        <w:t> </w:t>
      </w:r>
      <w:r>
        <w:rPr/>
        <w:t>Japanese</w:t>
      </w:r>
      <w:r>
        <w:rPr>
          <w:spacing w:val="-2"/>
        </w:rPr>
        <w:t> </w:t>
      </w:r>
      <w:r>
        <w:rPr/>
        <w:t>corporate</w:t>
      </w:r>
      <w:r>
        <w:rPr>
          <w:spacing w:val="-4"/>
        </w:rPr>
        <w:t> </w:t>
      </w:r>
      <w:r>
        <w:rPr/>
        <w:t>governance</w:t>
      </w:r>
      <w:r>
        <w:rPr>
          <w:spacing w:val="-4"/>
        </w:rPr>
        <w:t> </w:t>
      </w:r>
      <w:r>
        <w:rPr/>
        <w:t>system</w:t>
      </w:r>
      <w:r>
        <w:rPr>
          <w:spacing w:val="-3"/>
        </w:rPr>
        <w:t> </w:t>
      </w:r>
      <w:r>
        <w:rPr/>
        <w:t>and</w:t>
      </w:r>
      <w:r>
        <w:rPr>
          <w:spacing w:val="-3"/>
        </w:rPr>
        <w:t> </w:t>
      </w:r>
      <w:r>
        <w:rPr/>
        <w:t>firm performance: Toward sustainable growth. Retrieved from emerald.insight.com</w:t>
      </w:r>
    </w:p>
    <w:p>
      <w:pPr>
        <w:pStyle w:val="BodyText"/>
      </w:pPr>
    </w:p>
    <w:p>
      <w:pPr>
        <w:pStyle w:val="BodyText"/>
        <w:ind w:left="1571" w:right="1437" w:hanging="723"/>
        <w:jc w:val="both"/>
      </w:pPr>
      <w:r>
        <w:rPr/>
        <w:t>Hope, O. K. (2003). Disclosure practices, enforcement of accounting standards and analysts’ forecast</w:t>
      </w:r>
      <w:r>
        <w:rPr>
          <w:spacing w:val="-2"/>
        </w:rPr>
        <w:t> </w:t>
      </w:r>
      <w:r>
        <w:rPr/>
        <w:t>accuracy:</w:t>
      </w:r>
      <w:r>
        <w:rPr>
          <w:spacing w:val="-2"/>
        </w:rPr>
        <w:t> </w:t>
      </w:r>
      <w:r>
        <w:rPr/>
        <w:t>An</w:t>
      </w:r>
      <w:r>
        <w:rPr>
          <w:spacing w:val="-1"/>
        </w:rPr>
        <w:t> </w:t>
      </w:r>
      <w:r>
        <w:rPr/>
        <w:t>international</w:t>
      </w:r>
      <w:r>
        <w:rPr>
          <w:spacing w:val="-2"/>
        </w:rPr>
        <w:t> </w:t>
      </w:r>
      <w:r>
        <w:rPr/>
        <w:t>study. </w:t>
      </w:r>
      <w:r>
        <w:rPr>
          <w:i/>
        </w:rPr>
        <w:t>Journal</w:t>
      </w:r>
      <w:r>
        <w:rPr>
          <w:i/>
          <w:spacing w:val="-2"/>
        </w:rPr>
        <w:t> </w:t>
      </w:r>
      <w:r>
        <w:rPr>
          <w:i/>
        </w:rPr>
        <w:t>of</w:t>
      </w:r>
      <w:r>
        <w:rPr>
          <w:i/>
          <w:spacing w:val="-2"/>
        </w:rPr>
        <w:t> </w:t>
      </w:r>
      <w:r>
        <w:rPr>
          <w:i/>
        </w:rPr>
        <w:t>Accounting</w:t>
      </w:r>
      <w:r>
        <w:rPr>
          <w:i/>
          <w:spacing w:val="-2"/>
        </w:rPr>
        <w:t> </w:t>
      </w:r>
      <w:r>
        <w:rPr>
          <w:i/>
        </w:rPr>
        <w:t>Research, 41</w:t>
      </w:r>
      <w:r>
        <w:rPr/>
        <w:t>(2),</w:t>
      </w:r>
      <w:r>
        <w:rPr>
          <w:spacing w:val="-2"/>
        </w:rPr>
        <w:t> </w:t>
      </w:r>
      <w:r>
        <w:rPr/>
        <w:t>212- </w:t>
      </w:r>
      <w:r>
        <w:rPr>
          <w:spacing w:val="-4"/>
        </w:rPr>
        <w:t>235</w:t>
      </w:r>
    </w:p>
    <w:p>
      <w:pPr>
        <w:pStyle w:val="BodyText"/>
      </w:pPr>
    </w:p>
    <w:p>
      <w:pPr>
        <w:spacing w:before="0"/>
        <w:ind w:left="1571" w:right="1435" w:hanging="723"/>
        <w:jc w:val="both"/>
        <w:rPr>
          <w:sz w:val="24"/>
        </w:rPr>
      </w:pPr>
      <w:r>
        <w:rPr/>
        <w:drawing>
          <wp:anchor distT="0" distB="0" distL="0" distR="0" allowOverlap="1" layoutInCell="1" locked="0" behindDoc="1" simplePos="0" relativeHeight="477772800">
            <wp:simplePos x="0" y="0"/>
            <wp:positionH relativeFrom="page">
              <wp:posOffset>1095451</wp:posOffset>
            </wp:positionH>
            <wp:positionV relativeFrom="paragraph">
              <wp:posOffset>410060</wp:posOffset>
            </wp:positionV>
            <wp:extent cx="5106847" cy="5238115"/>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Holmström, B. (1979). Moral hazard and observability. </w:t>
      </w:r>
      <w:r>
        <w:rPr>
          <w:i/>
          <w:sz w:val="24"/>
        </w:rPr>
        <w:t>The Bell Journal of Economics, 10</w:t>
      </w:r>
      <w:r>
        <w:rPr>
          <w:sz w:val="24"/>
        </w:rPr>
        <w:t>(1), </w:t>
      </w:r>
      <w:r>
        <w:rPr>
          <w:spacing w:val="-2"/>
          <w:sz w:val="24"/>
        </w:rPr>
        <w:t>74–91.</w:t>
      </w:r>
    </w:p>
    <w:p>
      <w:pPr>
        <w:pStyle w:val="BodyText"/>
      </w:pPr>
    </w:p>
    <w:p>
      <w:pPr>
        <w:pStyle w:val="BodyText"/>
        <w:ind w:left="1571" w:right="1436" w:hanging="723"/>
        <w:jc w:val="both"/>
      </w:pPr>
      <w:r>
        <w:rPr/>
        <w:t>Holthausen,</w:t>
      </w:r>
      <w:r>
        <w:rPr>
          <w:spacing w:val="-6"/>
        </w:rPr>
        <w:t> </w:t>
      </w:r>
      <w:r>
        <w:rPr/>
        <w:t>R.</w:t>
      </w:r>
      <w:r>
        <w:rPr>
          <w:spacing w:val="-6"/>
        </w:rPr>
        <w:t> </w:t>
      </w:r>
      <w:r>
        <w:rPr/>
        <w:t>W.</w:t>
      </w:r>
      <w:r>
        <w:rPr>
          <w:spacing w:val="-6"/>
        </w:rPr>
        <w:t> </w:t>
      </w:r>
      <w:r>
        <w:rPr/>
        <w:t>(2003).</w:t>
      </w:r>
      <w:r>
        <w:rPr>
          <w:spacing w:val="-7"/>
        </w:rPr>
        <w:t> </w:t>
      </w:r>
      <w:r>
        <w:rPr/>
        <w:t>Testing</w:t>
      </w:r>
      <w:r>
        <w:rPr>
          <w:spacing w:val="-6"/>
        </w:rPr>
        <w:t> </w:t>
      </w:r>
      <w:r>
        <w:rPr/>
        <w:t>the</w:t>
      </w:r>
      <w:r>
        <w:rPr>
          <w:spacing w:val="-6"/>
        </w:rPr>
        <w:t> </w:t>
      </w:r>
      <w:r>
        <w:rPr/>
        <w:t>relative</w:t>
      </w:r>
      <w:r>
        <w:rPr>
          <w:spacing w:val="-6"/>
        </w:rPr>
        <w:t> </w:t>
      </w:r>
      <w:r>
        <w:rPr/>
        <w:t>power</w:t>
      </w:r>
      <w:r>
        <w:rPr>
          <w:spacing w:val="-7"/>
        </w:rPr>
        <w:t> </w:t>
      </w:r>
      <w:r>
        <w:rPr/>
        <w:t>of</w:t>
      </w:r>
      <w:r>
        <w:rPr>
          <w:spacing w:val="-7"/>
        </w:rPr>
        <w:t> </w:t>
      </w:r>
      <w:r>
        <w:rPr/>
        <w:t>accounting</w:t>
      </w:r>
      <w:r>
        <w:rPr>
          <w:spacing w:val="-6"/>
        </w:rPr>
        <w:t> </w:t>
      </w:r>
      <w:r>
        <w:rPr/>
        <w:t>standards</w:t>
      </w:r>
      <w:r>
        <w:rPr>
          <w:spacing w:val="-6"/>
        </w:rPr>
        <w:t> </w:t>
      </w:r>
      <w:r>
        <w:rPr/>
        <w:t>versus</w:t>
      </w:r>
      <w:r>
        <w:rPr>
          <w:spacing w:val="-6"/>
        </w:rPr>
        <w:t> </w:t>
      </w:r>
      <w:r>
        <w:rPr/>
        <w:t>incentives and other institutional features to influence the outcome of financial reporting in an international setting. </w:t>
      </w:r>
      <w:r>
        <w:rPr>
          <w:i/>
        </w:rPr>
        <w:t>Journal of Accounting and Economics</w:t>
      </w:r>
      <w:r>
        <w:rPr/>
        <w:t>, </w:t>
      </w:r>
      <w:r>
        <w:rPr>
          <w:i/>
        </w:rPr>
        <w:t>36</w:t>
      </w:r>
      <w:r>
        <w:rPr/>
        <w:t>(1–3), 271–283.</w:t>
      </w:r>
    </w:p>
    <w:p>
      <w:pPr>
        <w:pStyle w:val="BodyText"/>
        <w:spacing w:before="1"/>
      </w:pPr>
    </w:p>
    <w:p>
      <w:pPr>
        <w:spacing w:before="0"/>
        <w:ind w:left="1571" w:right="1444" w:hanging="723"/>
        <w:jc w:val="both"/>
        <w:rPr>
          <w:sz w:val="24"/>
        </w:rPr>
      </w:pPr>
      <w:r>
        <w:rPr>
          <w:sz w:val="24"/>
        </w:rPr>
        <w:t>Holthausen, R. W., Larcker, D. F., &amp; Sloan, R. G. (1995). Annual bonus schemes and the manipulation of earnings. </w:t>
      </w:r>
      <w:r>
        <w:rPr>
          <w:i/>
          <w:sz w:val="24"/>
        </w:rPr>
        <w:t>Journal of accounting and economics, 19</w:t>
      </w:r>
      <w:r>
        <w:rPr>
          <w:sz w:val="24"/>
        </w:rPr>
        <w:t>(1), 29-74.</w:t>
      </w:r>
    </w:p>
    <w:p>
      <w:pPr>
        <w:pStyle w:val="BodyText"/>
      </w:pPr>
    </w:p>
    <w:p>
      <w:pPr>
        <w:spacing w:before="0"/>
        <w:ind w:left="1571" w:right="1443" w:hanging="723"/>
        <w:jc w:val="both"/>
        <w:rPr>
          <w:sz w:val="24"/>
        </w:rPr>
      </w:pPr>
      <w:r>
        <w:rPr>
          <w:sz w:val="24"/>
        </w:rPr>
        <w:t>Horton, J., Serafeim, G., &amp; Serafeim, I. (2012). Does mandatory IFRS adoption improve the information environment? </w:t>
      </w:r>
      <w:r>
        <w:rPr>
          <w:i/>
          <w:sz w:val="24"/>
        </w:rPr>
        <w:t>Contemporary Accounting Research</w:t>
      </w:r>
      <w:r>
        <w:rPr>
          <w:sz w:val="24"/>
        </w:rPr>
        <w:t>, </w:t>
      </w:r>
      <w:r>
        <w:rPr>
          <w:i/>
          <w:sz w:val="24"/>
        </w:rPr>
        <w:t>15 </w:t>
      </w:r>
      <w:r>
        <w:rPr>
          <w:sz w:val="24"/>
        </w:rPr>
        <w:t>(4), 725–751.</w:t>
      </w:r>
    </w:p>
    <w:p>
      <w:pPr>
        <w:pStyle w:val="BodyText"/>
      </w:pPr>
    </w:p>
    <w:p>
      <w:pPr>
        <w:pStyle w:val="BodyText"/>
        <w:ind w:left="1571" w:right="1436" w:hanging="723"/>
        <w:jc w:val="both"/>
      </w:pPr>
      <w:r>
        <w:rPr/>
        <w:t>Horton, J., &amp; Serafeim, G. (2010). Market reaction to and valuation of IFRS reconciliation adjustments:</w:t>
      </w:r>
      <w:r>
        <w:rPr>
          <w:spacing w:val="-11"/>
        </w:rPr>
        <w:t> </w:t>
      </w:r>
      <w:r>
        <w:rPr/>
        <w:t>first</w:t>
      </w:r>
      <w:r>
        <w:rPr>
          <w:spacing w:val="-8"/>
        </w:rPr>
        <w:t> </w:t>
      </w:r>
      <w:r>
        <w:rPr/>
        <w:t>evidence</w:t>
      </w:r>
      <w:r>
        <w:rPr>
          <w:spacing w:val="-10"/>
        </w:rPr>
        <w:t> </w:t>
      </w:r>
      <w:r>
        <w:rPr/>
        <w:t>from</w:t>
      </w:r>
      <w:r>
        <w:rPr>
          <w:spacing w:val="-8"/>
        </w:rPr>
        <w:t> </w:t>
      </w:r>
      <w:r>
        <w:rPr/>
        <w:t>the</w:t>
      </w:r>
      <w:r>
        <w:rPr>
          <w:spacing w:val="-10"/>
        </w:rPr>
        <w:t> </w:t>
      </w:r>
      <w:r>
        <w:rPr/>
        <w:t>UK.</w:t>
      </w:r>
      <w:r>
        <w:rPr>
          <w:spacing w:val="-7"/>
        </w:rPr>
        <w:t> </w:t>
      </w:r>
      <w:r>
        <w:rPr>
          <w:i/>
        </w:rPr>
        <w:t>Review</w:t>
      </w:r>
      <w:r>
        <w:rPr>
          <w:i/>
          <w:spacing w:val="-8"/>
        </w:rPr>
        <w:t> </w:t>
      </w:r>
      <w:r>
        <w:rPr>
          <w:i/>
        </w:rPr>
        <w:t>of</w:t>
      </w:r>
      <w:r>
        <w:rPr>
          <w:i/>
          <w:spacing w:val="-7"/>
        </w:rPr>
        <w:t> </w:t>
      </w:r>
      <w:r>
        <w:rPr>
          <w:i/>
        </w:rPr>
        <w:t>Accounting</w:t>
      </w:r>
      <w:r>
        <w:rPr>
          <w:i/>
          <w:spacing w:val="-9"/>
        </w:rPr>
        <w:t> </w:t>
      </w:r>
      <w:r>
        <w:rPr>
          <w:i/>
        </w:rPr>
        <w:t>Studies</w:t>
      </w:r>
      <w:r>
        <w:rPr>
          <w:i/>
          <w:spacing w:val="-8"/>
        </w:rPr>
        <w:t> </w:t>
      </w:r>
      <w:r>
        <w:rPr>
          <w:i/>
        </w:rPr>
        <w:t>15</w:t>
      </w:r>
      <w:r>
        <w:rPr>
          <w:i/>
          <w:spacing w:val="-7"/>
        </w:rPr>
        <w:t> </w:t>
      </w:r>
      <w:r>
        <w:rPr/>
        <w:t>(4),</w:t>
      </w:r>
      <w:r>
        <w:rPr>
          <w:spacing w:val="-9"/>
        </w:rPr>
        <w:t> </w:t>
      </w:r>
      <w:r>
        <w:rPr>
          <w:spacing w:val="-2"/>
        </w:rPr>
        <w:t>725–751.</w:t>
      </w:r>
    </w:p>
    <w:p>
      <w:pPr>
        <w:pStyle w:val="BodyText"/>
      </w:pPr>
    </w:p>
    <w:p>
      <w:pPr>
        <w:spacing w:before="0"/>
        <w:ind w:left="1571" w:right="1435" w:hanging="723"/>
        <w:jc w:val="both"/>
        <w:rPr>
          <w:sz w:val="24"/>
        </w:rPr>
      </w:pPr>
      <w:r>
        <w:rPr>
          <w:sz w:val="24"/>
        </w:rPr>
        <w:t>Houqe, M.N., Zijl, T., Dunstan, K., &amp;Karim, W. (2012).</w:t>
      </w:r>
      <w:r>
        <w:rPr>
          <w:spacing w:val="40"/>
          <w:sz w:val="24"/>
        </w:rPr>
        <w:t> </w:t>
      </w:r>
      <w:r>
        <w:rPr>
          <w:sz w:val="24"/>
        </w:rPr>
        <w:t>The Effect of IFRS Adoption and Investor</w:t>
      </w:r>
      <w:r>
        <w:rPr>
          <w:spacing w:val="-9"/>
          <w:sz w:val="24"/>
        </w:rPr>
        <w:t> </w:t>
      </w:r>
      <w:r>
        <w:rPr>
          <w:sz w:val="24"/>
        </w:rPr>
        <w:t>Protection</w:t>
      </w:r>
      <w:r>
        <w:rPr>
          <w:spacing w:val="-9"/>
          <w:sz w:val="24"/>
        </w:rPr>
        <w:t> </w:t>
      </w:r>
      <w:r>
        <w:rPr>
          <w:sz w:val="24"/>
        </w:rPr>
        <w:t>on</w:t>
      </w:r>
      <w:r>
        <w:rPr>
          <w:spacing w:val="-9"/>
          <w:sz w:val="24"/>
        </w:rPr>
        <w:t> </w:t>
      </w:r>
      <w:r>
        <w:rPr>
          <w:sz w:val="24"/>
        </w:rPr>
        <w:t>Earnings</w:t>
      </w:r>
      <w:r>
        <w:rPr>
          <w:spacing w:val="-9"/>
          <w:sz w:val="24"/>
        </w:rPr>
        <w:t> </w:t>
      </w:r>
      <w:r>
        <w:rPr>
          <w:sz w:val="24"/>
        </w:rPr>
        <w:t>quality</w:t>
      </w:r>
      <w:r>
        <w:rPr>
          <w:spacing w:val="-9"/>
          <w:sz w:val="24"/>
        </w:rPr>
        <w:t> </w:t>
      </w:r>
      <w:r>
        <w:rPr>
          <w:sz w:val="24"/>
        </w:rPr>
        <w:t>Around</w:t>
      </w:r>
      <w:r>
        <w:rPr>
          <w:spacing w:val="-9"/>
          <w:sz w:val="24"/>
        </w:rPr>
        <w:t> </w:t>
      </w:r>
      <w:r>
        <w:rPr>
          <w:sz w:val="24"/>
        </w:rPr>
        <w:t>the</w:t>
      </w:r>
      <w:r>
        <w:rPr>
          <w:spacing w:val="-9"/>
          <w:sz w:val="24"/>
        </w:rPr>
        <w:t> </w:t>
      </w:r>
      <w:r>
        <w:rPr>
          <w:sz w:val="24"/>
        </w:rPr>
        <w:t>World.</w:t>
      </w:r>
      <w:r>
        <w:rPr>
          <w:spacing w:val="-7"/>
          <w:sz w:val="24"/>
        </w:rPr>
        <w:t> </w:t>
      </w:r>
      <w:r>
        <w:rPr>
          <w:i/>
          <w:sz w:val="24"/>
        </w:rPr>
        <w:t>The</w:t>
      </w:r>
      <w:r>
        <w:rPr>
          <w:i/>
          <w:spacing w:val="-9"/>
          <w:sz w:val="24"/>
        </w:rPr>
        <w:t> </w:t>
      </w:r>
      <w:r>
        <w:rPr>
          <w:i/>
          <w:sz w:val="24"/>
        </w:rPr>
        <w:t>International</w:t>
      </w:r>
      <w:r>
        <w:rPr>
          <w:i/>
          <w:spacing w:val="-9"/>
          <w:sz w:val="24"/>
        </w:rPr>
        <w:t> </w:t>
      </w:r>
      <w:r>
        <w:rPr>
          <w:i/>
          <w:sz w:val="24"/>
        </w:rPr>
        <w:t>Journal</w:t>
      </w:r>
      <w:r>
        <w:rPr>
          <w:i/>
          <w:spacing w:val="-9"/>
          <w:sz w:val="24"/>
        </w:rPr>
        <w:t> </w:t>
      </w:r>
      <w:r>
        <w:rPr>
          <w:i/>
          <w:sz w:val="24"/>
        </w:rPr>
        <w:t>of Accounting, 47</w:t>
      </w:r>
      <w:r>
        <w:rPr>
          <w:sz w:val="24"/>
        </w:rPr>
        <w:t>(6), 333–355.</w:t>
      </w:r>
    </w:p>
    <w:p>
      <w:pPr>
        <w:pStyle w:val="BodyText"/>
      </w:pPr>
    </w:p>
    <w:p>
      <w:pPr>
        <w:spacing w:before="0"/>
        <w:ind w:left="1571" w:right="1434" w:hanging="723"/>
        <w:jc w:val="both"/>
        <w:rPr>
          <w:sz w:val="24"/>
        </w:rPr>
      </w:pPr>
      <w:r>
        <w:rPr>
          <w:sz w:val="24"/>
        </w:rPr>
        <w:t>Huang, H. W. Yan, Y. C., Fornaro, J. M., &amp; Elshahat, A. (2011). Market reactions to audit committee director's gender: Evidence from US-traded foreign firms. </w:t>
      </w:r>
      <w:r>
        <w:rPr>
          <w:i/>
          <w:sz w:val="24"/>
        </w:rPr>
        <w:t>International Journal of Banking and Finance</w:t>
      </w:r>
      <w:r>
        <w:rPr>
          <w:sz w:val="24"/>
        </w:rPr>
        <w:t>, </w:t>
      </w:r>
      <w:r>
        <w:rPr>
          <w:i/>
          <w:sz w:val="24"/>
        </w:rPr>
        <w:t>8</w:t>
      </w:r>
      <w:r>
        <w:rPr>
          <w:sz w:val="24"/>
        </w:rPr>
        <w:t>(1), 4-16.</w:t>
      </w:r>
    </w:p>
    <w:p>
      <w:pPr>
        <w:pStyle w:val="BodyText"/>
      </w:pPr>
    </w:p>
    <w:p>
      <w:pPr>
        <w:spacing w:before="1"/>
        <w:ind w:left="1571" w:right="1441" w:hanging="723"/>
        <w:jc w:val="both"/>
        <w:rPr>
          <w:sz w:val="24"/>
        </w:rPr>
      </w:pPr>
      <w:r>
        <w:rPr>
          <w:sz w:val="24"/>
        </w:rPr>
        <w:t>Hung, M. (2001). Accounting standards and value-relevance of financial statements: An international analysis. </w:t>
      </w:r>
      <w:r>
        <w:rPr>
          <w:i/>
          <w:sz w:val="24"/>
        </w:rPr>
        <w:t>Journal of Accounting &amp; Economics, 30</w:t>
      </w:r>
      <w:r>
        <w:rPr>
          <w:sz w:val="24"/>
        </w:rPr>
        <w:t>(6</w:t>
      </w:r>
      <w:r>
        <w:rPr>
          <w:i/>
          <w:sz w:val="24"/>
        </w:rPr>
        <w:t>)</w:t>
      </w:r>
      <w:r>
        <w:rPr>
          <w:sz w:val="24"/>
        </w:rPr>
        <w:t>, 401-420</w:t>
      </w:r>
    </w:p>
    <w:p>
      <w:pPr>
        <w:pStyle w:val="BodyText"/>
        <w:spacing w:before="276"/>
        <w:ind w:left="1571" w:right="1435" w:hanging="723"/>
        <w:jc w:val="both"/>
      </w:pPr>
      <w:r>
        <w:rPr/>
        <w:t>Hung,</w:t>
      </w:r>
      <w:r>
        <w:rPr>
          <w:spacing w:val="-6"/>
        </w:rPr>
        <w:t> </w:t>
      </w:r>
      <w:r>
        <w:rPr/>
        <w:t>M.,</w:t>
      </w:r>
      <w:r>
        <w:rPr>
          <w:spacing w:val="-6"/>
        </w:rPr>
        <w:t> </w:t>
      </w:r>
      <w:r>
        <w:rPr/>
        <w:t>&amp;</w:t>
      </w:r>
      <w:r>
        <w:rPr>
          <w:spacing w:val="-5"/>
        </w:rPr>
        <w:t> </w:t>
      </w:r>
      <w:r>
        <w:rPr/>
        <w:t>Subramanyam,</w:t>
      </w:r>
      <w:r>
        <w:rPr>
          <w:spacing w:val="-5"/>
        </w:rPr>
        <w:t> </w:t>
      </w:r>
      <w:r>
        <w:rPr/>
        <w:t>K.</w:t>
      </w:r>
      <w:r>
        <w:rPr>
          <w:spacing w:val="-6"/>
        </w:rPr>
        <w:t> </w:t>
      </w:r>
      <w:r>
        <w:rPr/>
        <w:t>R.</w:t>
      </w:r>
      <w:r>
        <w:rPr>
          <w:spacing w:val="-6"/>
        </w:rPr>
        <w:t> </w:t>
      </w:r>
      <w:r>
        <w:rPr/>
        <w:t>(2007).</w:t>
      </w:r>
      <w:r>
        <w:rPr>
          <w:spacing w:val="-7"/>
        </w:rPr>
        <w:t> </w:t>
      </w:r>
      <w:r>
        <w:rPr/>
        <w:t>Financial</w:t>
      </w:r>
      <w:r>
        <w:rPr>
          <w:spacing w:val="-5"/>
        </w:rPr>
        <w:t> </w:t>
      </w:r>
      <w:r>
        <w:rPr/>
        <w:t>statement</w:t>
      </w:r>
      <w:r>
        <w:rPr>
          <w:spacing w:val="-6"/>
        </w:rPr>
        <w:t> </w:t>
      </w:r>
      <w:r>
        <w:rPr/>
        <w:t>effects</w:t>
      </w:r>
      <w:r>
        <w:rPr>
          <w:spacing w:val="-5"/>
        </w:rPr>
        <w:t> </w:t>
      </w:r>
      <w:r>
        <w:rPr/>
        <w:t>of</w:t>
      </w:r>
      <w:r>
        <w:rPr>
          <w:spacing w:val="-7"/>
        </w:rPr>
        <w:t> </w:t>
      </w:r>
      <w:r>
        <w:rPr/>
        <w:t>adopting</w:t>
      </w:r>
      <w:r>
        <w:rPr>
          <w:spacing w:val="-6"/>
        </w:rPr>
        <w:t> </w:t>
      </w:r>
      <w:r>
        <w:rPr/>
        <w:t>International Accounting</w:t>
      </w:r>
      <w:r>
        <w:rPr>
          <w:spacing w:val="-11"/>
        </w:rPr>
        <w:t> </w:t>
      </w:r>
      <w:r>
        <w:rPr/>
        <w:t>Standards:</w:t>
      </w:r>
      <w:r>
        <w:rPr>
          <w:spacing w:val="-11"/>
        </w:rPr>
        <w:t> </w:t>
      </w:r>
      <w:r>
        <w:rPr/>
        <w:t>The</w:t>
      </w:r>
      <w:r>
        <w:rPr>
          <w:spacing w:val="-12"/>
        </w:rPr>
        <w:t> </w:t>
      </w:r>
      <w:r>
        <w:rPr/>
        <w:t>case</w:t>
      </w:r>
      <w:r>
        <w:rPr>
          <w:spacing w:val="-11"/>
        </w:rPr>
        <w:t> </w:t>
      </w:r>
      <w:r>
        <w:rPr/>
        <w:t>of</w:t>
      </w:r>
      <w:r>
        <w:rPr>
          <w:spacing w:val="-11"/>
        </w:rPr>
        <w:t> </w:t>
      </w:r>
      <w:r>
        <w:rPr/>
        <w:t>Germany.</w:t>
      </w:r>
      <w:r>
        <w:rPr>
          <w:spacing w:val="-8"/>
        </w:rPr>
        <w:t> </w:t>
      </w:r>
      <w:r>
        <w:rPr>
          <w:i/>
        </w:rPr>
        <w:t>Review</w:t>
      </w:r>
      <w:r>
        <w:rPr>
          <w:i/>
          <w:spacing w:val="-10"/>
        </w:rPr>
        <w:t> </w:t>
      </w:r>
      <w:r>
        <w:rPr>
          <w:i/>
        </w:rPr>
        <w:t>of</w:t>
      </w:r>
      <w:r>
        <w:rPr>
          <w:i/>
          <w:spacing w:val="-10"/>
        </w:rPr>
        <w:t> </w:t>
      </w:r>
      <w:r>
        <w:rPr>
          <w:i/>
        </w:rPr>
        <w:t>Accounting</w:t>
      </w:r>
      <w:r>
        <w:rPr>
          <w:i/>
          <w:spacing w:val="-11"/>
        </w:rPr>
        <w:t> </w:t>
      </w:r>
      <w:r>
        <w:rPr>
          <w:i/>
        </w:rPr>
        <w:t>Studies,</w:t>
      </w:r>
      <w:r>
        <w:rPr>
          <w:i/>
          <w:spacing w:val="-10"/>
        </w:rPr>
        <w:t> </w:t>
      </w:r>
      <w:r>
        <w:rPr>
          <w:i/>
        </w:rPr>
        <w:t>12</w:t>
      </w:r>
      <w:r>
        <w:rPr/>
        <w:t>(6</w:t>
      </w:r>
      <w:r>
        <w:rPr>
          <w:i/>
        </w:rPr>
        <w:t>)</w:t>
      </w:r>
      <w:r>
        <w:rPr/>
        <w:t>,</w:t>
      </w:r>
      <w:r>
        <w:rPr>
          <w:spacing w:val="-11"/>
        </w:rPr>
        <w:t> </w:t>
      </w:r>
      <w:r>
        <w:rPr/>
        <w:t>623- </w:t>
      </w:r>
      <w:r>
        <w:rPr>
          <w:spacing w:val="-4"/>
        </w:rPr>
        <w:t>657.</w:t>
      </w:r>
    </w:p>
    <w:p>
      <w:pPr>
        <w:pStyle w:val="BodyText"/>
      </w:pPr>
    </w:p>
    <w:p>
      <w:pPr>
        <w:pStyle w:val="BodyText"/>
        <w:ind w:left="1571" w:right="1436" w:hanging="723"/>
        <w:jc w:val="both"/>
      </w:pPr>
      <w:r>
        <w:rPr/>
        <w:t>Hyuk S., Jae-gyung J., Sang-ho D. (2014). Relation between Corporate Governance and Earnings Management, and the Role of IFRS: Evidence from Korea. Retrieved from </w:t>
      </w:r>
      <w:hyperlink r:id="rId13">
        <w:r>
          <w:rPr>
            <w:spacing w:val="-2"/>
            <w:u w:val="single"/>
          </w:rPr>
          <w:t>www.researchgate.com</w:t>
        </w:r>
      </w:hyperlink>
    </w:p>
    <w:p>
      <w:pPr>
        <w:pStyle w:val="BodyText"/>
      </w:pPr>
    </w:p>
    <w:p>
      <w:pPr>
        <w:spacing w:before="0"/>
        <w:ind w:left="1571" w:right="1444" w:hanging="723"/>
        <w:jc w:val="both"/>
        <w:rPr>
          <w:sz w:val="24"/>
        </w:rPr>
      </w:pPr>
      <w:r>
        <w:rPr>
          <w:sz w:val="24"/>
        </w:rPr>
        <w:t>Ibadin, P. O., &amp; Dabor, E. L. (2015). Corporate governance and accounting quality: empirical investigations from Nigeria. </w:t>
      </w:r>
      <w:r>
        <w:rPr>
          <w:i/>
          <w:sz w:val="24"/>
        </w:rPr>
        <w:t>Journal of Policy and Development Studies, 9</w:t>
      </w:r>
      <w:r>
        <w:rPr>
          <w:sz w:val="24"/>
        </w:rPr>
        <w:t>(2), 64-82</w:t>
      </w:r>
    </w:p>
    <w:p>
      <w:pPr>
        <w:pStyle w:val="BodyText"/>
      </w:pPr>
    </w:p>
    <w:p>
      <w:pPr>
        <w:spacing w:before="0"/>
        <w:ind w:left="1571" w:right="1435" w:hanging="723"/>
        <w:jc w:val="both"/>
        <w:rPr>
          <w:sz w:val="24"/>
        </w:rPr>
      </w:pPr>
      <w:r>
        <w:rPr>
          <w:sz w:val="24"/>
        </w:rPr>
        <w:t>Iyoha,</w:t>
      </w:r>
      <w:r>
        <w:rPr>
          <w:spacing w:val="-3"/>
          <w:sz w:val="24"/>
        </w:rPr>
        <w:t> </w:t>
      </w:r>
      <w:r>
        <w:rPr>
          <w:sz w:val="24"/>
        </w:rPr>
        <w:t>A.</w:t>
      </w:r>
      <w:r>
        <w:rPr>
          <w:spacing w:val="-2"/>
          <w:sz w:val="24"/>
        </w:rPr>
        <w:t> </w:t>
      </w:r>
      <w:r>
        <w:rPr>
          <w:sz w:val="24"/>
        </w:rPr>
        <w:t>I.,</w:t>
      </w:r>
      <w:r>
        <w:rPr>
          <w:spacing w:val="-3"/>
          <w:sz w:val="24"/>
        </w:rPr>
        <w:t> </w:t>
      </w:r>
      <w:r>
        <w:rPr>
          <w:sz w:val="24"/>
        </w:rPr>
        <w:t>&amp;</w:t>
      </w:r>
      <w:r>
        <w:rPr>
          <w:spacing w:val="-3"/>
          <w:sz w:val="24"/>
        </w:rPr>
        <w:t> </w:t>
      </w:r>
      <w:r>
        <w:rPr>
          <w:sz w:val="24"/>
        </w:rPr>
        <w:t>Aggreh,</w:t>
      </w:r>
      <w:r>
        <w:rPr>
          <w:spacing w:val="-1"/>
          <w:sz w:val="24"/>
        </w:rPr>
        <w:t> </w:t>
      </w:r>
      <w:r>
        <w:rPr>
          <w:sz w:val="24"/>
        </w:rPr>
        <w:t>M.</w:t>
      </w:r>
      <w:r>
        <w:rPr>
          <w:spacing w:val="-3"/>
          <w:sz w:val="24"/>
        </w:rPr>
        <w:t> </w:t>
      </w:r>
      <w:r>
        <w:rPr>
          <w:sz w:val="24"/>
        </w:rPr>
        <w:t>(2020).</w:t>
      </w:r>
      <w:r>
        <w:rPr>
          <w:spacing w:val="-3"/>
          <w:sz w:val="24"/>
        </w:rPr>
        <w:t> </w:t>
      </w:r>
      <w:r>
        <w:rPr>
          <w:sz w:val="24"/>
        </w:rPr>
        <w:t>Corporate</w:t>
      </w:r>
      <w:r>
        <w:rPr>
          <w:spacing w:val="-3"/>
          <w:sz w:val="24"/>
        </w:rPr>
        <w:t> </w:t>
      </w:r>
      <w:r>
        <w:rPr>
          <w:sz w:val="24"/>
        </w:rPr>
        <w:t>governance</w:t>
      </w:r>
      <w:r>
        <w:rPr>
          <w:spacing w:val="-4"/>
          <w:sz w:val="24"/>
        </w:rPr>
        <w:t> </w:t>
      </w:r>
      <w:r>
        <w:rPr>
          <w:sz w:val="24"/>
        </w:rPr>
        <w:t>and</w:t>
      </w:r>
      <w:r>
        <w:rPr>
          <w:spacing w:val="-3"/>
          <w:sz w:val="24"/>
        </w:rPr>
        <w:t> </w:t>
      </w:r>
      <w:r>
        <w:rPr>
          <w:sz w:val="24"/>
        </w:rPr>
        <w:t>financial</w:t>
      </w:r>
      <w:r>
        <w:rPr>
          <w:spacing w:val="-3"/>
          <w:sz w:val="24"/>
        </w:rPr>
        <w:t> </w:t>
      </w:r>
      <w:r>
        <w:rPr>
          <w:sz w:val="24"/>
        </w:rPr>
        <w:t>reporting</w:t>
      </w:r>
      <w:r>
        <w:rPr>
          <w:spacing w:val="-3"/>
          <w:sz w:val="24"/>
        </w:rPr>
        <w:t> </w:t>
      </w:r>
      <w:r>
        <w:rPr>
          <w:sz w:val="24"/>
        </w:rPr>
        <w:t>quality:</w:t>
      </w:r>
      <w:r>
        <w:rPr>
          <w:spacing w:val="-3"/>
          <w:sz w:val="24"/>
        </w:rPr>
        <w:t> </w:t>
      </w:r>
      <w:r>
        <w:rPr>
          <w:sz w:val="24"/>
        </w:rPr>
        <w:t>Does IFRS</w:t>
      </w:r>
      <w:r>
        <w:rPr>
          <w:spacing w:val="-4"/>
          <w:sz w:val="24"/>
        </w:rPr>
        <w:t> </w:t>
      </w:r>
      <w:r>
        <w:rPr>
          <w:sz w:val="24"/>
        </w:rPr>
        <w:t>adoption</w:t>
      </w:r>
      <w:r>
        <w:rPr>
          <w:spacing w:val="-4"/>
          <w:sz w:val="24"/>
        </w:rPr>
        <w:t> </w:t>
      </w:r>
      <w:r>
        <w:rPr>
          <w:sz w:val="24"/>
        </w:rPr>
        <w:t>matter?</w:t>
      </w:r>
      <w:r>
        <w:rPr>
          <w:spacing w:val="-4"/>
          <w:sz w:val="24"/>
        </w:rPr>
        <w:t> </w:t>
      </w:r>
      <w:r>
        <w:rPr>
          <w:i/>
          <w:sz w:val="24"/>
        </w:rPr>
        <w:t>Federal</w:t>
      </w:r>
      <w:r>
        <w:rPr>
          <w:i/>
          <w:spacing w:val="-4"/>
          <w:sz w:val="24"/>
        </w:rPr>
        <w:t> </w:t>
      </w:r>
      <w:r>
        <w:rPr>
          <w:i/>
          <w:sz w:val="24"/>
        </w:rPr>
        <w:t>University,</w:t>
      </w:r>
      <w:r>
        <w:rPr>
          <w:i/>
          <w:spacing w:val="-4"/>
          <w:sz w:val="24"/>
        </w:rPr>
        <w:t> </w:t>
      </w:r>
      <w:r>
        <w:rPr>
          <w:i/>
          <w:sz w:val="24"/>
        </w:rPr>
        <w:t>Otuoke</w:t>
      </w:r>
      <w:r>
        <w:rPr>
          <w:i/>
          <w:spacing w:val="-4"/>
          <w:sz w:val="24"/>
        </w:rPr>
        <w:t> </w:t>
      </w:r>
      <w:r>
        <w:rPr>
          <w:i/>
          <w:sz w:val="24"/>
        </w:rPr>
        <w:t>Quarterly</w:t>
      </w:r>
      <w:r>
        <w:rPr>
          <w:i/>
          <w:spacing w:val="-5"/>
          <w:sz w:val="24"/>
        </w:rPr>
        <w:t> </w:t>
      </w:r>
      <w:r>
        <w:rPr>
          <w:i/>
          <w:sz w:val="24"/>
        </w:rPr>
        <w:t>Journal</w:t>
      </w:r>
      <w:r>
        <w:rPr>
          <w:i/>
          <w:spacing w:val="-4"/>
          <w:sz w:val="24"/>
        </w:rPr>
        <w:t> </w:t>
      </w:r>
      <w:r>
        <w:rPr>
          <w:i/>
          <w:sz w:val="24"/>
        </w:rPr>
        <w:t>of</w:t>
      </w:r>
      <w:r>
        <w:rPr>
          <w:i/>
          <w:spacing w:val="-4"/>
          <w:sz w:val="24"/>
        </w:rPr>
        <w:t> </w:t>
      </w:r>
      <w:r>
        <w:rPr>
          <w:i/>
          <w:sz w:val="24"/>
        </w:rPr>
        <w:t>Contemporary Research, </w:t>
      </w:r>
      <w:r>
        <w:rPr>
          <w:sz w:val="24"/>
        </w:rPr>
        <w:t>8(2), 158-188.</w:t>
      </w:r>
    </w:p>
    <w:p>
      <w:pPr>
        <w:spacing w:after="0"/>
        <w:jc w:val="both"/>
        <w:rPr>
          <w:sz w:val="24"/>
        </w:rPr>
        <w:sectPr>
          <w:pgSz w:w="11910" w:h="16840"/>
          <w:pgMar w:header="0" w:footer="971" w:top="1620" w:bottom="1160" w:left="500" w:right="0"/>
        </w:sectPr>
      </w:pPr>
    </w:p>
    <w:p>
      <w:pPr>
        <w:pStyle w:val="BodyText"/>
        <w:spacing w:before="61"/>
        <w:ind w:left="1571" w:right="1436" w:hanging="723"/>
        <w:jc w:val="both"/>
      </w:pPr>
      <w:r>
        <w:rPr/>
        <w:t>Joshi,</w:t>
      </w:r>
      <w:r>
        <w:rPr>
          <w:spacing w:val="-15"/>
        </w:rPr>
        <w:t> </w:t>
      </w:r>
      <w:r>
        <w:rPr/>
        <w:t>P.L.,</w:t>
      </w:r>
      <w:r>
        <w:rPr>
          <w:spacing w:val="-15"/>
        </w:rPr>
        <w:t> </w:t>
      </w:r>
      <w:r>
        <w:rPr/>
        <w:t>&amp;</w:t>
      </w:r>
      <w:r>
        <w:rPr>
          <w:spacing w:val="-15"/>
        </w:rPr>
        <w:t> </w:t>
      </w:r>
      <w:r>
        <w:rPr/>
        <w:t>Ramadhan,</w:t>
      </w:r>
      <w:r>
        <w:rPr>
          <w:spacing w:val="-15"/>
        </w:rPr>
        <w:t> </w:t>
      </w:r>
      <w:r>
        <w:rPr/>
        <w:t>S.</w:t>
      </w:r>
      <w:r>
        <w:rPr>
          <w:spacing w:val="-15"/>
        </w:rPr>
        <w:t> </w:t>
      </w:r>
      <w:r>
        <w:rPr/>
        <w:t>(2002).</w:t>
      </w:r>
      <w:r>
        <w:rPr>
          <w:spacing w:val="-15"/>
        </w:rPr>
        <w:t> </w:t>
      </w:r>
      <w:r>
        <w:rPr/>
        <w:t>The</w:t>
      </w:r>
      <w:r>
        <w:rPr>
          <w:spacing w:val="-15"/>
        </w:rPr>
        <w:t> </w:t>
      </w:r>
      <w:r>
        <w:rPr/>
        <w:t>adoption</w:t>
      </w:r>
      <w:r>
        <w:rPr>
          <w:spacing w:val="-15"/>
        </w:rPr>
        <w:t> </w:t>
      </w:r>
      <w:r>
        <w:rPr/>
        <w:t>of</w:t>
      </w:r>
      <w:r>
        <w:rPr>
          <w:spacing w:val="-15"/>
        </w:rPr>
        <w:t> </w:t>
      </w:r>
      <w:r>
        <w:rPr/>
        <w:t>international</w:t>
      </w:r>
      <w:r>
        <w:rPr>
          <w:spacing w:val="-15"/>
        </w:rPr>
        <w:t> </w:t>
      </w:r>
      <w:r>
        <w:rPr/>
        <w:t>accounting</w:t>
      </w:r>
      <w:r>
        <w:rPr>
          <w:spacing w:val="-15"/>
        </w:rPr>
        <w:t> </w:t>
      </w:r>
      <w:r>
        <w:rPr/>
        <w:t>standards</w:t>
      </w:r>
      <w:r>
        <w:rPr>
          <w:spacing w:val="-15"/>
        </w:rPr>
        <w:t> </w:t>
      </w:r>
      <w:r>
        <w:rPr/>
        <w:t>by</w:t>
      </w:r>
      <w:r>
        <w:rPr>
          <w:spacing w:val="-15"/>
        </w:rPr>
        <w:t> </w:t>
      </w:r>
      <w:r>
        <w:rPr/>
        <w:t>small and closely held companies: evidence from Bahrain. </w:t>
      </w:r>
      <w:r>
        <w:rPr>
          <w:i/>
        </w:rPr>
        <w:t>International Journal of Accounting, </w:t>
      </w:r>
      <w:r>
        <w:rPr/>
        <w:t>37(4), 429-440.</w:t>
      </w:r>
    </w:p>
    <w:p>
      <w:pPr>
        <w:pStyle w:val="BodyText"/>
      </w:pPr>
    </w:p>
    <w:p>
      <w:pPr>
        <w:spacing w:before="0"/>
        <w:ind w:left="1571" w:right="1437" w:hanging="723"/>
        <w:jc w:val="both"/>
        <w:rPr>
          <w:sz w:val="24"/>
        </w:rPr>
      </w:pPr>
      <w:r>
        <w:rPr>
          <w:sz w:val="24"/>
        </w:rPr>
        <w:t>Jones, J. (1991). Earnings management during import relief investigations. </w:t>
      </w:r>
      <w:r>
        <w:rPr>
          <w:i/>
          <w:sz w:val="24"/>
        </w:rPr>
        <w:t>Journal of Accounting Research, 29</w:t>
      </w:r>
      <w:r>
        <w:rPr>
          <w:sz w:val="24"/>
        </w:rPr>
        <w:t>(2), 193-228.</w:t>
      </w:r>
    </w:p>
    <w:p>
      <w:pPr>
        <w:pStyle w:val="BodyText"/>
      </w:pPr>
    </w:p>
    <w:p>
      <w:pPr>
        <w:pStyle w:val="BodyText"/>
        <w:ind w:left="1571" w:right="1438" w:hanging="723"/>
        <w:jc w:val="both"/>
      </w:pPr>
      <w:r>
        <w:rPr/>
        <w:t>Jonas, G., &amp; Blanchet, J. (2000). Assessing Quality of Financial Reporting. </w:t>
      </w:r>
      <w:r>
        <w:rPr>
          <w:i/>
        </w:rPr>
        <w:t>Accounting Horizons</w:t>
      </w:r>
      <w:r>
        <w:rPr/>
        <w:t>, </w:t>
      </w:r>
      <w:r>
        <w:rPr>
          <w:i/>
        </w:rPr>
        <w:t>14</w:t>
      </w:r>
      <w:r>
        <w:rPr/>
        <w:t>(3), 353-363.</w:t>
      </w:r>
    </w:p>
    <w:p>
      <w:pPr>
        <w:pStyle w:val="BodyText"/>
      </w:pPr>
    </w:p>
    <w:p>
      <w:pPr>
        <w:spacing w:before="0"/>
        <w:ind w:left="1571" w:right="1437" w:hanging="723"/>
        <w:jc w:val="both"/>
        <w:rPr>
          <w:sz w:val="24"/>
        </w:rPr>
      </w:pPr>
      <w:r>
        <w:rPr/>
        <w:drawing>
          <wp:anchor distT="0" distB="0" distL="0" distR="0" allowOverlap="1" layoutInCell="1" locked="0" behindDoc="1" simplePos="0" relativeHeight="477773312">
            <wp:simplePos x="0" y="0"/>
            <wp:positionH relativeFrom="page">
              <wp:posOffset>1095451</wp:posOffset>
            </wp:positionH>
            <wp:positionV relativeFrom="paragraph">
              <wp:posOffset>59584</wp:posOffset>
            </wp:positionV>
            <wp:extent cx="5106847" cy="5238115"/>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Jeanjean,T.,</w:t>
      </w:r>
      <w:r>
        <w:rPr>
          <w:spacing w:val="-9"/>
          <w:sz w:val="24"/>
        </w:rPr>
        <w:t> </w:t>
      </w:r>
      <w:r>
        <w:rPr>
          <w:sz w:val="24"/>
        </w:rPr>
        <w:t>&amp;</w:t>
      </w:r>
      <w:r>
        <w:rPr>
          <w:spacing w:val="-9"/>
          <w:sz w:val="24"/>
        </w:rPr>
        <w:t> </w:t>
      </w:r>
      <w:r>
        <w:rPr>
          <w:sz w:val="24"/>
        </w:rPr>
        <w:t>Stolowy,</w:t>
      </w:r>
      <w:r>
        <w:rPr>
          <w:spacing w:val="-10"/>
          <w:sz w:val="24"/>
        </w:rPr>
        <w:t> </w:t>
      </w:r>
      <w:r>
        <w:rPr>
          <w:sz w:val="24"/>
        </w:rPr>
        <w:t>H.</w:t>
      </w:r>
      <w:r>
        <w:rPr>
          <w:spacing w:val="-10"/>
          <w:sz w:val="24"/>
        </w:rPr>
        <w:t> </w:t>
      </w:r>
      <w:r>
        <w:rPr>
          <w:sz w:val="24"/>
        </w:rPr>
        <w:t>(2008).</w:t>
      </w:r>
      <w:r>
        <w:rPr>
          <w:spacing w:val="-10"/>
          <w:sz w:val="24"/>
        </w:rPr>
        <w:t> </w:t>
      </w:r>
      <w:r>
        <w:rPr>
          <w:sz w:val="24"/>
        </w:rPr>
        <w:t>Do</w:t>
      </w:r>
      <w:r>
        <w:rPr>
          <w:spacing w:val="-9"/>
          <w:sz w:val="24"/>
        </w:rPr>
        <w:t> </w:t>
      </w:r>
      <w:r>
        <w:rPr>
          <w:sz w:val="24"/>
        </w:rPr>
        <w:t>accounting</w:t>
      </w:r>
      <w:r>
        <w:rPr>
          <w:spacing w:val="-10"/>
          <w:sz w:val="24"/>
        </w:rPr>
        <w:t> </w:t>
      </w:r>
      <w:r>
        <w:rPr>
          <w:sz w:val="24"/>
        </w:rPr>
        <w:t>standards</w:t>
      </w:r>
      <w:r>
        <w:rPr>
          <w:spacing w:val="-10"/>
          <w:sz w:val="24"/>
        </w:rPr>
        <w:t> </w:t>
      </w:r>
      <w:r>
        <w:rPr>
          <w:sz w:val="24"/>
        </w:rPr>
        <w:t>matter?</w:t>
      </w:r>
      <w:r>
        <w:rPr>
          <w:spacing w:val="-11"/>
          <w:sz w:val="24"/>
        </w:rPr>
        <w:t> </w:t>
      </w:r>
      <w:r>
        <w:rPr>
          <w:sz w:val="24"/>
        </w:rPr>
        <w:t>An</w:t>
      </w:r>
      <w:r>
        <w:rPr>
          <w:spacing w:val="-9"/>
          <w:sz w:val="24"/>
        </w:rPr>
        <w:t> </w:t>
      </w:r>
      <w:r>
        <w:rPr>
          <w:sz w:val="24"/>
        </w:rPr>
        <w:t>exploratory</w:t>
      </w:r>
      <w:r>
        <w:rPr>
          <w:spacing w:val="-10"/>
          <w:sz w:val="24"/>
        </w:rPr>
        <w:t> </w:t>
      </w:r>
      <w:r>
        <w:rPr>
          <w:sz w:val="24"/>
        </w:rPr>
        <w:t>analysis</w:t>
      </w:r>
      <w:r>
        <w:rPr>
          <w:spacing w:val="-9"/>
          <w:sz w:val="24"/>
        </w:rPr>
        <w:t> </w:t>
      </w:r>
      <w:r>
        <w:rPr>
          <w:sz w:val="24"/>
        </w:rPr>
        <w:t>of earnings</w:t>
      </w:r>
      <w:r>
        <w:rPr>
          <w:spacing w:val="-15"/>
          <w:sz w:val="24"/>
        </w:rPr>
        <w:t> </w:t>
      </w:r>
      <w:r>
        <w:rPr>
          <w:sz w:val="24"/>
        </w:rPr>
        <w:t>management</w:t>
      </w:r>
      <w:r>
        <w:rPr>
          <w:spacing w:val="-15"/>
          <w:sz w:val="24"/>
        </w:rPr>
        <w:t> </w:t>
      </w:r>
      <w:r>
        <w:rPr>
          <w:sz w:val="24"/>
        </w:rPr>
        <w:t>before</w:t>
      </w:r>
      <w:r>
        <w:rPr>
          <w:spacing w:val="-15"/>
          <w:sz w:val="24"/>
        </w:rPr>
        <w:t> </w:t>
      </w:r>
      <w:r>
        <w:rPr>
          <w:sz w:val="24"/>
        </w:rPr>
        <w:t>and</w:t>
      </w:r>
      <w:r>
        <w:rPr>
          <w:spacing w:val="-12"/>
          <w:sz w:val="24"/>
        </w:rPr>
        <w:t> </w:t>
      </w:r>
      <w:r>
        <w:rPr>
          <w:sz w:val="24"/>
        </w:rPr>
        <w:t>after</w:t>
      </w:r>
      <w:r>
        <w:rPr>
          <w:spacing w:val="-14"/>
          <w:sz w:val="24"/>
        </w:rPr>
        <w:t> </w:t>
      </w:r>
      <w:r>
        <w:rPr>
          <w:sz w:val="24"/>
        </w:rPr>
        <w:t>IFRS</w:t>
      </w:r>
      <w:r>
        <w:rPr>
          <w:spacing w:val="-15"/>
          <w:sz w:val="24"/>
        </w:rPr>
        <w:t> </w:t>
      </w:r>
      <w:r>
        <w:rPr>
          <w:sz w:val="24"/>
        </w:rPr>
        <w:t>adoption.</w:t>
      </w:r>
      <w:r>
        <w:rPr>
          <w:spacing w:val="-12"/>
          <w:sz w:val="24"/>
        </w:rPr>
        <w:t> </w:t>
      </w:r>
      <w:r>
        <w:rPr>
          <w:i/>
          <w:sz w:val="24"/>
        </w:rPr>
        <w:t>Journal</w:t>
      </w:r>
      <w:r>
        <w:rPr>
          <w:i/>
          <w:spacing w:val="-15"/>
          <w:sz w:val="24"/>
        </w:rPr>
        <w:t> </w:t>
      </w:r>
      <w:r>
        <w:rPr>
          <w:i/>
          <w:sz w:val="24"/>
        </w:rPr>
        <w:t>of</w:t>
      </w:r>
      <w:r>
        <w:rPr>
          <w:i/>
          <w:spacing w:val="-15"/>
          <w:sz w:val="24"/>
        </w:rPr>
        <w:t> </w:t>
      </w:r>
      <w:r>
        <w:rPr>
          <w:i/>
          <w:sz w:val="24"/>
        </w:rPr>
        <w:t>Accounting</w:t>
      </w:r>
      <w:r>
        <w:rPr>
          <w:i/>
          <w:spacing w:val="-15"/>
          <w:sz w:val="24"/>
        </w:rPr>
        <w:t> </w:t>
      </w:r>
      <w:r>
        <w:rPr>
          <w:i/>
          <w:sz w:val="24"/>
        </w:rPr>
        <w:t>and</w:t>
      </w:r>
      <w:r>
        <w:rPr>
          <w:i/>
          <w:spacing w:val="-15"/>
          <w:sz w:val="24"/>
        </w:rPr>
        <w:t> </w:t>
      </w:r>
      <w:r>
        <w:rPr>
          <w:i/>
          <w:sz w:val="24"/>
        </w:rPr>
        <w:t>Public Policy, 27</w:t>
      </w:r>
      <w:r>
        <w:rPr>
          <w:sz w:val="24"/>
        </w:rPr>
        <w:t>(6), 480-494.</w:t>
      </w:r>
    </w:p>
    <w:p>
      <w:pPr>
        <w:pStyle w:val="BodyText"/>
        <w:spacing w:before="1"/>
      </w:pPr>
    </w:p>
    <w:p>
      <w:pPr>
        <w:pStyle w:val="BodyText"/>
        <w:ind w:left="1571" w:right="1436" w:hanging="723"/>
      </w:pPr>
      <w:r>
        <w:rPr/>
        <w:t>Jensen,</w:t>
      </w:r>
      <w:r>
        <w:rPr>
          <w:spacing w:val="-3"/>
        </w:rPr>
        <w:t> </w:t>
      </w:r>
      <w:r>
        <w:rPr/>
        <w:t>M.,</w:t>
      </w:r>
      <w:r>
        <w:rPr>
          <w:spacing w:val="-3"/>
        </w:rPr>
        <w:t> </w:t>
      </w:r>
      <w:r>
        <w:rPr/>
        <w:t>&amp;</w:t>
      </w:r>
      <w:r>
        <w:rPr>
          <w:spacing w:val="-3"/>
        </w:rPr>
        <w:t> </w:t>
      </w:r>
      <w:r>
        <w:rPr/>
        <w:t>Meckling,</w:t>
      </w:r>
      <w:r>
        <w:rPr>
          <w:spacing w:val="-1"/>
        </w:rPr>
        <w:t> </w:t>
      </w:r>
      <w:r>
        <w:rPr/>
        <w:t>W.</w:t>
      </w:r>
      <w:r>
        <w:rPr>
          <w:spacing w:val="-3"/>
        </w:rPr>
        <w:t> </w:t>
      </w:r>
      <w:r>
        <w:rPr/>
        <w:t>(1976).</w:t>
      </w:r>
      <w:r>
        <w:rPr>
          <w:spacing w:val="-3"/>
        </w:rPr>
        <w:t> </w:t>
      </w:r>
      <w:r>
        <w:rPr/>
        <w:t>Theory</w:t>
      </w:r>
      <w:r>
        <w:rPr>
          <w:spacing w:val="-3"/>
        </w:rPr>
        <w:t> </w:t>
      </w:r>
      <w:r>
        <w:rPr/>
        <w:t>of</w:t>
      </w:r>
      <w:r>
        <w:rPr>
          <w:spacing w:val="-3"/>
        </w:rPr>
        <w:t> </w:t>
      </w:r>
      <w:r>
        <w:rPr/>
        <w:t>the</w:t>
      </w:r>
      <w:r>
        <w:rPr>
          <w:spacing w:val="-3"/>
        </w:rPr>
        <w:t> </w:t>
      </w:r>
      <w:r>
        <w:rPr/>
        <w:t>firm:</w:t>
      </w:r>
      <w:r>
        <w:rPr>
          <w:spacing w:val="-3"/>
        </w:rPr>
        <w:t> </w:t>
      </w:r>
      <w:r>
        <w:rPr/>
        <w:t>Managerial</w:t>
      </w:r>
      <w:r>
        <w:rPr>
          <w:spacing w:val="-3"/>
        </w:rPr>
        <w:t> </w:t>
      </w:r>
      <w:r>
        <w:rPr/>
        <w:t>behavior,</w:t>
      </w:r>
      <w:r>
        <w:rPr>
          <w:spacing w:val="-3"/>
        </w:rPr>
        <w:t> </w:t>
      </w:r>
      <w:r>
        <w:rPr/>
        <w:t>Agency</w:t>
      </w:r>
      <w:r>
        <w:rPr>
          <w:spacing w:val="-1"/>
        </w:rPr>
        <w:t> </w:t>
      </w:r>
      <w:r>
        <w:rPr/>
        <w:t>costs, and ownership structure. </w:t>
      </w:r>
      <w:r>
        <w:rPr>
          <w:i/>
        </w:rPr>
        <w:t>Journal of Financial Economics</w:t>
      </w:r>
      <w:r>
        <w:rPr/>
        <w:t>, </w:t>
      </w:r>
      <w:r>
        <w:rPr>
          <w:i/>
        </w:rPr>
        <w:t>3</w:t>
      </w:r>
      <w:r>
        <w:rPr/>
        <w:t>(4), 305-360.</w:t>
      </w:r>
    </w:p>
    <w:p>
      <w:pPr>
        <w:pStyle w:val="BodyText"/>
      </w:pPr>
    </w:p>
    <w:p>
      <w:pPr>
        <w:pStyle w:val="BodyText"/>
        <w:ind w:left="1571" w:right="1436" w:hanging="723"/>
      </w:pPr>
      <w:r>
        <w:rPr/>
        <w:t>Jensen,</w:t>
      </w:r>
      <w:r>
        <w:rPr>
          <w:spacing w:val="-3"/>
        </w:rPr>
        <w:t> </w:t>
      </w:r>
      <w:r>
        <w:rPr/>
        <w:t>M.</w:t>
      </w:r>
      <w:r>
        <w:rPr>
          <w:spacing w:val="-3"/>
        </w:rPr>
        <w:t> </w:t>
      </w:r>
      <w:r>
        <w:rPr/>
        <w:t>(1993).</w:t>
      </w:r>
      <w:r>
        <w:rPr>
          <w:spacing w:val="-3"/>
        </w:rPr>
        <w:t> </w:t>
      </w:r>
      <w:r>
        <w:rPr/>
        <w:t>The</w:t>
      </w:r>
      <w:r>
        <w:rPr>
          <w:spacing w:val="-2"/>
        </w:rPr>
        <w:t> </w:t>
      </w:r>
      <w:r>
        <w:rPr/>
        <w:t>modern</w:t>
      </w:r>
      <w:r>
        <w:rPr>
          <w:spacing w:val="-3"/>
        </w:rPr>
        <w:t> </w:t>
      </w:r>
      <w:r>
        <w:rPr/>
        <w:t>industrial</w:t>
      </w:r>
      <w:r>
        <w:rPr>
          <w:spacing w:val="-3"/>
        </w:rPr>
        <w:t> </w:t>
      </w:r>
      <w:r>
        <w:rPr/>
        <w:t>revolution,</w:t>
      </w:r>
      <w:r>
        <w:rPr>
          <w:spacing w:val="-3"/>
        </w:rPr>
        <w:t> </w:t>
      </w:r>
      <w:r>
        <w:rPr/>
        <w:t>exit,</w:t>
      </w:r>
      <w:r>
        <w:rPr>
          <w:spacing w:val="-3"/>
        </w:rPr>
        <w:t> </w:t>
      </w:r>
      <w:r>
        <w:rPr/>
        <w:t>and</w:t>
      </w:r>
      <w:r>
        <w:rPr>
          <w:spacing w:val="-3"/>
        </w:rPr>
        <w:t> </w:t>
      </w:r>
      <w:r>
        <w:rPr/>
        <w:t>the</w:t>
      </w:r>
      <w:r>
        <w:rPr>
          <w:spacing w:val="-4"/>
        </w:rPr>
        <w:t> </w:t>
      </w:r>
      <w:r>
        <w:rPr/>
        <w:t>failure</w:t>
      </w:r>
      <w:r>
        <w:rPr>
          <w:spacing w:val="-3"/>
        </w:rPr>
        <w:t> </w:t>
      </w:r>
      <w:r>
        <w:rPr/>
        <w:t>of</w:t>
      </w:r>
      <w:r>
        <w:rPr>
          <w:spacing w:val="-3"/>
        </w:rPr>
        <w:t> </w:t>
      </w:r>
      <w:r>
        <w:rPr/>
        <w:t>internal</w:t>
      </w:r>
      <w:r>
        <w:rPr>
          <w:spacing w:val="-3"/>
        </w:rPr>
        <w:t> </w:t>
      </w:r>
      <w:r>
        <w:rPr/>
        <w:t>control systems. </w:t>
      </w:r>
      <w:r>
        <w:rPr>
          <w:i/>
        </w:rPr>
        <w:t>The Journal of Finance, 25</w:t>
      </w:r>
      <w:r>
        <w:rPr/>
        <w:t>(3), 831-873.</w:t>
      </w:r>
    </w:p>
    <w:p>
      <w:pPr>
        <w:pStyle w:val="BodyText"/>
      </w:pPr>
    </w:p>
    <w:p>
      <w:pPr>
        <w:spacing w:before="0"/>
        <w:ind w:left="1571" w:right="1436" w:hanging="723"/>
        <w:jc w:val="left"/>
        <w:rPr>
          <w:sz w:val="24"/>
        </w:rPr>
      </w:pPr>
      <w:r>
        <w:rPr>
          <w:sz w:val="24"/>
        </w:rPr>
        <w:t>Jiang, Z., &amp; Lie, E. (2016). Cash holding adjustment and managerial entrenchment. </w:t>
      </w:r>
      <w:r>
        <w:rPr>
          <w:i/>
          <w:sz w:val="24"/>
        </w:rPr>
        <w:t>Journal of Corporate Finance, 36</w:t>
      </w:r>
      <w:r>
        <w:rPr>
          <w:sz w:val="24"/>
        </w:rPr>
        <w:t>(2016), 190-205.</w:t>
      </w:r>
    </w:p>
    <w:p>
      <w:pPr>
        <w:pStyle w:val="BodyText"/>
      </w:pPr>
    </w:p>
    <w:p>
      <w:pPr>
        <w:spacing w:before="0"/>
        <w:ind w:left="1571" w:right="1436" w:hanging="723"/>
        <w:jc w:val="left"/>
        <w:rPr>
          <w:sz w:val="24"/>
        </w:rPr>
      </w:pPr>
      <w:r>
        <w:rPr>
          <w:sz w:val="24"/>
        </w:rPr>
        <w:t>John, K., &amp; Senbet, L. W. (1998). Corporate governance and board effectiveness. </w:t>
      </w:r>
      <w:r>
        <w:rPr>
          <w:i/>
          <w:sz w:val="24"/>
        </w:rPr>
        <w:t>Journal of</w:t>
      </w:r>
      <w:r>
        <w:rPr>
          <w:i/>
          <w:spacing w:val="40"/>
          <w:sz w:val="24"/>
        </w:rPr>
        <w:t> </w:t>
      </w:r>
      <w:r>
        <w:rPr>
          <w:i/>
          <w:sz w:val="24"/>
        </w:rPr>
        <w:t>Banking and Finance</w:t>
      </w:r>
      <w:r>
        <w:rPr>
          <w:sz w:val="24"/>
        </w:rPr>
        <w:t>, </w:t>
      </w:r>
      <w:r>
        <w:rPr>
          <w:i/>
          <w:sz w:val="24"/>
        </w:rPr>
        <w:t>22</w:t>
      </w:r>
      <w:r>
        <w:rPr>
          <w:sz w:val="24"/>
        </w:rPr>
        <w:t>(5), 371-403.</w:t>
      </w:r>
    </w:p>
    <w:p>
      <w:pPr>
        <w:pStyle w:val="BodyText"/>
      </w:pPr>
    </w:p>
    <w:p>
      <w:pPr>
        <w:spacing w:before="0"/>
        <w:ind w:left="1571" w:right="1436" w:hanging="723"/>
        <w:jc w:val="left"/>
        <w:rPr>
          <w:sz w:val="24"/>
        </w:rPr>
      </w:pPr>
      <w:r>
        <w:rPr>
          <w:sz w:val="24"/>
        </w:rPr>
        <w:t>Jones,</w:t>
      </w:r>
      <w:r>
        <w:rPr>
          <w:spacing w:val="80"/>
          <w:sz w:val="24"/>
        </w:rPr>
        <w:t> </w:t>
      </w:r>
      <w:r>
        <w:rPr>
          <w:sz w:val="24"/>
        </w:rPr>
        <w:t>J.</w:t>
      </w:r>
      <w:r>
        <w:rPr>
          <w:spacing w:val="80"/>
          <w:sz w:val="24"/>
        </w:rPr>
        <w:t> </w:t>
      </w:r>
      <w:r>
        <w:rPr>
          <w:sz w:val="24"/>
        </w:rPr>
        <w:t>(1991).</w:t>
      </w:r>
      <w:r>
        <w:rPr>
          <w:spacing w:val="80"/>
          <w:sz w:val="24"/>
        </w:rPr>
        <w:t> </w:t>
      </w:r>
      <w:r>
        <w:rPr>
          <w:sz w:val="24"/>
        </w:rPr>
        <w:t>Earnings</w:t>
      </w:r>
      <w:r>
        <w:rPr>
          <w:spacing w:val="80"/>
          <w:sz w:val="24"/>
        </w:rPr>
        <w:t> </w:t>
      </w:r>
      <w:r>
        <w:rPr>
          <w:sz w:val="24"/>
        </w:rPr>
        <w:t>management</w:t>
      </w:r>
      <w:r>
        <w:rPr>
          <w:spacing w:val="80"/>
          <w:sz w:val="24"/>
        </w:rPr>
        <w:t> </w:t>
      </w:r>
      <w:r>
        <w:rPr>
          <w:sz w:val="24"/>
        </w:rPr>
        <w:t>during</w:t>
      </w:r>
      <w:r>
        <w:rPr>
          <w:spacing w:val="80"/>
          <w:sz w:val="24"/>
        </w:rPr>
        <w:t> </w:t>
      </w:r>
      <w:r>
        <w:rPr>
          <w:sz w:val="24"/>
        </w:rPr>
        <w:t>import</w:t>
      </w:r>
      <w:r>
        <w:rPr>
          <w:spacing w:val="80"/>
          <w:sz w:val="24"/>
        </w:rPr>
        <w:t> </w:t>
      </w:r>
      <w:r>
        <w:rPr>
          <w:sz w:val="24"/>
        </w:rPr>
        <w:t>relief</w:t>
      </w:r>
      <w:r>
        <w:rPr>
          <w:spacing w:val="80"/>
          <w:sz w:val="24"/>
        </w:rPr>
        <w:t> </w:t>
      </w:r>
      <w:r>
        <w:rPr>
          <w:sz w:val="24"/>
        </w:rPr>
        <w:t>investigation.</w:t>
      </w:r>
      <w:r>
        <w:rPr>
          <w:spacing w:val="80"/>
          <w:sz w:val="24"/>
        </w:rPr>
        <w:t> </w:t>
      </w:r>
      <w:r>
        <w:rPr>
          <w:i/>
          <w:sz w:val="24"/>
        </w:rPr>
        <w:t>Journal</w:t>
      </w:r>
      <w:r>
        <w:rPr>
          <w:i/>
          <w:spacing w:val="80"/>
          <w:sz w:val="24"/>
        </w:rPr>
        <w:t> </w:t>
      </w:r>
      <w:r>
        <w:rPr>
          <w:i/>
          <w:sz w:val="24"/>
        </w:rPr>
        <w:t>of Accounting Research, 2</w:t>
      </w:r>
      <w:r>
        <w:rPr>
          <w:sz w:val="24"/>
        </w:rPr>
        <w:t>(2), 193-228.</w:t>
      </w:r>
    </w:p>
    <w:p>
      <w:pPr>
        <w:pStyle w:val="BodyText"/>
      </w:pPr>
    </w:p>
    <w:p>
      <w:pPr>
        <w:spacing w:before="1"/>
        <w:ind w:left="1571" w:right="1436" w:hanging="723"/>
        <w:jc w:val="left"/>
        <w:rPr>
          <w:sz w:val="24"/>
        </w:rPr>
      </w:pPr>
      <w:r>
        <w:rPr>
          <w:sz w:val="24"/>
        </w:rPr>
        <w:t>Jouini,</w:t>
      </w:r>
      <w:r>
        <w:rPr>
          <w:spacing w:val="36"/>
          <w:sz w:val="24"/>
        </w:rPr>
        <w:t> </w:t>
      </w:r>
      <w:r>
        <w:rPr>
          <w:sz w:val="24"/>
        </w:rPr>
        <w:t>F.</w:t>
      </w:r>
      <w:r>
        <w:rPr>
          <w:spacing w:val="35"/>
          <w:sz w:val="24"/>
        </w:rPr>
        <w:t> </w:t>
      </w:r>
      <w:r>
        <w:rPr>
          <w:sz w:val="24"/>
        </w:rPr>
        <w:t>(2013).</w:t>
      </w:r>
      <w:r>
        <w:rPr>
          <w:spacing w:val="35"/>
          <w:sz w:val="24"/>
        </w:rPr>
        <w:t> </w:t>
      </w:r>
      <w:r>
        <w:rPr>
          <w:sz w:val="24"/>
        </w:rPr>
        <w:t>Corporate</w:t>
      </w:r>
      <w:r>
        <w:rPr>
          <w:spacing w:val="35"/>
          <w:sz w:val="24"/>
        </w:rPr>
        <w:t> </w:t>
      </w:r>
      <w:r>
        <w:rPr>
          <w:sz w:val="24"/>
        </w:rPr>
        <w:t>governance</w:t>
      </w:r>
      <w:r>
        <w:rPr>
          <w:spacing w:val="35"/>
          <w:sz w:val="24"/>
        </w:rPr>
        <w:t> </w:t>
      </w:r>
      <w:r>
        <w:rPr>
          <w:sz w:val="24"/>
        </w:rPr>
        <w:t>system</w:t>
      </w:r>
      <w:r>
        <w:rPr>
          <w:spacing w:val="36"/>
          <w:sz w:val="24"/>
        </w:rPr>
        <w:t> </w:t>
      </w:r>
      <w:r>
        <w:rPr>
          <w:sz w:val="24"/>
        </w:rPr>
        <w:t>and</w:t>
      </w:r>
      <w:r>
        <w:rPr>
          <w:spacing w:val="35"/>
          <w:sz w:val="24"/>
        </w:rPr>
        <w:t> </w:t>
      </w:r>
      <w:r>
        <w:rPr>
          <w:sz w:val="24"/>
        </w:rPr>
        <w:t>quality</w:t>
      </w:r>
      <w:r>
        <w:rPr>
          <w:spacing w:val="36"/>
          <w:sz w:val="24"/>
        </w:rPr>
        <w:t> </w:t>
      </w:r>
      <w:r>
        <w:rPr>
          <w:sz w:val="24"/>
        </w:rPr>
        <w:t>of</w:t>
      </w:r>
      <w:r>
        <w:rPr>
          <w:spacing w:val="35"/>
          <w:sz w:val="24"/>
        </w:rPr>
        <w:t> </w:t>
      </w:r>
      <w:r>
        <w:rPr>
          <w:sz w:val="24"/>
        </w:rPr>
        <w:t>information.</w:t>
      </w:r>
      <w:r>
        <w:rPr>
          <w:spacing w:val="40"/>
          <w:sz w:val="24"/>
        </w:rPr>
        <w:t> </w:t>
      </w:r>
      <w:r>
        <w:rPr>
          <w:i/>
          <w:sz w:val="24"/>
        </w:rPr>
        <w:t>Mediterranean Journal of Social Sciences, 4</w:t>
      </w:r>
      <w:r>
        <w:rPr>
          <w:sz w:val="24"/>
        </w:rPr>
        <w:t>(2), 129-142.</w:t>
      </w:r>
    </w:p>
    <w:p>
      <w:pPr>
        <w:pStyle w:val="BodyText"/>
        <w:spacing w:before="276"/>
        <w:ind w:left="1571" w:right="1437" w:hanging="723"/>
        <w:jc w:val="both"/>
      </w:pPr>
      <w:r>
        <w:rPr/>
        <w:t>Kaaya, I.D. (2015). The impact of International Financial Reporting Standards (IFRS) on Earnings Management: A review of empirical evidence. </w:t>
      </w:r>
      <w:r>
        <w:rPr>
          <w:i/>
        </w:rPr>
        <w:t>Journal of Finance and Accounting, 3</w:t>
      </w:r>
      <w:r>
        <w:rPr/>
        <w:t>(3),57-65.</w:t>
      </w:r>
    </w:p>
    <w:p>
      <w:pPr>
        <w:pStyle w:val="BodyText"/>
        <w:spacing w:before="276"/>
        <w:ind w:left="1571" w:right="1437" w:hanging="723"/>
        <w:jc w:val="both"/>
      </w:pPr>
      <w:r>
        <w:rPr/>
        <w:t>Karamanou, I., &amp; Vafeas, N. (2005). The association between corporate boards, audit committees, and management earnings forecasts: An empirical analysis. </w:t>
      </w:r>
      <w:r>
        <w:rPr>
          <w:i/>
        </w:rPr>
        <w:t>Journal of Accounting Research</w:t>
      </w:r>
      <w:r>
        <w:rPr/>
        <w:t>, </w:t>
      </w:r>
      <w:r>
        <w:rPr>
          <w:i/>
        </w:rPr>
        <w:t>43</w:t>
      </w:r>
      <w:r>
        <w:rPr/>
        <w:t>(3), 453- 486.</w:t>
      </w:r>
    </w:p>
    <w:p>
      <w:pPr>
        <w:pStyle w:val="BodyText"/>
      </w:pPr>
    </w:p>
    <w:p>
      <w:pPr>
        <w:spacing w:before="0"/>
        <w:ind w:left="1571" w:right="1435" w:hanging="723"/>
        <w:jc w:val="both"/>
        <w:rPr>
          <w:sz w:val="24"/>
        </w:rPr>
      </w:pPr>
      <w:r>
        <w:rPr>
          <w:sz w:val="24"/>
        </w:rPr>
        <w:t>Kargin, S. (2013). The impact of IFRS on the value relevance of accounting information: Evidence of Turkish firms. </w:t>
      </w:r>
      <w:r>
        <w:rPr>
          <w:i/>
          <w:sz w:val="24"/>
        </w:rPr>
        <w:t>International Journal of Economics and Finance, 5</w:t>
      </w:r>
      <w:r>
        <w:rPr>
          <w:sz w:val="24"/>
        </w:rPr>
        <w:t>(4), 71- </w:t>
      </w:r>
      <w:r>
        <w:rPr>
          <w:spacing w:val="-6"/>
          <w:sz w:val="24"/>
        </w:rPr>
        <w:t>80</w:t>
      </w:r>
    </w:p>
    <w:p>
      <w:pPr>
        <w:pStyle w:val="BodyText"/>
      </w:pPr>
    </w:p>
    <w:p>
      <w:pPr>
        <w:spacing w:before="0"/>
        <w:ind w:left="1571" w:right="1436" w:hanging="723"/>
        <w:jc w:val="left"/>
        <w:rPr>
          <w:sz w:val="24"/>
        </w:rPr>
      </w:pPr>
      <w:r>
        <w:rPr>
          <w:sz w:val="24"/>
        </w:rPr>
        <w:t>Kim,</w:t>
      </w:r>
      <w:r>
        <w:rPr>
          <w:spacing w:val="-15"/>
          <w:sz w:val="24"/>
        </w:rPr>
        <w:t> </w:t>
      </w:r>
      <w:r>
        <w:rPr>
          <w:sz w:val="24"/>
        </w:rPr>
        <w:t>K.</w:t>
      </w:r>
      <w:r>
        <w:rPr>
          <w:spacing w:val="-15"/>
          <w:sz w:val="24"/>
        </w:rPr>
        <w:t> </w:t>
      </w:r>
      <w:r>
        <w:rPr>
          <w:sz w:val="24"/>
        </w:rPr>
        <w:t>T.</w:t>
      </w:r>
      <w:r>
        <w:rPr>
          <w:spacing w:val="-15"/>
          <w:sz w:val="24"/>
        </w:rPr>
        <w:t> </w:t>
      </w:r>
      <w:r>
        <w:rPr>
          <w:sz w:val="24"/>
        </w:rPr>
        <w:t>(2014).</w:t>
      </w:r>
      <w:r>
        <w:rPr>
          <w:spacing w:val="-15"/>
          <w:sz w:val="24"/>
        </w:rPr>
        <w:t> </w:t>
      </w:r>
      <w:r>
        <w:rPr>
          <w:sz w:val="24"/>
        </w:rPr>
        <w:t>The</w:t>
      </w:r>
      <w:r>
        <w:rPr>
          <w:spacing w:val="-15"/>
          <w:sz w:val="24"/>
        </w:rPr>
        <w:t> </w:t>
      </w:r>
      <w:r>
        <w:rPr>
          <w:sz w:val="24"/>
        </w:rPr>
        <w:t>association</w:t>
      </w:r>
      <w:r>
        <w:rPr>
          <w:spacing w:val="-15"/>
          <w:sz w:val="24"/>
        </w:rPr>
        <w:t> </w:t>
      </w:r>
      <w:r>
        <w:rPr>
          <w:sz w:val="24"/>
        </w:rPr>
        <w:t>between</w:t>
      </w:r>
      <w:r>
        <w:rPr>
          <w:spacing w:val="-15"/>
          <w:sz w:val="24"/>
        </w:rPr>
        <w:t> </w:t>
      </w:r>
      <w:r>
        <w:rPr>
          <w:sz w:val="24"/>
        </w:rPr>
        <w:t>IFRS</w:t>
      </w:r>
      <w:r>
        <w:rPr>
          <w:spacing w:val="-15"/>
          <w:sz w:val="24"/>
        </w:rPr>
        <w:t> </w:t>
      </w:r>
      <w:r>
        <w:rPr>
          <w:sz w:val="24"/>
        </w:rPr>
        <w:t>adoption</w:t>
      </w:r>
      <w:r>
        <w:rPr>
          <w:spacing w:val="-15"/>
          <w:sz w:val="24"/>
        </w:rPr>
        <w:t> </w:t>
      </w:r>
      <w:r>
        <w:rPr>
          <w:sz w:val="24"/>
        </w:rPr>
        <w:t>and</w:t>
      </w:r>
      <w:r>
        <w:rPr>
          <w:spacing w:val="-15"/>
          <w:sz w:val="24"/>
        </w:rPr>
        <w:t> </w:t>
      </w:r>
      <w:r>
        <w:rPr>
          <w:sz w:val="24"/>
        </w:rPr>
        <w:t>earnings</w:t>
      </w:r>
      <w:r>
        <w:rPr>
          <w:spacing w:val="-15"/>
          <w:sz w:val="24"/>
        </w:rPr>
        <w:t> </w:t>
      </w:r>
      <w:r>
        <w:rPr>
          <w:sz w:val="24"/>
        </w:rPr>
        <w:t>management:</w:t>
      </w:r>
      <w:r>
        <w:rPr>
          <w:spacing w:val="-15"/>
          <w:sz w:val="24"/>
        </w:rPr>
        <w:t> </w:t>
      </w:r>
      <w:r>
        <w:rPr>
          <w:sz w:val="24"/>
        </w:rPr>
        <w:t>Focusing on external auditor size. </w:t>
      </w:r>
      <w:r>
        <w:rPr>
          <w:i/>
          <w:sz w:val="24"/>
        </w:rPr>
        <w:t>Journal of accounting, taxation and Auditing, 59</w:t>
      </w:r>
      <w:r>
        <w:rPr>
          <w:sz w:val="24"/>
        </w:rPr>
        <w:t>(1), 117-146.</w:t>
      </w:r>
    </w:p>
    <w:p>
      <w:pPr>
        <w:pStyle w:val="BodyText"/>
      </w:pPr>
    </w:p>
    <w:p>
      <w:pPr>
        <w:pStyle w:val="BodyText"/>
        <w:ind w:left="1571" w:right="1436" w:hanging="723"/>
      </w:pPr>
      <w:r>
        <w:rPr/>
        <w:t>Kim,</w:t>
      </w:r>
      <w:r>
        <w:rPr>
          <w:spacing w:val="-1"/>
        </w:rPr>
        <w:t> </w:t>
      </w:r>
      <w:r>
        <w:rPr/>
        <w:t>D.,</w:t>
      </w:r>
      <w:r>
        <w:rPr>
          <w:spacing w:val="-2"/>
        </w:rPr>
        <w:t> </w:t>
      </w:r>
      <w:r>
        <w:rPr/>
        <w:t>&amp;</w:t>
      </w:r>
      <w:r>
        <w:rPr>
          <w:spacing w:val="-1"/>
        </w:rPr>
        <w:t> </w:t>
      </w:r>
      <w:r>
        <w:rPr/>
        <w:t>Qi,</w:t>
      </w:r>
      <w:r>
        <w:rPr>
          <w:spacing w:val="-1"/>
        </w:rPr>
        <w:t> </w:t>
      </w:r>
      <w:r>
        <w:rPr/>
        <w:t>Y.</w:t>
      </w:r>
      <w:r>
        <w:rPr>
          <w:spacing w:val="-2"/>
        </w:rPr>
        <w:t> </w:t>
      </w:r>
      <w:r>
        <w:rPr/>
        <w:t>(2010).</w:t>
      </w:r>
      <w:r>
        <w:rPr>
          <w:spacing w:val="-2"/>
        </w:rPr>
        <w:t> </w:t>
      </w:r>
      <w:r>
        <w:rPr/>
        <w:t>Accruals</w:t>
      </w:r>
      <w:r>
        <w:rPr>
          <w:spacing w:val="-1"/>
        </w:rPr>
        <w:t> </w:t>
      </w:r>
      <w:r>
        <w:rPr/>
        <w:t>quality,</w:t>
      </w:r>
      <w:r>
        <w:rPr>
          <w:spacing w:val="-1"/>
        </w:rPr>
        <w:t> </w:t>
      </w:r>
      <w:r>
        <w:rPr/>
        <w:t>stock</w:t>
      </w:r>
      <w:r>
        <w:rPr>
          <w:spacing w:val="-2"/>
        </w:rPr>
        <w:t> </w:t>
      </w:r>
      <w:r>
        <w:rPr/>
        <w:t>returns,</w:t>
      </w:r>
      <w:r>
        <w:rPr>
          <w:spacing w:val="-1"/>
        </w:rPr>
        <w:t> </w:t>
      </w:r>
      <w:r>
        <w:rPr/>
        <w:t>and</w:t>
      </w:r>
      <w:r>
        <w:rPr>
          <w:spacing w:val="-1"/>
        </w:rPr>
        <w:t> </w:t>
      </w:r>
      <w:r>
        <w:rPr/>
        <w:t>macroeconomic</w:t>
      </w:r>
      <w:r>
        <w:rPr>
          <w:spacing w:val="-2"/>
        </w:rPr>
        <w:t> </w:t>
      </w:r>
      <w:r>
        <w:rPr/>
        <w:t>conditions. </w:t>
      </w:r>
      <w:r>
        <w:rPr>
          <w:i/>
        </w:rPr>
        <w:t>The Accounting Review, 85</w:t>
      </w:r>
      <w:r>
        <w:rPr/>
        <w:t>(3), 937-978.</w:t>
      </w:r>
    </w:p>
    <w:p>
      <w:pPr>
        <w:spacing w:after="0"/>
        <w:sectPr>
          <w:pgSz w:w="11910" w:h="16840"/>
          <w:pgMar w:header="0" w:footer="971" w:top="1360" w:bottom="1160" w:left="500" w:right="0"/>
        </w:sectPr>
      </w:pPr>
    </w:p>
    <w:p>
      <w:pPr>
        <w:spacing w:before="61"/>
        <w:ind w:left="1571" w:right="1442" w:hanging="723"/>
        <w:jc w:val="both"/>
        <w:rPr>
          <w:sz w:val="24"/>
        </w:rPr>
      </w:pPr>
      <w:r>
        <w:rPr>
          <w:sz w:val="24"/>
        </w:rPr>
        <w:t>Klai,</w:t>
      </w:r>
      <w:r>
        <w:rPr>
          <w:spacing w:val="-5"/>
          <w:sz w:val="24"/>
        </w:rPr>
        <w:t> </w:t>
      </w:r>
      <w:r>
        <w:rPr>
          <w:sz w:val="24"/>
        </w:rPr>
        <w:t>N.,</w:t>
      </w:r>
      <w:r>
        <w:rPr>
          <w:spacing w:val="-6"/>
          <w:sz w:val="24"/>
        </w:rPr>
        <w:t> </w:t>
      </w:r>
      <w:r>
        <w:rPr>
          <w:sz w:val="24"/>
        </w:rPr>
        <w:t>&amp;</w:t>
      </w:r>
      <w:r>
        <w:rPr>
          <w:spacing w:val="-5"/>
          <w:sz w:val="24"/>
        </w:rPr>
        <w:t> </w:t>
      </w:r>
      <w:r>
        <w:rPr>
          <w:sz w:val="24"/>
        </w:rPr>
        <w:t>Omri,</w:t>
      </w:r>
      <w:r>
        <w:rPr>
          <w:spacing w:val="-6"/>
          <w:sz w:val="24"/>
        </w:rPr>
        <w:t> </w:t>
      </w:r>
      <w:r>
        <w:rPr>
          <w:sz w:val="24"/>
        </w:rPr>
        <w:t>A.</w:t>
      </w:r>
      <w:r>
        <w:rPr>
          <w:spacing w:val="-3"/>
          <w:sz w:val="24"/>
        </w:rPr>
        <w:t> </w:t>
      </w:r>
      <w:r>
        <w:rPr>
          <w:sz w:val="24"/>
        </w:rPr>
        <w:t>(2011).</w:t>
      </w:r>
      <w:r>
        <w:rPr>
          <w:spacing w:val="-7"/>
          <w:sz w:val="24"/>
        </w:rPr>
        <w:t> </w:t>
      </w:r>
      <w:r>
        <w:rPr>
          <w:sz w:val="24"/>
        </w:rPr>
        <w:t>Corporate</w:t>
      </w:r>
      <w:r>
        <w:rPr>
          <w:spacing w:val="-4"/>
          <w:sz w:val="24"/>
        </w:rPr>
        <w:t> </w:t>
      </w:r>
      <w:r>
        <w:rPr>
          <w:sz w:val="24"/>
        </w:rPr>
        <w:t>governance</w:t>
      </w:r>
      <w:r>
        <w:rPr>
          <w:spacing w:val="-7"/>
          <w:sz w:val="24"/>
        </w:rPr>
        <w:t> </w:t>
      </w:r>
      <w:r>
        <w:rPr>
          <w:sz w:val="24"/>
        </w:rPr>
        <w:t>and</w:t>
      </w:r>
      <w:r>
        <w:rPr>
          <w:spacing w:val="-6"/>
          <w:sz w:val="24"/>
        </w:rPr>
        <w:t> </w:t>
      </w:r>
      <w:r>
        <w:rPr>
          <w:sz w:val="24"/>
        </w:rPr>
        <w:t>financial</w:t>
      </w:r>
      <w:r>
        <w:rPr>
          <w:spacing w:val="-6"/>
          <w:sz w:val="24"/>
        </w:rPr>
        <w:t> </w:t>
      </w:r>
      <w:r>
        <w:rPr>
          <w:sz w:val="24"/>
        </w:rPr>
        <w:t>reporting</w:t>
      </w:r>
      <w:r>
        <w:rPr>
          <w:spacing w:val="-3"/>
          <w:sz w:val="24"/>
        </w:rPr>
        <w:t> </w:t>
      </w:r>
      <w:r>
        <w:rPr>
          <w:sz w:val="24"/>
        </w:rPr>
        <w:t>quality:</w:t>
      </w:r>
      <w:r>
        <w:rPr>
          <w:spacing w:val="-5"/>
          <w:sz w:val="24"/>
        </w:rPr>
        <w:t> </w:t>
      </w:r>
      <w:r>
        <w:rPr>
          <w:sz w:val="24"/>
        </w:rPr>
        <w:t>The</w:t>
      </w:r>
      <w:r>
        <w:rPr>
          <w:spacing w:val="-7"/>
          <w:sz w:val="24"/>
        </w:rPr>
        <w:t> </w:t>
      </w:r>
      <w:r>
        <w:rPr>
          <w:sz w:val="24"/>
        </w:rPr>
        <w:t>case</w:t>
      </w:r>
      <w:r>
        <w:rPr>
          <w:spacing w:val="-4"/>
          <w:sz w:val="24"/>
        </w:rPr>
        <w:t> </w:t>
      </w:r>
      <w:r>
        <w:rPr>
          <w:sz w:val="24"/>
        </w:rPr>
        <w:t>of Tunisian firms. </w:t>
      </w:r>
      <w:r>
        <w:rPr>
          <w:i/>
          <w:sz w:val="24"/>
        </w:rPr>
        <w:t>International Business Research, 4</w:t>
      </w:r>
      <w:r>
        <w:rPr>
          <w:sz w:val="24"/>
        </w:rPr>
        <w:t>(1), 158-166.</w:t>
      </w:r>
    </w:p>
    <w:p>
      <w:pPr>
        <w:pStyle w:val="BodyText"/>
      </w:pPr>
    </w:p>
    <w:p>
      <w:pPr>
        <w:pStyle w:val="BodyText"/>
        <w:ind w:left="849"/>
      </w:pPr>
      <w:r>
        <w:rPr/>
        <w:t>Klein,</w:t>
      </w:r>
      <w:r>
        <w:rPr>
          <w:spacing w:val="-3"/>
        </w:rPr>
        <w:t> </w:t>
      </w:r>
      <w:r>
        <w:rPr/>
        <w:t>A.</w:t>
      </w:r>
      <w:r>
        <w:rPr>
          <w:spacing w:val="-1"/>
        </w:rPr>
        <w:t> </w:t>
      </w:r>
      <w:r>
        <w:rPr/>
        <w:t>(2002).</w:t>
      </w:r>
      <w:r>
        <w:rPr>
          <w:spacing w:val="-1"/>
        </w:rPr>
        <w:t> </w:t>
      </w:r>
      <w:r>
        <w:rPr/>
        <w:t>Audit</w:t>
      </w:r>
      <w:r>
        <w:rPr>
          <w:spacing w:val="-1"/>
        </w:rPr>
        <w:t> </w:t>
      </w:r>
      <w:r>
        <w:rPr/>
        <w:t>committee,</w:t>
      </w:r>
      <w:r>
        <w:rPr>
          <w:spacing w:val="-1"/>
        </w:rPr>
        <w:t> </w:t>
      </w:r>
      <w:r>
        <w:rPr/>
        <w:t>board</w:t>
      </w:r>
      <w:r>
        <w:rPr>
          <w:spacing w:val="-1"/>
        </w:rPr>
        <w:t> </w:t>
      </w:r>
      <w:r>
        <w:rPr/>
        <w:t>of</w:t>
      </w:r>
      <w:r>
        <w:rPr>
          <w:spacing w:val="-3"/>
        </w:rPr>
        <w:t> </w:t>
      </w:r>
      <w:r>
        <w:rPr/>
        <w:t>director</w:t>
      </w:r>
      <w:r>
        <w:rPr>
          <w:spacing w:val="-1"/>
        </w:rPr>
        <w:t> </w:t>
      </w:r>
      <w:r>
        <w:rPr/>
        <w:t>characteristics</w:t>
      </w:r>
      <w:r>
        <w:rPr>
          <w:spacing w:val="-1"/>
        </w:rPr>
        <w:t> </w:t>
      </w:r>
      <w:r>
        <w:rPr/>
        <w:t>and</w:t>
      </w:r>
      <w:r>
        <w:rPr>
          <w:spacing w:val="-1"/>
        </w:rPr>
        <w:t> </w:t>
      </w:r>
      <w:r>
        <w:rPr/>
        <w:t>earnings </w:t>
      </w:r>
      <w:r>
        <w:rPr>
          <w:spacing w:val="-2"/>
        </w:rPr>
        <w:t>management.</w:t>
      </w:r>
    </w:p>
    <w:p>
      <w:pPr>
        <w:spacing w:before="0"/>
        <w:ind w:left="1571" w:right="0" w:firstLine="0"/>
        <w:jc w:val="left"/>
        <w:rPr>
          <w:sz w:val="24"/>
        </w:rPr>
      </w:pPr>
      <w:r>
        <w:rPr>
          <w:i/>
          <w:sz w:val="24"/>
        </w:rPr>
        <w:t>Journal</w:t>
      </w:r>
      <w:r>
        <w:rPr>
          <w:i/>
          <w:spacing w:val="-1"/>
          <w:sz w:val="24"/>
        </w:rPr>
        <w:t> </w:t>
      </w:r>
      <w:r>
        <w:rPr>
          <w:i/>
          <w:sz w:val="24"/>
        </w:rPr>
        <w:t>of</w:t>
      </w:r>
      <w:r>
        <w:rPr>
          <w:i/>
          <w:spacing w:val="-1"/>
          <w:sz w:val="24"/>
        </w:rPr>
        <w:t> </w:t>
      </w:r>
      <w:r>
        <w:rPr>
          <w:i/>
          <w:sz w:val="24"/>
        </w:rPr>
        <w:t>Accounting and</w:t>
      </w:r>
      <w:r>
        <w:rPr>
          <w:i/>
          <w:spacing w:val="-1"/>
          <w:sz w:val="24"/>
        </w:rPr>
        <w:t> </w:t>
      </w:r>
      <w:r>
        <w:rPr>
          <w:i/>
          <w:sz w:val="24"/>
        </w:rPr>
        <w:t>Economics</w:t>
      </w:r>
      <w:r>
        <w:rPr>
          <w:sz w:val="24"/>
        </w:rPr>
        <w:t>,</w:t>
      </w:r>
      <w:r>
        <w:rPr>
          <w:spacing w:val="-1"/>
          <w:sz w:val="24"/>
        </w:rPr>
        <w:t> </w:t>
      </w:r>
      <w:r>
        <w:rPr>
          <w:i/>
          <w:sz w:val="24"/>
        </w:rPr>
        <w:t>33</w:t>
      </w:r>
      <w:r>
        <w:rPr>
          <w:sz w:val="24"/>
        </w:rPr>
        <w:t>(3), 375-</w:t>
      </w:r>
      <w:r>
        <w:rPr>
          <w:spacing w:val="-4"/>
          <w:sz w:val="24"/>
        </w:rPr>
        <w:t>400.</w:t>
      </w:r>
    </w:p>
    <w:p>
      <w:pPr>
        <w:pStyle w:val="BodyText"/>
      </w:pPr>
    </w:p>
    <w:p>
      <w:pPr>
        <w:pStyle w:val="BodyText"/>
        <w:ind w:left="849"/>
      </w:pPr>
      <w:r>
        <w:rPr/>
        <w:t>Kormendi,</w:t>
      </w:r>
      <w:r>
        <w:rPr>
          <w:spacing w:val="1"/>
        </w:rPr>
        <w:t> </w:t>
      </w:r>
      <w:r>
        <w:rPr/>
        <w:t>R.,</w:t>
      </w:r>
      <w:r>
        <w:rPr>
          <w:spacing w:val="3"/>
        </w:rPr>
        <w:t> </w:t>
      </w:r>
      <w:r>
        <w:rPr/>
        <w:t>&amp;Lipe,</w:t>
      </w:r>
      <w:r>
        <w:rPr>
          <w:spacing w:val="3"/>
        </w:rPr>
        <w:t> </w:t>
      </w:r>
      <w:r>
        <w:rPr/>
        <w:t>R.</w:t>
      </w:r>
      <w:r>
        <w:rPr>
          <w:spacing w:val="1"/>
        </w:rPr>
        <w:t> </w:t>
      </w:r>
      <w:r>
        <w:rPr/>
        <w:t>(1987).</w:t>
      </w:r>
      <w:r>
        <w:rPr>
          <w:spacing w:val="2"/>
        </w:rPr>
        <w:t> </w:t>
      </w:r>
      <w:r>
        <w:rPr/>
        <w:t>Earnings</w:t>
      </w:r>
      <w:r>
        <w:rPr>
          <w:spacing w:val="3"/>
        </w:rPr>
        <w:t> </w:t>
      </w:r>
      <w:r>
        <w:rPr/>
        <w:t>innovations,</w:t>
      </w:r>
      <w:r>
        <w:rPr>
          <w:spacing w:val="4"/>
        </w:rPr>
        <w:t> </w:t>
      </w:r>
      <w:r>
        <w:rPr/>
        <w:t>earnings</w:t>
      </w:r>
      <w:r>
        <w:rPr>
          <w:spacing w:val="3"/>
        </w:rPr>
        <w:t> </w:t>
      </w:r>
      <w:r>
        <w:rPr/>
        <w:t>persistence</w:t>
      </w:r>
      <w:r>
        <w:rPr>
          <w:spacing w:val="2"/>
        </w:rPr>
        <w:t> </w:t>
      </w:r>
      <w:r>
        <w:rPr/>
        <w:t>and</w:t>
      </w:r>
      <w:r>
        <w:rPr>
          <w:spacing w:val="3"/>
        </w:rPr>
        <w:t> </w:t>
      </w:r>
      <w:r>
        <w:rPr/>
        <w:t>stock</w:t>
      </w:r>
      <w:r>
        <w:rPr>
          <w:spacing w:val="4"/>
        </w:rPr>
        <w:t> </w:t>
      </w:r>
      <w:r>
        <w:rPr>
          <w:spacing w:val="-2"/>
        </w:rPr>
        <w:t>returns.</w:t>
      </w:r>
    </w:p>
    <w:p>
      <w:pPr>
        <w:spacing w:before="0"/>
        <w:ind w:left="1571" w:right="0" w:firstLine="0"/>
        <w:jc w:val="left"/>
        <w:rPr>
          <w:sz w:val="24"/>
        </w:rPr>
      </w:pPr>
      <w:r>
        <w:rPr>
          <w:i/>
          <w:sz w:val="24"/>
        </w:rPr>
        <w:t>The</w:t>
      </w:r>
      <w:r>
        <w:rPr>
          <w:i/>
          <w:spacing w:val="-2"/>
          <w:sz w:val="24"/>
        </w:rPr>
        <w:t> </w:t>
      </w:r>
      <w:r>
        <w:rPr>
          <w:i/>
          <w:sz w:val="24"/>
        </w:rPr>
        <w:t>Journal</w:t>
      </w:r>
      <w:r>
        <w:rPr>
          <w:i/>
          <w:spacing w:val="-1"/>
          <w:sz w:val="24"/>
        </w:rPr>
        <w:t> </w:t>
      </w:r>
      <w:r>
        <w:rPr>
          <w:i/>
          <w:sz w:val="24"/>
        </w:rPr>
        <w:t>of</w:t>
      </w:r>
      <w:r>
        <w:rPr>
          <w:i/>
          <w:spacing w:val="-1"/>
          <w:sz w:val="24"/>
        </w:rPr>
        <w:t> </w:t>
      </w:r>
      <w:r>
        <w:rPr>
          <w:i/>
          <w:sz w:val="24"/>
        </w:rPr>
        <w:t>Business,</w:t>
      </w:r>
      <w:r>
        <w:rPr>
          <w:i/>
          <w:spacing w:val="-1"/>
          <w:sz w:val="24"/>
        </w:rPr>
        <w:t> </w:t>
      </w:r>
      <w:r>
        <w:rPr>
          <w:i/>
          <w:sz w:val="24"/>
        </w:rPr>
        <w:t>60</w:t>
      </w:r>
      <w:r>
        <w:rPr>
          <w:sz w:val="24"/>
        </w:rPr>
        <w:t>(9), 323-</w:t>
      </w:r>
      <w:r>
        <w:rPr>
          <w:spacing w:val="-5"/>
          <w:sz w:val="24"/>
        </w:rPr>
        <w:t>345</w:t>
      </w:r>
    </w:p>
    <w:p>
      <w:pPr>
        <w:pStyle w:val="BodyText"/>
      </w:pPr>
    </w:p>
    <w:p>
      <w:pPr>
        <w:spacing w:before="0"/>
        <w:ind w:left="1571" w:right="1437" w:hanging="723"/>
        <w:jc w:val="both"/>
        <w:rPr>
          <w:sz w:val="24"/>
        </w:rPr>
      </w:pPr>
      <w:r>
        <w:rPr/>
        <w:drawing>
          <wp:anchor distT="0" distB="0" distL="0" distR="0" allowOverlap="1" layoutInCell="1" locked="0" behindDoc="1" simplePos="0" relativeHeight="477773824">
            <wp:simplePos x="0" y="0"/>
            <wp:positionH relativeFrom="page">
              <wp:posOffset>1095451</wp:posOffset>
            </wp:positionH>
            <wp:positionV relativeFrom="paragraph">
              <wp:posOffset>234829</wp:posOffset>
            </wp:positionV>
            <wp:extent cx="5106847" cy="5238115"/>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21" cstate="print"/>
                    <a:stretch>
                      <a:fillRect/>
                    </a:stretch>
                  </pic:blipFill>
                  <pic:spPr>
                    <a:xfrm>
                      <a:off x="0" y="0"/>
                      <a:ext cx="5106847" cy="5238115"/>
                    </a:xfrm>
                    <a:prstGeom prst="rect">
                      <a:avLst/>
                    </a:prstGeom>
                  </pic:spPr>
                </pic:pic>
              </a:graphicData>
            </a:graphic>
          </wp:anchor>
        </w:drawing>
      </w:r>
      <w:r>
        <w:rPr>
          <w:sz w:val="24"/>
        </w:rPr>
        <w:t>Kothari,</w:t>
      </w:r>
      <w:r>
        <w:rPr>
          <w:spacing w:val="-13"/>
          <w:sz w:val="24"/>
        </w:rPr>
        <w:t> </w:t>
      </w:r>
      <w:r>
        <w:rPr>
          <w:sz w:val="24"/>
        </w:rPr>
        <w:t>S.</w:t>
      </w:r>
      <w:r>
        <w:rPr>
          <w:spacing w:val="-13"/>
          <w:sz w:val="24"/>
        </w:rPr>
        <w:t> </w:t>
      </w:r>
      <w:r>
        <w:rPr>
          <w:sz w:val="24"/>
        </w:rPr>
        <w:t>P.,</w:t>
      </w:r>
      <w:r>
        <w:rPr>
          <w:spacing w:val="-13"/>
          <w:sz w:val="24"/>
        </w:rPr>
        <w:t> </w:t>
      </w:r>
      <w:r>
        <w:rPr>
          <w:sz w:val="24"/>
        </w:rPr>
        <w:t>Leone,</w:t>
      </w:r>
      <w:r>
        <w:rPr>
          <w:spacing w:val="-13"/>
          <w:sz w:val="24"/>
        </w:rPr>
        <w:t> </w:t>
      </w:r>
      <w:r>
        <w:rPr>
          <w:sz w:val="24"/>
        </w:rPr>
        <w:t>A.</w:t>
      </w:r>
      <w:r>
        <w:rPr>
          <w:spacing w:val="-15"/>
          <w:sz w:val="24"/>
        </w:rPr>
        <w:t> </w:t>
      </w:r>
      <w:r>
        <w:rPr>
          <w:sz w:val="24"/>
        </w:rPr>
        <w:t>J.,</w:t>
      </w:r>
      <w:r>
        <w:rPr>
          <w:spacing w:val="-13"/>
          <w:sz w:val="24"/>
        </w:rPr>
        <w:t> </w:t>
      </w:r>
      <w:r>
        <w:rPr>
          <w:sz w:val="24"/>
        </w:rPr>
        <w:t>&amp;</w:t>
      </w:r>
      <w:r>
        <w:rPr>
          <w:spacing w:val="-13"/>
          <w:sz w:val="24"/>
        </w:rPr>
        <w:t> </w:t>
      </w:r>
      <w:r>
        <w:rPr>
          <w:sz w:val="24"/>
        </w:rPr>
        <w:t>Wasley,</w:t>
      </w:r>
      <w:r>
        <w:rPr>
          <w:spacing w:val="-13"/>
          <w:sz w:val="24"/>
        </w:rPr>
        <w:t> </w:t>
      </w:r>
      <w:r>
        <w:rPr>
          <w:sz w:val="24"/>
        </w:rPr>
        <w:t>C.</w:t>
      </w:r>
      <w:r>
        <w:rPr>
          <w:spacing w:val="-13"/>
          <w:sz w:val="24"/>
        </w:rPr>
        <w:t> </w:t>
      </w:r>
      <w:r>
        <w:rPr>
          <w:sz w:val="24"/>
        </w:rPr>
        <w:t>E.</w:t>
      </w:r>
      <w:r>
        <w:rPr>
          <w:spacing w:val="-15"/>
          <w:sz w:val="24"/>
        </w:rPr>
        <w:t> </w:t>
      </w:r>
      <w:r>
        <w:rPr>
          <w:sz w:val="24"/>
        </w:rPr>
        <w:t>(2005).</w:t>
      </w:r>
      <w:r>
        <w:rPr>
          <w:spacing w:val="-14"/>
          <w:sz w:val="24"/>
        </w:rPr>
        <w:t> </w:t>
      </w:r>
      <w:r>
        <w:rPr>
          <w:sz w:val="24"/>
        </w:rPr>
        <w:t>Performance</w:t>
      </w:r>
      <w:r>
        <w:rPr>
          <w:spacing w:val="-14"/>
          <w:sz w:val="24"/>
        </w:rPr>
        <w:t> </w:t>
      </w:r>
      <w:r>
        <w:rPr>
          <w:sz w:val="24"/>
        </w:rPr>
        <w:t>matched</w:t>
      </w:r>
      <w:r>
        <w:rPr>
          <w:spacing w:val="-13"/>
          <w:sz w:val="24"/>
        </w:rPr>
        <w:t> </w:t>
      </w:r>
      <w:r>
        <w:rPr>
          <w:sz w:val="24"/>
        </w:rPr>
        <w:t>discretionary</w:t>
      </w:r>
      <w:r>
        <w:rPr>
          <w:spacing w:val="-14"/>
          <w:sz w:val="24"/>
        </w:rPr>
        <w:t> </w:t>
      </w:r>
      <w:r>
        <w:rPr>
          <w:sz w:val="24"/>
        </w:rPr>
        <w:t>accrual measures. </w:t>
      </w:r>
      <w:r>
        <w:rPr>
          <w:i/>
          <w:sz w:val="24"/>
        </w:rPr>
        <w:t>Journal of accounting and economics, 39</w:t>
      </w:r>
      <w:r>
        <w:rPr>
          <w:sz w:val="24"/>
        </w:rPr>
        <w:t>(1), 163-197.</w:t>
      </w:r>
    </w:p>
    <w:p>
      <w:pPr>
        <w:pStyle w:val="BodyText"/>
        <w:spacing w:before="269"/>
        <w:ind w:left="1571" w:right="1442" w:hanging="723"/>
        <w:jc w:val="both"/>
      </w:pPr>
      <w:hyperlink r:id="rId22">
        <w:r>
          <w:rPr/>
          <w:t>Kythreotis,</w:t>
        </w:r>
      </w:hyperlink>
      <w:r>
        <w:rPr>
          <w:spacing w:val="-9"/>
        </w:rPr>
        <w:t> </w:t>
      </w:r>
      <w:r>
        <w:rPr/>
        <w:t>A.</w:t>
      </w:r>
      <w:r>
        <w:rPr>
          <w:spacing w:val="-10"/>
        </w:rPr>
        <w:t> </w:t>
      </w:r>
      <w:r>
        <w:rPr/>
        <w:t>(2014).</w:t>
      </w:r>
      <w:r>
        <w:rPr>
          <w:spacing w:val="-10"/>
        </w:rPr>
        <w:t> </w:t>
      </w:r>
      <w:r>
        <w:rPr/>
        <w:t>Measurement</w:t>
      </w:r>
      <w:r>
        <w:rPr>
          <w:spacing w:val="-9"/>
        </w:rPr>
        <w:t> </w:t>
      </w:r>
      <w:r>
        <w:rPr/>
        <w:t>of</w:t>
      </w:r>
      <w:r>
        <w:rPr>
          <w:spacing w:val="-10"/>
        </w:rPr>
        <w:t> </w:t>
      </w:r>
      <w:r>
        <w:rPr/>
        <w:t>Financial</w:t>
      </w:r>
      <w:r>
        <w:rPr>
          <w:spacing w:val="-9"/>
        </w:rPr>
        <w:t> </w:t>
      </w:r>
      <w:r>
        <w:rPr/>
        <w:t>Reporting</w:t>
      </w:r>
      <w:r>
        <w:rPr>
          <w:spacing w:val="-9"/>
        </w:rPr>
        <w:t> </w:t>
      </w:r>
      <w:r>
        <w:rPr/>
        <w:t>Quality</w:t>
      </w:r>
      <w:r>
        <w:rPr>
          <w:spacing w:val="-9"/>
        </w:rPr>
        <w:t> </w:t>
      </w:r>
      <w:r>
        <w:rPr/>
        <w:t>Based</w:t>
      </w:r>
      <w:r>
        <w:rPr>
          <w:spacing w:val="-9"/>
        </w:rPr>
        <w:t> </w:t>
      </w:r>
      <w:r>
        <w:rPr/>
        <w:t>on</w:t>
      </w:r>
      <w:r>
        <w:rPr>
          <w:spacing w:val="-9"/>
        </w:rPr>
        <w:t> </w:t>
      </w:r>
      <w:r>
        <w:rPr/>
        <w:t>IFRS</w:t>
      </w:r>
      <w:r>
        <w:rPr>
          <w:spacing w:val="-9"/>
        </w:rPr>
        <w:t> </w:t>
      </w:r>
      <w:r>
        <w:rPr/>
        <w:t>Conceptual Framework's</w:t>
      </w:r>
      <w:r>
        <w:rPr>
          <w:spacing w:val="-13"/>
        </w:rPr>
        <w:t> </w:t>
      </w:r>
      <w:r>
        <w:rPr/>
        <w:t>Fundamental</w:t>
      </w:r>
      <w:r>
        <w:rPr>
          <w:spacing w:val="-15"/>
        </w:rPr>
        <w:t> </w:t>
      </w:r>
      <w:r>
        <w:rPr/>
        <w:t>Qualitative</w:t>
      </w:r>
      <w:r>
        <w:rPr>
          <w:spacing w:val="-15"/>
        </w:rPr>
        <w:t> </w:t>
      </w:r>
      <w:r>
        <w:rPr/>
        <w:t>Characteristics:</w:t>
      </w:r>
      <w:r>
        <w:rPr>
          <w:spacing w:val="-14"/>
        </w:rPr>
        <w:t> </w:t>
      </w:r>
      <w:r>
        <w:rPr/>
        <w:t>An</w:t>
      </w:r>
      <w:r>
        <w:rPr>
          <w:spacing w:val="-15"/>
        </w:rPr>
        <w:t> </w:t>
      </w:r>
      <w:r>
        <w:rPr/>
        <w:t>Empirical</w:t>
      </w:r>
      <w:r>
        <w:rPr>
          <w:spacing w:val="-12"/>
        </w:rPr>
        <w:t> </w:t>
      </w:r>
      <w:r>
        <w:rPr/>
        <w:t>Investigation</w:t>
      </w:r>
      <w:r>
        <w:rPr>
          <w:spacing w:val="-15"/>
        </w:rPr>
        <w:t> </w:t>
      </w:r>
      <w:r>
        <w:rPr/>
        <w:t>of</w:t>
      </w:r>
      <w:r>
        <w:rPr>
          <w:spacing w:val="-15"/>
        </w:rPr>
        <w:t> </w:t>
      </w:r>
      <w:r>
        <w:rPr/>
        <w:t>15 European Countries. Retrieved from </w:t>
      </w:r>
      <w:hyperlink r:id="rId15">
        <w:r>
          <w:rPr/>
          <w:t>www.ssrn.com</w:t>
        </w:r>
      </w:hyperlink>
    </w:p>
    <w:p>
      <w:pPr>
        <w:pStyle w:val="BodyText"/>
      </w:pPr>
    </w:p>
    <w:p>
      <w:pPr>
        <w:spacing w:before="1"/>
        <w:ind w:left="1571" w:right="1438" w:hanging="723"/>
        <w:jc w:val="both"/>
        <w:rPr>
          <w:sz w:val="24"/>
        </w:rPr>
      </w:pPr>
      <w:r>
        <w:rPr>
          <w:sz w:val="24"/>
        </w:rPr>
        <w:t>Kothari, S. P. (2001). Capital markets research in accounting. </w:t>
      </w:r>
      <w:r>
        <w:rPr>
          <w:i/>
          <w:sz w:val="24"/>
        </w:rPr>
        <w:t>Journal of Accounting and Economics, 31</w:t>
      </w:r>
      <w:r>
        <w:rPr>
          <w:sz w:val="24"/>
        </w:rPr>
        <w:t>(2), 105-231</w:t>
      </w:r>
    </w:p>
    <w:p>
      <w:pPr>
        <w:spacing w:before="276"/>
        <w:ind w:left="1571" w:right="1438" w:hanging="723"/>
        <w:jc w:val="both"/>
        <w:rPr>
          <w:sz w:val="24"/>
        </w:rPr>
      </w:pPr>
      <w:r>
        <w:rPr>
          <w:sz w:val="24"/>
        </w:rPr>
        <w:t>Kothari, S.P., Ramanna, K., &amp; Skinner, D.J. (2010). Implications for gap from an analysis of positive</w:t>
      </w:r>
      <w:r>
        <w:rPr>
          <w:spacing w:val="-3"/>
          <w:sz w:val="24"/>
        </w:rPr>
        <w:t> </w:t>
      </w:r>
      <w:r>
        <w:rPr>
          <w:sz w:val="24"/>
        </w:rPr>
        <w:t>research</w:t>
      </w:r>
      <w:r>
        <w:rPr>
          <w:spacing w:val="-1"/>
          <w:sz w:val="24"/>
        </w:rPr>
        <w:t> </w:t>
      </w:r>
      <w:r>
        <w:rPr>
          <w:sz w:val="24"/>
        </w:rPr>
        <w:t>in</w:t>
      </w:r>
      <w:r>
        <w:rPr>
          <w:spacing w:val="-1"/>
          <w:sz w:val="24"/>
        </w:rPr>
        <w:t> </w:t>
      </w:r>
      <w:r>
        <w:rPr>
          <w:sz w:val="24"/>
        </w:rPr>
        <w:t>accounting.</w:t>
      </w:r>
      <w:r>
        <w:rPr>
          <w:spacing w:val="1"/>
          <w:sz w:val="24"/>
        </w:rPr>
        <w:t> </w:t>
      </w:r>
      <w:r>
        <w:rPr>
          <w:i/>
          <w:sz w:val="24"/>
        </w:rPr>
        <w:t>Journal</w:t>
      </w:r>
      <w:r>
        <w:rPr>
          <w:i/>
          <w:spacing w:val="-1"/>
          <w:sz w:val="24"/>
        </w:rPr>
        <w:t> </w:t>
      </w:r>
      <w:r>
        <w:rPr>
          <w:i/>
          <w:sz w:val="24"/>
        </w:rPr>
        <w:t>of</w:t>
      </w:r>
      <w:r>
        <w:rPr>
          <w:i/>
          <w:spacing w:val="-2"/>
          <w:sz w:val="24"/>
        </w:rPr>
        <w:t> </w:t>
      </w:r>
      <w:r>
        <w:rPr>
          <w:i/>
          <w:sz w:val="24"/>
        </w:rPr>
        <w:t>Accounting</w:t>
      </w:r>
      <w:r>
        <w:rPr>
          <w:i/>
          <w:spacing w:val="-1"/>
          <w:sz w:val="24"/>
        </w:rPr>
        <w:t> </w:t>
      </w:r>
      <w:r>
        <w:rPr>
          <w:i/>
          <w:sz w:val="24"/>
        </w:rPr>
        <w:t>and</w:t>
      </w:r>
      <w:r>
        <w:rPr>
          <w:i/>
          <w:spacing w:val="-1"/>
          <w:sz w:val="24"/>
        </w:rPr>
        <w:t> </w:t>
      </w:r>
      <w:r>
        <w:rPr>
          <w:i/>
          <w:sz w:val="24"/>
        </w:rPr>
        <w:t>Economics,</w:t>
      </w:r>
      <w:r>
        <w:rPr>
          <w:i/>
          <w:spacing w:val="-1"/>
          <w:sz w:val="24"/>
        </w:rPr>
        <w:t> </w:t>
      </w:r>
      <w:r>
        <w:rPr>
          <w:i/>
          <w:sz w:val="24"/>
        </w:rPr>
        <w:t>50</w:t>
      </w:r>
      <w:r>
        <w:rPr>
          <w:sz w:val="24"/>
        </w:rPr>
        <w:t>(4),</w:t>
      </w:r>
      <w:r>
        <w:rPr>
          <w:spacing w:val="-1"/>
          <w:sz w:val="24"/>
        </w:rPr>
        <w:t> </w:t>
      </w:r>
      <w:r>
        <w:rPr>
          <w:sz w:val="24"/>
        </w:rPr>
        <w:t>246-</w:t>
      </w:r>
      <w:r>
        <w:rPr>
          <w:spacing w:val="-4"/>
          <w:sz w:val="24"/>
        </w:rPr>
        <w:t>286.</w:t>
      </w:r>
    </w:p>
    <w:p>
      <w:pPr>
        <w:pStyle w:val="BodyText"/>
      </w:pPr>
    </w:p>
    <w:p>
      <w:pPr>
        <w:spacing w:before="0"/>
        <w:ind w:left="1571" w:right="1437" w:hanging="723"/>
        <w:jc w:val="both"/>
        <w:rPr>
          <w:sz w:val="24"/>
        </w:rPr>
      </w:pPr>
      <w:r>
        <w:rPr>
          <w:sz w:val="24"/>
        </w:rPr>
        <w:t>Kuan,</w:t>
      </w:r>
      <w:r>
        <w:rPr>
          <w:spacing w:val="-12"/>
          <w:sz w:val="24"/>
        </w:rPr>
        <w:t> </w:t>
      </w:r>
      <w:r>
        <w:rPr>
          <w:sz w:val="24"/>
        </w:rPr>
        <w:t>T.-H.,</w:t>
      </w:r>
      <w:r>
        <w:rPr>
          <w:spacing w:val="-13"/>
          <w:sz w:val="24"/>
        </w:rPr>
        <w:t> </w:t>
      </w:r>
      <w:r>
        <w:rPr>
          <w:sz w:val="24"/>
        </w:rPr>
        <w:t>Li,</w:t>
      </w:r>
      <w:r>
        <w:rPr>
          <w:spacing w:val="-12"/>
          <w:sz w:val="24"/>
        </w:rPr>
        <w:t> </w:t>
      </w:r>
      <w:r>
        <w:rPr>
          <w:sz w:val="24"/>
        </w:rPr>
        <w:t>C.-S.,</w:t>
      </w:r>
      <w:r>
        <w:rPr>
          <w:spacing w:val="-12"/>
          <w:sz w:val="24"/>
        </w:rPr>
        <w:t> </w:t>
      </w:r>
      <w:r>
        <w:rPr>
          <w:sz w:val="24"/>
        </w:rPr>
        <w:t>&amp;</w:t>
      </w:r>
      <w:r>
        <w:rPr>
          <w:spacing w:val="-9"/>
          <w:sz w:val="24"/>
        </w:rPr>
        <w:t> </w:t>
      </w:r>
      <w:r>
        <w:rPr>
          <w:sz w:val="24"/>
        </w:rPr>
        <w:t>Chu,</w:t>
      </w:r>
      <w:r>
        <w:rPr>
          <w:spacing w:val="-12"/>
          <w:sz w:val="24"/>
        </w:rPr>
        <w:t> </w:t>
      </w:r>
      <w:r>
        <w:rPr>
          <w:sz w:val="24"/>
        </w:rPr>
        <w:t>S.-H.</w:t>
      </w:r>
      <w:r>
        <w:rPr>
          <w:spacing w:val="-13"/>
          <w:sz w:val="24"/>
        </w:rPr>
        <w:t> </w:t>
      </w:r>
      <w:r>
        <w:rPr>
          <w:sz w:val="24"/>
        </w:rPr>
        <w:t>(2011).</w:t>
      </w:r>
      <w:r>
        <w:rPr>
          <w:spacing w:val="-11"/>
          <w:sz w:val="24"/>
        </w:rPr>
        <w:t> </w:t>
      </w:r>
      <w:r>
        <w:rPr>
          <w:sz w:val="24"/>
        </w:rPr>
        <w:t>Cash</w:t>
      </w:r>
      <w:r>
        <w:rPr>
          <w:spacing w:val="-9"/>
          <w:sz w:val="24"/>
        </w:rPr>
        <w:t> </w:t>
      </w:r>
      <w:r>
        <w:rPr>
          <w:sz w:val="24"/>
        </w:rPr>
        <w:t>holdings</w:t>
      </w:r>
      <w:r>
        <w:rPr>
          <w:spacing w:val="-12"/>
          <w:sz w:val="24"/>
        </w:rPr>
        <w:t> </w:t>
      </w:r>
      <w:r>
        <w:rPr>
          <w:sz w:val="24"/>
        </w:rPr>
        <w:t>and</w:t>
      </w:r>
      <w:r>
        <w:rPr>
          <w:spacing w:val="-12"/>
          <w:sz w:val="24"/>
        </w:rPr>
        <w:t> </w:t>
      </w:r>
      <w:r>
        <w:rPr>
          <w:sz w:val="24"/>
        </w:rPr>
        <w:t>corporate</w:t>
      </w:r>
      <w:r>
        <w:rPr>
          <w:spacing w:val="-10"/>
          <w:sz w:val="24"/>
        </w:rPr>
        <w:t> </w:t>
      </w:r>
      <w:r>
        <w:rPr>
          <w:sz w:val="24"/>
        </w:rPr>
        <w:t>governance</w:t>
      </w:r>
      <w:r>
        <w:rPr>
          <w:spacing w:val="-13"/>
          <w:sz w:val="24"/>
        </w:rPr>
        <w:t> </w:t>
      </w:r>
      <w:r>
        <w:rPr>
          <w:sz w:val="24"/>
        </w:rPr>
        <w:t>in</w:t>
      </w:r>
      <w:r>
        <w:rPr>
          <w:spacing w:val="-9"/>
          <w:sz w:val="24"/>
        </w:rPr>
        <w:t> </w:t>
      </w:r>
      <w:r>
        <w:rPr>
          <w:sz w:val="24"/>
        </w:rPr>
        <w:t>family- controlled firms. </w:t>
      </w:r>
      <w:r>
        <w:rPr>
          <w:i/>
          <w:sz w:val="24"/>
        </w:rPr>
        <w:t>Journal of Business Research, 64</w:t>
      </w:r>
      <w:r>
        <w:rPr>
          <w:sz w:val="24"/>
        </w:rPr>
        <w:t>(7), 757-764.</w:t>
      </w:r>
    </w:p>
    <w:p>
      <w:pPr>
        <w:pStyle w:val="BodyText"/>
      </w:pPr>
    </w:p>
    <w:p>
      <w:pPr>
        <w:pStyle w:val="BodyText"/>
        <w:ind w:left="1571" w:right="1443" w:hanging="723"/>
        <w:jc w:val="both"/>
      </w:pPr>
      <w:r>
        <w:rPr/>
        <w:t>La Porta, R., Lopez-de Silanes, F., &amp; Shleifer, A. (1999). Corporate ownership around the world. </w:t>
      </w:r>
      <w:r>
        <w:rPr>
          <w:i/>
        </w:rPr>
        <w:t>The Journal of Finance, 54</w:t>
      </w:r>
      <w:r>
        <w:rPr/>
        <w:t>(2), 471–517.</w:t>
      </w:r>
    </w:p>
    <w:p>
      <w:pPr>
        <w:pStyle w:val="BodyText"/>
      </w:pPr>
    </w:p>
    <w:p>
      <w:pPr>
        <w:pStyle w:val="BodyText"/>
        <w:ind w:left="849"/>
      </w:pPr>
      <w:r>
        <w:rPr/>
        <w:t>Lafond, R.,</w:t>
      </w:r>
      <w:r>
        <w:rPr>
          <w:spacing w:val="3"/>
        </w:rPr>
        <w:t> </w:t>
      </w:r>
      <w:r>
        <w:rPr/>
        <w:t>&amp;</w:t>
      </w:r>
      <w:r>
        <w:rPr>
          <w:spacing w:val="4"/>
        </w:rPr>
        <w:t> </w:t>
      </w:r>
      <w:r>
        <w:rPr/>
        <w:t>Roychowdhury,</w:t>
      </w:r>
      <w:r>
        <w:rPr>
          <w:spacing w:val="3"/>
        </w:rPr>
        <w:t> </w:t>
      </w:r>
      <w:r>
        <w:rPr/>
        <w:t>S.</w:t>
      </w:r>
      <w:r>
        <w:rPr>
          <w:spacing w:val="4"/>
        </w:rPr>
        <w:t> </w:t>
      </w:r>
      <w:r>
        <w:rPr/>
        <w:t>(2008).</w:t>
      </w:r>
      <w:r>
        <w:rPr>
          <w:spacing w:val="2"/>
        </w:rPr>
        <w:t> </w:t>
      </w:r>
      <w:r>
        <w:rPr/>
        <w:t>Managerial</w:t>
      </w:r>
      <w:r>
        <w:rPr>
          <w:spacing w:val="3"/>
        </w:rPr>
        <w:t> </w:t>
      </w:r>
      <w:r>
        <w:rPr/>
        <w:t>ownership</w:t>
      </w:r>
      <w:r>
        <w:rPr>
          <w:spacing w:val="3"/>
        </w:rPr>
        <w:t> </w:t>
      </w:r>
      <w:r>
        <w:rPr/>
        <w:t>and</w:t>
      </w:r>
      <w:r>
        <w:rPr>
          <w:spacing w:val="3"/>
        </w:rPr>
        <w:t> </w:t>
      </w:r>
      <w:r>
        <w:rPr/>
        <w:t>accounting</w:t>
      </w:r>
      <w:r>
        <w:rPr>
          <w:spacing w:val="4"/>
        </w:rPr>
        <w:t> </w:t>
      </w:r>
      <w:r>
        <w:rPr>
          <w:spacing w:val="-2"/>
        </w:rPr>
        <w:t>conservatism.</w:t>
      </w:r>
    </w:p>
    <w:p>
      <w:pPr>
        <w:spacing w:before="0"/>
        <w:ind w:left="1571" w:right="0" w:firstLine="0"/>
        <w:jc w:val="left"/>
        <w:rPr>
          <w:sz w:val="24"/>
        </w:rPr>
      </w:pPr>
      <w:r>
        <w:rPr>
          <w:i/>
          <w:sz w:val="24"/>
        </w:rPr>
        <w:t>Journal</w:t>
      </w:r>
      <w:r>
        <w:rPr>
          <w:i/>
          <w:spacing w:val="-2"/>
          <w:sz w:val="24"/>
        </w:rPr>
        <w:t> </w:t>
      </w:r>
      <w:r>
        <w:rPr>
          <w:i/>
          <w:sz w:val="24"/>
        </w:rPr>
        <w:t>of</w:t>
      </w:r>
      <w:r>
        <w:rPr>
          <w:i/>
          <w:spacing w:val="-1"/>
          <w:sz w:val="24"/>
        </w:rPr>
        <w:t> </w:t>
      </w:r>
      <w:r>
        <w:rPr>
          <w:i/>
          <w:sz w:val="24"/>
        </w:rPr>
        <w:t>Accounting</w:t>
      </w:r>
      <w:r>
        <w:rPr>
          <w:i/>
          <w:spacing w:val="-2"/>
          <w:sz w:val="24"/>
        </w:rPr>
        <w:t> </w:t>
      </w:r>
      <w:r>
        <w:rPr>
          <w:i/>
          <w:sz w:val="24"/>
        </w:rPr>
        <w:t>Research,</w:t>
      </w:r>
      <w:r>
        <w:rPr>
          <w:i/>
          <w:spacing w:val="-1"/>
          <w:sz w:val="24"/>
        </w:rPr>
        <w:t> </w:t>
      </w:r>
      <w:r>
        <w:rPr>
          <w:i/>
          <w:sz w:val="24"/>
        </w:rPr>
        <w:t>46</w:t>
      </w:r>
      <w:r>
        <w:rPr>
          <w:sz w:val="24"/>
        </w:rPr>
        <w:t>(1),</w:t>
      </w:r>
      <w:r>
        <w:rPr>
          <w:spacing w:val="-1"/>
          <w:sz w:val="24"/>
        </w:rPr>
        <w:t> </w:t>
      </w:r>
      <w:r>
        <w:rPr>
          <w:sz w:val="24"/>
        </w:rPr>
        <w:t>101-</w:t>
      </w:r>
      <w:r>
        <w:rPr>
          <w:spacing w:val="-5"/>
          <w:sz w:val="24"/>
        </w:rPr>
        <w:t>13</w:t>
      </w:r>
    </w:p>
    <w:p>
      <w:pPr>
        <w:pStyle w:val="BodyText"/>
      </w:pPr>
    </w:p>
    <w:p>
      <w:pPr>
        <w:spacing w:before="0"/>
        <w:ind w:left="1571" w:right="1435" w:hanging="723"/>
        <w:jc w:val="both"/>
        <w:rPr>
          <w:sz w:val="24"/>
        </w:rPr>
      </w:pPr>
      <w:r>
        <w:rPr>
          <w:sz w:val="24"/>
        </w:rPr>
        <w:t>Leora,</w:t>
      </w:r>
      <w:r>
        <w:rPr>
          <w:spacing w:val="-1"/>
          <w:sz w:val="24"/>
        </w:rPr>
        <w:t> </w:t>
      </w:r>
      <w:r>
        <w:rPr>
          <w:sz w:val="24"/>
        </w:rPr>
        <w:t>F.K.</w:t>
      </w:r>
      <w:r>
        <w:rPr>
          <w:spacing w:val="-2"/>
          <w:sz w:val="24"/>
        </w:rPr>
        <w:t> </w:t>
      </w:r>
      <w:r>
        <w:rPr>
          <w:sz w:val="24"/>
        </w:rPr>
        <w:t>&amp;</w:t>
      </w:r>
      <w:r>
        <w:rPr>
          <w:spacing w:val="-1"/>
          <w:sz w:val="24"/>
        </w:rPr>
        <w:t> </w:t>
      </w:r>
      <w:r>
        <w:rPr>
          <w:sz w:val="24"/>
        </w:rPr>
        <w:t>Innessa,</w:t>
      </w:r>
      <w:r>
        <w:rPr>
          <w:spacing w:val="-2"/>
          <w:sz w:val="24"/>
        </w:rPr>
        <w:t> </w:t>
      </w:r>
      <w:r>
        <w:rPr>
          <w:sz w:val="24"/>
        </w:rPr>
        <w:t>L.</w:t>
      </w:r>
      <w:r>
        <w:rPr>
          <w:spacing w:val="-3"/>
          <w:sz w:val="24"/>
        </w:rPr>
        <w:t> </w:t>
      </w:r>
      <w:r>
        <w:rPr>
          <w:sz w:val="24"/>
        </w:rPr>
        <w:t>(2004).</w:t>
      </w:r>
      <w:r>
        <w:rPr>
          <w:spacing w:val="-2"/>
          <w:sz w:val="24"/>
        </w:rPr>
        <w:t> </w:t>
      </w:r>
      <w:r>
        <w:rPr>
          <w:sz w:val="24"/>
        </w:rPr>
        <w:t>Corporate</w:t>
      </w:r>
      <w:r>
        <w:rPr>
          <w:spacing w:val="-2"/>
          <w:sz w:val="24"/>
        </w:rPr>
        <w:t> </w:t>
      </w:r>
      <w:r>
        <w:rPr>
          <w:sz w:val="24"/>
        </w:rPr>
        <w:t>governance,</w:t>
      </w:r>
      <w:r>
        <w:rPr>
          <w:spacing w:val="-1"/>
          <w:sz w:val="24"/>
        </w:rPr>
        <w:t> </w:t>
      </w:r>
      <w:r>
        <w:rPr>
          <w:sz w:val="24"/>
        </w:rPr>
        <w:t>investors</w:t>
      </w:r>
      <w:r>
        <w:rPr>
          <w:spacing w:val="-3"/>
          <w:sz w:val="24"/>
        </w:rPr>
        <w:t> </w:t>
      </w:r>
      <w:r>
        <w:rPr>
          <w:sz w:val="24"/>
        </w:rPr>
        <w:t>protection</w:t>
      </w:r>
      <w:r>
        <w:rPr>
          <w:spacing w:val="-3"/>
          <w:sz w:val="24"/>
        </w:rPr>
        <w:t> </w:t>
      </w:r>
      <w:r>
        <w:rPr>
          <w:sz w:val="24"/>
        </w:rPr>
        <w:t>and</w:t>
      </w:r>
      <w:r>
        <w:rPr>
          <w:spacing w:val="-3"/>
          <w:sz w:val="24"/>
        </w:rPr>
        <w:t> </w:t>
      </w:r>
      <w:r>
        <w:rPr>
          <w:sz w:val="24"/>
        </w:rPr>
        <w:t>performance in emerging markets. </w:t>
      </w:r>
      <w:r>
        <w:rPr>
          <w:i/>
          <w:sz w:val="24"/>
        </w:rPr>
        <w:t>Journal of corporate Finance, Elsevier, 10</w:t>
      </w:r>
      <w:r>
        <w:rPr>
          <w:sz w:val="24"/>
        </w:rPr>
        <w:t>(5), 703-728.</w:t>
      </w:r>
    </w:p>
    <w:p>
      <w:pPr>
        <w:pStyle w:val="BodyText"/>
      </w:pPr>
    </w:p>
    <w:p>
      <w:pPr>
        <w:spacing w:before="0"/>
        <w:ind w:left="1571" w:right="1437" w:hanging="723"/>
        <w:jc w:val="both"/>
        <w:rPr>
          <w:sz w:val="24"/>
        </w:rPr>
      </w:pPr>
      <w:r>
        <w:rPr>
          <w:sz w:val="24"/>
        </w:rPr>
        <w:t>Lee, E., Walker, M., &amp; Christensen, H. B. (2008). </w:t>
      </w:r>
      <w:r>
        <w:rPr>
          <w:i/>
          <w:sz w:val="24"/>
        </w:rPr>
        <w:t>Mandating IFRS: Its Impact on the Cost of Equity Capital in Europe, </w:t>
      </w:r>
      <w:r>
        <w:rPr>
          <w:sz w:val="24"/>
        </w:rPr>
        <w:t>research report 105. (London: CAET).</w:t>
      </w:r>
    </w:p>
    <w:p>
      <w:pPr>
        <w:pStyle w:val="BodyText"/>
        <w:spacing w:before="1"/>
      </w:pPr>
    </w:p>
    <w:p>
      <w:pPr>
        <w:pStyle w:val="BodyText"/>
        <w:ind w:left="1571" w:right="1435" w:hanging="723"/>
        <w:jc w:val="both"/>
      </w:pPr>
      <w:r>
        <w:rPr/>
        <w:t>Lee, E., Walker, M.,&amp; Zeng, C. (2013). Does IFRS convergence affect financial reporting quality in China. Association of Chattered Certified Accountants, Educational Trust London 29 Lincolns Inn field London.</w:t>
      </w:r>
    </w:p>
    <w:p>
      <w:pPr>
        <w:spacing w:before="274"/>
        <w:ind w:left="1571" w:right="1443" w:hanging="723"/>
        <w:jc w:val="both"/>
        <w:rPr>
          <w:sz w:val="24"/>
        </w:rPr>
      </w:pPr>
      <w:r>
        <w:rPr>
          <w:sz w:val="24"/>
        </w:rPr>
        <w:t>Lee, K.-W., &amp; Lee, C.-F. (2009). Cash holdings, corporate governance structure and firm valuation. </w:t>
      </w:r>
      <w:r>
        <w:rPr>
          <w:i/>
          <w:sz w:val="24"/>
        </w:rPr>
        <w:t>Review of Pacific Basin Financial Markets and Policies, 12</w:t>
      </w:r>
      <w:r>
        <w:rPr>
          <w:sz w:val="24"/>
        </w:rPr>
        <w:t>(03), 475-508.</w:t>
      </w:r>
    </w:p>
    <w:p>
      <w:pPr>
        <w:pStyle w:val="BodyText"/>
      </w:pPr>
    </w:p>
    <w:p>
      <w:pPr>
        <w:pStyle w:val="BodyText"/>
        <w:tabs>
          <w:tab w:pos="5353" w:val="left" w:leader="none"/>
          <w:tab w:pos="9428" w:val="left" w:leader="none"/>
        </w:tabs>
        <w:ind w:left="1571" w:right="1435" w:hanging="723"/>
        <w:jc w:val="both"/>
      </w:pPr>
      <w:r>
        <w:rPr/>
        <w:t>Lee, Y.,</w:t>
      </w:r>
      <w:r>
        <w:rPr>
          <w:spacing w:val="-1"/>
        </w:rPr>
        <w:t> </w:t>
      </w:r>
      <w:r>
        <w:rPr/>
        <w:t>&amp; Song, K.</w:t>
      </w:r>
      <w:r>
        <w:rPr>
          <w:spacing w:val="-1"/>
        </w:rPr>
        <w:t> </w:t>
      </w:r>
      <w:r>
        <w:rPr/>
        <w:t>(2011).</w:t>
      </w:r>
      <w:r>
        <w:rPr>
          <w:spacing w:val="-1"/>
        </w:rPr>
        <w:t> </w:t>
      </w:r>
      <w:r>
        <w:rPr/>
        <w:t>Why have</w:t>
      </w:r>
      <w:r>
        <w:rPr>
          <w:spacing w:val="-1"/>
        </w:rPr>
        <w:t> </w:t>
      </w:r>
      <w:r>
        <w:rPr/>
        <w:t>East Asian firms increased their</w:t>
      </w:r>
      <w:r>
        <w:rPr>
          <w:spacing w:val="-1"/>
        </w:rPr>
        <w:t> </w:t>
      </w:r>
      <w:r>
        <w:rPr/>
        <w:t>cash holdings so</w:t>
      </w:r>
      <w:r>
        <w:rPr>
          <w:spacing w:val="-2"/>
        </w:rPr>
        <w:t> </w:t>
      </w:r>
      <w:r>
        <w:rPr/>
        <w:t>much after the Asian financial crisis? Paper presented at the 20th Australian Finance &amp; </w:t>
      </w:r>
      <w:r>
        <w:rPr>
          <w:spacing w:val="-2"/>
        </w:rPr>
        <w:t>Banking</w:t>
      </w:r>
      <w:r>
        <w:rPr/>
        <w:tab/>
      </w:r>
      <w:r>
        <w:rPr>
          <w:spacing w:val="-2"/>
        </w:rPr>
        <w:t>Conference</w:t>
      </w:r>
      <w:r>
        <w:rPr/>
        <w:tab/>
      </w:r>
      <w:r>
        <w:rPr>
          <w:spacing w:val="-2"/>
        </w:rPr>
        <w:t>2007.</w:t>
      </w:r>
    </w:p>
    <w:p>
      <w:pPr>
        <w:spacing w:before="0"/>
        <w:ind w:left="1571" w:right="0" w:firstLine="0"/>
        <w:jc w:val="left"/>
        <w:rPr>
          <w:i/>
          <w:sz w:val="24"/>
        </w:rPr>
      </w:pPr>
      <w:hyperlink r:id="rId23">
        <w:r>
          <w:rPr>
            <w:i/>
            <w:spacing w:val="-2"/>
            <w:sz w:val="24"/>
            <w:u w:val="single"/>
          </w:rPr>
          <w:t>http://papers.ssrn.com/sol3/papers.cfm?abstract_id=1008246</w:t>
        </w:r>
      </w:hyperlink>
    </w:p>
    <w:p>
      <w:pPr>
        <w:spacing w:after="0"/>
        <w:jc w:val="left"/>
        <w:rPr>
          <w:sz w:val="24"/>
        </w:rPr>
        <w:sectPr>
          <w:pgSz w:w="11910" w:h="16840"/>
          <w:pgMar w:header="0" w:footer="971" w:top="1360" w:bottom="1160" w:left="500" w:right="0"/>
        </w:sectPr>
      </w:pPr>
    </w:p>
    <w:p>
      <w:pPr>
        <w:spacing w:before="61"/>
        <w:ind w:left="1571" w:right="1442" w:hanging="723"/>
        <w:jc w:val="both"/>
        <w:rPr>
          <w:sz w:val="24"/>
        </w:rPr>
      </w:pPr>
      <w:r>
        <w:rPr>
          <w:sz w:val="24"/>
        </w:rPr>
        <w:t>Leuz, C., &amp; Verrecchia, R. (2005). Firms’ capital allocation choices, information quality, and the cost of capital. </w:t>
      </w:r>
      <w:r>
        <w:rPr>
          <w:i/>
          <w:sz w:val="24"/>
        </w:rPr>
        <w:t>Working paper, University of Pennsylvania</w:t>
      </w:r>
      <w:r>
        <w:rPr>
          <w:sz w:val="24"/>
        </w:rPr>
        <w:t>.</w:t>
      </w:r>
    </w:p>
    <w:p>
      <w:pPr>
        <w:pStyle w:val="BodyText"/>
      </w:pPr>
    </w:p>
    <w:p>
      <w:pPr>
        <w:spacing w:before="0"/>
        <w:ind w:left="1571" w:right="1441" w:hanging="723"/>
        <w:jc w:val="both"/>
        <w:rPr>
          <w:sz w:val="24"/>
        </w:rPr>
      </w:pPr>
      <w:r>
        <w:rPr>
          <w:sz w:val="24"/>
        </w:rPr>
        <w:t>Leuz,</w:t>
      </w:r>
      <w:r>
        <w:rPr>
          <w:spacing w:val="-3"/>
          <w:sz w:val="24"/>
        </w:rPr>
        <w:t> </w:t>
      </w:r>
      <w:r>
        <w:rPr>
          <w:sz w:val="24"/>
        </w:rPr>
        <w:t>C.,</w:t>
      </w:r>
      <w:r>
        <w:rPr>
          <w:spacing w:val="-1"/>
          <w:sz w:val="24"/>
        </w:rPr>
        <w:t> </w:t>
      </w:r>
      <w:r>
        <w:rPr>
          <w:sz w:val="24"/>
        </w:rPr>
        <w:t>Nanda,</w:t>
      </w:r>
      <w:r>
        <w:rPr>
          <w:spacing w:val="-1"/>
          <w:sz w:val="24"/>
        </w:rPr>
        <w:t> </w:t>
      </w:r>
      <w:r>
        <w:rPr>
          <w:sz w:val="24"/>
        </w:rPr>
        <w:t>D.,</w:t>
      </w:r>
      <w:r>
        <w:rPr>
          <w:spacing w:val="-3"/>
          <w:sz w:val="24"/>
        </w:rPr>
        <w:t> </w:t>
      </w:r>
      <w:r>
        <w:rPr>
          <w:sz w:val="24"/>
        </w:rPr>
        <w:t>&amp;</w:t>
      </w:r>
      <w:r>
        <w:rPr>
          <w:spacing w:val="-1"/>
          <w:sz w:val="24"/>
        </w:rPr>
        <w:t> </w:t>
      </w:r>
      <w:r>
        <w:rPr>
          <w:sz w:val="24"/>
        </w:rPr>
        <w:t>Wysocki,</w:t>
      </w:r>
      <w:r>
        <w:rPr>
          <w:spacing w:val="-3"/>
          <w:sz w:val="24"/>
        </w:rPr>
        <w:t> </w:t>
      </w:r>
      <w:r>
        <w:rPr>
          <w:sz w:val="24"/>
        </w:rPr>
        <w:t>P.</w:t>
      </w:r>
      <w:r>
        <w:rPr>
          <w:spacing w:val="-3"/>
          <w:sz w:val="24"/>
        </w:rPr>
        <w:t> </w:t>
      </w:r>
      <w:r>
        <w:rPr>
          <w:sz w:val="24"/>
        </w:rPr>
        <w:t>(2006).</w:t>
      </w:r>
      <w:r>
        <w:rPr>
          <w:spacing w:val="-2"/>
          <w:sz w:val="24"/>
        </w:rPr>
        <w:t> </w:t>
      </w:r>
      <w:r>
        <w:rPr>
          <w:sz w:val="24"/>
        </w:rPr>
        <w:t>Earnings</w:t>
      </w:r>
      <w:r>
        <w:rPr>
          <w:spacing w:val="-3"/>
          <w:sz w:val="24"/>
        </w:rPr>
        <w:t> </w:t>
      </w:r>
      <w:r>
        <w:rPr>
          <w:sz w:val="24"/>
        </w:rPr>
        <w:t>management</w:t>
      </w:r>
      <w:r>
        <w:rPr>
          <w:spacing w:val="-1"/>
          <w:sz w:val="24"/>
        </w:rPr>
        <w:t> </w:t>
      </w:r>
      <w:r>
        <w:rPr>
          <w:sz w:val="24"/>
        </w:rPr>
        <w:t>and</w:t>
      </w:r>
      <w:r>
        <w:rPr>
          <w:spacing w:val="-3"/>
          <w:sz w:val="24"/>
        </w:rPr>
        <w:t> </w:t>
      </w:r>
      <w:r>
        <w:rPr>
          <w:sz w:val="24"/>
        </w:rPr>
        <w:t>investor</w:t>
      </w:r>
      <w:r>
        <w:rPr>
          <w:spacing w:val="-3"/>
          <w:sz w:val="24"/>
        </w:rPr>
        <w:t> </w:t>
      </w:r>
      <w:r>
        <w:rPr>
          <w:sz w:val="24"/>
        </w:rPr>
        <w:t>protection:</w:t>
      </w:r>
      <w:r>
        <w:rPr>
          <w:spacing w:val="-3"/>
          <w:sz w:val="24"/>
        </w:rPr>
        <w:t> </w:t>
      </w:r>
      <w:r>
        <w:rPr>
          <w:sz w:val="24"/>
        </w:rPr>
        <w:t>An international comparison. </w:t>
      </w:r>
      <w:r>
        <w:rPr>
          <w:i/>
          <w:sz w:val="24"/>
        </w:rPr>
        <w:t>Journal of Financial Economics,69</w:t>
      </w:r>
      <w:r>
        <w:rPr>
          <w:sz w:val="24"/>
        </w:rPr>
        <w:t>(3), 505–527.</w:t>
      </w:r>
    </w:p>
    <w:p>
      <w:pPr>
        <w:pStyle w:val="BodyText"/>
      </w:pPr>
    </w:p>
    <w:p>
      <w:pPr>
        <w:spacing w:before="0"/>
        <w:ind w:left="1571" w:right="1443" w:hanging="723"/>
        <w:jc w:val="both"/>
        <w:rPr>
          <w:sz w:val="24"/>
        </w:rPr>
      </w:pPr>
      <w:r>
        <w:rPr>
          <w:sz w:val="24"/>
        </w:rPr>
        <w:t>Leuz,</w:t>
      </w:r>
      <w:r>
        <w:rPr>
          <w:spacing w:val="-3"/>
          <w:sz w:val="24"/>
        </w:rPr>
        <w:t> </w:t>
      </w:r>
      <w:r>
        <w:rPr>
          <w:sz w:val="24"/>
        </w:rPr>
        <w:t>C.,</w:t>
      </w:r>
      <w:r>
        <w:rPr>
          <w:spacing w:val="-1"/>
          <w:sz w:val="24"/>
        </w:rPr>
        <w:t> </w:t>
      </w:r>
      <w:r>
        <w:rPr>
          <w:sz w:val="24"/>
        </w:rPr>
        <w:t>Nanda,</w:t>
      </w:r>
      <w:r>
        <w:rPr>
          <w:spacing w:val="-1"/>
          <w:sz w:val="24"/>
        </w:rPr>
        <w:t> </w:t>
      </w:r>
      <w:r>
        <w:rPr>
          <w:sz w:val="24"/>
        </w:rPr>
        <w:t>D.,</w:t>
      </w:r>
      <w:r>
        <w:rPr>
          <w:spacing w:val="-3"/>
          <w:sz w:val="24"/>
        </w:rPr>
        <w:t> </w:t>
      </w:r>
      <w:r>
        <w:rPr>
          <w:sz w:val="24"/>
        </w:rPr>
        <w:t>&amp;</w:t>
      </w:r>
      <w:r>
        <w:rPr>
          <w:spacing w:val="-1"/>
          <w:sz w:val="24"/>
        </w:rPr>
        <w:t> </w:t>
      </w:r>
      <w:r>
        <w:rPr>
          <w:sz w:val="24"/>
        </w:rPr>
        <w:t>Wysocki,</w:t>
      </w:r>
      <w:r>
        <w:rPr>
          <w:spacing w:val="-3"/>
          <w:sz w:val="24"/>
        </w:rPr>
        <w:t> </w:t>
      </w:r>
      <w:r>
        <w:rPr>
          <w:sz w:val="24"/>
        </w:rPr>
        <w:t>P.</w:t>
      </w:r>
      <w:r>
        <w:rPr>
          <w:spacing w:val="-3"/>
          <w:sz w:val="24"/>
        </w:rPr>
        <w:t> </w:t>
      </w:r>
      <w:r>
        <w:rPr>
          <w:sz w:val="24"/>
        </w:rPr>
        <w:t>(2003).</w:t>
      </w:r>
      <w:r>
        <w:rPr>
          <w:spacing w:val="-2"/>
          <w:sz w:val="24"/>
        </w:rPr>
        <w:t> </w:t>
      </w:r>
      <w:r>
        <w:rPr>
          <w:sz w:val="24"/>
        </w:rPr>
        <w:t>Earnings</w:t>
      </w:r>
      <w:r>
        <w:rPr>
          <w:spacing w:val="-3"/>
          <w:sz w:val="24"/>
        </w:rPr>
        <w:t> </w:t>
      </w:r>
      <w:r>
        <w:rPr>
          <w:sz w:val="24"/>
        </w:rPr>
        <w:t>management</w:t>
      </w:r>
      <w:r>
        <w:rPr>
          <w:spacing w:val="-1"/>
          <w:sz w:val="24"/>
        </w:rPr>
        <w:t> </w:t>
      </w:r>
      <w:r>
        <w:rPr>
          <w:sz w:val="24"/>
        </w:rPr>
        <w:t>and</w:t>
      </w:r>
      <w:r>
        <w:rPr>
          <w:spacing w:val="-3"/>
          <w:sz w:val="24"/>
        </w:rPr>
        <w:t> </w:t>
      </w:r>
      <w:r>
        <w:rPr>
          <w:sz w:val="24"/>
        </w:rPr>
        <w:t>investor</w:t>
      </w:r>
      <w:r>
        <w:rPr>
          <w:spacing w:val="-3"/>
          <w:sz w:val="24"/>
        </w:rPr>
        <w:t> </w:t>
      </w:r>
      <w:r>
        <w:rPr>
          <w:sz w:val="24"/>
        </w:rPr>
        <w:t>protection:</w:t>
      </w:r>
      <w:r>
        <w:rPr>
          <w:spacing w:val="-3"/>
          <w:sz w:val="24"/>
        </w:rPr>
        <w:t> </w:t>
      </w:r>
      <w:r>
        <w:rPr>
          <w:sz w:val="24"/>
        </w:rPr>
        <w:t>An international comparison. </w:t>
      </w:r>
      <w:r>
        <w:rPr>
          <w:i/>
          <w:sz w:val="24"/>
        </w:rPr>
        <w:t>Journal of Financial Economics, 69</w:t>
      </w:r>
      <w:r>
        <w:rPr>
          <w:sz w:val="24"/>
        </w:rPr>
        <w:t>(3), 505–527.</w:t>
      </w:r>
    </w:p>
    <w:p>
      <w:pPr>
        <w:pStyle w:val="BodyText"/>
      </w:pPr>
    </w:p>
    <w:p>
      <w:pPr>
        <w:spacing w:before="0"/>
        <w:ind w:left="1571" w:right="1438" w:hanging="723"/>
        <w:jc w:val="both"/>
        <w:rPr>
          <w:i/>
          <w:sz w:val="24"/>
        </w:rPr>
      </w:pPr>
      <w:r>
        <w:rPr/>
        <w:drawing>
          <wp:anchor distT="0" distB="0" distL="0" distR="0" allowOverlap="1" layoutInCell="1" locked="0" behindDoc="1" simplePos="0" relativeHeight="477774336">
            <wp:simplePos x="0" y="0"/>
            <wp:positionH relativeFrom="page">
              <wp:posOffset>1095451</wp:posOffset>
            </wp:positionH>
            <wp:positionV relativeFrom="paragraph">
              <wp:posOffset>234829</wp:posOffset>
            </wp:positionV>
            <wp:extent cx="5106847" cy="5238115"/>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Leung</w:t>
      </w:r>
      <w:r>
        <w:rPr>
          <w:spacing w:val="-2"/>
          <w:sz w:val="24"/>
        </w:rPr>
        <w:t> </w:t>
      </w:r>
      <w:r>
        <w:rPr>
          <w:sz w:val="24"/>
        </w:rPr>
        <w:t>Q.</w:t>
      </w:r>
      <w:r>
        <w:rPr>
          <w:spacing w:val="-1"/>
          <w:sz w:val="24"/>
        </w:rPr>
        <w:t> </w:t>
      </w:r>
      <w:r>
        <w:rPr>
          <w:sz w:val="24"/>
        </w:rPr>
        <w:t>W.</w:t>
      </w:r>
      <w:r>
        <w:rPr>
          <w:spacing w:val="-2"/>
          <w:sz w:val="24"/>
        </w:rPr>
        <w:t> </w:t>
      </w:r>
      <w:r>
        <w:rPr>
          <w:sz w:val="24"/>
        </w:rPr>
        <w:t>Y.,</w:t>
      </w:r>
      <w:r>
        <w:rPr>
          <w:spacing w:val="-2"/>
          <w:sz w:val="24"/>
        </w:rPr>
        <w:t> </w:t>
      </w:r>
      <w:r>
        <w:rPr>
          <w:sz w:val="24"/>
        </w:rPr>
        <w:t>Morris, R.</w:t>
      </w:r>
      <w:r>
        <w:rPr>
          <w:spacing w:val="-2"/>
          <w:sz w:val="24"/>
        </w:rPr>
        <w:t> </w:t>
      </w:r>
      <w:r>
        <w:rPr>
          <w:sz w:val="24"/>
        </w:rPr>
        <w:t>D.,</w:t>
      </w:r>
      <w:r>
        <w:rPr>
          <w:spacing w:val="-2"/>
          <w:sz w:val="24"/>
        </w:rPr>
        <w:t> </w:t>
      </w:r>
      <w:r>
        <w:rPr>
          <w:sz w:val="24"/>
        </w:rPr>
        <w:t>&amp;</w:t>
      </w:r>
      <w:r>
        <w:rPr>
          <w:spacing w:val="-2"/>
          <w:sz w:val="24"/>
        </w:rPr>
        <w:t> </w:t>
      </w:r>
      <w:r>
        <w:rPr>
          <w:sz w:val="24"/>
        </w:rPr>
        <w:t>Gray,</w:t>
      </w:r>
      <w:r>
        <w:rPr>
          <w:spacing w:val="-2"/>
          <w:sz w:val="24"/>
        </w:rPr>
        <w:t> </w:t>
      </w:r>
      <w:r>
        <w:rPr>
          <w:sz w:val="24"/>
        </w:rPr>
        <w:t>S.</w:t>
      </w:r>
      <w:r>
        <w:rPr>
          <w:spacing w:val="-2"/>
          <w:sz w:val="24"/>
        </w:rPr>
        <w:t> </w:t>
      </w:r>
      <w:r>
        <w:rPr>
          <w:sz w:val="24"/>
        </w:rPr>
        <w:t>J.</w:t>
      </w:r>
      <w:r>
        <w:rPr>
          <w:spacing w:val="-2"/>
          <w:sz w:val="24"/>
        </w:rPr>
        <w:t> </w:t>
      </w:r>
      <w:r>
        <w:rPr>
          <w:sz w:val="24"/>
        </w:rPr>
        <w:t>(2005).</w:t>
      </w:r>
      <w:r>
        <w:rPr>
          <w:spacing w:val="-2"/>
          <w:sz w:val="24"/>
        </w:rPr>
        <w:t> </w:t>
      </w:r>
      <w:r>
        <w:rPr>
          <w:sz w:val="24"/>
        </w:rPr>
        <w:t>Corporate</w:t>
      </w:r>
      <w:r>
        <w:rPr>
          <w:spacing w:val="-1"/>
          <w:sz w:val="24"/>
        </w:rPr>
        <w:t> </w:t>
      </w:r>
      <w:r>
        <w:rPr>
          <w:sz w:val="24"/>
        </w:rPr>
        <w:t>transparency</w:t>
      </w:r>
      <w:r>
        <w:rPr>
          <w:spacing w:val="-2"/>
          <w:sz w:val="24"/>
        </w:rPr>
        <w:t> </w:t>
      </w:r>
      <w:r>
        <w:rPr>
          <w:sz w:val="24"/>
        </w:rPr>
        <w:t>in</w:t>
      </w:r>
      <w:r>
        <w:rPr>
          <w:spacing w:val="-2"/>
          <w:sz w:val="24"/>
        </w:rPr>
        <w:t> </w:t>
      </w:r>
      <w:r>
        <w:rPr>
          <w:sz w:val="24"/>
        </w:rPr>
        <w:t>China:</w:t>
      </w:r>
      <w:r>
        <w:rPr>
          <w:spacing w:val="-2"/>
          <w:sz w:val="24"/>
        </w:rPr>
        <w:t> </w:t>
      </w:r>
      <w:r>
        <w:rPr>
          <w:sz w:val="24"/>
        </w:rPr>
        <w:t>Factors influencing financial disclosure levels. </w:t>
      </w:r>
      <w:r>
        <w:rPr>
          <w:i/>
          <w:sz w:val="24"/>
        </w:rPr>
        <w:t>Working Paper, School of Accounting, University of New South Wales.</w:t>
      </w:r>
    </w:p>
    <w:p>
      <w:pPr>
        <w:pStyle w:val="BodyText"/>
        <w:spacing w:before="241"/>
        <w:rPr>
          <w:i/>
        </w:rPr>
      </w:pPr>
    </w:p>
    <w:p>
      <w:pPr>
        <w:spacing w:before="0"/>
        <w:ind w:left="1571" w:right="1441" w:hanging="723"/>
        <w:jc w:val="both"/>
        <w:rPr>
          <w:sz w:val="24"/>
        </w:rPr>
      </w:pPr>
      <w:r>
        <w:rPr>
          <w:sz w:val="24"/>
        </w:rPr>
        <w:t>Leora,</w:t>
      </w:r>
      <w:r>
        <w:rPr>
          <w:spacing w:val="-2"/>
          <w:sz w:val="24"/>
        </w:rPr>
        <w:t> </w:t>
      </w:r>
      <w:r>
        <w:rPr>
          <w:sz w:val="24"/>
        </w:rPr>
        <w:t>F.K.</w:t>
      </w:r>
      <w:r>
        <w:rPr>
          <w:spacing w:val="-2"/>
          <w:sz w:val="24"/>
        </w:rPr>
        <w:t> </w:t>
      </w:r>
      <w:r>
        <w:rPr>
          <w:sz w:val="24"/>
        </w:rPr>
        <w:t>&amp;</w:t>
      </w:r>
      <w:r>
        <w:rPr>
          <w:spacing w:val="-2"/>
          <w:sz w:val="24"/>
        </w:rPr>
        <w:t> </w:t>
      </w:r>
      <w:r>
        <w:rPr>
          <w:sz w:val="24"/>
        </w:rPr>
        <w:t>Innessa,</w:t>
      </w:r>
      <w:r>
        <w:rPr>
          <w:spacing w:val="-2"/>
          <w:sz w:val="24"/>
        </w:rPr>
        <w:t> </w:t>
      </w:r>
      <w:r>
        <w:rPr>
          <w:sz w:val="24"/>
        </w:rPr>
        <w:t>L.</w:t>
      </w:r>
      <w:r>
        <w:rPr>
          <w:spacing w:val="-3"/>
          <w:sz w:val="24"/>
        </w:rPr>
        <w:t> </w:t>
      </w:r>
      <w:r>
        <w:rPr>
          <w:sz w:val="24"/>
        </w:rPr>
        <w:t>(2004).</w:t>
      </w:r>
      <w:r>
        <w:rPr>
          <w:spacing w:val="-2"/>
          <w:sz w:val="24"/>
        </w:rPr>
        <w:t> </w:t>
      </w:r>
      <w:r>
        <w:rPr>
          <w:sz w:val="24"/>
        </w:rPr>
        <w:t>Corporate</w:t>
      </w:r>
      <w:r>
        <w:rPr>
          <w:spacing w:val="-2"/>
          <w:sz w:val="24"/>
        </w:rPr>
        <w:t> </w:t>
      </w:r>
      <w:r>
        <w:rPr>
          <w:sz w:val="24"/>
        </w:rPr>
        <w:t>governance,</w:t>
      </w:r>
      <w:r>
        <w:rPr>
          <w:spacing w:val="-2"/>
          <w:sz w:val="24"/>
        </w:rPr>
        <w:t> </w:t>
      </w:r>
      <w:r>
        <w:rPr>
          <w:sz w:val="24"/>
        </w:rPr>
        <w:t>investors</w:t>
      </w:r>
      <w:r>
        <w:rPr>
          <w:spacing w:val="-3"/>
          <w:sz w:val="24"/>
        </w:rPr>
        <w:t> </w:t>
      </w:r>
      <w:r>
        <w:rPr>
          <w:sz w:val="24"/>
        </w:rPr>
        <w:t>protection</w:t>
      </w:r>
      <w:r>
        <w:rPr>
          <w:spacing w:val="-3"/>
          <w:sz w:val="24"/>
        </w:rPr>
        <w:t> </w:t>
      </w:r>
      <w:r>
        <w:rPr>
          <w:sz w:val="24"/>
        </w:rPr>
        <w:t>and</w:t>
      </w:r>
      <w:r>
        <w:rPr>
          <w:spacing w:val="-3"/>
          <w:sz w:val="24"/>
        </w:rPr>
        <w:t> </w:t>
      </w:r>
      <w:r>
        <w:rPr>
          <w:sz w:val="24"/>
        </w:rPr>
        <w:t>performance in emerging markets. </w:t>
      </w:r>
      <w:r>
        <w:rPr>
          <w:i/>
          <w:sz w:val="24"/>
        </w:rPr>
        <w:t>Journal of corporate Finance, Elsevier, 10</w:t>
      </w:r>
      <w:r>
        <w:rPr>
          <w:sz w:val="24"/>
        </w:rPr>
        <w:t>(5), 703-728.</w:t>
      </w:r>
    </w:p>
    <w:p>
      <w:pPr>
        <w:pStyle w:val="BodyText"/>
        <w:spacing w:before="240"/>
      </w:pPr>
    </w:p>
    <w:p>
      <w:pPr>
        <w:pStyle w:val="BodyText"/>
        <w:ind w:left="849"/>
      </w:pPr>
      <w:r>
        <w:rPr/>
        <w:t>Lipton,</w:t>
      </w:r>
      <w:r>
        <w:rPr>
          <w:spacing w:val="18"/>
        </w:rPr>
        <w:t> </w:t>
      </w:r>
      <w:r>
        <w:rPr/>
        <w:t>M.,</w:t>
      </w:r>
      <w:r>
        <w:rPr>
          <w:spacing w:val="21"/>
        </w:rPr>
        <w:t> </w:t>
      </w:r>
      <w:r>
        <w:rPr/>
        <w:t>&amp;</w:t>
      </w:r>
      <w:r>
        <w:rPr>
          <w:spacing w:val="20"/>
        </w:rPr>
        <w:t> </w:t>
      </w:r>
      <w:r>
        <w:rPr/>
        <w:t>Lorsch,</w:t>
      </w:r>
      <w:r>
        <w:rPr>
          <w:spacing w:val="21"/>
        </w:rPr>
        <w:t> </w:t>
      </w:r>
      <w:r>
        <w:rPr/>
        <w:t>J.</w:t>
      </w:r>
      <w:r>
        <w:rPr>
          <w:spacing w:val="22"/>
        </w:rPr>
        <w:t> </w:t>
      </w:r>
      <w:r>
        <w:rPr/>
        <w:t>W.</w:t>
      </w:r>
      <w:r>
        <w:rPr>
          <w:spacing w:val="21"/>
        </w:rPr>
        <w:t> </w:t>
      </w:r>
      <w:r>
        <w:rPr/>
        <w:t>(1992).</w:t>
      </w:r>
      <w:r>
        <w:rPr>
          <w:spacing w:val="22"/>
        </w:rPr>
        <w:t> </w:t>
      </w:r>
      <w:r>
        <w:rPr/>
        <w:t>A</w:t>
      </w:r>
      <w:r>
        <w:rPr>
          <w:spacing w:val="20"/>
        </w:rPr>
        <w:t> </w:t>
      </w:r>
      <w:r>
        <w:rPr/>
        <w:t>modest</w:t>
      </w:r>
      <w:r>
        <w:rPr>
          <w:spacing w:val="20"/>
        </w:rPr>
        <w:t> </w:t>
      </w:r>
      <w:r>
        <w:rPr/>
        <w:t>proposal</w:t>
      </w:r>
      <w:r>
        <w:rPr>
          <w:spacing w:val="21"/>
        </w:rPr>
        <w:t> </w:t>
      </w:r>
      <w:r>
        <w:rPr/>
        <w:t>for</w:t>
      </w:r>
      <w:r>
        <w:rPr>
          <w:spacing w:val="18"/>
        </w:rPr>
        <w:t> </w:t>
      </w:r>
      <w:r>
        <w:rPr/>
        <w:t>improved</w:t>
      </w:r>
      <w:r>
        <w:rPr>
          <w:spacing w:val="21"/>
        </w:rPr>
        <w:t> </w:t>
      </w:r>
      <w:r>
        <w:rPr/>
        <w:t>corporate</w:t>
      </w:r>
      <w:r>
        <w:rPr>
          <w:spacing w:val="20"/>
        </w:rPr>
        <w:t> </w:t>
      </w:r>
      <w:r>
        <w:rPr>
          <w:spacing w:val="-2"/>
        </w:rPr>
        <w:t>governance.</w:t>
      </w:r>
    </w:p>
    <w:p>
      <w:pPr>
        <w:spacing w:before="0"/>
        <w:ind w:left="1571" w:right="0" w:firstLine="0"/>
        <w:jc w:val="left"/>
        <w:rPr>
          <w:sz w:val="24"/>
        </w:rPr>
      </w:pPr>
      <w:r>
        <w:rPr>
          <w:i/>
          <w:sz w:val="24"/>
        </w:rPr>
        <w:t>Business</w:t>
      </w:r>
      <w:r>
        <w:rPr>
          <w:i/>
          <w:spacing w:val="-4"/>
          <w:sz w:val="24"/>
        </w:rPr>
        <w:t> </w:t>
      </w:r>
      <w:r>
        <w:rPr>
          <w:i/>
          <w:sz w:val="24"/>
        </w:rPr>
        <w:t>Lawyer</w:t>
      </w:r>
      <w:r>
        <w:rPr>
          <w:sz w:val="24"/>
        </w:rPr>
        <w:t>,</w:t>
      </w:r>
      <w:r>
        <w:rPr>
          <w:spacing w:val="-1"/>
          <w:sz w:val="24"/>
        </w:rPr>
        <w:t> </w:t>
      </w:r>
      <w:r>
        <w:rPr>
          <w:i/>
          <w:sz w:val="24"/>
        </w:rPr>
        <w:t>48</w:t>
      </w:r>
      <w:r>
        <w:rPr>
          <w:sz w:val="24"/>
        </w:rPr>
        <w:t>(1),</w:t>
      </w:r>
      <w:r>
        <w:rPr>
          <w:spacing w:val="1"/>
          <w:sz w:val="24"/>
        </w:rPr>
        <w:t> </w:t>
      </w:r>
      <w:r>
        <w:rPr>
          <w:sz w:val="24"/>
        </w:rPr>
        <w:t>59-</w:t>
      </w:r>
      <w:r>
        <w:rPr>
          <w:spacing w:val="-5"/>
          <w:sz w:val="24"/>
        </w:rPr>
        <w:t>77.</w:t>
      </w:r>
    </w:p>
    <w:p>
      <w:pPr>
        <w:pStyle w:val="BodyText"/>
        <w:spacing w:before="240"/>
        <w:ind w:left="1571" w:right="1441" w:hanging="723"/>
        <w:jc w:val="both"/>
      </w:pPr>
      <w:r>
        <w:rPr/>
        <w:t>Limanto,</w:t>
      </w:r>
      <w:r>
        <w:rPr>
          <w:spacing w:val="-6"/>
        </w:rPr>
        <w:t> </w:t>
      </w:r>
      <w:r>
        <w:rPr/>
        <w:t>D.,</w:t>
      </w:r>
      <w:r>
        <w:rPr>
          <w:spacing w:val="-6"/>
        </w:rPr>
        <w:t> </w:t>
      </w:r>
      <w:r>
        <w:rPr/>
        <w:t>&amp;</w:t>
      </w:r>
      <w:r>
        <w:rPr>
          <w:spacing w:val="-5"/>
        </w:rPr>
        <w:t> </w:t>
      </w:r>
      <w:r>
        <w:rPr/>
        <w:t>Fanani,</w:t>
      </w:r>
      <w:r>
        <w:rPr>
          <w:spacing w:val="-5"/>
        </w:rPr>
        <w:t> </w:t>
      </w:r>
      <w:r>
        <w:rPr/>
        <w:t>Z.</w:t>
      </w:r>
      <w:r>
        <w:rPr>
          <w:spacing w:val="-6"/>
        </w:rPr>
        <w:t> </w:t>
      </w:r>
      <w:r>
        <w:rPr/>
        <w:t>(2014).</w:t>
      </w:r>
      <w:r>
        <w:rPr>
          <w:spacing w:val="-7"/>
        </w:rPr>
        <w:t> </w:t>
      </w:r>
      <w:r>
        <w:rPr/>
        <w:t>Does</w:t>
      </w:r>
      <w:r>
        <w:rPr>
          <w:spacing w:val="-6"/>
        </w:rPr>
        <w:t> </w:t>
      </w:r>
      <w:r>
        <w:rPr/>
        <w:t>IFRS,</w:t>
      </w:r>
      <w:r>
        <w:rPr>
          <w:spacing w:val="-6"/>
        </w:rPr>
        <w:t> </w:t>
      </w:r>
      <w:r>
        <w:rPr/>
        <w:t>Firm</w:t>
      </w:r>
      <w:r>
        <w:rPr>
          <w:spacing w:val="-6"/>
        </w:rPr>
        <w:t> </w:t>
      </w:r>
      <w:r>
        <w:rPr/>
        <w:t>Size</w:t>
      </w:r>
      <w:r>
        <w:rPr>
          <w:spacing w:val="-7"/>
        </w:rPr>
        <w:t> </w:t>
      </w:r>
      <w:r>
        <w:rPr/>
        <w:t>and</w:t>
      </w:r>
      <w:r>
        <w:rPr>
          <w:spacing w:val="-6"/>
        </w:rPr>
        <w:t> </w:t>
      </w:r>
      <w:r>
        <w:rPr/>
        <w:t>Firm</w:t>
      </w:r>
      <w:r>
        <w:rPr>
          <w:spacing w:val="-6"/>
        </w:rPr>
        <w:t> </w:t>
      </w:r>
      <w:r>
        <w:rPr/>
        <w:t>Leverage</w:t>
      </w:r>
      <w:r>
        <w:rPr>
          <w:spacing w:val="-7"/>
        </w:rPr>
        <w:t> </w:t>
      </w:r>
      <w:r>
        <w:rPr/>
        <w:t>influence</w:t>
      </w:r>
      <w:r>
        <w:rPr>
          <w:spacing w:val="-7"/>
        </w:rPr>
        <w:t> </w:t>
      </w:r>
      <w:r>
        <w:rPr/>
        <w:t>earnings management? Evidence from manufacturing firms listed in Indonesia Stock Exchange, SNA 17 Mararam Lombok, Univeristas Mataram.</w:t>
      </w:r>
    </w:p>
    <w:p>
      <w:pPr>
        <w:pStyle w:val="BodyText"/>
        <w:spacing w:before="240"/>
        <w:ind w:left="1571" w:right="1443" w:hanging="723"/>
        <w:jc w:val="both"/>
      </w:pPr>
      <w:r>
        <w:rPr/>
        <w:t>Liu, C., Lee, J., Y., Nan, H., &amp; Ling L. (2011). The impact of IFRS on accounting quality in a regulated</w:t>
      </w:r>
      <w:r>
        <w:rPr>
          <w:spacing w:val="-1"/>
        </w:rPr>
        <w:t> </w:t>
      </w:r>
      <w:r>
        <w:rPr/>
        <w:t>market:</w:t>
      </w:r>
      <w:r>
        <w:rPr>
          <w:spacing w:val="-1"/>
        </w:rPr>
        <w:t> </w:t>
      </w:r>
      <w:r>
        <w:rPr/>
        <w:t>An</w:t>
      </w:r>
      <w:r>
        <w:rPr>
          <w:spacing w:val="-1"/>
        </w:rPr>
        <w:t> </w:t>
      </w:r>
      <w:r>
        <w:rPr/>
        <w:t>empirical</w:t>
      </w:r>
      <w:r>
        <w:rPr>
          <w:spacing w:val="-1"/>
        </w:rPr>
        <w:t> </w:t>
      </w:r>
      <w:r>
        <w:rPr/>
        <w:t>study</w:t>
      </w:r>
      <w:r>
        <w:rPr>
          <w:spacing w:val="-1"/>
        </w:rPr>
        <w:t> </w:t>
      </w:r>
      <w:r>
        <w:rPr/>
        <w:t>of</w:t>
      </w:r>
      <w:r>
        <w:rPr>
          <w:spacing w:val="-1"/>
        </w:rPr>
        <w:t> </w:t>
      </w:r>
      <w:r>
        <w:rPr/>
        <w:t>China.</w:t>
      </w:r>
      <w:r>
        <w:rPr>
          <w:spacing w:val="1"/>
        </w:rPr>
        <w:t> </w:t>
      </w:r>
      <w:r>
        <w:rPr>
          <w:i/>
        </w:rPr>
        <w:t>Journal</w:t>
      </w:r>
      <w:r>
        <w:rPr>
          <w:i/>
          <w:spacing w:val="-1"/>
        </w:rPr>
        <w:t> </w:t>
      </w:r>
      <w:r>
        <w:rPr>
          <w:i/>
        </w:rPr>
        <w:t>of</w:t>
      </w:r>
      <w:r>
        <w:rPr>
          <w:i/>
          <w:spacing w:val="-1"/>
        </w:rPr>
        <w:t> </w:t>
      </w:r>
      <w:r>
        <w:rPr>
          <w:i/>
        </w:rPr>
        <w:t>Accounting,</w:t>
      </w:r>
      <w:r>
        <w:rPr>
          <w:i/>
          <w:spacing w:val="-1"/>
        </w:rPr>
        <w:t> </w:t>
      </w:r>
      <w:r>
        <w:rPr>
          <w:i/>
        </w:rPr>
        <w:t>26</w:t>
      </w:r>
      <w:r>
        <w:rPr/>
        <w:t>(4), 659-</w:t>
      </w:r>
      <w:r>
        <w:rPr>
          <w:spacing w:val="-4"/>
        </w:rPr>
        <w:t>676.</w:t>
      </w:r>
    </w:p>
    <w:p>
      <w:pPr>
        <w:pStyle w:val="BodyText"/>
      </w:pPr>
    </w:p>
    <w:p>
      <w:pPr>
        <w:pStyle w:val="BodyText"/>
        <w:ind w:left="1571" w:right="1436" w:hanging="723"/>
        <w:jc w:val="both"/>
      </w:pPr>
      <w:r>
        <w:rPr/>
        <w:t>Lin, F., Chung-Min, W., Tzu-Yi, F., &amp; Jheng-Ci, W. (2014). The relations among accounting conservatism, institutional investors and earnings manipulation. </w:t>
      </w:r>
      <w:r>
        <w:rPr>
          <w:i/>
        </w:rPr>
        <w:t>Economic Modeling, 37</w:t>
      </w:r>
      <w:r>
        <w:rPr/>
        <w:t>(5), 164-174.</w:t>
      </w:r>
    </w:p>
    <w:p>
      <w:pPr>
        <w:pStyle w:val="BodyText"/>
      </w:pPr>
    </w:p>
    <w:p>
      <w:pPr>
        <w:spacing w:before="0"/>
        <w:ind w:left="1571" w:right="1437" w:hanging="723"/>
        <w:jc w:val="both"/>
        <w:rPr>
          <w:sz w:val="24"/>
        </w:rPr>
      </w:pPr>
      <w:r>
        <w:rPr>
          <w:sz w:val="24"/>
        </w:rPr>
        <w:t>Lins, K. (2003). Equity ownership and firm value in emerging markets.</w:t>
      </w:r>
      <w:r>
        <w:rPr>
          <w:spacing w:val="40"/>
          <w:sz w:val="24"/>
        </w:rPr>
        <w:t> </w:t>
      </w:r>
      <w:r>
        <w:rPr>
          <w:i/>
          <w:sz w:val="24"/>
        </w:rPr>
        <w:t>Journal of Financial and Quantitative Analysis</w:t>
      </w:r>
      <w:r>
        <w:rPr>
          <w:sz w:val="24"/>
        </w:rPr>
        <w:t>, </w:t>
      </w:r>
      <w:r>
        <w:rPr>
          <w:i/>
          <w:sz w:val="24"/>
        </w:rPr>
        <w:t>38</w:t>
      </w:r>
      <w:r>
        <w:rPr>
          <w:sz w:val="24"/>
        </w:rPr>
        <w:t>(5), 159-184.</w:t>
      </w:r>
    </w:p>
    <w:p>
      <w:pPr>
        <w:pStyle w:val="BodyText"/>
      </w:pPr>
    </w:p>
    <w:p>
      <w:pPr>
        <w:spacing w:before="1"/>
        <w:ind w:left="1571" w:right="1443" w:hanging="723"/>
        <w:jc w:val="both"/>
        <w:rPr>
          <w:sz w:val="24"/>
        </w:rPr>
      </w:pPr>
      <w:r>
        <w:rPr>
          <w:sz w:val="24"/>
        </w:rPr>
        <w:t>Madawaki, A., &amp; Amran, N.A. (2013). Audit committees: How they affect financial reporting in Nigerian companies. </w:t>
      </w:r>
      <w:r>
        <w:rPr>
          <w:i/>
          <w:sz w:val="24"/>
        </w:rPr>
        <w:t>Journal of Modern Accounting and Auditing, 9</w:t>
      </w:r>
      <w:r>
        <w:rPr>
          <w:sz w:val="24"/>
        </w:rPr>
        <w:t>(8), 1070-1080</w:t>
      </w:r>
    </w:p>
    <w:p>
      <w:pPr>
        <w:pStyle w:val="BodyText"/>
      </w:pPr>
    </w:p>
    <w:p>
      <w:pPr>
        <w:spacing w:before="0"/>
        <w:ind w:left="1571" w:right="1438" w:hanging="723"/>
        <w:jc w:val="both"/>
        <w:rPr>
          <w:sz w:val="24"/>
        </w:rPr>
      </w:pPr>
      <w:r>
        <w:rPr>
          <w:sz w:val="24"/>
        </w:rPr>
        <w:t>Baatwah,</w:t>
      </w:r>
      <w:r>
        <w:rPr>
          <w:spacing w:val="-6"/>
          <w:sz w:val="24"/>
        </w:rPr>
        <w:t> </w:t>
      </w:r>
      <w:r>
        <w:rPr>
          <w:sz w:val="24"/>
        </w:rPr>
        <w:t>S.</w:t>
      </w:r>
      <w:r>
        <w:rPr>
          <w:spacing w:val="-6"/>
          <w:sz w:val="24"/>
        </w:rPr>
        <w:t> </w:t>
      </w:r>
      <w:r>
        <w:rPr>
          <w:sz w:val="24"/>
        </w:rPr>
        <w:t>R.,</w:t>
      </w:r>
      <w:r>
        <w:rPr>
          <w:spacing w:val="-6"/>
          <w:sz w:val="24"/>
        </w:rPr>
        <w:t> </w:t>
      </w:r>
      <w:r>
        <w:rPr>
          <w:sz w:val="24"/>
        </w:rPr>
        <w:t>Salleh,</w:t>
      </w:r>
      <w:r>
        <w:rPr>
          <w:spacing w:val="-6"/>
          <w:sz w:val="24"/>
        </w:rPr>
        <w:t> </w:t>
      </w:r>
      <w:r>
        <w:rPr>
          <w:sz w:val="24"/>
        </w:rPr>
        <w:t>Z.,</w:t>
      </w:r>
      <w:r>
        <w:rPr>
          <w:spacing w:val="-6"/>
          <w:sz w:val="24"/>
        </w:rPr>
        <w:t> </w:t>
      </w:r>
      <w:r>
        <w:rPr>
          <w:sz w:val="24"/>
        </w:rPr>
        <w:t>&amp;</w:t>
      </w:r>
      <w:r>
        <w:rPr>
          <w:spacing w:val="-5"/>
          <w:sz w:val="24"/>
        </w:rPr>
        <w:t> </w:t>
      </w:r>
      <w:r>
        <w:rPr>
          <w:sz w:val="24"/>
        </w:rPr>
        <w:t>Ahmad,</w:t>
      </w:r>
      <w:r>
        <w:rPr>
          <w:spacing w:val="-6"/>
          <w:sz w:val="24"/>
        </w:rPr>
        <w:t> </w:t>
      </w:r>
      <w:r>
        <w:rPr>
          <w:sz w:val="24"/>
        </w:rPr>
        <w:t>N.</w:t>
      </w:r>
      <w:r>
        <w:rPr>
          <w:spacing w:val="-6"/>
          <w:sz w:val="24"/>
        </w:rPr>
        <w:t> </w:t>
      </w:r>
      <w:r>
        <w:rPr>
          <w:sz w:val="24"/>
        </w:rPr>
        <w:t>(2015a).</w:t>
      </w:r>
      <w:r>
        <w:rPr>
          <w:spacing w:val="-3"/>
          <w:sz w:val="24"/>
        </w:rPr>
        <w:t> </w:t>
      </w:r>
      <w:r>
        <w:rPr>
          <w:sz w:val="24"/>
        </w:rPr>
        <w:t>Corporate</w:t>
      </w:r>
      <w:r>
        <w:rPr>
          <w:spacing w:val="-6"/>
          <w:sz w:val="24"/>
        </w:rPr>
        <w:t> </w:t>
      </w:r>
      <w:r>
        <w:rPr>
          <w:sz w:val="24"/>
        </w:rPr>
        <w:t>governance</w:t>
      </w:r>
      <w:r>
        <w:rPr>
          <w:spacing w:val="-7"/>
          <w:sz w:val="24"/>
        </w:rPr>
        <w:t> </w:t>
      </w:r>
      <w:r>
        <w:rPr>
          <w:sz w:val="24"/>
        </w:rPr>
        <w:t>mechanisms</w:t>
      </w:r>
      <w:r>
        <w:rPr>
          <w:spacing w:val="-6"/>
          <w:sz w:val="24"/>
        </w:rPr>
        <w:t> </w:t>
      </w:r>
      <w:r>
        <w:rPr>
          <w:sz w:val="24"/>
        </w:rPr>
        <w:t>and</w:t>
      </w:r>
      <w:r>
        <w:rPr>
          <w:spacing w:val="-6"/>
          <w:sz w:val="24"/>
        </w:rPr>
        <w:t> </w:t>
      </w:r>
      <w:r>
        <w:rPr>
          <w:sz w:val="24"/>
        </w:rPr>
        <w:t>audit report</w:t>
      </w:r>
      <w:r>
        <w:rPr>
          <w:spacing w:val="-4"/>
          <w:sz w:val="24"/>
        </w:rPr>
        <w:t> </w:t>
      </w:r>
      <w:r>
        <w:rPr>
          <w:sz w:val="24"/>
        </w:rPr>
        <w:t>timeliness:</w:t>
      </w:r>
      <w:r>
        <w:rPr>
          <w:spacing w:val="-3"/>
          <w:sz w:val="24"/>
        </w:rPr>
        <w:t> </w:t>
      </w:r>
      <w:r>
        <w:rPr>
          <w:sz w:val="24"/>
        </w:rPr>
        <w:t>empirical</w:t>
      </w:r>
      <w:r>
        <w:rPr>
          <w:spacing w:val="-3"/>
          <w:sz w:val="24"/>
        </w:rPr>
        <w:t> </w:t>
      </w:r>
      <w:r>
        <w:rPr>
          <w:sz w:val="24"/>
        </w:rPr>
        <w:t>evidence</w:t>
      </w:r>
      <w:r>
        <w:rPr>
          <w:spacing w:val="-4"/>
          <w:sz w:val="24"/>
        </w:rPr>
        <w:t> </w:t>
      </w:r>
      <w:r>
        <w:rPr>
          <w:sz w:val="24"/>
        </w:rPr>
        <w:t>from</w:t>
      </w:r>
      <w:r>
        <w:rPr>
          <w:spacing w:val="-3"/>
          <w:sz w:val="24"/>
        </w:rPr>
        <w:t> </w:t>
      </w:r>
      <w:r>
        <w:rPr>
          <w:sz w:val="24"/>
        </w:rPr>
        <w:t>Oman. </w:t>
      </w:r>
      <w:r>
        <w:rPr>
          <w:i/>
          <w:sz w:val="24"/>
        </w:rPr>
        <w:t>International</w:t>
      </w:r>
      <w:r>
        <w:rPr>
          <w:i/>
          <w:spacing w:val="-3"/>
          <w:sz w:val="24"/>
        </w:rPr>
        <w:t> </w:t>
      </w:r>
      <w:r>
        <w:rPr>
          <w:i/>
          <w:sz w:val="24"/>
        </w:rPr>
        <w:t>Journal</w:t>
      </w:r>
      <w:r>
        <w:rPr>
          <w:i/>
          <w:spacing w:val="-3"/>
          <w:sz w:val="24"/>
        </w:rPr>
        <w:t> </w:t>
      </w:r>
      <w:r>
        <w:rPr>
          <w:i/>
          <w:sz w:val="24"/>
        </w:rPr>
        <w:t>of</w:t>
      </w:r>
      <w:r>
        <w:rPr>
          <w:i/>
          <w:spacing w:val="-4"/>
          <w:sz w:val="24"/>
        </w:rPr>
        <w:t> </w:t>
      </w:r>
      <w:r>
        <w:rPr>
          <w:i/>
          <w:sz w:val="24"/>
        </w:rPr>
        <w:t>Accounting, Auditing and Performance Evaluation</w:t>
      </w:r>
      <w:r>
        <w:rPr>
          <w:sz w:val="24"/>
        </w:rPr>
        <w:t>, </w:t>
      </w:r>
      <w:r>
        <w:rPr>
          <w:i/>
          <w:sz w:val="24"/>
        </w:rPr>
        <w:t>11</w:t>
      </w:r>
      <w:r>
        <w:rPr>
          <w:sz w:val="24"/>
        </w:rPr>
        <w:t>(3-4), 312-337.</w:t>
      </w:r>
    </w:p>
    <w:p>
      <w:pPr>
        <w:pStyle w:val="BodyText"/>
      </w:pPr>
    </w:p>
    <w:p>
      <w:pPr>
        <w:pStyle w:val="BodyText"/>
        <w:ind w:left="1571" w:right="1436" w:hanging="723"/>
        <w:jc w:val="both"/>
      </w:pPr>
      <w:r>
        <w:rPr/>
        <w:t>Madakawi, A. (2012). Audit Committee Characteristics and Financial Reporting Quality: Evidence from Nigerian Listed Companies Unpublished PhD dissertation, Malaysia: Universiti Utara Malaysia. Retrieved from </w:t>
      </w:r>
      <w:r>
        <w:rPr>
          <w:u w:val="single"/>
        </w:rPr>
        <w:t>www.researcgate</w:t>
      </w:r>
    </w:p>
    <w:p>
      <w:pPr>
        <w:pStyle w:val="BodyText"/>
      </w:pPr>
    </w:p>
    <w:p>
      <w:pPr>
        <w:spacing w:before="0"/>
        <w:ind w:left="1571" w:right="1438" w:hanging="723"/>
        <w:jc w:val="both"/>
        <w:rPr>
          <w:sz w:val="24"/>
        </w:rPr>
      </w:pPr>
      <w:r>
        <w:rPr>
          <w:sz w:val="24"/>
        </w:rPr>
        <w:t>Mallin,</w:t>
      </w:r>
      <w:r>
        <w:rPr>
          <w:spacing w:val="-13"/>
          <w:sz w:val="24"/>
        </w:rPr>
        <w:t> </w:t>
      </w:r>
      <w:r>
        <w:rPr>
          <w:sz w:val="24"/>
        </w:rPr>
        <w:t>C.</w:t>
      </w:r>
      <w:r>
        <w:rPr>
          <w:spacing w:val="-13"/>
          <w:sz w:val="24"/>
        </w:rPr>
        <w:t> </w:t>
      </w:r>
      <w:r>
        <w:rPr>
          <w:sz w:val="24"/>
        </w:rPr>
        <w:t>(2006).</w:t>
      </w:r>
      <w:r>
        <w:rPr>
          <w:spacing w:val="-13"/>
          <w:sz w:val="24"/>
        </w:rPr>
        <w:t> </w:t>
      </w:r>
      <w:r>
        <w:rPr>
          <w:i/>
          <w:sz w:val="24"/>
        </w:rPr>
        <w:t>International</w:t>
      </w:r>
      <w:r>
        <w:rPr>
          <w:i/>
          <w:spacing w:val="-13"/>
          <w:sz w:val="24"/>
        </w:rPr>
        <w:t> </w:t>
      </w:r>
      <w:r>
        <w:rPr>
          <w:i/>
          <w:sz w:val="24"/>
        </w:rPr>
        <w:t>corporative</w:t>
      </w:r>
      <w:r>
        <w:rPr>
          <w:i/>
          <w:spacing w:val="-15"/>
          <w:sz w:val="24"/>
        </w:rPr>
        <w:t> </w:t>
      </w:r>
      <w:r>
        <w:rPr>
          <w:i/>
          <w:sz w:val="24"/>
        </w:rPr>
        <w:t>governance:</w:t>
      </w:r>
      <w:r>
        <w:rPr>
          <w:i/>
          <w:spacing w:val="-14"/>
          <w:sz w:val="24"/>
        </w:rPr>
        <w:t> </w:t>
      </w:r>
      <w:r>
        <w:rPr>
          <w:i/>
          <w:sz w:val="24"/>
        </w:rPr>
        <w:t>A</w:t>
      </w:r>
      <w:r>
        <w:rPr>
          <w:i/>
          <w:spacing w:val="-11"/>
          <w:sz w:val="24"/>
        </w:rPr>
        <w:t> </w:t>
      </w:r>
      <w:r>
        <w:rPr>
          <w:i/>
          <w:sz w:val="24"/>
        </w:rPr>
        <w:t>case</w:t>
      </w:r>
      <w:r>
        <w:rPr>
          <w:i/>
          <w:spacing w:val="-12"/>
          <w:sz w:val="24"/>
        </w:rPr>
        <w:t> </w:t>
      </w:r>
      <w:r>
        <w:rPr>
          <w:i/>
          <w:sz w:val="24"/>
        </w:rPr>
        <w:t>study</w:t>
      </w:r>
      <w:r>
        <w:rPr>
          <w:i/>
          <w:spacing w:val="-13"/>
          <w:sz w:val="24"/>
        </w:rPr>
        <w:t> </w:t>
      </w:r>
      <w:r>
        <w:rPr>
          <w:i/>
          <w:sz w:val="24"/>
        </w:rPr>
        <w:t>approach</w:t>
      </w:r>
      <w:r>
        <w:rPr>
          <w:sz w:val="24"/>
        </w:rPr>
        <w:t>,</w:t>
      </w:r>
      <w:r>
        <w:rPr>
          <w:spacing w:val="-13"/>
          <w:sz w:val="24"/>
        </w:rPr>
        <w:t> </w:t>
      </w:r>
      <w:r>
        <w:rPr>
          <w:sz w:val="24"/>
        </w:rPr>
        <w:t>Northampton, Massachusetts, USA: Edward Eldar Publishing Ltd. Retrieved from </w:t>
      </w:r>
      <w:r>
        <w:rPr>
          <w:spacing w:val="-2"/>
          <w:sz w:val="24"/>
        </w:rPr>
        <w:t>emerald.insight.com</w:t>
      </w:r>
    </w:p>
    <w:p>
      <w:pPr>
        <w:spacing w:after="0"/>
        <w:jc w:val="both"/>
        <w:rPr>
          <w:sz w:val="24"/>
        </w:rPr>
        <w:sectPr>
          <w:pgSz w:w="11910" w:h="16840"/>
          <w:pgMar w:header="0" w:footer="971" w:top="1360" w:bottom="1160" w:left="500" w:right="0"/>
        </w:sectPr>
      </w:pPr>
    </w:p>
    <w:p>
      <w:pPr>
        <w:pStyle w:val="BodyText"/>
        <w:spacing w:before="61"/>
        <w:ind w:left="1571" w:right="1444" w:hanging="723"/>
        <w:jc w:val="both"/>
      </w:pPr>
      <w:r>
        <w:rPr/>
        <w:t>Marinez-Ferrero, J. (2014). Consequences of financial reporting quality on corporate performance: Evidence at the International level. </w:t>
      </w:r>
      <w:r>
        <w:rPr>
          <w:i/>
        </w:rPr>
        <w:t>Estudios de Economia, 41</w:t>
      </w:r>
      <w:r>
        <w:rPr/>
        <w:t>(1), 49-88.</w:t>
      </w:r>
    </w:p>
    <w:p>
      <w:pPr>
        <w:pStyle w:val="BodyText"/>
      </w:pPr>
    </w:p>
    <w:p>
      <w:pPr>
        <w:spacing w:before="0"/>
        <w:ind w:left="1571" w:right="1437" w:hanging="723"/>
        <w:jc w:val="both"/>
        <w:rPr>
          <w:sz w:val="24"/>
        </w:rPr>
      </w:pPr>
      <w:r>
        <w:rPr>
          <w:sz w:val="24"/>
        </w:rPr>
        <w:t>Masound, N. (2014). Libya’s IAS/IFRS adoption and accounting quality: What lessons from the European Union experience. </w:t>
      </w:r>
      <w:r>
        <w:rPr>
          <w:i/>
          <w:sz w:val="24"/>
        </w:rPr>
        <w:t>International Journal of Accounting and Financial Reporting, 4</w:t>
      </w:r>
      <w:r>
        <w:rPr>
          <w:sz w:val="24"/>
        </w:rPr>
        <w:t>(3), 118-141.</w:t>
      </w:r>
    </w:p>
    <w:p>
      <w:pPr>
        <w:pStyle w:val="BodyText"/>
      </w:pPr>
    </w:p>
    <w:p>
      <w:pPr>
        <w:pStyle w:val="BodyText"/>
        <w:ind w:left="1571" w:right="1442" w:hanging="723"/>
        <w:jc w:val="both"/>
      </w:pPr>
      <w:r>
        <w:rPr/>
        <w:t>McNichols, F. (2002). Discussion of the quality of accruals and earnings: The role of accrual estimation errors. </w:t>
      </w:r>
      <w:r>
        <w:rPr>
          <w:i/>
        </w:rPr>
        <w:t>The Accounting Review</w:t>
      </w:r>
      <w:r>
        <w:rPr/>
        <w:t>, </w:t>
      </w:r>
      <w:r>
        <w:rPr>
          <w:i/>
        </w:rPr>
        <w:t>77</w:t>
      </w:r>
      <w:r>
        <w:rPr/>
        <w:t>(4), 61-69.</w:t>
      </w:r>
    </w:p>
    <w:p>
      <w:pPr>
        <w:pStyle w:val="BodyText"/>
      </w:pPr>
    </w:p>
    <w:p>
      <w:pPr>
        <w:pStyle w:val="BodyText"/>
        <w:ind w:left="1571" w:right="1442" w:hanging="723"/>
        <w:jc w:val="both"/>
      </w:pPr>
      <w:r>
        <w:rPr/>
        <w:drawing>
          <wp:anchor distT="0" distB="0" distL="0" distR="0" allowOverlap="1" layoutInCell="1" locked="0" behindDoc="1" simplePos="0" relativeHeight="477774848">
            <wp:simplePos x="0" y="0"/>
            <wp:positionH relativeFrom="page">
              <wp:posOffset>1095451</wp:posOffset>
            </wp:positionH>
            <wp:positionV relativeFrom="paragraph">
              <wp:posOffset>59584</wp:posOffset>
            </wp:positionV>
            <wp:extent cx="5106847" cy="5238115"/>
            <wp:effectExtent l="0" t="0" r="0" b="0"/>
            <wp:wrapNone/>
            <wp:docPr id="263" name="Image 263"/>
            <wp:cNvGraphicFramePr>
              <a:graphicFrameLocks/>
            </wp:cNvGraphicFramePr>
            <a:graphic>
              <a:graphicData uri="http://schemas.openxmlformats.org/drawingml/2006/picture">
                <pic:pic>
                  <pic:nvPicPr>
                    <pic:cNvPr id="263" name="Image 263"/>
                    <pic:cNvPicPr/>
                  </pic:nvPicPr>
                  <pic:blipFill>
                    <a:blip r:embed="rId24" cstate="print"/>
                    <a:stretch>
                      <a:fillRect/>
                    </a:stretch>
                  </pic:blipFill>
                  <pic:spPr>
                    <a:xfrm>
                      <a:off x="0" y="0"/>
                      <a:ext cx="5106847" cy="5238115"/>
                    </a:xfrm>
                    <a:prstGeom prst="rect">
                      <a:avLst/>
                    </a:prstGeom>
                  </pic:spPr>
                </pic:pic>
              </a:graphicData>
            </a:graphic>
          </wp:anchor>
        </w:drawing>
      </w:r>
      <w:r>
        <w:rPr/>
        <w:t>McNichols,</w:t>
      </w:r>
      <w:r>
        <w:rPr>
          <w:spacing w:val="-15"/>
        </w:rPr>
        <w:t> </w:t>
      </w:r>
      <w:r>
        <w:rPr/>
        <w:t>M.</w:t>
      </w:r>
      <w:r>
        <w:rPr>
          <w:spacing w:val="-15"/>
        </w:rPr>
        <w:t> </w:t>
      </w:r>
      <w:r>
        <w:rPr/>
        <w:t>F.,</w:t>
      </w:r>
      <w:r>
        <w:rPr>
          <w:spacing w:val="-15"/>
        </w:rPr>
        <w:t> </w:t>
      </w:r>
      <w:r>
        <w:rPr/>
        <w:t>&amp;</w:t>
      </w:r>
      <w:r>
        <w:rPr>
          <w:spacing w:val="-15"/>
        </w:rPr>
        <w:t> </w:t>
      </w:r>
      <w:r>
        <w:rPr/>
        <w:t>Stubben,</w:t>
      </w:r>
      <w:r>
        <w:rPr>
          <w:spacing w:val="-15"/>
        </w:rPr>
        <w:t> </w:t>
      </w:r>
      <w:r>
        <w:rPr/>
        <w:t>S.</w:t>
      </w:r>
      <w:r>
        <w:rPr>
          <w:spacing w:val="-15"/>
        </w:rPr>
        <w:t> </w:t>
      </w:r>
      <w:r>
        <w:rPr/>
        <w:t>R.</w:t>
      </w:r>
      <w:r>
        <w:rPr>
          <w:spacing w:val="-15"/>
        </w:rPr>
        <w:t> </w:t>
      </w:r>
      <w:r>
        <w:rPr/>
        <w:t>(2008).</w:t>
      </w:r>
      <w:r>
        <w:rPr>
          <w:spacing w:val="-15"/>
        </w:rPr>
        <w:t> </w:t>
      </w:r>
      <w:r>
        <w:rPr/>
        <w:t>Does</w:t>
      </w:r>
      <w:r>
        <w:rPr>
          <w:spacing w:val="-15"/>
        </w:rPr>
        <w:t> </w:t>
      </w:r>
      <w:r>
        <w:rPr/>
        <w:t>earnings</w:t>
      </w:r>
      <w:r>
        <w:rPr>
          <w:spacing w:val="-15"/>
        </w:rPr>
        <w:t> </w:t>
      </w:r>
      <w:r>
        <w:rPr/>
        <w:t>management</w:t>
      </w:r>
      <w:r>
        <w:rPr>
          <w:spacing w:val="-15"/>
        </w:rPr>
        <w:t> </w:t>
      </w:r>
      <w:r>
        <w:rPr/>
        <w:t>affect</w:t>
      </w:r>
      <w:r>
        <w:rPr>
          <w:spacing w:val="-15"/>
        </w:rPr>
        <w:t> </w:t>
      </w:r>
      <w:r>
        <w:rPr/>
        <w:t>firms’</w:t>
      </w:r>
      <w:r>
        <w:rPr>
          <w:spacing w:val="-15"/>
        </w:rPr>
        <w:t> </w:t>
      </w:r>
      <w:r>
        <w:rPr/>
        <w:t>investment decisions? </w:t>
      </w:r>
      <w:r>
        <w:rPr>
          <w:i/>
        </w:rPr>
        <w:t>The Accounting Review, 83</w:t>
      </w:r>
      <w:r>
        <w:rPr/>
        <w:t>(6), 1571-1603.</w:t>
      </w:r>
    </w:p>
    <w:p>
      <w:pPr>
        <w:pStyle w:val="BodyText"/>
        <w:spacing w:before="241"/>
      </w:pPr>
    </w:p>
    <w:p>
      <w:pPr>
        <w:spacing w:before="0"/>
        <w:ind w:left="1571" w:right="1442" w:hanging="723"/>
        <w:jc w:val="both"/>
        <w:rPr>
          <w:sz w:val="24"/>
        </w:rPr>
      </w:pPr>
      <w:r>
        <w:rPr>
          <w:sz w:val="24"/>
        </w:rPr>
        <w:t>McConnell,</w:t>
      </w:r>
      <w:r>
        <w:rPr>
          <w:spacing w:val="-8"/>
          <w:sz w:val="24"/>
        </w:rPr>
        <w:t> </w:t>
      </w:r>
      <w:r>
        <w:rPr>
          <w:sz w:val="24"/>
        </w:rPr>
        <w:t>J.</w:t>
      </w:r>
      <w:r>
        <w:rPr>
          <w:spacing w:val="-8"/>
          <w:sz w:val="24"/>
        </w:rPr>
        <w:t> </w:t>
      </w:r>
      <w:r>
        <w:rPr>
          <w:sz w:val="24"/>
        </w:rPr>
        <w:t>J.,</w:t>
      </w:r>
      <w:r>
        <w:rPr>
          <w:spacing w:val="-8"/>
          <w:sz w:val="24"/>
        </w:rPr>
        <w:t> </w:t>
      </w:r>
      <w:r>
        <w:rPr>
          <w:sz w:val="24"/>
        </w:rPr>
        <w:t>&amp;</w:t>
      </w:r>
      <w:r>
        <w:rPr>
          <w:spacing w:val="-10"/>
          <w:sz w:val="24"/>
        </w:rPr>
        <w:t> </w:t>
      </w:r>
      <w:r>
        <w:rPr>
          <w:sz w:val="24"/>
        </w:rPr>
        <w:t>Servaes,</w:t>
      </w:r>
      <w:r>
        <w:rPr>
          <w:spacing w:val="-8"/>
          <w:sz w:val="24"/>
        </w:rPr>
        <w:t> </w:t>
      </w:r>
      <w:r>
        <w:rPr>
          <w:sz w:val="24"/>
        </w:rPr>
        <w:t>H.</w:t>
      </w:r>
      <w:r>
        <w:rPr>
          <w:spacing w:val="-9"/>
          <w:sz w:val="24"/>
        </w:rPr>
        <w:t> </w:t>
      </w:r>
      <w:r>
        <w:rPr>
          <w:sz w:val="24"/>
        </w:rPr>
        <w:t>(1990).</w:t>
      </w:r>
      <w:r>
        <w:rPr>
          <w:spacing w:val="-9"/>
          <w:sz w:val="24"/>
        </w:rPr>
        <w:t> </w:t>
      </w:r>
      <w:r>
        <w:rPr>
          <w:sz w:val="24"/>
        </w:rPr>
        <w:t>Additional</w:t>
      </w:r>
      <w:r>
        <w:rPr>
          <w:spacing w:val="-8"/>
          <w:sz w:val="24"/>
        </w:rPr>
        <w:t> </w:t>
      </w:r>
      <w:r>
        <w:rPr>
          <w:sz w:val="24"/>
        </w:rPr>
        <w:t>evidence</w:t>
      </w:r>
      <w:r>
        <w:rPr>
          <w:spacing w:val="-9"/>
          <w:sz w:val="24"/>
        </w:rPr>
        <w:t> </w:t>
      </w:r>
      <w:r>
        <w:rPr>
          <w:sz w:val="24"/>
        </w:rPr>
        <w:t>on</w:t>
      </w:r>
      <w:r>
        <w:rPr>
          <w:spacing w:val="-8"/>
          <w:sz w:val="24"/>
        </w:rPr>
        <w:t> </w:t>
      </w:r>
      <w:r>
        <w:rPr>
          <w:sz w:val="24"/>
        </w:rPr>
        <w:t>equity</w:t>
      </w:r>
      <w:r>
        <w:rPr>
          <w:spacing w:val="-8"/>
          <w:sz w:val="24"/>
        </w:rPr>
        <w:t> </w:t>
      </w:r>
      <w:r>
        <w:rPr>
          <w:sz w:val="24"/>
        </w:rPr>
        <w:t>ownership</w:t>
      </w:r>
      <w:r>
        <w:rPr>
          <w:spacing w:val="-8"/>
          <w:sz w:val="24"/>
        </w:rPr>
        <w:t> </w:t>
      </w:r>
      <w:r>
        <w:rPr>
          <w:sz w:val="24"/>
        </w:rPr>
        <w:t>and</w:t>
      </w:r>
      <w:r>
        <w:rPr>
          <w:spacing w:val="-8"/>
          <w:sz w:val="24"/>
        </w:rPr>
        <w:t> </w:t>
      </w:r>
      <w:r>
        <w:rPr>
          <w:sz w:val="24"/>
        </w:rPr>
        <w:t>corporate value. </w:t>
      </w:r>
      <w:r>
        <w:rPr>
          <w:i/>
          <w:sz w:val="24"/>
        </w:rPr>
        <w:t>Journal of Financial Economics</w:t>
      </w:r>
      <w:r>
        <w:rPr>
          <w:sz w:val="24"/>
        </w:rPr>
        <w:t>, </w:t>
      </w:r>
      <w:r>
        <w:rPr>
          <w:i/>
          <w:sz w:val="24"/>
        </w:rPr>
        <w:t>27</w:t>
      </w:r>
      <w:r>
        <w:rPr>
          <w:sz w:val="24"/>
        </w:rPr>
        <w:t>(2), 595-612.</w:t>
      </w:r>
    </w:p>
    <w:p>
      <w:pPr>
        <w:pStyle w:val="BodyText"/>
      </w:pPr>
    </w:p>
    <w:p>
      <w:pPr>
        <w:pStyle w:val="BodyText"/>
        <w:ind w:left="849"/>
      </w:pPr>
      <w:r>
        <w:rPr/>
        <w:t>Morck,</w:t>
      </w:r>
      <w:r>
        <w:rPr>
          <w:spacing w:val="14"/>
        </w:rPr>
        <w:t> </w:t>
      </w:r>
      <w:r>
        <w:rPr/>
        <w:t>R.,</w:t>
      </w:r>
      <w:r>
        <w:rPr>
          <w:spacing w:val="17"/>
        </w:rPr>
        <w:t> </w:t>
      </w:r>
      <w:r>
        <w:rPr/>
        <w:t>Shleifer,</w:t>
      </w:r>
      <w:r>
        <w:rPr>
          <w:spacing w:val="17"/>
        </w:rPr>
        <w:t> </w:t>
      </w:r>
      <w:r>
        <w:rPr/>
        <w:t>A.,</w:t>
      </w:r>
      <w:r>
        <w:rPr>
          <w:spacing w:val="17"/>
        </w:rPr>
        <w:t> </w:t>
      </w:r>
      <w:r>
        <w:rPr/>
        <w:t>&amp;</w:t>
      </w:r>
      <w:r>
        <w:rPr>
          <w:spacing w:val="18"/>
        </w:rPr>
        <w:t> </w:t>
      </w:r>
      <w:r>
        <w:rPr/>
        <w:t>Vishny,</w:t>
      </w:r>
      <w:r>
        <w:rPr>
          <w:spacing w:val="18"/>
        </w:rPr>
        <w:t> </w:t>
      </w:r>
      <w:r>
        <w:rPr/>
        <w:t>R.</w:t>
      </w:r>
      <w:r>
        <w:rPr>
          <w:spacing w:val="17"/>
        </w:rPr>
        <w:t> </w:t>
      </w:r>
      <w:r>
        <w:rPr/>
        <w:t>(1988).</w:t>
      </w:r>
      <w:r>
        <w:rPr>
          <w:spacing w:val="17"/>
        </w:rPr>
        <w:t> </w:t>
      </w:r>
      <w:r>
        <w:rPr/>
        <w:t>Management</w:t>
      </w:r>
      <w:r>
        <w:rPr>
          <w:spacing w:val="17"/>
        </w:rPr>
        <w:t> </w:t>
      </w:r>
      <w:r>
        <w:rPr/>
        <w:t>ownership</w:t>
      </w:r>
      <w:r>
        <w:rPr>
          <w:spacing w:val="17"/>
        </w:rPr>
        <w:t> </w:t>
      </w:r>
      <w:r>
        <w:rPr/>
        <w:t>and</w:t>
      </w:r>
      <w:r>
        <w:rPr>
          <w:spacing w:val="17"/>
        </w:rPr>
        <w:t> </w:t>
      </w:r>
      <w:r>
        <w:rPr/>
        <w:t>market</w:t>
      </w:r>
      <w:r>
        <w:rPr>
          <w:spacing w:val="18"/>
        </w:rPr>
        <w:t> </w:t>
      </w:r>
      <w:r>
        <w:rPr>
          <w:spacing w:val="-2"/>
        </w:rPr>
        <w:t>valuation.</w:t>
      </w:r>
    </w:p>
    <w:p>
      <w:pPr>
        <w:spacing w:before="0"/>
        <w:ind w:left="1571" w:right="0" w:firstLine="0"/>
        <w:jc w:val="left"/>
        <w:rPr>
          <w:sz w:val="24"/>
        </w:rPr>
      </w:pPr>
      <w:r>
        <w:rPr>
          <w:i/>
          <w:sz w:val="24"/>
        </w:rPr>
        <w:t>Journal</w:t>
      </w:r>
      <w:r>
        <w:rPr>
          <w:i/>
          <w:spacing w:val="-2"/>
          <w:sz w:val="24"/>
        </w:rPr>
        <w:t> </w:t>
      </w:r>
      <w:r>
        <w:rPr>
          <w:i/>
          <w:sz w:val="24"/>
        </w:rPr>
        <w:t>of</w:t>
      </w:r>
      <w:r>
        <w:rPr>
          <w:i/>
          <w:spacing w:val="-2"/>
          <w:sz w:val="24"/>
        </w:rPr>
        <w:t> </w:t>
      </w:r>
      <w:r>
        <w:rPr>
          <w:i/>
          <w:sz w:val="24"/>
        </w:rPr>
        <w:t>Financial</w:t>
      </w:r>
      <w:r>
        <w:rPr>
          <w:i/>
          <w:spacing w:val="-1"/>
          <w:sz w:val="24"/>
        </w:rPr>
        <w:t> </w:t>
      </w:r>
      <w:r>
        <w:rPr>
          <w:i/>
          <w:sz w:val="24"/>
        </w:rPr>
        <w:t>Economics,</w:t>
      </w:r>
      <w:r>
        <w:rPr>
          <w:i/>
          <w:spacing w:val="-1"/>
          <w:sz w:val="24"/>
        </w:rPr>
        <w:t> </w:t>
      </w:r>
      <w:r>
        <w:rPr>
          <w:i/>
          <w:sz w:val="24"/>
        </w:rPr>
        <w:t>20</w:t>
      </w:r>
      <w:r>
        <w:rPr>
          <w:sz w:val="24"/>
        </w:rPr>
        <w:t>(4),</w:t>
      </w:r>
      <w:r>
        <w:rPr>
          <w:spacing w:val="-1"/>
          <w:sz w:val="24"/>
        </w:rPr>
        <w:t> </w:t>
      </w:r>
      <w:r>
        <w:rPr>
          <w:sz w:val="24"/>
        </w:rPr>
        <w:t>293-</w:t>
      </w:r>
      <w:r>
        <w:rPr>
          <w:spacing w:val="-4"/>
          <w:sz w:val="24"/>
        </w:rPr>
        <w:t>315.</w:t>
      </w:r>
    </w:p>
    <w:p>
      <w:pPr>
        <w:pStyle w:val="BodyText"/>
      </w:pPr>
    </w:p>
    <w:p>
      <w:pPr>
        <w:pStyle w:val="BodyText"/>
        <w:ind w:left="1571" w:right="1439" w:hanging="723"/>
        <w:jc w:val="both"/>
      </w:pPr>
      <w:r>
        <w:rPr/>
        <w:t>Morais A. I., </w:t>
      </w:r>
      <w:r>
        <w:rPr>
          <w:i/>
        </w:rPr>
        <w:t>&amp; </w:t>
      </w:r>
      <w:r>
        <w:rPr/>
        <w:t>Curto J. D., (2008). Accounting quality and the adoption of IASB standards: Portuguese evidence. </w:t>
      </w:r>
      <w:r>
        <w:rPr>
          <w:i/>
        </w:rPr>
        <w:t>Rev. contab. Finanç, 19</w:t>
      </w:r>
      <w:r>
        <w:rPr/>
        <w:t>(48), 103–111.</w:t>
      </w:r>
    </w:p>
    <w:p>
      <w:pPr>
        <w:pStyle w:val="BodyText"/>
      </w:pPr>
    </w:p>
    <w:p>
      <w:pPr>
        <w:pStyle w:val="BodyText"/>
        <w:ind w:left="1571" w:right="1440" w:hanging="723"/>
        <w:jc w:val="both"/>
      </w:pPr>
      <w:r>
        <w:rPr/>
        <w:t>Nnadi, M. (2016).</w:t>
      </w:r>
      <w:r>
        <w:rPr>
          <w:spacing w:val="40"/>
        </w:rPr>
        <w:t> </w:t>
      </w:r>
      <w:r>
        <w:rPr/>
        <w:t>International Financial Reporting Standards (IFRS) and financial reporting quality in emerging economies: Evidence from China and Hong Kong. Retrieved from </w:t>
      </w:r>
      <w:hyperlink r:id="rId13">
        <w:r>
          <w:rPr>
            <w:spacing w:val="-2"/>
          </w:rPr>
          <w:t>www.researchgate.com</w:t>
        </w:r>
      </w:hyperlink>
    </w:p>
    <w:p>
      <w:pPr>
        <w:pStyle w:val="BodyText"/>
      </w:pPr>
    </w:p>
    <w:p>
      <w:pPr>
        <w:spacing w:before="0"/>
        <w:ind w:left="1571" w:right="1446" w:hanging="723"/>
        <w:jc w:val="both"/>
        <w:rPr>
          <w:sz w:val="24"/>
        </w:rPr>
      </w:pPr>
      <w:r>
        <w:rPr>
          <w:sz w:val="24"/>
        </w:rPr>
        <w:t>Naeem,</w:t>
      </w:r>
      <w:r>
        <w:rPr>
          <w:spacing w:val="-1"/>
          <w:sz w:val="24"/>
        </w:rPr>
        <w:t> </w:t>
      </w:r>
      <w:r>
        <w:rPr>
          <w:sz w:val="24"/>
        </w:rPr>
        <w:t>M., Hunjra,</w:t>
      </w:r>
      <w:r>
        <w:rPr>
          <w:spacing w:val="-1"/>
          <w:sz w:val="24"/>
        </w:rPr>
        <w:t> </w:t>
      </w:r>
      <w:r>
        <w:rPr>
          <w:sz w:val="24"/>
        </w:rPr>
        <w:t>A.I., &amp;</w:t>
      </w:r>
      <w:r>
        <w:rPr>
          <w:spacing w:val="-1"/>
          <w:sz w:val="24"/>
        </w:rPr>
        <w:t> </w:t>
      </w:r>
      <w:r>
        <w:rPr>
          <w:sz w:val="24"/>
        </w:rPr>
        <w:t>Khalid,</w:t>
      </w:r>
      <w:r>
        <w:rPr>
          <w:spacing w:val="-1"/>
          <w:sz w:val="24"/>
        </w:rPr>
        <w:t> </w:t>
      </w:r>
      <w:r>
        <w:rPr>
          <w:sz w:val="24"/>
        </w:rPr>
        <w:t>B.</w:t>
      </w:r>
      <w:r>
        <w:rPr>
          <w:spacing w:val="-1"/>
          <w:sz w:val="24"/>
        </w:rPr>
        <w:t> </w:t>
      </w:r>
      <w:r>
        <w:rPr>
          <w:sz w:val="24"/>
        </w:rPr>
        <w:t>(2012).</w:t>
      </w:r>
      <w:r>
        <w:rPr>
          <w:spacing w:val="-2"/>
          <w:sz w:val="24"/>
        </w:rPr>
        <w:t> </w:t>
      </w:r>
      <w:r>
        <w:rPr>
          <w:sz w:val="24"/>
        </w:rPr>
        <w:t>Measuring</w:t>
      </w:r>
      <w:r>
        <w:rPr>
          <w:spacing w:val="-1"/>
          <w:sz w:val="24"/>
        </w:rPr>
        <w:t> </w:t>
      </w:r>
      <w:r>
        <w:rPr>
          <w:sz w:val="24"/>
        </w:rPr>
        <w:t>the</w:t>
      </w:r>
      <w:r>
        <w:rPr>
          <w:spacing w:val="-2"/>
          <w:sz w:val="24"/>
        </w:rPr>
        <w:t> </w:t>
      </w:r>
      <w:r>
        <w:rPr>
          <w:sz w:val="24"/>
        </w:rPr>
        <w:t>validity</w:t>
      </w:r>
      <w:r>
        <w:rPr>
          <w:spacing w:val="-1"/>
          <w:sz w:val="24"/>
        </w:rPr>
        <w:t> </w:t>
      </w:r>
      <w:r>
        <w:rPr>
          <w:sz w:val="24"/>
        </w:rPr>
        <w:t>of</w:t>
      </w:r>
      <w:r>
        <w:rPr>
          <w:spacing w:val="-2"/>
          <w:sz w:val="24"/>
        </w:rPr>
        <w:t> </w:t>
      </w:r>
      <w:r>
        <w:rPr>
          <w:sz w:val="24"/>
        </w:rPr>
        <w:t>the</w:t>
      </w:r>
      <w:r>
        <w:rPr>
          <w:spacing w:val="-2"/>
          <w:sz w:val="24"/>
        </w:rPr>
        <w:t> </w:t>
      </w:r>
      <w:r>
        <w:rPr>
          <w:sz w:val="24"/>
        </w:rPr>
        <w:t>influential</w:t>
      </w:r>
      <w:r>
        <w:rPr>
          <w:spacing w:val="-1"/>
          <w:sz w:val="24"/>
        </w:rPr>
        <w:t> </w:t>
      </w:r>
      <w:r>
        <w:rPr>
          <w:sz w:val="24"/>
        </w:rPr>
        <w:t>factors for good corporate governance. </w:t>
      </w:r>
      <w:r>
        <w:rPr>
          <w:i/>
          <w:sz w:val="24"/>
        </w:rPr>
        <w:t>Bulletin of Business and Economies, 1</w:t>
      </w:r>
      <w:r>
        <w:rPr>
          <w:sz w:val="24"/>
        </w:rPr>
        <w:t>(2), 13-22.</w:t>
      </w:r>
    </w:p>
    <w:p>
      <w:pPr>
        <w:pStyle w:val="BodyText"/>
      </w:pPr>
    </w:p>
    <w:p>
      <w:pPr>
        <w:spacing w:before="1"/>
        <w:ind w:left="1571" w:right="1443" w:hanging="723"/>
        <w:jc w:val="both"/>
        <w:rPr>
          <w:sz w:val="24"/>
        </w:rPr>
      </w:pPr>
      <w:r>
        <w:rPr>
          <w:sz w:val="24"/>
        </w:rPr>
        <w:t>Nesrine, K., &amp; Abdelwahed, O. (2011). Corporate governance and financial reporting quality: The case of Tunisian firm. </w:t>
      </w:r>
      <w:r>
        <w:rPr>
          <w:i/>
          <w:sz w:val="24"/>
        </w:rPr>
        <w:t>International Business Research, 4</w:t>
      </w:r>
      <w:r>
        <w:rPr>
          <w:sz w:val="24"/>
        </w:rPr>
        <w:t>(1), 158-166.</w:t>
      </w:r>
    </w:p>
    <w:p>
      <w:pPr>
        <w:pStyle w:val="BodyText"/>
        <w:spacing w:before="276"/>
        <w:ind w:left="1571" w:right="1434" w:hanging="723"/>
        <w:jc w:val="both"/>
      </w:pPr>
      <w:r>
        <w:rPr/>
        <w:t>Nichols, D., &amp; Wahlen, J. (2004). How do Earnings Numbers Relate to Stock Returns? A Review</w:t>
      </w:r>
      <w:r>
        <w:rPr>
          <w:spacing w:val="-5"/>
        </w:rPr>
        <w:t> </w:t>
      </w:r>
      <w:r>
        <w:rPr/>
        <w:t>of</w:t>
      </w:r>
      <w:r>
        <w:rPr>
          <w:spacing w:val="-4"/>
        </w:rPr>
        <w:t> </w:t>
      </w:r>
      <w:r>
        <w:rPr/>
        <w:t>Classic</w:t>
      </w:r>
      <w:r>
        <w:rPr>
          <w:spacing w:val="-3"/>
        </w:rPr>
        <w:t> </w:t>
      </w:r>
      <w:r>
        <w:rPr/>
        <w:t>Accounting</w:t>
      </w:r>
      <w:r>
        <w:rPr>
          <w:spacing w:val="-4"/>
        </w:rPr>
        <w:t> </w:t>
      </w:r>
      <w:r>
        <w:rPr/>
        <w:t>Research</w:t>
      </w:r>
      <w:r>
        <w:rPr>
          <w:spacing w:val="-2"/>
        </w:rPr>
        <w:t> </w:t>
      </w:r>
      <w:r>
        <w:rPr/>
        <w:t>with</w:t>
      </w:r>
      <w:r>
        <w:rPr>
          <w:spacing w:val="-4"/>
        </w:rPr>
        <w:t> </w:t>
      </w:r>
      <w:r>
        <w:rPr/>
        <w:t>Updated</w:t>
      </w:r>
      <w:r>
        <w:rPr>
          <w:spacing w:val="-4"/>
        </w:rPr>
        <w:t> </w:t>
      </w:r>
      <w:r>
        <w:rPr/>
        <w:t>Evidence. </w:t>
      </w:r>
      <w:r>
        <w:rPr>
          <w:i/>
        </w:rPr>
        <w:t>Accounting</w:t>
      </w:r>
      <w:r>
        <w:rPr>
          <w:i/>
          <w:spacing w:val="-4"/>
        </w:rPr>
        <w:t> </w:t>
      </w:r>
      <w:r>
        <w:rPr>
          <w:i/>
        </w:rPr>
        <w:t>Horizons, 18</w:t>
      </w:r>
      <w:r>
        <w:rPr/>
        <w:t>(4), 263-286.</w:t>
      </w:r>
    </w:p>
    <w:p>
      <w:pPr>
        <w:pStyle w:val="BodyText"/>
      </w:pPr>
    </w:p>
    <w:p>
      <w:pPr>
        <w:spacing w:before="0"/>
        <w:ind w:left="1571" w:right="1438" w:hanging="723"/>
        <w:jc w:val="both"/>
        <w:rPr>
          <w:sz w:val="24"/>
        </w:rPr>
      </w:pPr>
      <w:r>
        <w:rPr>
          <w:sz w:val="24"/>
        </w:rPr>
        <w:t>Nobes, C. (2006).</w:t>
      </w:r>
      <w:r>
        <w:rPr>
          <w:spacing w:val="40"/>
          <w:sz w:val="24"/>
        </w:rPr>
        <w:t> </w:t>
      </w:r>
      <w:r>
        <w:rPr>
          <w:sz w:val="24"/>
        </w:rPr>
        <w:t>The survival of international differences under IFRS: Towards a research agenda. </w:t>
      </w:r>
      <w:r>
        <w:rPr>
          <w:i/>
          <w:sz w:val="24"/>
        </w:rPr>
        <w:t>Accounting and Business Research, 36</w:t>
      </w:r>
      <w:r>
        <w:rPr>
          <w:sz w:val="24"/>
        </w:rPr>
        <w:t>(3), 233-245.</w:t>
      </w:r>
    </w:p>
    <w:p>
      <w:pPr>
        <w:pStyle w:val="BodyText"/>
      </w:pPr>
    </w:p>
    <w:p>
      <w:pPr>
        <w:spacing w:before="0"/>
        <w:ind w:left="1571" w:right="1436" w:hanging="723"/>
        <w:jc w:val="both"/>
        <w:rPr>
          <w:sz w:val="24"/>
        </w:rPr>
      </w:pPr>
      <w:r>
        <w:rPr>
          <w:sz w:val="24"/>
        </w:rPr>
        <w:t>Nulla Y. M. (2014). Does IFRS influence quality of reporting?: An empirical evidence from large</w:t>
      </w:r>
      <w:r>
        <w:rPr>
          <w:spacing w:val="-9"/>
          <w:sz w:val="24"/>
        </w:rPr>
        <w:t> </w:t>
      </w:r>
      <w:r>
        <w:rPr>
          <w:sz w:val="24"/>
        </w:rPr>
        <w:t>Canadian</w:t>
      </w:r>
      <w:r>
        <w:rPr>
          <w:spacing w:val="-7"/>
          <w:sz w:val="24"/>
        </w:rPr>
        <w:t> </w:t>
      </w:r>
      <w:r>
        <w:rPr>
          <w:sz w:val="24"/>
        </w:rPr>
        <w:t>banks.</w:t>
      </w:r>
      <w:r>
        <w:rPr>
          <w:spacing w:val="-5"/>
          <w:sz w:val="24"/>
        </w:rPr>
        <w:t> </w:t>
      </w:r>
      <w:r>
        <w:rPr>
          <w:i/>
          <w:sz w:val="24"/>
        </w:rPr>
        <w:t>International</w:t>
      </w:r>
      <w:r>
        <w:rPr>
          <w:i/>
          <w:spacing w:val="-6"/>
          <w:sz w:val="24"/>
        </w:rPr>
        <w:t> </w:t>
      </w:r>
      <w:r>
        <w:rPr>
          <w:i/>
          <w:sz w:val="24"/>
        </w:rPr>
        <w:t>Journal</w:t>
      </w:r>
      <w:r>
        <w:rPr>
          <w:i/>
          <w:spacing w:val="-6"/>
          <w:sz w:val="24"/>
        </w:rPr>
        <w:t> </w:t>
      </w:r>
      <w:r>
        <w:rPr>
          <w:i/>
          <w:sz w:val="24"/>
        </w:rPr>
        <w:t>of</w:t>
      </w:r>
      <w:r>
        <w:rPr>
          <w:i/>
          <w:spacing w:val="-6"/>
          <w:sz w:val="24"/>
        </w:rPr>
        <w:t> </w:t>
      </w:r>
      <w:r>
        <w:rPr>
          <w:i/>
          <w:sz w:val="24"/>
        </w:rPr>
        <w:t>Accounting</w:t>
      </w:r>
      <w:r>
        <w:rPr>
          <w:i/>
          <w:spacing w:val="-6"/>
          <w:sz w:val="24"/>
        </w:rPr>
        <w:t> </w:t>
      </w:r>
      <w:r>
        <w:rPr>
          <w:i/>
          <w:sz w:val="24"/>
        </w:rPr>
        <w:t>and</w:t>
      </w:r>
      <w:r>
        <w:rPr>
          <w:i/>
          <w:spacing w:val="-6"/>
          <w:sz w:val="24"/>
        </w:rPr>
        <w:t> </w:t>
      </w:r>
      <w:r>
        <w:rPr>
          <w:i/>
          <w:sz w:val="24"/>
        </w:rPr>
        <w:t>Education</w:t>
      </w:r>
      <w:r>
        <w:rPr>
          <w:sz w:val="24"/>
        </w:rPr>
        <w:t>,</w:t>
      </w:r>
      <w:r>
        <w:rPr>
          <w:spacing w:val="-6"/>
          <w:sz w:val="24"/>
        </w:rPr>
        <w:t> </w:t>
      </w:r>
      <w:r>
        <w:rPr>
          <w:i/>
          <w:sz w:val="24"/>
        </w:rPr>
        <w:t>2</w:t>
      </w:r>
      <w:r>
        <w:rPr>
          <w:sz w:val="24"/>
        </w:rPr>
        <w:t>(2),</w:t>
      </w:r>
      <w:r>
        <w:rPr>
          <w:spacing w:val="-5"/>
          <w:sz w:val="24"/>
        </w:rPr>
        <w:t> </w:t>
      </w:r>
      <w:r>
        <w:rPr>
          <w:sz w:val="24"/>
        </w:rPr>
        <w:t>85-</w:t>
      </w:r>
      <w:r>
        <w:rPr>
          <w:spacing w:val="-5"/>
          <w:sz w:val="24"/>
        </w:rPr>
        <w:t>109</w:t>
      </w:r>
    </w:p>
    <w:p>
      <w:pPr>
        <w:pStyle w:val="BodyText"/>
      </w:pPr>
    </w:p>
    <w:p>
      <w:pPr>
        <w:pStyle w:val="BodyText"/>
        <w:ind w:left="1571" w:right="1436" w:hanging="723"/>
        <w:jc w:val="both"/>
      </w:pPr>
      <w:r>
        <w:rPr/>
        <w:t>Nunnenkamp, P. (1995). The German model of corporate governance: Basic features, critical issues, and applicability to transition economies. Kiel Working Paper, No. 713. Retrieved from </w:t>
      </w:r>
      <w:hyperlink r:id="rId25">
        <w:r>
          <w:rPr>
            <w:u w:val="single"/>
          </w:rPr>
          <w:t>http://hdl.handle.net/10419/855</w:t>
        </w:r>
      </w:hyperlink>
    </w:p>
    <w:p>
      <w:pPr>
        <w:pStyle w:val="BodyText"/>
      </w:pPr>
    </w:p>
    <w:p>
      <w:pPr>
        <w:spacing w:before="0"/>
        <w:ind w:left="1660" w:right="1436" w:hanging="812"/>
        <w:jc w:val="left"/>
        <w:rPr>
          <w:sz w:val="24"/>
        </w:rPr>
      </w:pPr>
      <w:r>
        <w:rPr>
          <w:sz w:val="24"/>
        </w:rPr>
        <w:t>Nguyen,</w:t>
      </w:r>
      <w:r>
        <w:rPr>
          <w:spacing w:val="20"/>
          <w:sz w:val="24"/>
        </w:rPr>
        <w:t> </w:t>
      </w:r>
      <w:r>
        <w:rPr>
          <w:sz w:val="24"/>
        </w:rPr>
        <w:t>T.</w:t>
      </w:r>
      <w:r>
        <w:rPr>
          <w:spacing w:val="20"/>
          <w:sz w:val="24"/>
        </w:rPr>
        <w:t> </w:t>
      </w:r>
      <w:r>
        <w:rPr>
          <w:sz w:val="24"/>
        </w:rPr>
        <w:t>L.</w:t>
      </w:r>
      <w:r>
        <w:rPr>
          <w:spacing w:val="20"/>
          <w:sz w:val="24"/>
        </w:rPr>
        <w:t> </w:t>
      </w:r>
      <w:r>
        <w:rPr>
          <w:sz w:val="24"/>
        </w:rPr>
        <w:t>H.,</w:t>
      </w:r>
      <w:r>
        <w:rPr>
          <w:spacing w:val="20"/>
          <w:sz w:val="24"/>
        </w:rPr>
        <w:t> </w:t>
      </w:r>
      <w:r>
        <w:rPr>
          <w:sz w:val="24"/>
        </w:rPr>
        <w:t>&amp;</w:t>
      </w:r>
      <w:r>
        <w:rPr>
          <w:spacing w:val="21"/>
          <w:sz w:val="24"/>
        </w:rPr>
        <w:t> </w:t>
      </w:r>
      <w:r>
        <w:rPr>
          <w:sz w:val="24"/>
        </w:rPr>
        <w:t>Bui,</w:t>
      </w:r>
      <w:r>
        <w:rPr>
          <w:spacing w:val="21"/>
          <w:sz w:val="24"/>
        </w:rPr>
        <w:t> </w:t>
      </w:r>
      <w:r>
        <w:rPr>
          <w:sz w:val="24"/>
        </w:rPr>
        <w:t>T.</w:t>
      </w:r>
      <w:r>
        <w:rPr>
          <w:spacing w:val="20"/>
          <w:sz w:val="24"/>
        </w:rPr>
        <w:t> </w:t>
      </w:r>
      <w:r>
        <w:rPr>
          <w:sz w:val="24"/>
        </w:rPr>
        <w:t>M.</w:t>
      </w:r>
      <w:r>
        <w:rPr>
          <w:spacing w:val="21"/>
          <w:sz w:val="24"/>
        </w:rPr>
        <w:t> </w:t>
      </w:r>
      <w:r>
        <w:rPr>
          <w:sz w:val="24"/>
        </w:rPr>
        <w:t>(2018).</w:t>
      </w:r>
      <w:r>
        <w:rPr>
          <w:spacing w:val="20"/>
          <w:sz w:val="24"/>
        </w:rPr>
        <w:t> </w:t>
      </w:r>
      <w:r>
        <w:rPr>
          <w:sz w:val="24"/>
        </w:rPr>
        <w:t>Determinants</w:t>
      </w:r>
      <w:r>
        <w:rPr>
          <w:spacing w:val="21"/>
          <w:sz w:val="24"/>
        </w:rPr>
        <w:t> </w:t>
      </w:r>
      <w:r>
        <w:rPr>
          <w:sz w:val="24"/>
        </w:rPr>
        <w:t>of</w:t>
      </w:r>
      <w:r>
        <w:rPr>
          <w:spacing w:val="20"/>
          <w:sz w:val="24"/>
        </w:rPr>
        <w:t> </w:t>
      </w:r>
      <w:r>
        <w:rPr>
          <w:sz w:val="24"/>
        </w:rPr>
        <w:t>firm</w:t>
      </w:r>
      <w:r>
        <w:rPr>
          <w:spacing w:val="21"/>
          <w:sz w:val="24"/>
        </w:rPr>
        <w:t> </w:t>
      </w:r>
      <w:r>
        <w:rPr>
          <w:sz w:val="24"/>
        </w:rPr>
        <w:t>value</w:t>
      </w:r>
      <w:r>
        <w:rPr>
          <w:spacing w:val="20"/>
          <w:sz w:val="24"/>
        </w:rPr>
        <w:t> </w:t>
      </w:r>
      <w:r>
        <w:rPr>
          <w:sz w:val="24"/>
        </w:rPr>
        <w:t>in</w:t>
      </w:r>
      <w:r>
        <w:rPr>
          <w:spacing w:val="21"/>
          <w:sz w:val="24"/>
        </w:rPr>
        <w:t> </w:t>
      </w:r>
      <w:r>
        <w:rPr>
          <w:sz w:val="24"/>
        </w:rPr>
        <w:t>Vietnam:</w:t>
      </w:r>
      <w:r>
        <w:rPr>
          <w:spacing w:val="21"/>
          <w:sz w:val="24"/>
        </w:rPr>
        <w:t> </w:t>
      </w:r>
      <w:r>
        <w:rPr>
          <w:sz w:val="24"/>
        </w:rPr>
        <w:t>A</w:t>
      </w:r>
      <w:r>
        <w:rPr>
          <w:spacing w:val="20"/>
          <w:sz w:val="24"/>
        </w:rPr>
        <w:t> </w:t>
      </w:r>
      <w:r>
        <w:rPr>
          <w:sz w:val="24"/>
        </w:rPr>
        <w:t>research framework. </w:t>
      </w:r>
      <w:r>
        <w:rPr>
          <w:i/>
          <w:sz w:val="24"/>
        </w:rPr>
        <w:t>International Journal of Science and Research, 9</w:t>
      </w:r>
      <w:r>
        <w:rPr>
          <w:sz w:val="24"/>
        </w:rPr>
        <w:t>(1), 626-630.</w:t>
      </w:r>
    </w:p>
    <w:p>
      <w:pPr>
        <w:spacing w:after="0"/>
        <w:jc w:val="left"/>
        <w:rPr>
          <w:sz w:val="24"/>
        </w:rPr>
        <w:sectPr>
          <w:pgSz w:w="11910" w:h="16840"/>
          <w:pgMar w:header="0" w:footer="971" w:top="1360" w:bottom="1160" w:left="500" w:right="0"/>
        </w:sectPr>
      </w:pPr>
    </w:p>
    <w:p>
      <w:pPr>
        <w:pStyle w:val="BodyText"/>
        <w:spacing w:before="61"/>
        <w:ind w:left="1571" w:right="1445" w:hanging="723"/>
        <w:jc w:val="both"/>
      </w:pPr>
      <w:r>
        <w:rPr/>
        <w:t>Obazee, J. O. (2007). Current Convergence Efforts in Accounting Standard Setting and Financial</w:t>
      </w:r>
      <w:r>
        <w:rPr>
          <w:spacing w:val="-2"/>
        </w:rPr>
        <w:t> </w:t>
      </w:r>
      <w:r>
        <w:rPr/>
        <w:t>Reporting.</w:t>
      </w:r>
      <w:r>
        <w:rPr>
          <w:spacing w:val="-1"/>
        </w:rPr>
        <w:t> </w:t>
      </w:r>
      <w:r>
        <w:rPr/>
        <w:t>Lagos,</w:t>
      </w:r>
      <w:r>
        <w:rPr>
          <w:spacing w:val="-2"/>
        </w:rPr>
        <w:t> </w:t>
      </w:r>
      <w:r>
        <w:rPr/>
        <w:t>Nigeria:</w:t>
      </w:r>
      <w:r>
        <w:rPr>
          <w:spacing w:val="-1"/>
        </w:rPr>
        <w:t> </w:t>
      </w:r>
      <w:r>
        <w:rPr/>
        <w:t>Nigerian</w:t>
      </w:r>
      <w:r>
        <w:rPr>
          <w:spacing w:val="-1"/>
        </w:rPr>
        <w:t> </w:t>
      </w:r>
      <w:r>
        <w:rPr/>
        <w:t>Accounting</w:t>
      </w:r>
      <w:r>
        <w:rPr>
          <w:spacing w:val="-1"/>
        </w:rPr>
        <w:t> </w:t>
      </w:r>
      <w:r>
        <w:rPr/>
        <w:t>Standing</w:t>
      </w:r>
      <w:r>
        <w:rPr>
          <w:spacing w:val="-2"/>
        </w:rPr>
        <w:t> </w:t>
      </w:r>
      <w:r>
        <w:rPr/>
        <w:t>Board.</w:t>
      </w:r>
      <w:r>
        <w:rPr>
          <w:spacing w:val="-1"/>
        </w:rPr>
        <w:t> </w:t>
      </w:r>
      <w:r>
        <w:rPr/>
        <w:t>January</w:t>
      </w:r>
      <w:r>
        <w:rPr>
          <w:spacing w:val="-1"/>
        </w:rPr>
        <w:t> </w:t>
      </w:r>
      <w:r>
        <w:rPr>
          <w:spacing w:val="-5"/>
        </w:rPr>
        <w:t>31.</w:t>
      </w:r>
    </w:p>
    <w:p>
      <w:pPr>
        <w:pStyle w:val="BodyText"/>
      </w:pPr>
    </w:p>
    <w:p>
      <w:pPr>
        <w:spacing w:before="0"/>
        <w:ind w:left="1571" w:right="1444" w:hanging="723"/>
        <w:jc w:val="both"/>
        <w:rPr>
          <w:sz w:val="24"/>
        </w:rPr>
      </w:pPr>
      <w:r>
        <w:rPr>
          <w:sz w:val="24"/>
        </w:rPr>
        <w:t>Odia, J.O., &amp; Ogiedu, K.O. (2013). IFRS adoption: Issues, challenges and lesson for Nigeria and other adopters. </w:t>
      </w:r>
      <w:r>
        <w:rPr>
          <w:i/>
          <w:sz w:val="24"/>
        </w:rPr>
        <w:t>Mediterranean Journals of Social Sciences, 4</w:t>
      </w:r>
      <w:r>
        <w:rPr>
          <w:sz w:val="24"/>
        </w:rPr>
        <w:t>(3), 389-399</w:t>
      </w:r>
    </w:p>
    <w:p>
      <w:pPr>
        <w:pStyle w:val="BodyText"/>
      </w:pPr>
    </w:p>
    <w:p>
      <w:pPr>
        <w:spacing w:before="0"/>
        <w:ind w:left="1571" w:right="1438" w:hanging="723"/>
        <w:jc w:val="both"/>
        <w:rPr>
          <w:sz w:val="24"/>
        </w:rPr>
      </w:pPr>
      <w:r>
        <w:rPr>
          <w:sz w:val="24"/>
        </w:rPr>
        <w:t>Ohlson, J. A. (1995). Earnings, book values, and dividends in equity valuation. </w:t>
      </w:r>
      <w:r>
        <w:rPr>
          <w:i/>
          <w:sz w:val="24"/>
        </w:rPr>
        <w:t>Contemporary Accounting Research, 11</w:t>
      </w:r>
      <w:r>
        <w:rPr>
          <w:sz w:val="24"/>
        </w:rPr>
        <w:t>(2), 661-687.</w:t>
      </w:r>
    </w:p>
    <w:p>
      <w:pPr>
        <w:pStyle w:val="BodyText"/>
      </w:pPr>
    </w:p>
    <w:p>
      <w:pPr>
        <w:pStyle w:val="BodyText"/>
        <w:ind w:left="1571" w:right="1433" w:hanging="723"/>
        <w:jc w:val="both"/>
      </w:pPr>
      <w:r>
        <w:rPr/>
        <w:drawing>
          <wp:anchor distT="0" distB="0" distL="0" distR="0" allowOverlap="1" layoutInCell="1" locked="0" behindDoc="1" simplePos="0" relativeHeight="477775360">
            <wp:simplePos x="0" y="0"/>
            <wp:positionH relativeFrom="page">
              <wp:posOffset>1095451</wp:posOffset>
            </wp:positionH>
            <wp:positionV relativeFrom="paragraph">
              <wp:posOffset>234829</wp:posOffset>
            </wp:positionV>
            <wp:extent cx="5106847" cy="5238115"/>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26" cstate="print"/>
                    <a:stretch>
                      <a:fillRect/>
                    </a:stretch>
                  </pic:blipFill>
                  <pic:spPr>
                    <a:xfrm>
                      <a:off x="0" y="0"/>
                      <a:ext cx="5106847" cy="5238115"/>
                    </a:xfrm>
                    <a:prstGeom prst="rect">
                      <a:avLst/>
                    </a:prstGeom>
                  </pic:spPr>
                </pic:pic>
              </a:graphicData>
            </a:graphic>
          </wp:anchor>
        </w:drawing>
      </w:r>
      <w:r>
        <w:rPr/>
        <w:t>OECD (1999). </w:t>
      </w:r>
      <w:r>
        <w:rPr>
          <w:i/>
        </w:rPr>
        <w:t>OECD principles of corporate governance</w:t>
      </w:r>
      <w:r>
        <w:rPr/>
        <w:t>. Business sector advisory group on corporate governance, ira millstein chairman, Paris: OECD. Retrieved April 15</w:t>
      </w:r>
      <w:r>
        <w:rPr>
          <w:vertAlign w:val="superscript"/>
        </w:rPr>
        <w:t>th</w:t>
      </w:r>
      <w:r>
        <w:rPr>
          <w:vertAlign w:val="baseline"/>
        </w:rPr>
        <w:t> 2010 from </w:t>
      </w:r>
      <w:hyperlink r:id="rId27">
        <w:r>
          <w:rPr>
            <w:vertAlign w:val="baseline"/>
          </w:rPr>
          <w:t>www.ecgi.org/codes/code</w:t>
        </w:r>
      </w:hyperlink>
    </w:p>
    <w:p>
      <w:pPr>
        <w:pStyle w:val="BodyText"/>
        <w:spacing w:before="1"/>
      </w:pPr>
    </w:p>
    <w:p>
      <w:pPr>
        <w:spacing w:before="0"/>
        <w:ind w:left="1571" w:right="1438" w:hanging="723"/>
        <w:jc w:val="both"/>
        <w:rPr>
          <w:sz w:val="24"/>
        </w:rPr>
      </w:pPr>
      <w:r>
        <w:rPr>
          <w:sz w:val="24"/>
        </w:rPr>
        <w:t>Onuorah,</w:t>
      </w:r>
      <w:r>
        <w:rPr>
          <w:spacing w:val="-11"/>
          <w:sz w:val="24"/>
        </w:rPr>
        <w:t> </w:t>
      </w:r>
      <w:r>
        <w:rPr>
          <w:sz w:val="24"/>
        </w:rPr>
        <w:t>A.</w:t>
      </w:r>
      <w:r>
        <w:rPr>
          <w:spacing w:val="-11"/>
          <w:sz w:val="24"/>
        </w:rPr>
        <w:t> </w:t>
      </w:r>
      <w:r>
        <w:rPr>
          <w:sz w:val="24"/>
        </w:rPr>
        <w:t>C.,</w:t>
      </w:r>
      <w:r>
        <w:rPr>
          <w:spacing w:val="-11"/>
          <w:sz w:val="24"/>
        </w:rPr>
        <w:t> </w:t>
      </w:r>
      <w:r>
        <w:rPr>
          <w:sz w:val="24"/>
        </w:rPr>
        <w:t>&amp;</w:t>
      </w:r>
      <w:r>
        <w:rPr>
          <w:spacing w:val="-8"/>
          <w:sz w:val="24"/>
        </w:rPr>
        <w:t> </w:t>
      </w:r>
      <w:r>
        <w:rPr>
          <w:sz w:val="24"/>
        </w:rPr>
        <w:t>Imene,</w:t>
      </w:r>
      <w:r>
        <w:rPr>
          <w:spacing w:val="-11"/>
          <w:sz w:val="24"/>
        </w:rPr>
        <w:t> </w:t>
      </w:r>
      <w:r>
        <w:rPr>
          <w:sz w:val="24"/>
        </w:rPr>
        <w:t>O.</w:t>
      </w:r>
      <w:r>
        <w:rPr>
          <w:spacing w:val="-11"/>
          <w:sz w:val="24"/>
        </w:rPr>
        <w:t> </w:t>
      </w:r>
      <w:r>
        <w:rPr>
          <w:sz w:val="24"/>
        </w:rPr>
        <w:t>F.</w:t>
      </w:r>
      <w:r>
        <w:rPr>
          <w:spacing w:val="-8"/>
          <w:sz w:val="24"/>
        </w:rPr>
        <w:t> </w:t>
      </w:r>
      <w:r>
        <w:rPr>
          <w:sz w:val="24"/>
        </w:rPr>
        <w:t>(2016).</w:t>
      </w:r>
      <w:r>
        <w:rPr>
          <w:spacing w:val="-11"/>
          <w:sz w:val="24"/>
        </w:rPr>
        <w:t> </w:t>
      </w:r>
      <w:r>
        <w:rPr>
          <w:sz w:val="24"/>
        </w:rPr>
        <w:t>Corporate</w:t>
      </w:r>
      <w:r>
        <w:rPr>
          <w:spacing w:val="-9"/>
          <w:sz w:val="24"/>
        </w:rPr>
        <w:t> </w:t>
      </w:r>
      <w:r>
        <w:rPr>
          <w:sz w:val="24"/>
        </w:rPr>
        <w:t>Governance</w:t>
      </w:r>
      <w:r>
        <w:rPr>
          <w:spacing w:val="-9"/>
          <w:sz w:val="24"/>
        </w:rPr>
        <w:t> </w:t>
      </w:r>
      <w:r>
        <w:rPr>
          <w:sz w:val="24"/>
        </w:rPr>
        <w:t>and</w:t>
      </w:r>
      <w:r>
        <w:rPr>
          <w:spacing w:val="-11"/>
          <w:sz w:val="24"/>
        </w:rPr>
        <w:t> </w:t>
      </w:r>
      <w:r>
        <w:rPr>
          <w:sz w:val="24"/>
        </w:rPr>
        <w:t>Financial</w:t>
      </w:r>
      <w:r>
        <w:rPr>
          <w:spacing w:val="-10"/>
          <w:sz w:val="24"/>
        </w:rPr>
        <w:t> </w:t>
      </w:r>
      <w:r>
        <w:rPr>
          <w:sz w:val="24"/>
        </w:rPr>
        <w:t>Reporting</w:t>
      </w:r>
      <w:r>
        <w:rPr>
          <w:spacing w:val="-10"/>
          <w:sz w:val="24"/>
        </w:rPr>
        <w:t> </w:t>
      </w:r>
      <w:r>
        <w:rPr>
          <w:sz w:val="24"/>
        </w:rPr>
        <w:t>Quality in Selected Nigerian Company, </w:t>
      </w:r>
      <w:r>
        <w:rPr>
          <w:i/>
          <w:sz w:val="24"/>
        </w:rPr>
        <w:t>International Journal of Management Science and Business Administration, 2</w:t>
      </w:r>
      <w:r>
        <w:rPr>
          <w:sz w:val="24"/>
        </w:rPr>
        <w:t>, (3),7 – 16.</w:t>
      </w:r>
    </w:p>
    <w:p>
      <w:pPr>
        <w:pStyle w:val="BodyText"/>
      </w:pPr>
    </w:p>
    <w:p>
      <w:pPr>
        <w:pStyle w:val="BodyText"/>
        <w:ind w:left="1571" w:right="1436" w:hanging="723"/>
        <w:jc w:val="both"/>
      </w:pPr>
      <w:r>
        <w:rPr/>
        <w:t>Onalo, U., Lizam, M., &amp; Kaseri, A. (2014). International financial reporting standards (IFRS) and the quality of banks financial statement information: Evidence from an emerging market-Nigeria. </w:t>
      </w:r>
      <w:r>
        <w:rPr>
          <w:i/>
        </w:rPr>
        <w:t>European Journal of Business and Social Sciences, 3</w:t>
      </w:r>
      <w:r>
        <w:rPr/>
        <w:t>(8), 243-255</w:t>
      </w:r>
    </w:p>
    <w:p>
      <w:pPr>
        <w:pStyle w:val="BodyText"/>
      </w:pPr>
    </w:p>
    <w:p>
      <w:pPr>
        <w:spacing w:before="0"/>
        <w:ind w:left="1571" w:right="1444" w:hanging="723"/>
        <w:jc w:val="both"/>
        <w:rPr>
          <w:sz w:val="24"/>
        </w:rPr>
      </w:pPr>
      <w:r>
        <w:rPr>
          <w:sz w:val="24"/>
        </w:rPr>
        <w:t>Outa,</w:t>
      </w:r>
      <w:r>
        <w:rPr>
          <w:spacing w:val="-1"/>
          <w:sz w:val="24"/>
        </w:rPr>
        <w:t> </w:t>
      </w:r>
      <w:r>
        <w:rPr>
          <w:sz w:val="24"/>
        </w:rPr>
        <w:t>E.</w:t>
      </w:r>
      <w:r>
        <w:rPr>
          <w:spacing w:val="-2"/>
          <w:sz w:val="24"/>
        </w:rPr>
        <w:t> </w:t>
      </w:r>
      <w:r>
        <w:rPr>
          <w:sz w:val="24"/>
        </w:rPr>
        <w:t>(2011).</w:t>
      </w:r>
      <w:r>
        <w:rPr>
          <w:spacing w:val="-2"/>
          <w:sz w:val="24"/>
        </w:rPr>
        <w:t> </w:t>
      </w:r>
      <w:r>
        <w:rPr>
          <w:sz w:val="24"/>
        </w:rPr>
        <w:t>The</w:t>
      </w:r>
      <w:r>
        <w:rPr>
          <w:spacing w:val="-3"/>
          <w:sz w:val="24"/>
        </w:rPr>
        <w:t> </w:t>
      </w:r>
      <w:r>
        <w:rPr>
          <w:sz w:val="24"/>
        </w:rPr>
        <w:t>impact</w:t>
      </w:r>
      <w:r>
        <w:rPr>
          <w:spacing w:val="-1"/>
          <w:sz w:val="24"/>
        </w:rPr>
        <w:t> </w:t>
      </w:r>
      <w:r>
        <w:rPr>
          <w:sz w:val="24"/>
        </w:rPr>
        <w:t>of IFRS</w:t>
      </w:r>
      <w:r>
        <w:rPr>
          <w:spacing w:val="-1"/>
          <w:sz w:val="24"/>
        </w:rPr>
        <w:t> </w:t>
      </w:r>
      <w:r>
        <w:rPr>
          <w:sz w:val="24"/>
        </w:rPr>
        <w:t>adoption</w:t>
      </w:r>
      <w:r>
        <w:rPr>
          <w:spacing w:val="-1"/>
          <w:sz w:val="24"/>
        </w:rPr>
        <w:t> </w:t>
      </w:r>
      <w:r>
        <w:rPr>
          <w:sz w:val="24"/>
        </w:rPr>
        <w:t>on</w:t>
      </w:r>
      <w:r>
        <w:rPr>
          <w:spacing w:val="-1"/>
          <w:sz w:val="24"/>
        </w:rPr>
        <w:t> </w:t>
      </w:r>
      <w:r>
        <w:rPr>
          <w:sz w:val="24"/>
        </w:rPr>
        <w:t>the</w:t>
      </w:r>
      <w:r>
        <w:rPr>
          <w:spacing w:val="-2"/>
          <w:sz w:val="24"/>
        </w:rPr>
        <w:t> </w:t>
      </w:r>
      <w:r>
        <w:rPr>
          <w:sz w:val="24"/>
        </w:rPr>
        <w:t>accounting</w:t>
      </w:r>
      <w:r>
        <w:rPr>
          <w:spacing w:val="-1"/>
          <w:sz w:val="24"/>
        </w:rPr>
        <w:t> </w:t>
      </w:r>
      <w:r>
        <w:rPr>
          <w:sz w:val="24"/>
        </w:rPr>
        <w:t>quality</w:t>
      </w:r>
      <w:r>
        <w:rPr>
          <w:spacing w:val="-1"/>
          <w:sz w:val="24"/>
        </w:rPr>
        <w:t> </w:t>
      </w:r>
      <w:r>
        <w:rPr>
          <w:sz w:val="24"/>
        </w:rPr>
        <w:t>of</w:t>
      </w:r>
      <w:r>
        <w:rPr>
          <w:spacing w:val="-2"/>
          <w:sz w:val="24"/>
        </w:rPr>
        <w:t> </w:t>
      </w:r>
      <w:r>
        <w:rPr>
          <w:sz w:val="24"/>
        </w:rPr>
        <w:t>listed</w:t>
      </w:r>
      <w:r>
        <w:rPr>
          <w:spacing w:val="-2"/>
          <w:sz w:val="24"/>
        </w:rPr>
        <w:t> </w:t>
      </w:r>
      <w:r>
        <w:rPr>
          <w:sz w:val="24"/>
        </w:rPr>
        <w:t>companies</w:t>
      </w:r>
      <w:r>
        <w:rPr>
          <w:spacing w:val="-1"/>
          <w:sz w:val="24"/>
        </w:rPr>
        <w:t> </w:t>
      </w:r>
      <w:r>
        <w:rPr>
          <w:sz w:val="24"/>
        </w:rPr>
        <w:t>in Kenya. </w:t>
      </w:r>
      <w:r>
        <w:rPr>
          <w:i/>
          <w:sz w:val="24"/>
        </w:rPr>
        <w:t>International Journal of Accounting and Financial Reporting, 1</w:t>
      </w:r>
      <w:r>
        <w:rPr>
          <w:sz w:val="24"/>
        </w:rPr>
        <w:t>(1), 212-241.</w:t>
      </w:r>
    </w:p>
    <w:p>
      <w:pPr>
        <w:pStyle w:val="BodyText"/>
      </w:pPr>
    </w:p>
    <w:p>
      <w:pPr>
        <w:spacing w:before="0"/>
        <w:ind w:left="1571" w:right="1436" w:hanging="723"/>
        <w:jc w:val="both"/>
        <w:rPr>
          <w:sz w:val="24"/>
        </w:rPr>
      </w:pPr>
      <w:r>
        <w:rPr>
          <w:sz w:val="24"/>
        </w:rPr>
        <w:t>Owolabi,</w:t>
      </w:r>
      <w:r>
        <w:rPr>
          <w:spacing w:val="-4"/>
          <w:sz w:val="24"/>
        </w:rPr>
        <w:t> </w:t>
      </w:r>
      <w:r>
        <w:rPr>
          <w:sz w:val="24"/>
        </w:rPr>
        <w:t>A.,</w:t>
      </w:r>
      <w:r>
        <w:rPr>
          <w:spacing w:val="-4"/>
          <w:sz w:val="24"/>
        </w:rPr>
        <w:t> </w:t>
      </w:r>
      <w:r>
        <w:rPr>
          <w:sz w:val="24"/>
        </w:rPr>
        <w:t>&amp;</w:t>
      </w:r>
      <w:r>
        <w:rPr>
          <w:spacing w:val="-4"/>
          <w:sz w:val="24"/>
        </w:rPr>
        <w:t> </w:t>
      </w:r>
      <w:r>
        <w:rPr>
          <w:sz w:val="24"/>
        </w:rPr>
        <w:t>Iyoha,</w:t>
      </w:r>
      <w:r>
        <w:rPr>
          <w:spacing w:val="-4"/>
          <w:sz w:val="24"/>
        </w:rPr>
        <w:t> </w:t>
      </w:r>
      <w:r>
        <w:rPr>
          <w:sz w:val="24"/>
        </w:rPr>
        <w:t>F.</w:t>
      </w:r>
      <w:r>
        <w:rPr>
          <w:spacing w:val="-2"/>
          <w:sz w:val="24"/>
        </w:rPr>
        <w:t> </w:t>
      </w:r>
      <w:r>
        <w:rPr>
          <w:sz w:val="24"/>
        </w:rPr>
        <w:t>(2012).</w:t>
      </w:r>
      <w:r>
        <w:rPr>
          <w:spacing w:val="-4"/>
          <w:sz w:val="24"/>
        </w:rPr>
        <w:t> </w:t>
      </w:r>
      <w:r>
        <w:rPr>
          <w:sz w:val="24"/>
        </w:rPr>
        <w:t>Adopting</w:t>
      </w:r>
      <w:r>
        <w:rPr>
          <w:spacing w:val="-4"/>
          <w:sz w:val="24"/>
        </w:rPr>
        <w:t> </w:t>
      </w:r>
      <w:r>
        <w:rPr>
          <w:sz w:val="24"/>
        </w:rPr>
        <w:t>International</w:t>
      </w:r>
      <w:r>
        <w:rPr>
          <w:spacing w:val="-4"/>
          <w:sz w:val="24"/>
        </w:rPr>
        <w:t> </w:t>
      </w:r>
      <w:r>
        <w:rPr>
          <w:sz w:val="24"/>
        </w:rPr>
        <w:t>Financial</w:t>
      </w:r>
      <w:r>
        <w:rPr>
          <w:spacing w:val="-4"/>
          <w:sz w:val="24"/>
        </w:rPr>
        <w:t> </w:t>
      </w:r>
      <w:r>
        <w:rPr>
          <w:sz w:val="24"/>
        </w:rPr>
        <w:t>Reporting</w:t>
      </w:r>
      <w:r>
        <w:rPr>
          <w:spacing w:val="-4"/>
          <w:sz w:val="24"/>
        </w:rPr>
        <w:t> </w:t>
      </w:r>
      <w:r>
        <w:rPr>
          <w:sz w:val="24"/>
        </w:rPr>
        <w:t>Standards</w:t>
      </w:r>
      <w:r>
        <w:rPr>
          <w:spacing w:val="-4"/>
          <w:sz w:val="24"/>
        </w:rPr>
        <w:t> </w:t>
      </w:r>
      <w:r>
        <w:rPr>
          <w:sz w:val="24"/>
        </w:rPr>
        <w:t>(IFRS) in Africa: Benefits, prospects and challenges. </w:t>
      </w:r>
      <w:r>
        <w:rPr>
          <w:i/>
          <w:sz w:val="24"/>
        </w:rPr>
        <w:t>African J. Accounting, Auditing and Finance, 1(</w:t>
      </w:r>
      <w:r>
        <w:rPr>
          <w:sz w:val="24"/>
        </w:rPr>
        <w:t>1), 77-86</w:t>
      </w:r>
    </w:p>
    <w:p>
      <w:pPr>
        <w:pStyle w:val="BodyText"/>
      </w:pPr>
    </w:p>
    <w:p>
      <w:pPr>
        <w:pStyle w:val="BodyText"/>
        <w:ind w:left="1571" w:right="1440" w:hanging="723"/>
        <w:jc w:val="both"/>
      </w:pPr>
      <w:r>
        <w:rPr/>
        <w:t>Palea, V. (2013). Capital market effects of IFRS adoption for separate financial statement: Evidence from Italian stock market. Department of Economics Cognetti De Martiis, University of Torino, Italy. Working papers.</w:t>
      </w:r>
    </w:p>
    <w:p>
      <w:pPr>
        <w:pStyle w:val="BodyText"/>
        <w:spacing w:before="241"/>
        <w:ind w:left="849"/>
      </w:pPr>
      <w:r>
        <w:rPr/>
        <w:t>Park,</w:t>
      </w:r>
      <w:r>
        <w:rPr>
          <w:spacing w:val="34"/>
        </w:rPr>
        <w:t> </w:t>
      </w:r>
      <w:r>
        <w:rPr/>
        <w:t>Y.</w:t>
      </w:r>
      <w:r>
        <w:rPr>
          <w:spacing w:val="40"/>
        </w:rPr>
        <w:t> </w:t>
      </w:r>
      <w:r>
        <w:rPr/>
        <w:t>W.,</w:t>
      </w:r>
      <w:r>
        <w:rPr>
          <w:spacing w:val="38"/>
        </w:rPr>
        <w:t> </w:t>
      </w:r>
      <w:r>
        <w:rPr/>
        <w:t>&amp;</w:t>
      </w:r>
      <w:r>
        <w:rPr>
          <w:spacing w:val="37"/>
        </w:rPr>
        <w:t> </w:t>
      </w:r>
      <w:r>
        <w:rPr/>
        <w:t>Shin,</w:t>
      </w:r>
      <w:r>
        <w:rPr>
          <w:spacing w:val="38"/>
        </w:rPr>
        <w:t> </w:t>
      </w:r>
      <w:r>
        <w:rPr/>
        <w:t>H.</w:t>
      </w:r>
      <w:r>
        <w:rPr>
          <w:spacing w:val="38"/>
        </w:rPr>
        <w:t> </w:t>
      </w:r>
      <w:r>
        <w:rPr/>
        <w:t>(2004).</w:t>
      </w:r>
      <w:r>
        <w:rPr>
          <w:spacing w:val="36"/>
        </w:rPr>
        <w:t> </w:t>
      </w:r>
      <w:r>
        <w:rPr/>
        <w:t>Board</w:t>
      </w:r>
      <w:r>
        <w:rPr>
          <w:spacing w:val="39"/>
        </w:rPr>
        <w:t> </w:t>
      </w:r>
      <w:r>
        <w:rPr/>
        <w:t>composition</w:t>
      </w:r>
      <w:r>
        <w:rPr>
          <w:spacing w:val="38"/>
        </w:rPr>
        <w:t> </w:t>
      </w:r>
      <w:r>
        <w:rPr/>
        <w:t>and</w:t>
      </w:r>
      <w:r>
        <w:rPr>
          <w:spacing w:val="37"/>
        </w:rPr>
        <w:t> </w:t>
      </w:r>
      <w:r>
        <w:rPr/>
        <w:t>earnings</w:t>
      </w:r>
      <w:r>
        <w:rPr>
          <w:spacing w:val="38"/>
        </w:rPr>
        <w:t> </w:t>
      </w:r>
      <w:r>
        <w:rPr/>
        <w:t>management</w:t>
      </w:r>
      <w:r>
        <w:rPr>
          <w:spacing w:val="38"/>
        </w:rPr>
        <w:t> </w:t>
      </w:r>
      <w:r>
        <w:rPr/>
        <w:t>in</w:t>
      </w:r>
      <w:r>
        <w:rPr>
          <w:spacing w:val="38"/>
        </w:rPr>
        <w:t> </w:t>
      </w:r>
      <w:r>
        <w:rPr>
          <w:spacing w:val="-2"/>
        </w:rPr>
        <w:t>Canada.</w:t>
      </w:r>
    </w:p>
    <w:p>
      <w:pPr>
        <w:spacing w:before="0"/>
        <w:ind w:left="1571" w:right="0" w:firstLine="0"/>
        <w:jc w:val="left"/>
        <w:rPr>
          <w:sz w:val="24"/>
        </w:rPr>
      </w:pPr>
      <w:r>
        <w:rPr>
          <w:i/>
          <w:sz w:val="24"/>
        </w:rPr>
        <w:t>Journal</w:t>
      </w:r>
      <w:r>
        <w:rPr>
          <w:i/>
          <w:spacing w:val="-1"/>
          <w:sz w:val="24"/>
        </w:rPr>
        <w:t> </w:t>
      </w:r>
      <w:r>
        <w:rPr>
          <w:i/>
          <w:sz w:val="24"/>
        </w:rPr>
        <w:t>of</w:t>
      </w:r>
      <w:r>
        <w:rPr>
          <w:i/>
          <w:spacing w:val="-1"/>
          <w:sz w:val="24"/>
        </w:rPr>
        <w:t> </w:t>
      </w:r>
      <w:r>
        <w:rPr>
          <w:i/>
          <w:sz w:val="24"/>
        </w:rPr>
        <w:t>Corporate</w:t>
      </w:r>
      <w:r>
        <w:rPr>
          <w:i/>
          <w:spacing w:val="-1"/>
          <w:sz w:val="24"/>
        </w:rPr>
        <w:t> </w:t>
      </w:r>
      <w:r>
        <w:rPr>
          <w:i/>
          <w:sz w:val="24"/>
        </w:rPr>
        <w:t>Finance,</w:t>
      </w:r>
      <w:r>
        <w:rPr>
          <w:i/>
          <w:spacing w:val="-1"/>
          <w:sz w:val="24"/>
        </w:rPr>
        <w:t> </w:t>
      </w:r>
      <w:r>
        <w:rPr>
          <w:i/>
          <w:sz w:val="24"/>
        </w:rPr>
        <w:t>10</w:t>
      </w:r>
      <w:r>
        <w:rPr>
          <w:sz w:val="24"/>
        </w:rPr>
        <w:t>(2), 431-</w:t>
      </w:r>
      <w:r>
        <w:rPr>
          <w:spacing w:val="-4"/>
          <w:sz w:val="24"/>
        </w:rPr>
        <w:t>457.</w:t>
      </w:r>
    </w:p>
    <w:p>
      <w:pPr>
        <w:spacing w:before="276"/>
        <w:ind w:left="1571" w:right="1440" w:hanging="723"/>
        <w:jc w:val="both"/>
        <w:rPr>
          <w:sz w:val="24"/>
        </w:rPr>
      </w:pPr>
      <w:r>
        <w:rPr>
          <w:sz w:val="24"/>
        </w:rPr>
        <w:t>Palepu, K. G., &amp; Healy, P. M. (2008). </w:t>
      </w:r>
      <w:r>
        <w:rPr>
          <w:i/>
          <w:sz w:val="24"/>
        </w:rPr>
        <w:t>Business Analysis &amp; Valuation: Using financial statements </w:t>
      </w:r>
      <w:r>
        <w:rPr>
          <w:sz w:val="24"/>
        </w:rPr>
        <w:t>(4 ed.). Ohio: South-Western Cengage Learning.</w:t>
      </w:r>
    </w:p>
    <w:p>
      <w:pPr>
        <w:pStyle w:val="BodyText"/>
      </w:pPr>
    </w:p>
    <w:p>
      <w:pPr>
        <w:spacing w:before="0"/>
        <w:ind w:left="1571" w:right="1438" w:hanging="723"/>
        <w:jc w:val="both"/>
        <w:rPr>
          <w:sz w:val="24"/>
        </w:rPr>
      </w:pPr>
      <w:r>
        <w:rPr>
          <w:sz w:val="24"/>
        </w:rPr>
        <w:t>Palepu, K. G., Healy, P. M., &amp; Peek, E. (2010). </w:t>
      </w:r>
      <w:r>
        <w:rPr>
          <w:i/>
          <w:sz w:val="24"/>
        </w:rPr>
        <w:t>Business analysis and valuation: Texts and cases </w:t>
      </w:r>
      <w:r>
        <w:rPr>
          <w:sz w:val="24"/>
        </w:rPr>
        <w:t>(2nd ed. IFRS ed.): Cengage Learning.</w:t>
      </w:r>
    </w:p>
    <w:p>
      <w:pPr>
        <w:pStyle w:val="BodyText"/>
      </w:pPr>
    </w:p>
    <w:p>
      <w:pPr>
        <w:pStyle w:val="BodyText"/>
        <w:ind w:left="1571" w:right="1445" w:hanging="723"/>
        <w:jc w:val="both"/>
      </w:pPr>
      <w:r>
        <w:rPr/>
        <w:t>Peasnell,</w:t>
      </w:r>
      <w:r>
        <w:rPr>
          <w:spacing w:val="-1"/>
        </w:rPr>
        <w:t> </w:t>
      </w:r>
      <w:r>
        <w:rPr/>
        <w:t>K.,</w:t>
      </w:r>
      <w:r>
        <w:rPr>
          <w:spacing w:val="-2"/>
        </w:rPr>
        <w:t> </w:t>
      </w:r>
      <w:r>
        <w:rPr/>
        <w:t>Pope,</w:t>
      </w:r>
      <w:r>
        <w:rPr>
          <w:spacing w:val="-1"/>
        </w:rPr>
        <w:t> </w:t>
      </w:r>
      <w:r>
        <w:rPr/>
        <w:t>P.,</w:t>
      </w:r>
      <w:r>
        <w:rPr>
          <w:spacing w:val="-1"/>
        </w:rPr>
        <w:t> </w:t>
      </w:r>
      <w:r>
        <w:rPr/>
        <w:t>&amp;</w:t>
      </w:r>
      <w:r>
        <w:rPr>
          <w:spacing w:val="-1"/>
        </w:rPr>
        <w:t> </w:t>
      </w:r>
      <w:r>
        <w:rPr/>
        <w:t>Young,</w:t>
      </w:r>
      <w:r>
        <w:rPr>
          <w:spacing w:val="-2"/>
        </w:rPr>
        <w:t> </w:t>
      </w:r>
      <w:r>
        <w:rPr/>
        <w:t>S.</w:t>
      </w:r>
      <w:r>
        <w:rPr>
          <w:spacing w:val="-1"/>
        </w:rPr>
        <w:t> </w:t>
      </w:r>
      <w:r>
        <w:rPr/>
        <w:t>(2000).</w:t>
      </w:r>
      <w:r>
        <w:rPr>
          <w:spacing w:val="-2"/>
        </w:rPr>
        <w:t> </w:t>
      </w:r>
      <w:r>
        <w:rPr/>
        <w:t>Accrual</w:t>
      </w:r>
      <w:r>
        <w:rPr>
          <w:spacing w:val="-1"/>
        </w:rPr>
        <w:t> </w:t>
      </w:r>
      <w:r>
        <w:rPr/>
        <w:t>management</w:t>
      </w:r>
      <w:r>
        <w:rPr>
          <w:spacing w:val="-1"/>
        </w:rPr>
        <w:t> </w:t>
      </w:r>
      <w:r>
        <w:rPr/>
        <w:t>to</w:t>
      </w:r>
      <w:r>
        <w:rPr>
          <w:spacing w:val="-1"/>
        </w:rPr>
        <w:t> </w:t>
      </w:r>
      <w:r>
        <w:rPr/>
        <w:t>meet</w:t>
      </w:r>
      <w:r>
        <w:rPr>
          <w:spacing w:val="-1"/>
        </w:rPr>
        <w:t> </w:t>
      </w:r>
      <w:r>
        <w:rPr/>
        <w:t>earnings</w:t>
      </w:r>
      <w:r>
        <w:rPr>
          <w:spacing w:val="-1"/>
        </w:rPr>
        <w:t> </w:t>
      </w:r>
      <w:r>
        <w:rPr/>
        <w:t>targets: UK evidence Pre- and Post-Cadbury. </w:t>
      </w:r>
      <w:r>
        <w:rPr>
          <w:i/>
        </w:rPr>
        <w:t>British Accounting Review</w:t>
      </w:r>
      <w:r>
        <w:rPr/>
        <w:t>, </w:t>
      </w:r>
      <w:r>
        <w:rPr>
          <w:i/>
        </w:rPr>
        <w:t>32</w:t>
      </w:r>
      <w:r>
        <w:rPr/>
        <w:t>(4), 415-445.</w:t>
      </w:r>
    </w:p>
    <w:p>
      <w:pPr>
        <w:pStyle w:val="BodyText"/>
        <w:spacing w:before="240"/>
      </w:pPr>
    </w:p>
    <w:p>
      <w:pPr>
        <w:spacing w:before="0"/>
        <w:ind w:left="1571" w:right="1439" w:hanging="723"/>
        <w:jc w:val="both"/>
        <w:rPr>
          <w:sz w:val="24"/>
        </w:rPr>
      </w:pPr>
      <w:r>
        <w:rPr>
          <w:sz w:val="24"/>
        </w:rPr>
        <w:t>Pfeffer, J., &amp; Salanick, G. R. (1978). </w:t>
      </w:r>
      <w:r>
        <w:rPr>
          <w:i/>
          <w:sz w:val="24"/>
        </w:rPr>
        <w:t>The external control of organizations: A resource dependence perspective. </w:t>
      </w:r>
      <w:r>
        <w:rPr>
          <w:sz w:val="24"/>
        </w:rPr>
        <w:t>New York: Harper &amp; Row. Retrieved from </w:t>
      </w:r>
      <w:r>
        <w:rPr>
          <w:spacing w:val="-2"/>
          <w:sz w:val="24"/>
        </w:rPr>
        <w:t>emerald.insight.com</w:t>
      </w:r>
    </w:p>
    <w:p>
      <w:pPr>
        <w:spacing w:after="0"/>
        <w:jc w:val="both"/>
        <w:rPr>
          <w:sz w:val="24"/>
        </w:rPr>
        <w:sectPr>
          <w:pgSz w:w="11910" w:h="16840"/>
          <w:pgMar w:header="0" w:footer="971" w:top="1360" w:bottom="1160" w:left="500" w:right="0"/>
        </w:sectPr>
      </w:pPr>
    </w:p>
    <w:p>
      <w:pPr>
        <w:pStyle w:val="BodyText"/>
        <w:spacing w:before="61"/>
        <w:ind w:left="849"/>
      </w:pPr>
      <w:r>
        <w:rPr/>
        <w:t>Petra,</w:t>
      </w:r>
      <w:r>
        <w:rPr>
          <w:spacing w:val="44"/>
        </w:rPr>
        <w:t> </w:t>
      </w:r>
      <w:r>
        <w:rPr/>
        <w:t>S.</w:t>
      </w:r>
      <w:r>
        <w:rPr>
          <w:spacing w:val="46"/>
        </w:rPr>
        <w:t> </w:t>
      </w:r>
      <w:r>
        <w:rPr/>
        <w:t>(2007).</w:t>
      </w:r>
      <w:r>
        <w:rPr>
          <w:spacing w:val="48"/>
        </w:rPr>
        <w:t> </w:t>
      </w:r>
      <w:r>
        <w:rPr/>
        <w:t>The</w:t>
      </w:r>
      <w:r>
        <w:rPr>
          <w:spacing w:val="47"/>
        </w:rPr>
        <w:t> </w:t>
      </w:r>
      <w:r>
        <w:rPr/>
        <w:t>effects</w:t>
      </w:r>
      <w:r>
        <w:rPr>
          <w:spacing w:val="47"/>
        </w:rPr>
        <w:t> </w:t>
      </w:r>
      <w:r>
        <w:rPr/>
        <w:t>of</w:t>
      </w:r>
      <w:r>
        <w:rPr>
          <w:spacing w:val="48"/>
        </w:rPr>
        <w:t> </w:t>
      </w:r>
      <w:r>
        <w:rPr/>
        <w:t>corporate</w:t>
      </w:r>
      <w:r>
        <w:rPr>
          <w:spacing w:val="48"/>
        </w:rPr>
        <w:t> </w:t>
      </w:r>
      <w:r>
        <w:rPr/>
        <w:t>governance</w:t>
      </w:r>
      <w:r>
        <w:rPr>
          <w:spacing w:val="47"/>
        </w:rPr>
        <w:t> </w:t>
      </w:r>
      <w:r>
        <w:rPr/>
        <w:t>on</w:t>
      </w:r>
      <w:r>
        <w:rPr>
          <w:spacing w:val="46"/>
        </w:rPr>
        <w:t> </w:t>
      </w:r>
      <w:r>
        <w:rPr/>
        <w:t>the</w:t>
      </w:r>
      <w:r>
        <w:rPr>
          <w:spacing w:val="46"/>
        </w:rPr>
        <w:t> </w:t>
      </w:r>
      <w:r>
        <w:rPr/>
        <w:t>informativeness</w:t>
      </w:r>
      <w:r>
        <w:rPr>
          <w:spacing w:val="47"/>
        </w:rPr>
        <w:t> </w:t>
      </w:r>
      <w:r>
        <w:rPr/>
        <w:t>of</w:t>
      </w:r>
      <w:r>
        <w:rPr>
          <w:spacing w:val="49"/>
        </w:rPr>
        <w:t> </w:t>
      </w:r>
      <w:r>
        <w:rPr>
          <w:spacing w:val="-2"/>
        </w:rPr>
        <w:t>earnings.</w:t>
      </w:r>
    </w:p>
    <w:p>
      <w:pPr>
        <w:spacing w:before="0"/>
        <w:ind w:left="1571" w:right="0" w:firstLine="0"/>
        <w:jc w:val="left"/>
        <w:rPr>
          <w:sz w:val="24"/>
        </w:rPr>
      </w:pPr>
      <w:r>
        <w:rPr>
          <w:i/>
          <w:sz w:val="24"/>
        </w:rPr>
        <w:t>Economics</w:t>
      </w:r>
      <w:r>
        <w:rPr>
          <w:i/>
          <w:spacing w:val="-4"/>
          <w:sz w:val="24"/>
        </w:rPr>
        <w:t> </w:t>
      </w:r>
      <w:r>
        <w:rPr>
          <w:i/>
          <w:sz w:val="24"/>
        </w:rPr>
        <w:t>of</w:t>
      </w:r>
      <w:r>
        <w:rPr>
          <w:i/>
          <w:spacing w:val="-1"/>
          <w:sz w:val="24"/>
        </w:rPr>
        <w:t> </w:t>
      </w:r>
      <w:r>
        <w:rPr>
          <w:i/>
          <w:sz w:val="24"/>
        </w:rPr>
        <w:t>Governance</w:t>
      </w:r>
      <w:r>
        <w:rPr>
          <w:sz w:val="24"/>
        </w:rPr>
        <w:t>,</w:t>
      </w:r>
      <w:r>
        <w:rPr>
          <w:spacing w:val="-2"/>
          <w:sz w:val="24"/>
        </w:rPr>
        <w:t> </w:t>
      </w:r>
      <w:r>
        <w:rPr>
          <w:i/>
          <w:sz w:val="24"/>
        </w:rPr>
        <w:t>8</w:t>
      </w:r>
      <w:r>
        <w:rPr>
          <w:sz w:val="24"/>
        </w:rPr>
        <w:t>(2),</w:t>
      </w:r>
      <w:r>
        <w:rPr>
          <w:spacing w:val="-1"/>
          <w:sz w:val="24"/>
        </w:rPr>
        <w:t> </w:t>
      </w:r>
      <w:r>
        <w:rPr>
          <w:sz w:val="24"/>
        </w:rPr>
        <w:t>129-</w:t>
      </w:r>
      <w:r>
        <w:rPr>
          <w:spacing w:val="-4"/>
          <w:sz w:val="24"/>
        </w:rPr>
        <w:t>152.</w:t>
      </w:r>
    </w:p>
    <w:p>
      <w:pPr>
        <w:pStyle w:val="BodyText"/>
      </w:pPr>
    </w:p>
    <w:p>
      <w:pPr>
        <w:pStyle w:val="BodyText"/>
        <w:ind w:left="1571" w:right="1435" w:hanging="723"/>
        <w:jc w:val="both"/>
      </w:pPr>
      <w:r>
        <w:rPr/>
        <w:t>Rendleman Jr., R.J., Jones, C.P., &amp; Latane, H.A. (1982). Empirical anomalies based on unexpected earnings and the importance of risk adjustment. </w:t>
      </w:r>
      <w:r>
        <w:rPr>
          <w:i/>
        </w:rPr>
        <w:t>Journal of Financial Economics </w:t>
      </w:r>
      <w:r>
        <w:rPr/>
        <w:t>10 </w:t>
      </w:r>
      <w:r>
        <w:rPr>
          <w:b/>
        </w:rPr>
        <w:t>(</w:t>
      </w:r>
      <w:r>
        <w:rPr/>
        <w:t>3), 269–287.</w:t>
      </w:r>
    </w:p>
    <w:p>
      <w:pPr>
        <w:pStyle w:val="BodyText"/>
      </w:pPr>
    </w:p>
    <w:p>
      <w:pPr>
        <w:pStyle w:val="BodyText"/>
        <w:ind w:left="1571" w:right="1436" w:hanging="723"/>
        <w:jc w:val="both"/>
      </w:pPr>
      <w:r>
        <w:rPr/>
        <w:t>Rezart, D. (2016). Corporate governance in transition economies: Comparative analysis of contemporary corporate governance issues in selected economies in South-Eastern Europe. The Albanian case. Retrieved from </w:t>
      </w:r>
      <w:r>
        <w:rPr>
          <w:u w:val="single"/>
        </w:rPr>
        <w:t>www.research</w:t>
      </w:r>
      <w:r>
        <w:rPr/>
        <w:t> gate.net.</w:t>
      </w:r>
    </w:p>
    <w:p>
      <w:pPr>
        <w:pStyle w:val="BodyText"/>
      </w:pPr>
    </w:p>
    <w:p>
      <w:pPr>
        <w:pStyle w:val="BodyText"/>
        <w:ind w:left="1571" w:right="1671" w:hanging="723"/>
      </w:pPr>
      <w:r>
        <w:rPr/>
        <w:drawing>
          <wp:anchor distT="0" distB="0" distL="0" distR="0" allowOverlap="1" layoutInCell="1" locked="0" behindDoc="1" simplePos="0" relativeHeight="477775872">
            <wp:simplePos x="0" y="0"/>
            <wp:positionH relativeFrom="page">
              <wp:posOffset>1095451</wp:posOffset>
            </wp:positionH>
            <wp:positionV relativeFrom="paragraph">
              <wp:posOffset>-115660</wp:posOffset>
            </wp:positionV>
            <wp:extent cx="5106847" cy="5238115"/>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28" cstate="print"/>
                    <a:stretch>
                      <a:fillRect/>
                    </a:stretch>
                  </pic:blipFill>
                  <pic:spPr>
                    <a:xfrm>
                      <a:off x="0" y="0"/>
                      <a:ext cx="5106847" cy="5238115"/>
                    </a:xfrm>
                    <a:prstGeom prst="rect">
                      <a:avLst/>
                    </a:prstGeom>
                  </pic:spPr>
                </pic:pic>
              </a:graphicData>
            </a:graphic>
          </wp:anchor>
        </w:drawing>
      </w:r>
      <w:r>
        <w:rPr/>
        <w:t>Rezaee,</w:t>
      </w:r>
      <w:r>
        <w:rPr>
          <w:spacing w:val="-4"/>
        </w:rPr>
        <w:t> </w:t>
      </w:r>
      <w:r>
        <w:rPr/>
        <w:t>Z.</w:t>
      </w:r>
      <w:r>
        <w:rPr>
          <w:spacing w:val="-4"/>
        </w:rPr>
        <w:t> </w:t>
      </w:r>
      <w:r>
        <w:rPr/>
        <w:t>(2003).</w:t>
      </w:r>
      <w:r>
        <w:rPr>
          <w:spacing w:val="-2"/>
        </w:rPr>
        <w:t> </w:t>
      </w:r>
      <w:r>
        <w:rPr/>
        <w:t>High-quality</w:t>
      </w:r>
      <w:r>
        <w:rPr>
          <w:spacing w:val="-4"/>
        </w:rPr>
        <w:t> </w:t>
      </w:r>
      <w:r>
        <w:rPr/>
        <w:t>financial</w:t>
      </w:r>
      <w:r>
        <w:rPr>
          <w:spacing w:val="-4"/>
        </w:rPr>
        <w:t> </w:t>
      </w:r>
      <w:r>
        <w:rPr/>
        <w:t>reporting:</w:t>
      </w:r>
      <w:r>
        <w:rPr>
          <w:spacing w:val="-4"/>
        </w:rPr>
        <w:t> </w:t>
      </w:r>
      <w:r>
        <w:rPr/>
        <w:t>The</w:t>
      </w:r>
      <w:r>
        <w:rPr>
          <w:spacing w:val="-5"/>
        </w:rPr>
        <w:t> </w:t>
      </w:r>
      <w:r>
        <w:rPr/>
        <w:t>six-legged</w:t>
      </w:r>
      <w:r>
        <w:rPr>
          <w:spacing w:val="-4"/>
        </w:rPr>
        <w:t> </w:t>
      </w:r>
      <w:r>
        <w:rPr/>
        <w:t>stool.</w:t>
      </w:r>
      <w:r>
        <w:rPr>
          <w:spacing w:val="-3"/>
        </w:rPr>
        <w:t> </w:t>
      </w:r>
      <w:r>
        <w:rPr>
          <w:i/>
        </w:rPr>
        <w:t>Strategic</w:t>
      </w:r>
      <w:r>
        <w:rPr>
          <w:i/>
          <w:spacing w:val="-4"/>
        </w:rPr>
        <w:t> </w:t>
      </w:r>
      <w:r>
        <w:rPr>
          <w:i/>
        </w:rPr>
        <w:t>Finance</w:t>
      </w:r>
      <w:r>
        <w:rPr/>
        <w:t>, </w:t>
      </w:r>
      <w:r>
        <w:rPr>
          <w:i/>
        </w:rPr>
        <w:t>84</w:t>
      </w:r>
      <w:r>
        <w:rPr/>
        <w:t>(8), 26-30.</w:t>
      </w:r>
    </w:p>
    <w:p>
      <w:pPr>
        <w:pStyle w:val="BodyText"/>
        <w:spacing w:before="1"/>
      </w:pPr>
    </w:p>
    <w:p>
      <w:pPr>
        <w:spacing w:before="0"/>
        <w:ind w:left="1571" w:right="1436" w:hanging="723"/>
        <w:jc w:val="left"/>
        <w:rPr>
          <w:sz w:val="24"/>
        </w:rPr>
      </w:pPr>
      <w:r>
        <w:rPr>
          <w:sz w:val="24"/>
        </w:rPr>
        <w:t>Roychowdhury,</w:t>
      </w:r>
      <w:r>
        <w:rPr>
          <w:spacing w:val="-2"/>
          <w:sz w:val="24"/>
        </w:rPr>
        <w:t> </w:t>
      </w:r>
      <w:r>
        <w:rPr>
          <w:sz w:val="24"/>
        </w:rPr>
        <w:t>S.</w:t>
      </w:r>
      <w:r>
        <w:rPr>
          <w:spacing w:val="-2"/>
          <w:sz w:val="24"/>
        </w:rPr>
        <w:t> </w:t>
      </w:r>
      <w:r>
        <w:rPr>
          <w:sz w:val="24"/>
        </w:rPr>
        <w:t>(2006).</w:t>
      </w:r>
      <w:r>
        <w:rPr>
          <w:spacing w:val="-3"/>
          <w:sz w:val="24"/>
        </w:rPr>
        <w:t> </w:t>
      </w:r>
      <w:r>
        <w:rPr>
          <w:sz w:val="24"/>
        </w:rPr>
        <w:t>Earnings</w:t>
      </w:r>
      <w:r>
        <w:rPr>
          <w:spacing w:val="-2"/>
          <w:sz w:val="24"/>
        </w:rPr>
        <w:t> </w:t>
      </w:r>
      <w:r>
        <w:rPr>
          <w:sz w:val="24"/>
        </w:rPr>
        <w:t>management</w:t>
      </w:r>
      <w:r>
        <w:rPr>
          <w:spacing w:val="-2"/>
          <w:sz w:val="24"/>
        </w:rPr>
        <w:t> </w:t>
      </w:r>
      <w:r>
        <w:rPr>
          <w:sz w:val="24"/>
        </w:rPr>
        <w:t>through</w:t>
      </w:r>
      <w:r>
        <w:rPr>
          <w:spacing w:val="-3"/>
          <w:sz w:val="24"/>
        </w:rPr>
        <w:t> </w:t>
      </w:r>
      <w:r>
        <w:rPr>
          <w:sz w:val="24"/>
        </w:rPr>
        <w:t>real</w:t>
      </w:r>
      <w:r>
        <w:rPr>
          <w:spacing w:val="-2"/>
          <w:sz w:val="24"/>
        </w:rPr>
        <w:t> </w:t>
      </w:r>
      <w:r>
        <w:rPr>
          <w:sz w:val="24"/>
        </w:rPr>
        <w:t>activities</w:t>
      </w:r>
      <w:r>
        <w:rPr>
          <w:spacing w:val="-3"/>
          <w:sz w:val="24"/>
        </w:rPr>
        <w:t> </w:t>
      </w:r>
      <w:r>
        <w:rPr>
          <w:sz w:val="24"/>
        </w:rPr>
        <w:t>manipulation. </w:t>
      </w:r>
      <w:r>
        <w:rPr>
          <w:i/>
          <w:sz w:val="24"/>
        </w:rPr>
        <w:t>Journal of Accounting and Economics, 42(</w:t>
      </w:r>
      <w:r>
        <w:rPr>
          <w:sz w:val="24"/>
        </w:rPr>
        <w:t>3), 335-370.</w:t>
      </w:r>
    </w:p>
    <w:p>
      <w:pPr>
        <w:pStyle w:val="BodyText"/>
        <w:spacing w:before="240"/>
      </w:pPr>
    </w:p>
    <w:p>
      <w:pPr>
        <w:pStyle w:val="BodyText"/>
        <w:ind w:left="849"/>
      </w:pPr>
      <w:r>
        <w:rPr/>
        <w:t>Safdar,</w:t>
      </w:r>
      <w:r>
        <w:rPr>
          <w:spacing w:val="-15"/>
        </w:rPr>
        <w:t> </w:t>
      </w:r>
      <w:r>
        <w:rPr/>
        <w:t>M.N.</w:t>
      </w:r>
      <w:r>
        <w:rPr>
          <w:spacing w:val="-11"/>
        </w:rPr>
        <w:t> </w:t>
      </w:r>
      <w:r>
        <w:rPr/>
        <w:t>(2017).</w:t>
      </w:r>
      <w:r>
        <w:rPr>
          <w:spacing w:val="-9"/>
        </w:rPr>
        <w:t> </w:t>
      </w:r>
      <w:r>
        <w:rPr/>
        <w:t>Impact</w:t>
      </w:r>
      <w:r>
        <w:rPr>
          <w:spacing w:val="-11"/>
        </w:rPr>
        <w:t> </w:t>
      </w:r>
      <w:r>
        <w:rPr/>
        <w:t>of</w:t>
      </w:r>
      <w:r>
        <w:rPr>
          <w:spacing w:val="-12"/>
        </w:rPr>
        <w:t> </w:t>
      </w:r>
      <w:r>
        <w:rPr/>
        <w:t>ownership</w:t>
      </w:r>
      <w:r>
        <w:rPr>
          <w:spacing w:val="-11"/>
        </w:rPr>
        <w:t> </w:t>
      </w:r>
      <w:r>
        <w:rPr/>
        <w:t>structure</w:t>
      </w:r>
      <w:r>
        <w:rPr>
          <w:spacing w:val="-13"/>
        </w:rPr>
        <w:t> </w:t>
      </w:r>
      <w:r>
        <w:rPr/>
        <w:t>on</w:t>
      </w:r>
      <w:r>
        <w:rPr>
          <w:spacing w:val="-11"/>
        </w:rPr>
        <w:t> </w:t>
      </w:r>
      <w:r>
        <w:rPr/>
        <w:t>cash</w:t>
      </w:r>
      <w:r>
        <w:rPr>
          <w:spacing w:val="-11"/>
        </w:rPr>
        <w:t> </w:t>
      </w:r>
      <w:r>
        <w:rPr/>
        <w:t>holding</w:t>
      </w:r>
      <w:r>
        <w:rPr>
          <w:spacing w:val="-11"/>
        </w:rPr>
        <w:t> </w:t>
      </w:r>
      <w:r>
        <w:rPr/>
        <w:t>and</w:t>
      </w:r>
      <w:r>
        <w:rPr>
          <w:spacing w:val="-11"/>
        </w:rPr>
        <w:t> </w:t>
      </w:r>
      <w:r>
        <w:rPr/>
        <w:t>debt</w:t>
      </w:r>
      <w:r>
        <w:rPr>
          <w:spacing w:val="-11"/>
        </w:rPr>
        <w:t> </w:t>
      </w:r>
      <w:r>
        <w:rPr/>
        <w:t>maturity</w:t>
      </w:r>
      <w:r>
        <w:rPr>
          <w:spacing w:val="-11"/>
        </w:rPr>
        <w:t> </w:t>
      </w:r>
      <w:r>
        <w:rPr>
          <w:spacing w:val="-2"/>
        </w:rPr>
        <w:t>structure.</w:t>
      </w:r>
    </w:p>
    <w:p>
      <w:pPr>
        <w:pStyle w:val="BodyText"/>
        <w:ind w:left="1571"/>
      </w:pPr>
      <w:r>
        <w:rPr/>
        <w:t>Retrieved</w:t>
      </w:r>
      <w:r>
        <w:rPr>
          <w:spacing w:val="-3"/>
        </w:rPr>
        <w:t> </w:t>
      </w:r>
      <w:r>
        <w:rPr/>
        <w:t>from</w:t>
      </w:r>
      <w:r>
        <w:rPr>
          <w:spacing w:val="-1"/>
        </w:rPr>
        <w:t> </w:t>
      </w:r>
      <w:hyperlink r:id="rId29">
        <w:r>
          <w:rPr>
            <w:spacing w:val="-2"/>
          </w:rPr>
          <w:t>https://www.cust.edu.pk/ms</w:t>
        </w:r>
      </w:hyperlink>
    </w:p>
    <w:p>
      <w:pPr>
        <w:pStyle w:val="BodyText"/>
        <w:spacing w:line="510" w:lineRule="atLeast" w:before="6"/>
        <w:ind w:left="849" w:right="1436"/>
      </w:pPr>
      <w:r>
        <w:rPr/>
        <w:t>Schipper, K. (“Earnings Management”, </w:t>
      </w:r>
      <w:r>
        <w:rPr>
          <w:i/>
        </w:rPr>
        <w:t>Accounting Horizons</w:t>
      </w:r>
      <w:r>
        <w:rPr/>
        <w:t>, 3 (4), pp. 91-102, 1089. Senaratne, S., &amp; Gunaratne, P.S.M. (2012). Corporate governance development in Sri Lanka:</w:t>
      </w:r>
    </w:p>
    <w:p>
      <w:pPr>
        <w:pStyle w:val="BodyText"/>
        <w:spacing w:before="6"/>
        <w:ind w:left="1571"/>
      </w:pPr>
      <w:r>
        <w:rPr/>
        <w:t>Prospects</w:t>
      </w:r>
      <w:r>
        <w:rPr>
          <w:spacing w:val="-2"/>
        </w:rPr>
        <w:t> </w:t>
      </w:r>
      <w:r>
        <w:rPr/>
        <w:t>and</w:t>
      </w:r>
      <w:r>
        <w:rPr>
          <w:spacing w:val="-2"/>
        </w:rPr>
        <w:t> </w:t>
      </w:r>
      <w:r>
        <w:rPr/>
        <w:t>problems. Retrieved</w:t>
      </w:r>
      <w:r>
        <w:rPr>
          <w:spacing w:val="-2"/>
        </w:rPr>
        <w:t> </w:t>
      </w:r>
      <w:r>
        <w:rPr/>
        <w:t>from</w:t>
      </w:r>
      <w:r>
        <w:rPr>
          <w:spacing w:val="-1"/>
        </w:rPr>
        <w:t> </w:t>
      </w:r>
      <w:r>
        <w:rPr>
          <w:spacing w:val="-2"/>
        </w:rPr>
        <w:t>researchgate.net</w:t>
      </w:r>
    </w:p>
    <w:p>
      <w:pPr>
        <w:pStyle w:val="BodyText"/>
      </w:pPr>
    </w:p>
    <w:p>
      <w:pPr>
        <w:pStyle w:val="BodyText"/>
        <w:ind w:left="1571" w:right="1436" w:hanging="723"/>
      </w:pPr>
      <w:r>
        <w:rPr/>
        <w:t>Sloan,</w:t>
      </w:r>
      <w:r>
        <w:rPr>
          <w:spacing w:val="22"/>
        </w:rPr>
        <w:t> </w:t>
      </w:r>
      <w:r>
        <w:rPr/>
        <w:t>R.</w:t>
      </w:r>
      <w:r>
        <w:rPr>
          <w:spacing w:val="23"/>
        </w:rPr>
        <w:t> </w:t>
      </w:r>
      <w:r>
        <w:rPr/>
        <w:t>(1996).</w:t>
      </w:r>
      <w:r>
        <w:rPr>
          <w:spacing w:val="22"/>
        </w:rPr>
        <w:t> </w:t>
      </w:r>
      <w:r>
        <w:rPr/>
        <w:t>Do</w:t>
      </w:r>
      <w:r>
        <w:rPr>
          <w:spacing w:val="22"/>
        </w:rPr>
        <w:t> </w:t>
      </w:r>
      <w:r>
        <w:rPr/>
        <w:t>stock</w:t>
      </w:r>
      <w:r>
        <w:rPr>
          <w:spacing w:val="22"/>
        </w:rPr>
        <w:t> </w:t>
      </w:r>
      <w:r>
        <w:rPr/>
        <w:t>prices</w:t>
      </w:r>
      <w:r>
        <w:rPr>
          <w:spacing w:val="23"/>
        </w:rPr>
        <w:t> </w:t>
      </w:r>
      <w:r>
        <w:rPr/>
        <w:t>fully</w:t>
      </w:r>
      <w:r>
        <w:rPr>
          <w:spacing w:val="23"/>
        </w:rPr>
        <w:t> </w:t>
      </w:r>
      <w:r>
        <w:rPr/>
        <w:t>reflect</w:t>
      </w:r>
      <w:r>
        <w:rPr>
          <w:spacing w:val="23"/>
        </w:rPr>
        <w:t> </w:t>
      </w:r>
      <w:r>
        <w:rPr/>
        <w:t>information</w:t>
      </w:r>
      <w:r>
        <w:rPr>
          <w:spacing w:val="23"/>
        </w:rPr>
        <w:t> </w:t>
      </w:r>
      <w:r>
        <w:rPr/>
        <w:t>in</w:t>
      </w:r>
      <w:r>
        <w:rPr>
          <w:spacing w:val="23"/>
        </w:rPr>
        <w:t> </w:t>
      </w:r>
      <w:r>
        <w:rPr/>
        <w:t>accruals</w:t>
      </w:r>
      <w:r>
        <w:rPr>
          <w:spacing w:val="23"/>
        </w:rPr>
        <w:t> </w:t>
      </w:r>
      <w:r>
        <w:rPr/>
        <w:t>and</w:t>
      </w:r>
      <w:r>
        <w:rPr>
          <w:spacing w:val="23"/>
        </w:rPr>
        <w:t> </w:t>
      </w:r>
      <w:r>
        <w:rPr/>
        <w:t>cash</w:t>
      </w:r>
      <w:r>
        <w:rPr>
          <w:spacing w:val="23"/>
        </w:rPr>
        <w:t> </w:t>
      </w:r>
      <w:r>
        <w:rPr/>
        <w:t>flows</w:t>
      </w:r>
      <w:r>
        <w:rPr>
          <w:spacing w:val="23"/>
        </w:rPr>
        <w:t> </w:t>
      </w:r>
      <w:r>
        <w:rPr/>
        <w:t>about future earnings? </w:t>
      </w:r>
      <w:r>
        <w:rPr>
          <w:i/>
        </w:rPr>
        <w:t>The Accounting Review, 3</w:t>
      </w:r>
      <w:r>
        <w:rPr/>
        <w:t>(4), 289−316.</w:t>
      </w:r>
    </w:p>
    <w:p>
      <w:pPr>
        <w:spacing w:before="240"/>
        <w:ind w:left="849" w:right="0" w:firstLine="0"/>
        <w:jc w:val="left"/>
        <w:rPr>
          <w:i/>
          <w:sz w:val="24"/>
        </w:rPr>
      </w:pPr>
      <w:r>
        <w:rPr>
          <w:sz w:val="24"/>
        </w:rPr>
        <w:t>Shleifer,</w:t>
      </w:r>
      <w:r>
        <w:rPr>
          <w:spacing w:val="-11"/>
          <w:sz w:val="24"/>
        </w:rPr>
        <w:t> </w:t>
      </w:r>
      <w:r>
        <w:rPr>
          <w:sz w:val="24"/>
        </w:rPr>
        <w:t>A.,</w:t>
      </w:r>
      <w:r>
        <w:rPr>
          <w:spacing w:val="-6"/>
          <w:sz w:val="24"/>
        </w:rPr>
        <w:t> </w:t>
      </w:r>
      <w:r>
        <w:rPr>
          <w:sz w:val="24"/>
        </w:rPr>
        <w:t>&amp;</w:t>
      </w:r>
      <w:r>
        <w:rPr>
          <w:spacing w:val="-8"/>
          <w:sz w:val="24"/>
        </w:rPr>
        <w:t> </w:t>
      </w:r>
      <w:r>
        <w:rPr>
          <w:sz w:val="24"/>
        </w:rPr>
        <w:t>Vishny,</w:t>
      </w:r>
      <w:r>
        <w:rPr>
          <w:spacing w:val="-7"/>
          <w:sz w:val="24"/>
        </w:rPr>
        <w:t> </w:t>
      </w:r>
      <w:r>
        <w:rPr>
          <w:sz w:val="24"/>
        </w:rPr>
        <w:t>R.W.</w:t>
      </w:r>
      <w:r>
        <w:rPr>
          <w:spacing w:val="-9"/>
          <w:sz w:val="24"/>
        </w:rPr>
        <w:t> </w:t>
      </w:r>
      <w:r>
        <w:rPr>
          <w:sz w:val="24"/>
        </w:rPr>
        <w:t>(1997).</w:t>
      </w:r>
      <w:r>
        <w:rPr>
          <w:spacing w:val="-6"/>
          <w:sz w:val="24"/>
        </w:rPr>
        <w:t> </w:t>
      </w:r>
      <w:r>
        <w:rPr>
          <w:sz w:val="24"/>
        </w:rPr>
        <w:t>A</w:t>
      </w:r>
      <w:r>
        <w:rPr>
          <w:spacing w:val="-8"/>
          <w:sz w:val="24"/>
        </w:rPr>
        <w:t> </w:t>
      </w:r>
      <w:r>
        <w:rPr>
          <w:sz w:val="24"/>
        </w:rPr>
        <w:t>survey</w:t>
      </w:r>
      <w:r>
        <w:rPr>
          <w:spacing w:val="-9"/>
          <w:sz w:val="24"/>
        </w:rPr>
        <w:t> </w:t>
      </w:r>
      <w:r>
        <w:rPr>
          <w:sz w:val="24"/>
        </w:rPr>
        <w:t>of</w:t>
      </w:r>
      <w:r>
        <w:rPr>
          <w:spacing w:val="-8"/>
          <w:sz w:val="24"/>
        </w:rPr>
        <w:t> </w:t>
      </w:r>
      <w:r>
        <w:rPr>
          <w:sz w:val="24"/>
        </w:rPr>
        <w:t>corporate</w:t>
      </w:r>
      <w:r>
        <w:rPr>
          <w:spacing w:val="-7"/>
          <w:sz w:val="24"/>
        </w:rPr>
        <w:t> </w:t>
      </w:r>
      <w:r>
        <w:rPr>
          <w:sz w:val="24"/>
        </w:rPr>
        <w:t>governance.</w:t>
      </w:r>
      <w:r>
        <w:rPr>
          <w:spacing w:val="-1"/>
          <w:sz w:val="24"/>
        </w:rPr>
        <w:t> </w:t>
      </w:r>
      <w:r>
        <w:rPr>
          <w:i/>
          <w:sz w:val="24"/>
        </w:rPr>
        <w:t>Journal</w:t>
      </w:r>
      <w:r>
        <w:rPr>
          <w:i/>
          <w:spacing w:val="-8"/>
          <w:sz w:val="24"/>
        </w:rPr>
        <w:t> </w:t>
      </w:r>
      <w:r>
        <w:rPr>
          <w:i/>
          <w:sz w:val="24"/>
        </w:rPr>
        <w:t>of</w:t>
      </w:r>
      <w:r>
        <w:rPr>
          <w:i/>
          <w:spacing w:val="-7"/>
          <w:sz w:val="24"/>
        </w:rPr>
        <w:t> </w:t>
      </w:r>
      <w:r>
        <w:rPr>
          <w:i/>
          <w:sz w:val="24"/>
        </w:rPr>
        <w:t>Finance</w:t>
      </w:r>
      <w:r>
        <w:rPr>
          <w:sz w:val="24"/>
        </w:rPr>
        <w:t>,</w:t>
      </w:r>
      <w:r>
        <w:rPr>
          <w:spacing w:val="-8"/>
          <w:sz w:val="24"/>
        </w:rPr>
        <w:t> </w:t>
      </w:r>
      <w:r>
        <w:rPr>
          <w:i/>
          <w:spacing w:val="-5"/>
          <w:sz w:val="24"/>
        </w:rPr>
        <w:t>52</w:t>
      </w:r>
    </w:p>
    <w:p>
      <w:pPr>
        <w:pStyle w:val="BodyText"/>
        <w:ind w:left="1571"/>
      </w:pPr>
      <w:r>
        <w:rPr/>
        <w:t>(2),</w:t>
      </w:r>
      <w:r>
        <w:rPr>
          <w:spacing w:val="-3"/>
        </w:rPr>
        <w:t> </w:t>
      </w:r>
      <w:r>
        <w:rPr/>
        <w:t>737-</w:t>
      </w:r>
      <w:r>
        <w:rPr>
          <w:spacing w:val="-4"/>
        </w:rPr>
        <w:t>783.</w:t>
      </w:r>
    </w:p>
    <w:p>
      <w:pPr>
        <w:pStyle w:val="BodyText"/>
      </w:pPr>
    </w:p>
    <w:p>
      <w:pPr>
        <w:pStyle w:val="BodyText"/>
        <w:ind w:left="849"/>
      </w:pPr>
      <w:r>
        <w:rPr/>
        <w:t>Soderstorm,</w:t>
      </w:r>
      <w:r>
        <w:rPr>
          <w:spacing w:val="34"/>
        </w:rPr>
        <w:t> </w:t>
      </w:r>
      <w:r>
        <w:rPr/>
        <w:t>N.</w:t>
      </w:r>
      <w:r>
        <w:rPr>
          <w:spacing w:val="36"/>
        </w:rPr>
        <w:t> </w:t>
      </w:r>
      <w:r>
        <w:rPr/>
        <w:t>S.,</w:t>
      </w:r>
      <w:r>
        <w:rPr>
          <w:spacing w:val="39"/>
        </w:rPr>
        <w:t> </w:t>
      </w:r>
      <w:r>
        <w:rPr>
          <w:i/>
        </w:rPr>
        <w:t>&amp;</w:t>
      </w:r>
      <w:r>
        <w:rPr>
          <w:i/>
          <w:spacing w:val="38"/>
        </w:rPr>
        <w:t> </w:t>
      </w:r>
      <w:r>
        <w:rPr/>
        <w:t>Sun,</w:t>
      </w:r>
      <w:r>
        <w:rPr>
          <w:spacing w:val="38"/>
        </w:rPr>
        <w:t> </w:t>
      </w:r>
      <w:r>
        <w:rPr/>
        <w:t>K.</w:t>
      </w:r>
      <w:r>
        <w:rPr>
          <w:spacing w:val="36"/>
        </w:rPr>
        <w:t> </w:t>
      </w:r>
      <w:r>
        <w:rPr/>
        <w:t>J.</w:t>
      </w:r>
      <w:r>
        <w:rPr>
          <w:spacing w:val="40"/>
        </w:rPr>
        <w:t> </w:t>
      </w:r>
      <w:r>
        <w:rPr/>
        <w:t>(2007).</w:t>
      </w:r>
      <w:r>
        <w:rPr>
          <w:spacing w:val="38"/>
        </w:rPr>
        <w:t> </w:t>
      </w:r>
      <w:r>
        <w:rPr/>
        <w:t>IFRS</w:t>
      </w:r>
      <w:r>
        <w:rPr>
          <w:spacing w:val="40"/>
        </w:rPr>
        <w:t> </w:t>
      </w:r>
      <w:r>
        <w:rPr/>
        <w:t>adoption</w:t>
      </w:r>
      <w:r>
        <w:rPr>
          <w:spacing w:val="38"/>
        </w:rPr>
        <w:t> </w:t>
      </w:r>
      <w:r>
        <w:rPr/>
        <w:t>and</w:t>
      </w:r>
      <w:r>
        <w:rPr>
          <w:spacing w:val="39"/>
        </w:rPr>
        <w:t> </w:t>
      </w:r>
      <w:r>
        <w:rPr/>
        <w:t>accounting</w:t>
      </w:r>
      <w:r>
        <w:rPr>
          <w:spacing w:val="40"/>
        </w:rPr>
        <w:t> </w:t>
      </w:r>
      <w:r>
        <w:rPr/>
        <w:t>quality:</w:t>
      </w:r>
      <w:r>
        <w:rPr>
          <w:spacing w:val="37"/>
        </w:rPr>
        <w:t> </w:t>
      </w:r>
      <w:r>
        <w:rPr/>
        <w:t>A</w:t>
      </w:r>
      <w:r>
        <w:rPr>
          <w:spacing w:val="37"/>
        </w:rPr>
        <w:t> </w:t>
      </w:r>
      <w:r>
        <w:rPr>
          <w:spacing w:val="-2"/>
        </w:rPr>
        <w:t>review.</w:t>
      </w:r>
    </w:p>
    <w:p>
      <w:pPr>
        <w:spacing w:before="0"/>
        <w:ind w:left="1571" w:right="0" w:firstLine="0"/>
        <w:jc w:val="left"/>
        <w:rPr>
          <w:sz w:val="24"/>
        </w:rPr>
      </w:pPr>
      <w:r>
        <w:rPr>
          <w:i/>
          <w:sz w:val="24"/>
        </w:rPr>
        <w:t>European</w:t>
      </w:r>
      <w:r>
        <w:rPr>
          <w:i/>
          <w:spacing w:val="-2"/>
          <w:sz w:val="24"/>
        </w:rPr>
        <w:t> </w:t>
      </w:r>
      <w:r>
        <w:rPr>
          <w:i/>
          <w:sz w:val="24"/>
        </w:rPr>
        <w:t>Accounting</w:t>
      </w:r>
      <w:r>
        <w:rPr>
          <w:i/>
          <w:spacing w:val="-2"/>
          <w:sz w:val="24"/>
        </w:rPr>
        <w:t> </w:t>
      </w:r>
      <w:r>
        <w:rPr>
          <w:i/>
          <w:sz w:val="24"/>
        </w:rPr>
        <w:t>Review</w:t>
      </w:r>
      <w:r>
        <w:rPr>
          <w:sz w:val="24"/>
        </w:rPr>
        <w:t>,</w:t>
      </w:r>
      <w:r>
        <w:rPr>
          <w:spacing w:val="-2"/>
          <w:sz w:val="24"/>
        </w:rPr>
        <w:t> </w:t>
      </w:r>
      <w:r>
        <w:rPr>
          <w:i/>
          <w:sz w:val="24"/>
        </w:rPr>
        <w:t>16</w:t>
      </w:r>
      <w:r>
        <w:rPr>
          <w:sz w:val="24"/>
        </w:rPr>
        <w:t>(4),</w:t>
      </w:r>
      <w:r>
        <w:rPr>
          <w:spacing w:val="-1"/>
          <w:sz w:val="24"/>
        </w:rPr>
        <w:t> </w:t>
      </w:r>
      <w:r>
        <w:rPr>
          <w:sz w:val="24"/>
        </w:rPr>
        <w:t>234-</w:t>
      </w:r>
      <w:r>
        <w:rPr>
          <w:spacing w:val="-5"/>
          <w:sz w:val="24"/>
        </w:rPr>
        <w:t>251</w:t>
      </w:r>
    </w:p>
    <w:p>
      <w:pPr>
        <w:pStyle w:val="BodyText"/>
      </w:pPr>
    </w:p>
    <w:p>
      <w:pPr>
        <w:spacing w:before="1"/>
        <w:ind w:left="1571" w:right="1436" w:hanging="723"/>
        <w:jc w:val="both"/>
        <w:rPr>
          <w:sz w:val="24"/>
        </w:rPr>
      </w:pPr>
      <w:r>
        <w:rPr>
          <w:sz w:val="24"/>
        </w:rPr>
        <w:t>Street, D., &amp; Gray, S. (2001). </w:t>
      </w:r>
      <w:r>
        <w:rPr>
          <w:i/>
          <w:sz w:val="24"/>
        </w:rPr>
        <w:t>Observance of International Accounting Standards: Factors Explaining</w:t>
      </w:r>
      <w:r>
        <w:rPr>
          <w:i/>
          <w:spacing w:val="-15"/>
          <w:sz w:val="24"/>
        </w:rPr>
        <w:t> </w:t>
      </w:r>
      <w:r>
        <w:rPr>
          <w:i/>
          <w:sz w:val="24"/>
        </w:rPr>
        <w:t>Non-Compliance</w:t>
      </w:r>
      <w:r>
        <w:rPr>
          <w:sz w:val="24"/>
        </w:rPr>
        <w:t>.</w:t>
      </w:r>
      <w:r>
        <w:rPr>
          <w:spacing w:val="-15"/>
          <w:sz w:val="24"/>
        </w:rPr>
        <w:t> </w:t>
      </w:r>
      <w:r>
        <w:rPr>
          <w:sz w:val="24"/>
        </w:rPr>
        <w:t>ACCA</w:t>
      </w:r>
      <w:r>
        <w:rPr>
          <w:spacing w:val="-15"/>
          <w:sz w:val="24"/>
        </w:rPr>
        <w:t> </w:t>
      </w:r>
      <w:r>
        <w:rPr>
          <w:sz w:val="24"/>
        </w:rPr>
        <w:t>Research</w:t>
      </w:r>
      <w:r>
        <w:rPr>
          <w:spacing w:val="-15"/>
          <w:sz w:val="24"/>
        </w:rPr>
        <w:t> </w:t>
      </w:r>
      <w:r>
        <w:rPr>
          <w:sz w:val="24"/>
        </w:rPr>
        <w:t>Report</w:t>
      </w:r>
      <w:r>
        <w:rPr>
          <w:spacing w:val="-15"/>
          <w:sz w:val="24"/>
        </w:rPr>
        <w:t> </w:t>
      </w:r>
      <w:r>
        <w:rPr>
          <w:sz w:val="24"/>
        </w:rPr>
        <w:t>No.</w:t>
      </w:r>
      <w:r>
        <w:rPr>
          <w:spacing w:val="-15"/>
          <w:sz w:val="24"/>
        </w:rPr>
        <w:t> </w:t>
      </w:r>
      <w:r>
        <w:rPr>
          <w:sz w:val="24"/>
        </w:rPr>
        <w:t>74.</w:t>
      </w:r>
      <w:r>
        <w:rPr>
          <w:spacing w:val="-15"/>
          <w:sz w:val="24"/>
        </w:rPr>
        <w:t> </w:t>
      </w:r>
      <w:r>
        <w:rPr>
          <w:sz w:val="24"/>
        </w:rPr>
        <w:t>London,</w:t>
      </w:r>
      <w:r>
        <w:rPr>
          <w:spacing w:val="-15"/>
          <w:sz w:val="24"/>
        </w:rPr>
        <w:t> </w:t>
      </w:r>
      <w:r>
        <w:rPr>
          <w:sz w:val="24"/>
        </w:rPr>
        <w:t>UK:</w:t>
      </w:r>
      <w:r>
        <w:rPr>
          <w:spacing w:val="-15"/>
          <w:sz w:val="24"/>
        </w:rPr>
        <w:t> </w:t>
      </w:r>
      <w:r>
        <w:rPr>
          <w:sz w:val="24"/>
        </w:rPr>
        <w:t>Association of Chartered Certified Accountants.</w:t>
      </w:r>
    </w:p>
    <w:p>
      <w:pPr>
        <w:pStyle w:val="BodyText"/>
        <w:spacing w:before="240"/>
      </w:pPr>
    </w:p>
    <w:p>
      <w:pPr>
        <w:spacing w:before="0"/>
        <w:ind w:left="1571" w:right="1440" w:hanging="723"/>
        <w:jc w:val="both"/>
        <w:rPr>
          <w:sz w:val="24"/>
        </w:rPr>
      </w:pPr>
      <w:r>
        <w:rPr>
          <w:sz w:val="24"/>
        </w:rPr>
        <w:t>Street, D. (2012). IFRS in the US: If, when and how. </w:t>
      </w:r>
      <w:r>
        <w:rPr>
          <w:i/>
          <w:sz w:val="24"/>
        </w:rPr>
        <w:t>Australian Accounting Review, 52 </w:t>
      </w:r>
      <w:r>
        <w:rPr>
          <w:sz w:val="24"/>
        </w:rPr>
        <w:t>(2), </w:t>
      </w:r>
      <w:r>
        <w:rPr>
          <w:spacing w:val="-2"/>
          <w:sz w:val="24"/>
        </w:rPr>
        <w:t>737-783.</w:t>
      </w:r>
    </w:p>
    <w:p>
      <w:pPr>
        <w:pStyle w:val="BodyText"/>
      </w:pPr>
    </w:p>
    <w:p>
      <w:pPr>
        <w:spacing w:before="0"/>
        <w:ind w:left="1571" w:right="1438" w:hanging="723"/>
        <w:jc w:val="both"/>
        <w:rPr>
          <w:sz w:val="24"/>
        </w:rPr>
      </w:pPr>
      <w:r>
        <w:rPr>
          <w:sz w:val="24"/>
        </w:rPr>
        <w:t>Stulz, R. (1988). Managerial control of voting rights. </w:t>
      </w:r>
      <w:r>
        <w:rPr>
          <w:i/>
          <w:sz w:val="24"/>
        </w:rPr>
        <w:t>Journal of Financial Economics, 20</w:t>
      </w:r>
      <w:r>
        <w:rPr>
          <w:sz w:val="24"/>
        </w:rPr>
        <w:t>(4), </w:t>
      </w:r>
      <w:r>
        <w:rPr>
          <w:spacing w:val="-2"/>
          <w:sz w:val="24"/>
        </w:rPr>
        <w:t>25-59</w:t>
      </w:r>
    </w:p>
    <w:p>
      <w:pPr>
        <w:pStyle w:val="BodyText"/>
      </w:pPr>
    </w:p>
    <w:p>
      <w:pPr>
        <w:pStyle w:val="BodyText"/>
        <w:ind w:left="1571" w:right="1438" w:hanging="723"/>
        <w:jc w:val="both"/>
      </w:pPr>
      <w:r>
        <w:rPr/>
        <w:t>Tang, Q., Chen, H., &amp;Lin, Z. (2008). Financial Reporting Quality and Investor Protection:A Global Investigation. Working Paper, University of Western Sydney, ShanghaiUniversity of Finance and Economics, Hong Kong Baptist University, 2008.</w:t>
      </w:r>
    </w:p>
    <w:p>
      <w:pPr>
        <w:spacing w:after="0"/>
        <w:jc w:val="both"/>
        <w:sectPr>
          <w:pgSz w:w="11910" w:h="16840"/>
          <w:pgMar w:header="0" w:footer="971" w:top="1360" w:bottom="1160" w:left="500" w:right="0"/>
        </w:sectPr>
      </w:pPr>
    </w:p>
    <w:p>
      <w:pPr>
        <w:pStyle w:val="BodyText"/>
        <w:spacing w:before="61"/>
        <w:ind w:left="1571" w:right="1436" w:hanging="723"/>
      </w:pPr>
      <w:r>
        <w:rPr/>
        <w:t>Thomas,</w:t>
      </w:r>
      <w:r>
        <w:rPr>
          <w:spacing w:val="40"/>
        </w:rPr>
        <w:t> </w:t>
      </w:r>
      <w:r>
        <w:rPr/>
        <w:t>J.,</w:t>
      </w:r>
      <w:r>
        <w:rPr>
          <w:spacing w:val="40"/>
        </w:rPr>
        <w:t> </w:t>
      </w:r>
      <w:r>
        <w:rPr/>
        <w:t>&amp;</w:t>
      </w:r>
      <w:r>
        <w:rPr>
          <w:spacing w:val="40"/>
        </w:rPr>
        <w:t> </w:t>
      </w:r>
      <w:r>
        <w:rPr/>
        <w:t>Zhang,</w:t>
      </w:r>
      <w:r>
        <w:rPr>
          <w:spacing w:val="40"/>
        </w:rPr>
        <w:t> </w:t>
      </w:r>
      <w:r>
        <w:rPr/>
        <w:t>X.</w:t>
      </w:r>
      <w:r>
        <w:rPr>
          <w:spacing w:val="40"/>
        </w:rPr>
        <w:t> </w:t>
      </w:r>
      <w:r>
        <w:rPr/>
        <w:t>(2000).</w:t>
      </w:r>
      <w:r>
        <w:rPr>
          <w:spacing w:val="40"/>
        </w:rPr>
        <w:t> </w:t>
      </w:r>
      <w:r>
        <w:rPr/>
        <w:t>Identifying</w:t>
      </w:r>
      <w:r>
        <w:rPr>
          <w:spacing w:val="40"/>
        </w:rPr>
        <w:t> </w:t>
      </w:r>
      <w:r>
        <w:rPr/>
        <w:t>unexpected</w:t>
      </w:r>
      <w:r>
        <w:rPr>
          <w:spacing w:val="40"/>
        </w:rPr>
        <w:t> </w:t>
      </w:r>
      <w:r>
        <w:rPr/>
        <w:t>accruals:</w:t>
      </w:r>
      <w:r>
        <w:rPr>
          <w:spacing w:val="40"/>
        </w:rPr>
        <w:t> </w:t>
      </w:r>
      <w:r>
        <w:rPr/>
        <w:t>Comparison</w:t>
      </w:r>
      <w:r>
        <w:rPr>
          <w:spacing w:val="40"/>
        </w:rPr>
        <w:t> </w:t>
      </w:r>
      <w:r>
        <w:rPr/>
        <w:t>of</w:t>
      </w:r>
      <w:r>
        <w:rPr>
          <w:spacing w:val="40"/>
        </w:rPr>
        <w:t> </w:t>
      </w:r>
      <w:r>
        <w:rPr/>
        <w:t>current approaches. Retrieved from </w:t>
      </w:r>
      <w:hyperlink r:id="rId13">
        <w:r>
          <w:rPr>
            <w:u w:val="single"/>
          </w:rPr>
          <w:t>www.researchgate.com</w:t>
        </w:r>
      </w:hyperlink>
    </w:p>
    <w:p>
      <w:pPr>
        <w:pStyle w:val="BodyText"/>
      </w:pPr>
    </w:p>
    <w:p>
      <w:pPr>
        <w:pStyle w:val="BodyText"/>
        <w:ind w:left="1571" w:right="1438" w:hanging="723"/>
        <w:jc w:val="both"/>
      </w:pPr>
      <w:r>
        <w:rPr/>
        <w:t>Ullah,</w:t>
      </w:r>
      <w:r>
        <w:rPr>
          <w:spacing w:val="-1"/>
        </w:rPr>
        <w:t> </w:t>
      </w:r>
      <w:r>
        <w:rPr/>
        <w:t>S., &amp; Kamal, Y.</w:t>
      </w:r>
      <w:r>
        <w:rPr>
          <w:spacing w:val="-1"/>
        </w:rPr>
        <w:t> </w:t>
      </w:r>
      <w:r>
        <w:rPr/>
        <w:t>(2017). Board characteristics, political connections, and corporate</w:t>
      </w:r>
      <w:r>
        <w:rPr>
          <w:spacing w:val="-1"/>
        </w:rPr>
        <w:t> </w:t>
      </w:r>
      <w:r>
        <w:rPr/>
        <w:t>cash holdings:</w:t>
      </w:r>
      <w:r>
        <w:rPr>
          <w:spacing w:val="-8"/>
        </w:rPr>
        <w:t> </w:t>
      </w:r>
      <w:r>
        <w:rPr/>
        <w:t>The</w:t>
      </w:r>
      <w:r>
        <w:rPr>
          <w:spacing w:val="-9"/>
        </w:rPr>
        <w:t> </w:t>
      </w:r>
      <w:r>
        <w:rPr/>
        <w:t>role</w:t>
      </w:r>
      <w:r>
        <w:rPr>
          <w:spacing w:val="-9"/>
        </w:rPr>
        <w:t> </w:t>
      </w:r>
      <w:r>
        <w:rPr/>
        <w:t>of</w:t>
      </w:r>
      <w:r>
        <w:rPr>
          <w:spacing w:val="-9"/>
        </w:rPr>
        <w:t> </w:t>
      </w:r>
      <w:r>
        <w:rPr/>
        <w:t>firm</w:t>
      </w:r>
      <w:r>
        <w:rPr>
          <w:spacing w:val="-8"/>
        </w:rPr>
        <w:t> </w:t>
      </w:r>
      <w:r>
        <w:rPr/>
        <w:t>size</w:t>
      </w:r>
      <w:r>
        <w:rPr>
          <w:spacing w:val="-9"/>
        </w:rPr>
        <w:t> </w:t>
      </w:r>
      <w:r>
        <w:rPr/>
        <w:t>and</w:t>
      </w:r>
      <w:r>
        <w:rPr>
          <w:spacing w:val="-8"/>
        </w:rPr>
        <w:t> </w:t>
      </w:r>
      <w:r>
        <w:rPr/>
        <w:t>political</w:t>
      </w:r>
      <w:r>
        <w:rPr>
          <w:spacing w:val="-8"/>
        </w:rPr>
        <w:t> </w:t>
      </w:r>
      <w:r>
        <w:rPr/>
        <w:t>regime.</w:t>
      </w:r>
      <w:r>
        <w:rPr>
          <w:spacing w:val="-5"/>
        </w:rPr>
        <w:t> </w:t>
      </w:r>
      <w:r>
        <w:rPr>
          <w:i/>
        </w:rPr>
        <w:t>Business</w:t>
      </w:r>
      <w:r>
        <w:rPr>
          <w:i/>
          <w:spacing w:val="-8"/>
        </w:rPr>
        <w:t> </w:t>
      </w:r>
      <w:r>
        <w:rPr>
          <w:i/>
        </w:rPr>
        <w:t>&amp;</w:t>
      </w:r>
      <w:r>
        <w:rPr>
          <w:i/>
          <w:spacing w:val="-8"/>
        </w:rPr>
        <w:t> </w:t>
      </w:r>
      <w:r>
        <w:rPr>
          <w:i/>
        </w:rPr>
        <w:t>Economic</w:t>
      </w:r>
      <w:r>
        <w:rPr>
          <w:i/>
          <w:spacing w:val="-9"/>
        </w:rPr>
        <w:t> </w:t>
      </w:r>
      <w:r>
        <w:rPr>
          <w:i/>
        </w:rPr>
        <w:t>Review,</w:t>
      </w:r>
      <w:r>
        <w:rPr>
          <w:i/>
          <w:spacing w:val="-8"/>
        </w:rPr>
        <w:t> </w:t>
      </w:r>
      <w:r>
        <w:rPr>
          <w:i/>
        </w:rPr>
        <w:t>9</w:t>
      </w:r>
      <w:r>
        <w:rPr/>
        <w:t>(1), </w:t>
      </w:r>
      <w:r>
        <w:rPr>
          <w:spacing w:val="-2"/>
        </w:rPr>
        <w:t>157-180</w:t>
      </w:r>
    </w:p>
    <w:p>
      <w:pPr>
        <w:pStyle w:val="BodyText"/>
      </w:pPr>
    </w:p>
    <w:p>
      <w:pPr>
        <w:pStyle w:val="BodyText"/>
        <w:ind w:left="1571" w:right="1439" w:hanging="723"/>
        <w:jc w:val="both"/>
      </w:pPr>
      <w:r>
        <w:rPr/>
        <w:t>Ungureanu,</w:t>
      </w:r>
      <w:r>
        <w:rPr>
          <w:spacing w:val="-15"/>
        </w:rPr>
        <w:t> </w:t>
      </w:r>
      <w:r>
        <w:rPr/>
        <w:t>M.</w:t>
      </w:r>
      <w:r>
        <w:rPr>
          <w:spacing w:val="-15"/>
        </w:rPr>
        <w:t> </w:t>
      </w:r>
      <w:r>
        <w:rPr/>
        <w:t>(2013).</w:t>
      </w:r>
      <w:r>
        <w:rPr>
          <w:spacing w:val="-15"/>
        </w:rPr>
        <w:t> </w:t>
      </w:r>
      <w:r>
        <w:rPr/>
        <w:t>Models</w:t>
      </w:r>
      <w:r>
        <w:rPr>
          <w:spacing w:val="-15"/>
        </w:rPr>
        <w:t> </w:t>
      </w:r>
      <w:r>
        <w:rPr/>
        <w:t>and</w:t>
      </w:r>
      <w:r>
        <w:rPr>
          <w:spacing w:val="-15"/>
        </w:rPr>
        <w:t> </w:t>
      </w:r>
      <w:r>
        <w:rPr/>
        <w:t>practices</w:t>
      </w:r>
      <w:r>
        <w:rPr>
          <w:spacing w:val="-15"/>
        </w:rPr>
        <w:t> </w:t>
      </w:r>
      <w:r>
        <w:rPr/>
        <w:t>of</w:t>
      </w:r>
      <w:r>
        <w:rPr>
          <w:spacing w:val="-15"/>
        </w:rPr>
        <w:t> </w:t>
      </w:r>
      <w:r>
        <w:rPr/>
        <w:t>corporate</w:t>
      </w:r>
      <w:r>
        <w:rPr>
          <w:spacing w:val="-15"/>
        </w:rPr>
        <w:t> </w:t>
      </w:r>
      <w:r>
        <w:rPr/>
        <w:t>governance</w:t>
      </w:r>
      <w:r>
        <w:rPr>
          <w:spacing w:val="-15"/>
        </w:rPr>
        <w:t> </w:t>
      </w:r>
      <w:r>
        <w:rPr/>
        <w:t>worldwide.</w:t>
      </w:r>
      <w:r>
        <w:rPr>
          <w:spacing w:val="-15"/>
        </w:rPr>
        <w:t> </w:t>
      </w:r>
      <w:r>
        <w:rPr/>
        <w:t>CES</w:t>
      </w:r>
      <w:r>
        <w:rPr>
          <w:spacing w:val="-15"/>
        </w:rPr>
        <w:t> </w:t>
      </w:r>
      <w:r>
        <w:rPr/>
        <w:t>Working Papers. Retrieved from emerald.insight.com</w:t>
      </w:r>
    </w:p>
    <w:p>
      <w:pPr>
        <w:pStyle w:val="BodyText"/>
      </w:pPr>
    </w:p>
    <w:p>
      <w:pPr>
        <w:spacing w:before="0"/>
        <w:ind w:left="1571" w:right="1435" w:hanging="723"/>
        <w:jc w:val="both"/>
        <w:rPr>
          <w:sz w:val="24"/>
        </w:rPr>
      </w:pPr>
      <w:r>
        <w:rPr/>
        <w:drawing>
          <wp:anchor distT="0" distB="0" distL="0" distR="0" allowOverlap="1" layoutInCell="1" locked="0" behindDoc="1" simplePos="0" relativeHeight="477776384">
            <wp:simplePos x="0" y="0"/>
            <wp:positionH relativeFrom="page">
              <wp:posOffset>1095451</wp:posOffset>
            </wp:positionH>
            <wp:positionV relativeFrom="paragraph">
              <wp:posOffset>59584</wp:posOffset>
            </wp:positionV>
            <wp:extent cx="5106847" cy="523811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Umobong, A., &amp; Akani, D. (2015). IFRS Adoption and Accounting Quality of Quoted Manufacturing Firms in Nigeria: A cross Sectional Study of Brewery and Cement Manufacturing</w:t>
      </w:r>
      <w:r>
        <w:rPr>
          <w:spacing w:val="-9"/>
          <w:sz w:val="24"/>
        </w:rPr>
        <w:t> </w:t>
      </w:r>
      <w:r>
        <w:rPr>
          <w:sz w:val="24"/>
        </w:rPr>
        <w:t>Firms.</w:t>
      </w:r>
      <w:r>
        <w:rPr>
          <w:spacing w:val="-8"/>
          <w:sz w:val="24"/>
        </w:rPr>
        <w:t> </w:t>
      </w:r>
      <w:r>
        <w:rPr>
          <w:i/>
          <w:sz w:val="24"/>
        </w:rPr>
        <w:t>International</w:t>
      </w:r>
      <w:r>
        <w:rPr>
          <w:i/>
          <w:spacing w:val="-11"/>
          <w:sz w:val="24"/>
        </w:rPr>
        <w:t> </w:t>
      </w:r>
      <w:r>
        <w:rPr>
          <w:i/>
          <w:sz w:val="24"/>
        </w:rPr>
        <w:t>Journal</w:t>
      </w:r>
      <w:r>
        <w:rPr>
          <w:i/>
          <w:spacing w:val="-11"/>
          <w:sz w:val="24"/>
        </w:rPr>
        <w:t> </w:t>
      </w:r>
      <w:r>
        <w:rPr>
          <w:i/>
          <w:sz w:val="24"/>
        </w:rPr>
        <w:t>of</w:t>
      </w:r>
      <w:r>
        <w:rPr>
          <w:i/>
          <w:spacing w:val="-11"/>
          <w:sz w:val="24"/>
        </w:rPr>
        <w:t> </w:t>
      </w:r>
      <w:r>
        <w:rPr>
          <w:i/>
          <w:sz w:val="24"/>
        </w:rPr>
        <w:t>Business</w:t>
      </w:r>
      <w:r>
        <w:rPr>
          <w:i/>
          <w:spacing w:val="-12"/>
          <w:sz w:val="24"/>
        </w:rPr>
        <w:t> </w:t>
      </w:r>
      <w:r>
        <w:rPr>
          <w:i/>
          <w:sz w:val="24"/>
        </w:rPr>
        <w:t>and</w:t>
      </w:r>
      <w:r>
        <w:rPr>
          <w:i/>
          <w:spacing w:val="-12"/>
          <w:sz w:val="24"/>
        </w:rPr>
        <w:t> </w:t>
      </w:r>
      <w:r>
        <w:rPr>
          <w:i/>
          <w:sz w:val="24"/>
        </w:rPr>
        <w:t>Management</w:t>
      </w:r>
      <w:r>
        <w:rPr>
          <w:i/>
          <w:spacing w:val="-11"/>
          <w:sz w:val="24"/>
        </w:rPr>
        <w:t> </w:t>
      </w:r>
      <w:r>
        <w:rPr>
          <w:i/>
          <w:sz w:val="24"/>
        </w:rPr>
        <w:t>Review,</w:t>
      </w:r>
      <w:r>
        <w:rPr>
          <w:i/>
          <w:spacing w:val="-11"/>
          <w:sz w:val="24"/>
        </w:rPr>
        <w:t> </w:t>
      </w:r>
      <w:r>
        <w:rPr>
          <w:i/>
          <w:sz w:val="24"/>
        </w:rPr>
        <w:t>3</w:t>
      </w:r>
      <w:r>
        <w:rPr>
          <w:sz w:val="24"/>
        </w:rPr>
        <w:t>(6), </w:t>
      </w:r>
      <w:r>
        <w:rPr>
          <w:spacing w:val="-2"/>
          <w:sz w:val="24"/>
        </w:rPr>
        <w:t>61-77.</w:t>
      </w:r>
    </w:p>
    <w:p>
      <w:pPr>
        <w:pStyle w:val="BodyText"/>
        <w:spacing w:before="1"/>
      </w:pPr>
    </w:p>
    <w:p>
      <w:pPr>
        <w:pStyle w:val="BodyText"/>
        <w:ind w:left="1571" w:right="1438" w:hanging="723"/>
        <w:jc w:val="both"/>
      </w:pPr>
      <w:r>
        <w:rPr/>
        <w:t>Ullah,</w:t>
      </w:r>
      <w:r>
        <w:rPr>
          <w:spacing w:val="-1"/>
        </w:rPr>
        <w:t> </w:t>
      </w:r>
      <w:r>
        <w:rPr/>
        <w:t>S., &amp; Kamal, Y.</w:t>
      </w:r>
      <w:r>
        <w:rPr>
          <w:spacing w:val="-1"/>
        </w:rPr>
        <w:t> </w:t>
      </w:r>
      <w:r>
        <w:rPr/>
        <w:t>(2017). Board characteristics, political connections, and corporate</w:t>
      </w:r>
      <w:r>
        <w:rPr>
          <w:spacing w:val="-1"/>
        </w:rPr>
        <w:t> </w:t>
      </w:r>
      <w:r>
        <w:rPr/>
        <w:t>cash holdings:</w:t>
      </w:r>
      <w:r>
        <w:rPr>
          <w:spacing w:val="-8"/>
        </w:rPr>
        <w:t> </w:t>
      </w:r>
      <w:r>
        <w:rPr/>
        <w:t>The</w:t>
      </w:r>
      <w:r>
        <w:rPr>
          <w:spacing w:val="-9"/>
        </w:rPr>
        <w:t> </w:t>
      </w:r>
      <w:r>
        <w:rPr/>
        <w:t>role</w:t>
      </w:r>
      <w:r>
        <w:rPr>
          <w:spacing w:val="-9"/>
        </w:rPr>
        <w:t> </w:t>
      </w:r>
      <w:r>
        <w:rPr/>
        <w:t>of</w:t>
      </w:r>
      <w:r>
        <w:rPr>
          <w:spacing w:val="-9"/>
        </w:rPr>
        <w:t> </w:t>
      </w:r>
      <w:r>
        <w:rPr/>
        <w:t>firm</w:t>
      </w:r>
      <w:r>
        <w:rPr>
          <w:spacing w:val="-8"/>
        </w:rPr>
        <w:t> </w:t>
      </w:r>
      <w:r>
        <w:rPr/>
        <w:t>size</w:t>
      </w:r>
      <w:r>
        <w:rPr>
          <w:spacing w:val="-9"/>
        </w:rPr>
        <w:t> </w:t>
      </w:r>
      <w:r>
        <w:rPr/>
        <w:t>and</w:t>
      </w:r>
      <w:r>
        <w:rPr>
          <w:spacing w:val="-8"/>
        </w:rPr>
        <w:t> </w:t>
      </w:r>
      <w:r>
        <w:rPr/>
        <w:t>political</w:t>
      </w:r>
      <w:r>
        <w:rPr>
          <w:spacing w:val="-8"/>
        </w:rPr>
        <w:t> </w:t>
      </w:r>
      <w:r>
        <w:rPr/>
        <w:t>regime.</w:t>
      </w:r>
      <w:r>
        <w:rPr>
          <w:spacing w:val="-5"/>
        </w:rPr>
        <w:t> </w:t>
      </w:r>
      <w:r>
        <w:rPr>
          <w:i/>
        </w:rPr>
        <w:t>Business</w:t>
      </w:r>
      <w:r>
        <w:rPr>
          <w:i/>
          <w:spacing w:val="-8"/>
        </w:rPr>
        <w:t> </w:t>
      </w:r>
      <w:r>
        <w:rPr>
          <w:i/>
        </w:rPr>
        <w:t>&amp;</w:t>
      </w:r>
      <w:r>
        <w:rPr>
          <w:i/>
          <w:spacing w:val="-8"/>
        </w:rPr>
        <w:t> </w:t>
      </w:r>
      <w:r>
        <w:rPr>
          <w:i/>
        </w:rPr>
        <w:t>Economic</w:t>
      </w:r>
      <w:r>
        <w:rPr>
          <w:i/>
          <w:spacing w:val="-9"/>
        </w:rPr>
        <w:t> </w:t>
      </w:r>
      <w:r>
        <w:rPr>
          <w:i/>
        </w:rPr>
        <w:t>Review,</w:t>
      </w:r>
      <w:r>
        <w:rPr>
          <w:i/>
          <w:spacing w:val="-8"/>
        </w:rPr>
        <w:t> </w:t>
      </w:r>
      <w:r>
        <w:rPr>
          <w:i/>
        </w:rPr>
        <w:t>9</w:t>
      </w:r>
      <w:r>
        <w:rPr/>
        <w:t>(1), </w:t>
      </w:r>
      <w:r>
        <w:rPr>
          <w:spacing w:val="-2"/>
        </w:rPr>
        <w:t>157-180</w:t>
      </w:r>
    </w:p>
    <w:p>
      <w:pPr>
        <w:pStyle w:val="BodyText"/>
      </w:pPr>
    </w:p>
    <w:p>
      <w:pPr>
        <w:spacing w:before="0"/>
        <w:ind w:left="1571" w:right="1438" w:hanging="723"/>
        <w:jc w:val="both"/>
        <w:rPr>
          <w:i/>
          <w:sz w:val="24"/>
        </w:rPr>
      </w:pPr>
      <w:r>
        <w:rPr>
          <w:sz w:val="24"/>
        </w:rPr>
        <w:t>Umobong,</w:t>
      </w:r>
      <w:r>
        <w:rPr>
          <w:spacing w:val="-7"/>
          <w:sz w:val="24"/>
        </w:rPr>
        <w:t> </w:t>
      </w:r>
      <w:r>
        <w:rPr>
          <w:sz w:val="24"/>
        </w:rPr>
        <w:t>A.,</w:t>
      </w:r>
      <w:r>
        <w:rPr>
          <w:spacing w:val="-7"/>
          <w:sz w:val="24"/>
        </w:rPr>
        <w:t> </w:t>
      </w:r>
      <w:r>
        <w:rPr>
          <w:sz w:val="24"/>
        </w:rPr>
        <w:t>&amp;</w:t>
      </w:r>
      <w:r>
        <w:rPr>
          <w:spacing w:val="-6"/>
          <w:sz w:val="24"/>
        </w:rPr>
        <w:t> </w:t>
      </w:r>
      <w:r>
        <w:rPr>
          <w:sz w:val="24"/>
        </w:rPr>
        <w:t>Ibanichuka,</w:t>
      </w:r>
      <w:r>
        <w:rPr>
          <w:spacing w:val="-7"/>
          <w:sz w:val="24"/>
        </w:rPr>
        <w:t> </w:t>
      </w:r>
      <w:r>
        <w:rPr>
          <w:sz w:val="24"/>
        </w:rPr>
        <w:t>E.A.L.</w:t>
      </w:r>
      <w:r>
        <w:rPr>
          <w:spacing w:val="-7"/>
          <w:sz w:val="24"/>
        </w:rPr>
        <w:t> </w:t>
      </w:r>
      <w:r>
        <w:rPr>
          <w:sz w:val="24"/>
        </w:rPr>
        <w:t>(2017).</w:t>
      </w:r>
      <w:r>
        <w:rPr>
          <w:spacing w:val="-8"/>
          <w:sz w:val="24"/>
        </w:rPr>
        <w:t> </w:t>
      </w:r>
      <w:r>
        <w:rPr>
          <w:sz w:val="24"/>
        </w:rPr>
        <w:t>Audit</w:t>
      </w:r>
      <w:r>
        <w:rPr>
          <w:spacing w:val="-6"/>
          <w:sz w:val="24"/>
        </w:rPr>
        <w:t> </w:t>
      </w:r>
      <w:r>
        <w:rPr>
          <w:sz w:val="24"/>
        </w:rPr>
        <w:t>committee</w:t>
      </w:r>
      <w:r>
        <w:rPr>
          <w:spacing w:val="-8"/>
          <w:sz w:val="24"/>
        </w:rPr>
        <w:t> </w:t>
      </w:r>
      <w:r>
        <w:rPr>
          <w:sz w:val="24"/>
        </w:rPr>
        <w:t>attributes</w:t>
      </w:r>
      <w:r>
        <w:rPr>
          <w:spacing w:val="-7"/>
          <w:sz w:val="24"/>
        </w:rPr>
        <w:t> </w:t>
      </w:r>
      <w:r>
        <w:rPr>
          <w:sz w:val="24"/>
        </w:rPr>
        <w:t>and</w:t>
      </w:r>
      <w:r>
        <w:rPr>
          <w:spacing w:val="-7"/>
          <w:sz w:val="24"/>
        </w:rPr>
        <w:t> </w:t>
      </w:r>
      <w:r>
        <w:rPr>
          <w:sz w:val="24"/>
        </w:rPr>
        <w:t>financial</w:t>
      </w:r>
      <w:r>
        <w:rPr>
          <w:spacing w:val="-7"/>
          <w:sz w:val="24"/>
        </w:rPr>
        <w:t> </w:t>
      </w:r>
      <w:r>
        <w:rPr>
          <w:sz w:val="24"/>
        </w:rPr>
        <w:t>reporting quality</w:t>
      </w:r>
      <w:r>
        <w:rPr>
          <w:spacing w:val="-14"/>
          <w:sz w:val="24"/>
        </w:rPr>
        <w:t> </w:t>
      </w:r>
      <w:r>
        <w:rPr>
          <w:sz w:val="24"/>
        </w:rPr>
        <w:t>of</w:t>
      </w:r>
      <w:r>
        <w:rPr>
          <w:spacing w:val="-15"/>
          <w:sz w:val="24"/>
        </w:rPr>
        <w:t> </w:t>
      </w:r>
      <w:r>
        <w:rPr>
          <w:sz w:val="24"/>
        </w:rPr>
        <w:t>food</w:t>
      </w:r>
      <w:r>
        <w:rPr>
          <w:spacing w:val="-15"/>
          <w:sz w:val="24"/>
        </w:rPr>
        <w:t> </w:t>
      </w:r>
      <w:r>
        <w:rPr>
          <w:sz w:val="24"/>
        </w:rPr>
        <w:t>and</w:t>
      </w:r>
      <w:r>
        <w:rPr>
          <w:spacing w:val="-14"/>
          <w:sz w:val="24"/>
        </w:rPr>
        <w:t> </w:t>
      </w:r>
      <w:r>
        <w:rPr>
          <w:sz w:val="24"/>
        </w:rPr>
        <w:t>beverage</w:t>
      </w:r>
      <w:r>
        <w:rPr>
          <w:spacing w:val="-15"/>
          <w:sz w:val="24"/>
        </w:rPr>
        <w:t> </w:t>
      </w:r>
      <w:r>
        <w:rPr>
          <w:sz w:val="24"/>
        </w:rPr>
        <w:t>firms</w:t>
      </w:r>
      <w:r>
        <w:rPr>
          <w:spacing w:val="-13"/>
          <w:sz w:val="24"/>
        </w:rPr>
        <w:t> </w:t>
      </w:r>
      <w:r>
        <w:rPr>
          <w:sz w:val="24"/>
        </w:rPr>
        <w:t>in</w:t>
      </w:r>
      <w:r>
        <w:rPr>
          <w:spacing w:val="-14"/>
          <w:sz w:val="24"/>
        </w:rPr>
        <w:t> </w:t>
      </w:r>
      <w:r>
        <w:rPr>
          <w:sz w:val="24"/>
        </w:rPr>
        <w:t>Nigeria.</w:t>
      </w:r>
      <w:r>
        <w:rPr>
          <w:spacing w:val="-12"/>
          <w:sz w:val="24"/>
        </w:rPr>
        <w:t> </w:t>
      </w:r>
      <w:r>
        <w:rPr>
          <w:i/>
          <w:sz w:val="24"/>
        </w:rPr>
        <w:t>International</w:t>
      </w:r>
      <w:r>
        <w:rPr>
          <w:i/>
          <w:spacing w:val="-13"/>
          <w:sz w:val="24"/>
        </w:rPr>
        <w:t> </w:t>
      </w:r>
      <w:r>
        <w:rPr>
          <w:i/>
          <w:sz w:val="24"/>
        </w:rPr>
        <w:t>Journal</w:t>
      </w:r>
      <w:r>
        <w:rPr>
          <w:i/>
          <w:spacing w:val="-15"/>
          <w:sz w:val="24"/>
        </w:rPr>
        <w:t> </w:t>
      </w:r>
      <w:r>
        <w:rPr>
          <w:i/>
          <w:sz w:val="24"/>
        </w:rPr>
        <w:t>of</w:t>
      </w:r>
      <w:r>
        <w:rPr>
          <w:i/>
          <w:spacing w:val="-14"/>
          <w:sz w:val="24"/>
        </w:rPr>
        <w:t> </w:t>
      </w:r>
      <w:r>
        <w:rPr>
          <w:i/>
          <w:sz w:val="24"/>
        </w:rPr>
        <w:t>Innovative</w:t>
      </w:r>
      <w:r>
        <w:rPr>
          <w:i/>
          <w:spacing w:val="-15"/>
          <w:sz w:val="24"/>
        </w:rPr>
        <w:t> </w:t>
      </w:r>
      <w:r>
        <w:rPr>
          <w:i/>
          <w:sz w:val="24"/>
        </w:rPr>
        <w:t>Social Sciences &amp; Humanities Research, 5(2), 1-13,</w:t>
      </w:r>
    </w:p>
    <w:p>
      <w:pPr>
        <w:pStyle w:val="BodyText"/>
        <w:rPr>
          <w:i/>
        </w:rPr>
      </w:pPr>
    </w:p>
    <w:p>
      <w:pPr>
        <w:pStyle w:val="BodyText"/>
        <w:ind w:left="1571" w:right="1436" w:hanging="723"/>
        <w:jc w:val="both"/>
      </w:pPr>
      <w:r>
        <w:rPr/>
        <w:t>Uwuigbe,</w:t>
      </w:r>
      <w:r>
        <w:rPr>
          <w:spacing w:val="-13"/>
        </w:rPr>
        <w:t> </w:t>
      </w:r>
      <w:r>
        <w:rPr/>
        <w:t>U.,</w:t>
      </w:r>
      <w:r>
        <w:rPr>
          <w:spacing w:val="-10"/>
        </w:rPr>
        <w:t> </w:t>
      </w:r>
      <w:r>
        <w:rPr/>
        <w:t>Felix,</w:t>
      </w:r>
      <w:r>
        <w:rPr>
          <w:spacing w:val="-12"/>
        </w:rPr>
        <w:t> </w:t>
      </w:r>
      <w:r>
        <w:rPr/>
        <w:t>E.</w:t>
      </w:r>
      <w:r>
        <w:rPr>
          <w:spacing w:val="-12"/>
        </w:rPr>
        <w:t> </w:t>
      </w:r>
      <w:r>
        <w:rPr/>
        <w:t>D.,</w:t>
      </w:r>
      <w:r>
        <w:rPr>
          <w:spacing w:val="-12"/>
        </w:rPr>
        <w:t> </w:t>
      </w:r>
      <w:r>
        <w:rPr/>
        <w:t>Uwuigbe,</w:t>
      </w:r>
      <w:r>
        <w:rPr>
          <w:spacing w:val="-13"/>
        </w:rPr>
        <w:t> </w:t>
      </w:r>
      <w:r>
        <w:rPr/>
        <w:t>O.</w:t>
      </w:r>
      <w:r>
        <w:rPr>
          <w:spacing w:val="-13"/>
        </w:rPr>
        <w:t> </w:t>
      </w:r>
      <w:r>
        <w:rPr/>
        <w:t>R.,Teddy,</w:t>
      </w:r>
      <w:r>
        <w:rPr>
          <w:spacing w:val="-10"/>
        </w:rPr>
        <w:t> </w:t>
      </w:r>
      <w:r>
        <w:rPr/>
        <w:t>O.,</w:t>
      </w:r>
      <w:r>
        <w:rPr>
          <w:spacing w:val="-13"/>
        </w:rPr>
        <w:t> </w:t>
      </w:r>
      <w:r>
        <w:rPr/>
        <w:t>&amp;</w:t>
      </w:r>
      <w:r>
        <w:rPr>
          <w:spacing w:val="-9"/>
        </w:rPr>
        <w:t> </w:t>
      </w:r>
      <w:r>
        <w:rPr/>
        <w:t>Irene,</w:t>
      </w:r>
      <w:r>
        <w:rPr>
          <w:spacing w:val="-10"/>
        </w:rPr>
        <w:t> </w:t>
      </w:r>
      <w:r>
        <w:rPr/>
        <w:t>F.</w:t>
      </w:r>
      <w:r>
        <w:rPr>
          <w:spacing w:val="-12"/>
        </w:rPr>
        <w:t> </w:t>
      </w:r>
      <w:r>
        <w:rPr/>
        <w:t>(2018).</w:t>
      </w:r>
      <w:r>
        <w:rPr>
          <w:spacing w:val="-11"/>
        </w:rPr>
        <w:t> </w:t>
      </w:r>
      <w:r>
        <w:rPr/>
        <w:t>Corporate</w:t>
      </w:r>
      <w:r>
        <w:rPr>
          <w:spacing w:val="-13"/>
        </w:rPr>
        <w:t> </w:t>
      </w:r>
      <w:r>
        <w:rPr/>
        <w:t>governance and quality of financial statements: A study of listed Nigerian banks. </w:t>
      </w:r>
      <w:r>
        <w:rPr>
          <w:i/>
        </w:rPr>
        <w:t>Banks and Bank Systems, 13</w:t>
      </w:r>
      <w:r>
        <w:rPr/>
        <w:t>(3), 12-23.</w:t>
      </w:r>
    </w:p>
    <w:p>
      <w:pPr>
        <w:pStyle w:val="BodyText"/>
      </w:pPr>
    </w:p>
    <w:p>
      <w:pPr>
        <w:spacing w:before="0"/>
        <w:ind w:left="1571" w:right="1441" w:hanging="723"/>
        <w:jc w:val="both"/>
        <w:rPr>
          <w:sz w:val="24"/>
        </w:rPr>
      </w:pPr>
      <w:r>
        <w:rPr>
          <w:sz w:val="24"/>
        </w:rPr>
        <w:t>Van Tendeloo, B., &amp; Vanstraelen, A. (2005). Earnings management under German GAAP versus IFRS. </w:t>
      </w:r>
      <w:r>
        <w:rPr>
          <w:i/>
          <w:sz w:val="24"/>
        </w:rPr>
        <w:t>European Accounting Review, 14</w:t>
      </w:r>
      <w:r>
        <w:rPr>
          <w:sz w:val="24"/>
        </w:rPr>
        <w:t>(1), 155-180</w:t>
      </w:r>
    </w:p>
    <w:p>
      <w:pPr>
        <w:pStyle w:val="BodyText"/>
      </w:pPr>
    </w:p>
    <w:p>
      <w:pPr>
        <w:pStyle w:val="BodyText"/>
        <w:spacing w:before="1"/>
        <w:ind w:left="1571" w:right="1437" w:hanging="723"/>
        <w:jc w:val="both"/>
      </w:pPr>
      <w:r>
        <w:rPr/>
        <w:t>VanBeest F., Braam G., &amp; Boelens S. (2009). Quality of Financial Reporting: measuring qualitative</w:t>
      </w:r>
      <w:r>
        <w:rPr>
          <w:spacing w:val="-7"/>
        </w:rPr>
        <w:t> </w:t>
      </w:r>
      <w:r>
        <w:rPr/>
        <w:t>characteristics.</w:t>
      </w:r>
      <w:r>
        <w:rPr>
          <w:spacing w:val="40"/>
        </w:rPr>
        <w:t> </w:t>
      </w:r>
      <w:r>
        <w:rPr/>
        <w:t>Nijmegen</w:t>
      </w:r>
      <w:r>
        <w:rPr>
          <w:spacing w:val="-7"/>
        </w:rPr>
        <w:t> </w:t>
      </w:r>
      <w:r>
        <w:rPr/>
        <w:t>Center</w:t>
      </w:r>
      <w:r>
        <w:rPr>
          <w:spacing w:val="-6"/>
        </w:rPr>
        <w:t> </w:t>
      </w:r>
      <w:r>
        <w:rPr/>
        <w:t>for</w:t>
      </w:r>
      <w:r>
        <w:rPr>
          <w:spacing w:val="-8"/>
        </w:rPr>
        <w:t> </w:t>
      </w:r>
      <w:r>
        <w:rPr/>
        <w:t>Economics</w:t>
      </w:r>
      <w:r>
        <w:rPr>
          <w:spacing w:val="-7"/>
        </w:rPr>
        <w:t> </w:t>
      </w:r>
      <w:r>
        <w:rPr/>
        <w:t>(NICE)</w:t>
      </w:r>
      <w:r>
        <w:rPr>
          <w:spacing w:val="-5"/>
        </w:rPr>
        <w:t> </w:t>
      </w:r>
      <w:r>
        <w:rPr/>
        <w:t>Working</w:t>
      </w:r>
      <w:r>
        <w:rPr>
          <w:spacing w:val="-7"/>
        </w:rPr>
        <w:t> </w:t>
      </w:r>
      <w:r>
        <w:rPr/>
        <w:t>Paper</w:t>
      </w:r>
      <w:r>
        <w:rPr>
          <w:spacing w:val="-2"/>
        </w:rPr>
        <w:t> </w:t>
      </w:r>
      <w:r>
        <w:rPr/>
        <w:t>09- </w:t>
      </w:r>
      <w:r>
        <w:rPr>
          <w:spacing w:val="-4"/>
        </w:rPr>
        <w:t>108.</w:t>
      </w:r>
    </w:p>
    <w:p>
      <w:pPr>
        <w:pStyle w:val="BodyText"/>
        <w:spacing w:before="276"/>
        <w:ind w:left="849"/>
      </w:pPr>
      <w:r>
        <w:rPr/>
        <w:t>Van</w:t>
      </w:r>
      <w:r>
        <w:rPr>
          <w:spacing w:val="3"/>
        </w:rPr>
        <w:t> </w:t>
      </w:r>
      <w:r>
        <w:rPr/>
        <w:t>der</w:t>
      </w:r>
      <w:r>
        <w:rPr>
          <w:spacing w:val="5"/>
        </w:rPr>
        <w:t> </w:t>
      </w:r>
      <w:r>
        <w:rPr/>
        <w:t>Meulen,</w:t>
      </w:r>
      <w:r>
        <w:rPr>
          <w:spacing w:val="5"/>
        </w:rPr>
        <w:t> </w:t>
      </w:r>
      <w:r>
        <w:rPr/>
        <w:t>S.,</w:t>
      </w:r>
      <w:r>
        <w:rPr>
          <w:spacing w:val="5"/>
        </w:rPr>
        <w:t> </w:t>
      </w:r>
      <w:r>
        <w:rPr/>
        <w:t>Gaeremynck,</w:t>
      </w:r>
      <w:r>
        <w:rPr>
          <w:spacing w:val="5"/>
        </w:rPr>
        <w:t> </w:t>
      </w:r>
      <w:r>
        <w:rPr/>
        <w:t>A.,</w:t>
      </w:r>
      <w:r>
        <w:rPr>
          <w:spacing w:val="5"/>
        </w:rPr>
        <w:t> </w:t>
      </w:r>
      <w:r>
        <w:rPr/>
        <w:t>&amp;</w:t>
      </w:r>
      <w:r>
        <w:rPr>
          <w:spacing w:val="6"/>
        </w:rPr>
        <w:t> </w:t>
      </w:r>
      <w:r>
        <w:rPr/>
        <w:t>Willekens,</w:t>
      </w:r>
      <w:r>
        <w:rPr>
          <w:spacing w:val="6"/>
        </w:rPr>
        <w:t> </w:t>
      </w:r>
      <w:r>
        <w:rPr/>
        <w:t>M.</w:t>
      </w:r>
      <w:r>
        <w:rPr>
          <w:spacing w:val="6"/>
        </w:rPr>
        <w:t> </w:t>
      </w:r>
      <w:r>
        <w:rPr/>
        <w:t>(2007).</w:t>
      </w:r>
      <w:r>
        <w:rPr>
          <w:spacing w:val="5"/>
        </w:rPr>
        <w:t> </w:t>
      </w:r>
      <w:r>
        <w:rPr/>
        <w:t>Attribute</w:t>
      </w:r>
      <w:r>
        <w:rPr>
          <w:spacing w:val="5"/>
        </w:rPr>
        <w:t> </w:t>
      </w:r>
      <w:r>
        <w:rPr/>
        <w:t>Differences</w:t>
      </w:r>
      <w:r>
        <w:rPr>
          <w:spacing w:val="6"/>
        </w:rPr>
        <w:t> </w:t>
      </w:r>
      <w:r>
        <w:rPr>
          <w:spacing w:val="-2"/>
        </w:rPr>
        <w:t>between</w:t>
      </w:r>
    </w:p>
    <w:p>
      <w:pPr>
        <w:spacing w:before="0"/>
        <w:ind w:left="1571" w:right="1436" w:firstLine="0"/>
        <w:jc w:val="left"/>
        <w:rPr>
          <w:sz w:val="24"/>
        </w:rPr>
      </w:pPr>
      <w:r>
        <w:rPr>
          <w:sz w:val="24"/>
        </w:rPr>
        <w:t>U.S. GAAP and IFRS Earnings: An Exploratory Study. </w:t>
      </w:r>
      <w:r>
        <w:rPr>
          <w:i/>
          <w:sz w:val="24"/>
        </w:rPr>
        <w:t>The International Journal of</w:t>
      </w:r>
      <w:r>
        <w:rPr>
          <w:i/>
          <w:spacing w:val="40"/>
          <w:sz w:val="24"/>
        </w:rPr>
        <w:t> </w:t>
      </w:r>
      <w:r>
        <w:rPr>
          <w:i/>
          <w:sz w:val="24"/>
        </w:rPr>
        <w:t>Accounting, 42</w:t>
      </w:r>
      <w:r>
        <w:rPr>
          <w:sz w:val="24"/>
        </w:rPr>
        <w:t>(2), 123-142.</w:t>
      </w:r>
    </w:p>
    <w:p>
      <w:pPr>
        <w:pStyle w:val="BodyText"/>
      </w:pPr>
    </w:p>
    <w:p>
      <w:pPr>
        <w:pStyle w:val="BodyText"/>
        <w:ind w:left="1571" w:right="1440" w:hanging="723"/>
        <w:jc w:val="both"/>
      </w:pPr>
      <w:r>
        <w:rPr/>
        <w:t>Vander Bauwhede, H., &amp; Willekens, M. (2008). Disclosure on corporate governance in the European Union. </w:t>
      </w:r>
      <w:r>
        <w:rPr>
          <w:i/>
        </w:rPr>
        <w:t>International Review, 16</w:t>
      </w:r>
      <w:r>
        <w:rPr/>
        <w:t>, (5) 101-115</w:t>
      </w:r>
    </w:p>
    <w:p>
      <w:pPr>
        <w:pStyle w:val="BodyText"/>
      </w:pPr>
    </w:p>
    <w:p>
      <w:pPr>
        <w:spacing w:before="0"/>
        <w:ind w:left="1571" w:right="1439" w:hanging="723"/>
        <w:jc w:val="both"/>
        <w:rPr>
          <w:sz w:val="24"/>
        </w:rPr>
      </w:pPr>
      <w:r>
        <w:rPr>
          <w:sz w:val="24"/>
        </w:rPr>
        <w:t>Vafeas, N. (2005) Audit committees, boards, and the quality of reported earnings. </w:t>
      </w:r>
      <w:r>
        <w:rPr>
          <w:i/>
          <w:sz w:val="24"/>
        </w:rPr>
        <w:t>Journal of Business Research, 5 </w:t>
      </w:r>
      <w:r>
        <w:rPr>
          <w:sz w:val="24"/>
        </w:rPr>
        <w:t>(3) 43-52.</w:t>
      </w:r>
    </w:p>
    <w:p>
      <w:pPr>
        <w:pStyle w:val="BodyText"/>
      </w:pPr>
    </w:p>
    <w:p>
      <w:pPr>
        <w:spacing w:before="0"/>
        <w:ind w:left="1571" w:right="1435" w:hanging="723"/>
        <w:jc w:val="both"/>
        <w:rPr>
          <w:sz w:val="24"/>
        </w:rPr>
      </w:pPr>
      <w:r>
        <w:rPr>
          <w:sz w:val="24"/>
        </w:rPr>
        <w:t>Verdi,</w:t>
      </w:r>
      <w:r>
        <w:rPr>
          <w:spacing w:val="-15"/>
          <w:sz w:val="24"/>
        </w:rPr>
        <w:t> </w:t>
      </w:r>
      <w:r>
        <w:rPr>
          <w:sz w:val="24"/>
        </w:rPr>
        <w:t>S.</w:t>
      </w:r>
      <w:r>
        <w:rPr>
          <w:spacing w:val="-15"/>
          <w:sz w:val="24"/>
        </w:rPr>
        <w:t> </w:t>
      </w:r>
      <w:r>
        <w:rPr>
          <w:sz w:val="24"/>
        </w:rPr>
        <w:t>(2006).</w:t>
      </w:r>
      <w:r>
        <w:rPr>
          <w:spacing w:val="-15"/>
          <w:sz w:val="24"/>
        </w:rPr>
        <w:t> </w:t>
      </w:r>
      <w:r>
        <w:rPr>
          <w:i/>
          <w:sz w:val="24"/>
        </w:rPr>
        <w:t>Financial</w:t>
      </w:r>
      <w:r>
        <w:rPr>
          <w:i/>
          <w:spacing w:val="-15"/>
          <w:sz w:val="24"/>
        </w:rPr>
        <w:t> </w:t>
      </w:r>
      <w:r>
        <w:rPr>
          <w:i/>
          <w:sz w:val="24"/>
        </w:rPr>
        <w:t>reporting</w:t>
      </w:r>
      <w:r>
        <w:rPr>
          <w:i/>
          <w:spacing w:val="-15"/>
          <w:sz w:val="24"/>
        </w:rPr>
        <w:t> </w:t>
      </w:r>
      <w:r>
        <w:rPr>
          <w:i/>
          <w:sz w:val="24"/>
        </w:rPr>
        <w:t>quality</w:t>
      </w:r>
      <w:r>
        <w:rPr>
          <w:i/>
          <w:spacing w:val="-15"/>
          <w:sz w:val="24"/>
        </w:rPr>
        <w:t> </w:t>
      </w:r>
      <w:r>
        <w:rPr>
          <w:i/>
          <w:sz w:val="24"/>
        </w:rPr>
        <w:t>and</w:t>
      </w:r>
      <w:r>
        <w:rPr>
          <w:i/>
          <w:spacing w:val="-15"/>
          <w:sz w:val="24"/>
        </w:rPr>
        <w:t> </w:t>
      </w:r>
      <w:r>
        <w:rPr>
          <w:i/>
          <w:sz w:val="24"/>
        </w:rPr>
        <w:t>investment</w:t>
      </w:r>
      <w:r>
        <w:rPr>
          <w:i/>
          <w:spacing w:val="-15"/>
          <w:sz w:val="24"/>
        </w:rPr>
        <w:t> </w:t>
      </w:r>
      <w:r>
        <w:rPr>
          <w:i/>
          <w:sz w:val="24"/>
        </w:rPr>
        <w:t>efficiency</w:t>
      </w:r>
      <w:r>
        <w:rPr>
          <w:sz w:val="24"/>
        </w:rPr>
        <w:t>.</w:t>
      </w:r>
      <w:r>
        <w:rPr>
          <w:spacing w:val="-15"/>
          <w:sz w:val="24"/>
        </w:rPr>
        <w:t> </w:t>
      </w:r>
      <w:r>
        <w:rPr>
          <w:sz w:val="24"/>
        </w:rPr>
        <w:t>A</w:t>
      </w:r>
      <w:r>
        <w:rPr>
          <w:spacing w:val="-15"/>
          <w:sz w:val="24"/>
        </w:rPr>
        <w:t> </w:t>
      </w:r>
      <w:r>
        <w:rPr>
          <w:sz w:val="24"/>
        </w:rPr>
        <w:t>dissertation</w:t>
      </w:r>
      <w:r>
        <w:rPr>
          <w:spacing w:val="-15"/>
          <w:sz w:val="24"/>
        </w:rPr>
        <w:t> </w:t>
      </w:r>
      <w:r>
        <w:rPr>
          <w:sz w:val="24"/>
        </w:rPr>
        <w:t>summited to the department of accounting and financial, University of Pennsylvania.</w:t>
      </w:r>
    </w:p>
    <w:p>
      <w:pPr>
        <w:pStyle w:val="BodyText"/>
      </w:pPr>
    </w:p>
    <w:p>
      <w:pPr>
        <w:pStyle w:val="BodyText"/>
        <w:spacing w:before="1"/>
        <w:ind w:left="1571" w:right="1445" w:hanging="723"/>
        <w:jc w:val="both"/>
      </w:pPr>
      <w:r>
        <w:rPr/>
        <w:t>Verriest, A., Gaeremynck, A., &amp; Thornton, D. (2011). The impact of corporate governance on IFRS adoption choices. Retrieved from </w:t>
      </w:r>
      <w:hyperlink r:id="rId15">
        <w:r>
          <w:rPr>
            <w:u w:val="single"/>
          </w:rPr>
          <w:t>www.ssrn.com</w:t>
        </w:r>
      </w:hyperlink>
    </w:p>
    <w:p>
      <w:pPr>
        <w:spacing w:after="0"/>
        <w:jc w:val="both"/>
        <w:sectPr>
          <w:pgSz w:w="11910" w:h="16840"/>
          <w:pgMar w:header="0" w:footer="971" w:top="1360" w:bottom="1160" w:left="500" w:right="0"/>
        </w:sectPr>
      </w:pPr>
    </w:p>
    <w:p>
      <w:pPr>
        <w:spacing w:before="61"/>
        <w:ind w:left="1571" w:right="1436" w:hanging="723"/>
        <w:jc w:val="both"/>
        <w:rPr>
          <w:sz w:val="24"/>
        </w:rPr>
      </w:pPr>
      <w:r>
        <w:rPr>
          <w:sz w:val="24"/>
        </w:rPr>
        <w:t>Verleun, M., Georgakopoulos, G., Sotiropoulos, I., &amp; Vasileiou, K. Z. (2011). The Sarbanes- Oxley</w:t>
      </w:r>
      <w:r>
        <w:rPr>
          <w:spacing w:val="-8"/>
          <w:sz w:val="24"/>
        </w:rPr>
        <w:t> </w:t>
      </w:r>
      <w:r>
        <w:rPr>
          <w:sz w:val="24"/>
        </w:rPr>
        <w:t>act</w:t>
      </w:r>
      <w:r>
        <w:rPr>
          <w:spacing w:val="-7"/>
          <w:sz w:val="24"/>
        </w:rPr>
        <w:t> </w:t>
      </w:r>
      <w:r>
        <w:rPr>
          <w:sz w:val="24"/>
        </w:rPr>
        <w:t>and</w:t>
      </w:r>
      <w:r>
        <w:rPr>
          <w:spacing w:val="-8"/>
          <w:sz w:val="24"/>
        </w:rPr>
        <w:t> </w:t>
      </w:r>
      <w:r>
        <w:rPr>
          <w:sz w:val="24"/>
        </w:rPr>
        <w:t>accounting</w:t>
      </w:r>
      <w:r>
        <w:rPr>
          <w:spacing w:val="-8"/>
          <w:sz w:val="24"/>
        </w:rPr>
        <w:t> </w:t>
      </w:r>
      <w:r>
        <w:rPr>
          <w:sz w:val="24"/>
        </w:rPr>
        <w:t>quality:</w:t>
      </w:r>
      <w:r>
        <w:rPr>
          <w:spacing w:val="-7"/>
          <w:sz w:val="24"/>
        </w:rPr>
        <w:t> </w:t>
      </w:r>
      <w:r>
        <w:rPr>
          <w:sz w:val="24"/>
        </w:rPr>
        <w:t>A</w:t>
      </w:r>
      <w:r>
        <w:rPr>
          <w:spacing w:val="-8"/>
          <w:sz w:val="24"/>
        </w:rPr>
        <w:t> </w:t>
      </w:r>
      <w:r>
        <w:rPr>
          <w:sz w:val="24"/>
        </w:rPr>
        <w:t>comprehensive</w:t>
      </w:r>
      <w:r>
        <w:rPr>
          <w:spacing w:val="-8"/>
          <w:sz w:val="24"/>
        </w:rPr>
        <w:t> </w:t>
      </w:r>
      <w:r>
        <w:rPr>
          <w:sz w:val="24"/>
        </w:rPr>
        <w:t>examination.</w:t>
      </w:r>
      <w:r>
        <w:rPr>
          <w:spacing w:val="-4"/>
          <w:sz w:val="24"/>
        </w:rPr>
        <w:t> </w:t>
      </w:r>
      <w:r>
        <w:rPr>
          <w:i/>
          <w:sz w:val="24"/>
        </w:rPr>
        <w:t>International</w:t>
      </w:r>
      <w:r>
        <w:rPr>
          <w:i/>
          <w:spacing w:val="-7"/>
          <w:sz w:val="24"/>
        </w:rPr>
        <w:t> </w:t>
      </w:r>
      <w:r>
        <w:rPr>
          <w:i/>
          <w:sz w:val="24"/>
        </w:rPr>
        <w:t>Journal of Economics &amp; Finance, 3</w:t>
      </w:r>
      <w:r>
        <w:rPr>
          <w:sz w:val="24"/>
        </w:rPr>
        <w:t>(5), 49-64.</w:t>
      </w:r>
    </w:p>
    <w:p>
      <w:pPr>
        <w:pStyle w:val="BodyText"/>
      </w:pPr>
    </w:p>
    <w:p>
      <w:pPr>
        <w:pStyle w:val="BodyText"/>
        <w:ind w:left="849"/>
      </w:pPr>
      <w:r>
        <w:rPr/>
        <w:t>Watts,</w:t>
      </w:r>
      <w:r>
        <w:rPr>
          <w:spacing w:val="6"/>
        </w:rPr>
        <w:t> </w:t>
      </w:r>
      <w:r>
        <w:rPr/>
        <w:t>R.</w:t>
      </w:r>
      <w:r>
        <w:rPr>
          <w:spacing w:val="8"/>
        </w:rPr>
        <w:t> </w:t>
      </w:r>
      <w:r>
        <w:rPr/>
        <w:t>L.,</w:t>
      </w:r>
      <w:r>
        <w:rPr>
          <w:spacing w:val="8"/>
        </w:rPr>
        <w:t> </w:t>
      </w:r>
      <w:r>
        <w:rPr/>
        <w:t>&amp;</w:t>
      </w:r>
      <w:r>
        <w:rPr>
          <w:spacing w:val="8"/>
        </w:rPr>
        <w:t> </w:t>
      </w:r>
      <w:r>
        <w:rPr/>
        <w:t>Zimmerman,</w:t>
      </w:r>
      <w:r>
        <w:rPr>
          <w:spacing w:val="9"/>
        </w:rPr>
        <w:t> </w:t>
      </w:r>
      <w:r>
        <w:rPr/>
        <w:t>J.</w:t>
      </w:r>
      <w:r>
        <w:rPr>
          <w:spacing w:val="8"/>
        </w:rPr>
        <w:t> </w:t>
      </w:r>
      <w:r>
        <w:rPr/>
        <w:t>L.</w:t>
      </w:r>
      <w:r>
        <w:rPr>
          <w:spacing w:val="8"/>
        </w:rPr>
        <w:t> </w:t>
      </w:r>
      <w:r>
        <w:rPr/>
        <w:t>(1990).</w:t>
      </w:r>
      <w:r>
        <w:rPr>
          <w:spacing w:val="7"/>
        </w:rPr>
        <w:t> </w:t>
      </w:r>
      <w:r>
        <w:rPr/>
        <w:t>Positive</w:t>
      </w:r>
      <w:r>
        <w:rPr>
          <w:spacing w:val="7"/>
        </w:rPr>
        <w:t> </w:t>
      </w:r>
      <w:r>
        <w:rPr/>
        <w:t>accounting</w:t>
      </w:r>
      <w:r>
        <w:rPr>
          <w:spacing w:val="9"/>
        </w:rPr>
        <w:t> </w:t>
      </w:r>
      <w:r>
        <w:rPr/>
        <w:t>theory:</w:t>
      </w:r>
      <w:r>
        <w:rPr>
          <w:spacing w:val="8"/>
        </w:rPr>
        <w:t> </w:t>
      </w:r>
      <w:r>
        <w:rPr/>
        <w:t>A</w:t>
      </w:r>
      <w:r>
        <w:rPr>
          <w:spacing w:val="10"/>
        </w:rPr>
        <w:t> </w:t>
      </w:r>
      <w:r>
        <w:rPr/>
        <w:t>ten</w:t>
      </w:r>
      <w:r>
        <w:rPr>
          <w:spacing w:val="7"/>
        </w:rPr>
        <w:t> </w:t>
      </w:r>
      <w:r>
        <w:rPr/>
        <w:t>year</w:t>
      </w:r>
      <w:r>
        <w:rPr>
          <w:spacing w:val="11"/>
        </w:rPr>
        <w:t> </w:t>
      </w:r>
      <w:r>
        <w:rPr>
          <w:spacing w:val="-2"/>
        </w:rPr>
        <w:t>perspective.</w:t>
      </w:r>
    </w:p>
    <w:p>
      <w:pPr>
        <w:spacing w:before="0"/>
        <w:ind w:left="1571" w:right="0" w:firstLine="0"/>
        <w:jc w:val="left"/>
        <w:rPr>
          <w:sz w:val="24"/>
        </w:rPr>
      </w:pPr>
      <w:r>
        <w:rPr>
          <w:i/>
          <w:sz w:val="24"/>
        </w:rPr>
        <w:t>Accounting</w:t>
      </w:r>
      <w:r>
        <w:rPr>
          <w:i/>
          <w:spacing w:val="-4"/>
          <w:sz w:val="24"/>
        </w:rPr>
        <w:t> </w:t>
      </w:r>
      <w:r>
        <w:rPr>
          <w:i/>
          <w:sz w:val="24"/>
        </w:rPr>
        <w:t>Review</w:t>
      </w:r>
      <w:r>
        <w:rPr>
          <w:sz w:val="24"/>
        </w:rPr>
        <w:t>,</w:t>
      </w:r>
      <w:r>
        <w:rPr>
          <w:spacing w:val="-2"/>
          <w:sz w:val="24"/>
        </w:rPr>
        <w:t> </w:t>
      </w:r>
      <w:r>
        <w:rPr>
          <w:sz w:val="24"/>
        </w:rPr>
        <w:t>5(3), 131-</w:t>
      </w:r>
      <w:r>
        <w:rPr>
          <w:spacing w:val="-4"/>
          <w:sz w:val="24"/>
        </w:rPr>
        <w:t>156.</w:t>
      </w:r>
    </w:p>
    <w:p>
      <w:pPr>
        <w:pStyle w:val="BodyText"/>
      </w:pPr>
    </w:p>
    <w:p>
      <w:pPr>
        <w:spacing w:before="0"/>
        <w:ind w:left="1571" w:right="1438" w:hanging="723"/>
        <w:jc w:val="both"/>
        <w:rPr>
          <w:sz w:val="24"/>
        </w:rPr>
      </w:pPr>
      <w:r>
        <w:rPr>
          <w:sz w:val="24"/>
        </w:rPr>
        <w:t>Weisbach, M. (1988). Outside directors and CEO turnover. </w:t>
      </w:r>
      <w:r>
        <w:rPr>
          <w:i/>
          <w:sz w:val="24"/>
        </w:rPr>
        <w:t>Journal of Financial Economics</w:t>
      </w:r>
      <w:r>
        <w:rPr>
          <w:sz w:val="24"/>
        </w:rPr>
        <w:t>, </w:t>
      </w:r>
      <w:r>
        <w:rPr>
          <w:i/>
          <w:sz w:val="24"/>
        </w:rPr>
        <w:t>20</w:t>
      </w:r>
      <w:r>
        <w:rPr>
          <w:sz w:val="24"/>
        </w:rPr>
        <w:t>(2), 431–460.</w:t>
      </w:r>
    </w:p>
    <w:p>
      <w:pPr>
        <w:pStyle w:val="BodyText"/>
      </w:pPr>
    </w:p>
    <w:p>
      <w:pPr>
        <w:spacing w:before="0"/>
        <w:ind w:left="1571" w:right="1434" w:hanging="723"/>
        <w:jc w:val="both"/>
        <w:rPr>
          <w:sz w:val="24"/>
        </w:rPr>
      </w:pPr>
      <w:r>
        <w:rPr/>
        <w:drawing>
          <wp:anchor distT="0" distB="0" distL="0" distR="0" allowOverlap="1" layoutInCell="1" locked="0" behindDoc="1" simplePos="0" relativeHeight="477776896">
            <wp:simplePos x="0" y="0"/>
            <wp:positionH relativeFrom="page">
              <wp:posOffset>1095451</wp:posOffset>
            </wp:positionH>
            <wp:positionV relativeFrom="paragraph">
              <wp:posOffset>59584</wp:posOffset>
            </wp:positionV>
            <wp:extent cx="5106847" cy="5238115"/>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5" cstate="print"/>
                    <a:stretch>
                      <a:fillRect/>
                    </a:stretch>
                  </pic:blipFill>
                  <pic:spPr>
                    <a:xfrm>
                      <a:off x="0" y="0"/>
                      <a:ext cx="5106847" cy="5238115"/>
                    </a:xfrm>
                    <a:prstGeom prst="rect">
                      <a:avLst/>
                    </a:prstGeom>
                  </pic:spPr>
                </pic:pic>
              </a:graphicData>
            </a:graphic>
          </wp:anchor>
        </w:drawing>
      </w:r>
      <w:r>
        <w:rPr>
          <w:sz w:val="24"/>
        </w:rPr>
        <w:t>Xiao, J.Z., Yang, H.,</w:t>
      </w:r>
      <w:r>
        <w:rPr>
          <w:spacing w:val="-1"/>
          <w:sz w:val="24"/>
        </w:rPr>
        <w:t> </w:t>
      </w:r>
      <w:r>
        <w:rPr>
          <w:sz w:val="24"/>
        </w:rPr>
        <w:t>&amp; Chow,</w:t>
      </w:r>
      <w:r>
        <w:rPr>
          <w:spacing w:val="-1"/>
          <w:sz w:val="24"/>
        </w:rPr>
        <w:t> </w:t>
      </w:r>
      <w:r>
        <w:rPr>
          <w:sz w:val="24"/>
        </w:rPr>
        <w:t>C.W. (2004).</w:t>
      </w:r>
      <w:r>
        <w:rPr>
          <w:spacing w:val="-1"/>
          <w:sz w:val="24"/>
        </w:rPr>
        <w:t> </w:t>
      </w:r>
      <w:r>
        <w:rPr>
          <w:sz w:val="24"/>
        </w:rPr>
        <w:t>The determinants and characteristics</w:t>
      </w:r>
      <w:r>
        <w:rPr>
          <w:spacing w:val="-1"/>
          <w:sz w:val="24"/>
        </w:rPr>
        <w:t> </w:t>
      </w:r>
      <w:r>
        <w:rPr>
          <w:sz w:val="24"/>
        </w:rPr>
        <w:t>of</w:t>
      </w:r>
      <w:r>
        <w:rPr>
          <w:spacing w:val="-1"/>
          <w:sz w:val="24"/>
        </w:rPr>
        <w:t> </w:t>
      </w:r>
      <w:r>
        <w:rPr>
          <w:sz w:val="24"/>
        </w:rPr>
        <w:t>voluntary internet-</w:t>
      </w:r>
      <w:r>
        <w:rPr>
          <w:i/>
          <w:sz w:val="24"/>
        </w:rPr>
        <w:t>based disclosures by Chinese listed companies. Journal </w:t>
      </w:r>
      <w:r>
        <w:rPr>
          <w:sz w:val="24"/>
        </w:rPr>
        <w:t>of Accounting and Public Policy, 23(4), 191-225.</w:t>
      </w:r>
    </w:p>
    <w:p>
      <w:pPr>
        <w:pStyle w:val="BodyText"/>
        <w:spacing w:before="1"/>
      </w:pPr>
    </w:p>
    <w:p>
      <w:pPr>
        <w:spacing w:before="0"/>
        <w:ind w:left="1571" w:right="1437" w:hanging="723"/>
        <w:jc w:val="both"/>
        <w:rPr>
          <w:i/>
          <w:sz w:val="24"/>
        </w:rPr>
      </w:pPr>
      <w:r>
        <w:rPr>
          <w:sz w:val="24"/>
        </w:rPr>
        <w:t>Xie, B., Davidson, W. N., &amp; DaDalt, P. J. (2001). Earning management and corporate governance: The role of the board and the audit committee. </w:t>
      </w:r>
      <w:r>
        <w:rPr>
          <w:i/>
          <w:sz w:val="24"/>
        </w:rPr>
        <w:t>Working Paper. Southern Illinois University.</w:t>
      </w:r>
    </w:p>
    <w:p>
      <w:pPr>
        <w:pStyle w:val="BodyText"/>
        <w:rPr>
          <w:i/>
        </w:rPr>
      </w:pPr>
    </w:p>
    <w:p>
      <w:pPr>
        <w:pStyle w:val="BodyText"/>
        <w:ind w:left="849"/>
      </w:pPr>
      <w:r>
        <w:rPr/>
        <w:t>Yermack,</w:t>
      </w:r>
      <w:r>
        <w:rPr>
          <w:spacing w:val="23"/>
        </w:rPr>
        <w:t> </w:t>
      </w:r>
      <w:r>
        <w:rPr/>
        <w:t>D.</w:t>
      </w:r>
      <w:r>
        <w:rPr>
          <w:spacing w:val="22"/>
        </w:rPr>
        <w:t> </w:t>
      </w:r>
      <w:r>
        <w:rPr/>
        <w:t>(1996).</w:t>
      </w:r>
      <w:r>
        <w:rPr>
          <w:spacing w:val="24"/>
        </w:rPr>
        <w:t> </w:t>
      </w:r>
      <w:r>
        <w:rPr/>
        <w:t>Higher</w:t>
      </w:r>
      <w:r>
        <w:rPr>
          <w:spacing w:val="22"/>
        </w:rPr>
        <w:t> </w:t>
      </w:r>
      <w:r>
        <w:rPr/>
        <w:t>market</w:t>
      </w:r>
      <w:r>
        <w:rPr>
          <w:spacing w:val="23"/>
        </w:rPr>
        <w:t> </w:t>
      </w:r>
      <w:r>
        <w:rPr/>
        <w:t>valuation</w:t>
      </w:r>
      <w:r>
        <w:rPr>
          <w:spacing w:val="23"/>
        </w:rPr>
        <w:t> </w:t>
      </w:r>
      <w:r>
        <w:rPr/>
        <w:t>of</w:t>
      </w:r>
      <w:r>
        <w:rPr>
          <w:spacing w:val="24"/>
        </w:rPr>
        <w:t> </w:t>
      </w:r>
      <w:r>
        <w:rPr/>
        <w:t>companies</w:t>
      </w:r>
      <w:r>
        <w:rPr>
          <w:spacing w:val="23"/>
        </w:rPr>
        <w:t> </w:t>
      </w:r>
      <w:r>
        <w:rPr/>
        <w:t>with</w:t>
      </w:r>
      <w:r>
        <w:rPr>
          <w:spacing w:val="23"/>
        </w:rPr>
        <w:t> </w:t>
      </w:r>
      <w:r>
        <w:rPr/>
        <w:t>a</w:t>
      </w:r>
      <w:r>
        <w:rPr>
          <w:spacing w:val="21"/>
        </w:rPr>
        <w:t> </w:t>
      </w:r>
      <w:r>
        <w:rPr/>
        <w:t>small</w:t>
      </w:r>
      <w:r>
        <w:rPr>
          <w:spacing w:val="25"/>
        </w:rPr>
        <w:t> </w:t>
      </w:r>
      <w:r>
        <w:rPr/>
        <w:t>board</w:t>
      </w:r>
      <w:r>
        <w:rPr>
          <w:spacing w:val="22"/>
        </w:rPr>
        <w:t> </w:t>
      </w:r>
      <w:r>
        <w:rPr/>
        <w:t>of</w:t>
      </w:r>
      <w:r>
        <w:rPr>
          <w:spacing w:val="23"/>
        </w:rPr>
        <w:t> </w:t>
      </w:r>
      <w:r>
        <w:rPr>
          <w:spacing w:val="-2"/>
        </w:rPr>
        <w:t>directors.</w:t>
      </w:r>
    </w:p>
    <w:p>
      <w:pPr>
        <w:spacing w:before="0"/>
        <w:ind w:left="1571" w:right="0" w:firstLine="0"/>
        <w:jc w:val="left"/>
        <w:rPr>
          <w:sz w:val="24"/>
        </w:rPr>
      </w:pPr>
      <w:r>
        <w:rPr>
          <w:i/>
          <w:sz w:val="24"/>
        </w:rPr>
        <w:t>Journal</w:t>
      </w:r>
      <w:r>
        <w:rPr>
          <w:i/>
          <w:spacing w:val="-1"/>
          <w:sz w:val="24"/>
        </w:rPr>
        <w:t> </w:t>
      </w:r>
      <w:r>
        <w:rPr>
          <w:i/>
          <w:sz w:val="24"/>
        </w:rPr>
        <w:t>of</w:t>
      </w:r>
      <w:r>
        <w:rPr>
          <w:i/>
          <w:spacing w:val="-1"/>
          <w:sz w:val="24"/>
        </w:rPr>
        <w:t> </w:t>
      </w:r>
      <w:r>
        <w:rPr>
          <w:i/>
          <w:sz w:val="24"/>
        </w:rPr>
        <w:t>Financial</w:t>
      </w:r>
      <w:r>
        <w:rPr>
          <w:i/>
          <w:spacing w:val="-1"/>
          <w:sz w:val="24"/>
        </w:rPr>
        <w:t> </w:t>
      </w:r>
      <w:r>
        <w:rPr>
          <w:i/>
          <w:sz w:val="24"/>
        </w:rPr>
        <w:t>and</w:t>
      </w:r>
      <w:r>
        <w:rPr>
          <w:i/>
          <w:spacing w:val="-1"/>
          <w:sz w:val="24"/>
        </w:rPr>
        <w:t> </w:t>
      </w:r>
      <w:r>
        <w:rPr>
          <w:i/>
          <w:sz w:val="24"/>
        </w:rPr>
        <w:t>Economics</w:t>
      </w:r>
      <w:r>
        <w:rPr>
          <w:sz w:val="24"/>
        </w:rPr>
        <w:t>,</w:t>
      </w:r>
      <w:r>
        <w:rPr>
          <w:spacing w:val="-1"/>
          <w:sz w:val="24"/>
        </w:rPr>
        <w:t> </w:t>
      </w:r>
      <w:r>
        <w:rPr>
          <w:i/>
          <w:sz w:val="24"/>
        </w:rPr>
        <w:t>40</w:t>
      </w:r>
      <w:r>
        <w:rPr>
          <w:sz w:val="24"/>
        </w:rPr>
        <w:t>(2), 185-</w:t>
      </w:r>
      <w:r>
        <w:rPr>
          <w:spacing w:val="-4"/>
          <w:sz w:val="24"/>
        </w:rPr>
        <w:t>211.</w:t>
      </w:r>
    </w:p>
    <w:p>
      <w:pPr>
        <w:pStyle w:val="BodyText"/>
      </w:pPr>
    </w:p>
    <w:p>
      <w:pPr>
        <w:spacing w:before="0"/>
        <w:ind w:left="1571" w:right="1442" w:hanging="723"/>
        <w:jc w:val="both"/>
        <w:rPr>
          <w:sz w:val="24"/>
        </w:rPr>
      </w:pPr>
      <w:r>
        <w:rPr>
          <w:sz w:val="24"/>
        </w:rPr>
        <w:t>Yoon,</w:t>
      </w:r>
      <w:r>
        <w:rPr>
          <w:spacing w:val="-5"/>
          <w:sz w:val="24"/>
        </w:rPr>
        <w:t> </w:t>
      </w:r>
      <w:r>
        <w:rPr>
          <w:sz w:val="24"/>
        </w:rPr>
        <w:t>S.,</w:t>
      </w:r>
      <w:r>
        <w:rPr>
          <w:spacing w:val="-5"/>
          <w:sz w:val="24"/>
        </w:rPr>
        <w:t> </w:t>
      </w:r>
      <w:r>
        <w:rPr>
          <w:sz w:val="24"/>
        </w:rPr>
        <w:t>Miller,</w:t>
      </w:r>
      <w:r>
        <w:rPr>
          <w:spacing w:val="-5"/>
          <w:sz w:val="24"/>
        </w:rPr>
        <w:t> </w:t>
      </w:r>
      <w:r>
        <w:rPr>
          <w:sz w:val="24"/>
        </w:rPr>
        <w:t>G.,</w:t>
      </w:r>
      <w:r>
        <w:rPr>
          <w:spacing w:val="-5"/>
          <w:sz w:val="24"/>
        </w:rPr>
        <w:t> </w:t>
      </w:r>
      <w:r>
        <w:rPr>
          <w:sz w:val="24"/>
        </w:rPr>
        <w:t>&amp;</w:t>
      </w:r>
      <w:r>
        <w:rPr>
          <w:spacing w:val="-4"/>
          <w:sz w:val="24"/>
        </w:rPr>
        <w:t> </w:t>
      </w:r>
      <w:r>
        <w:rPr>
          <w:sz w:val="24"/>
        </w:rPr>
        <w:t>Jiraporn</w:t>
      </w:r>
      <w:r>
        <w:rPr>
          <w:spacing w:val="-6"/>
          <w:sz w:val="24"/>
        </w:rPr>
        <w:t> </w:t>
      </w:r>
      <w:r>
        <w:rPr>
          <w:sz w:val="24"/>
        </w:rPr>
        <w:t>P.</w:t>
      </w:r>
      <w:r>
        <w:rPr>
          <w:spacing w:val="-5"/>
          <w:sz w:val="24"/>
        </w:rPr>
        <w:t> </w:t>
      </w:r>
      <w:r>
        <w:rPr>
          <w:sz w:val="24"/>
        </w:rPr>
        <w:t>(2006).</w:t>
      </w:r>
      <w:r>
        <w:rPr>
          <w:spacing w:val="-6"/>
          <w:sz w:val="24"/>
        </w:rPr>
        <w:t> </w:t>
      </w:r>
      <w:r>
        <w:rPr>
          <w:sz w:val="24"/>
        </w:rPr>
        <w:t>Cash</w:t>
      </w:r>
      <w:r>
        <w:rPr>
          <w:spacing w:val="-5"/>
          <w:sz w:val="24"/>
        </w:rPr>
        <w:t> </w:t>
      </w:r>
      <w:r>
        <w:rPr>
          <w:sz w:val="24"/>
        </w:rPr>
        <w:t>from</w:t>
      </w:r>
      <w:r>
        <w:rPr>
          <w:spacing w:val="-4"/>
          <w:sz w:val="24"/>
        </w:rPr>
        <w:t> </w:t>
      </w:r>
      <w:r>
        <w:rPr>
          <w:sz w:val="24"/>
        </w:rPr>
        <w:t>Operations</w:t>
      </w:r>
      <w:r>
        <w:rPr>
          <w:spacing w:val="-5"/>
          <w:sz w:val="24"/>
        </w:rPr>
        <w:t> </w:t>
      </w:r>
      <w:r>
        <w:rPr>
          <w:sz w:val="24"/>
        </w:rPr>
        <w:t>and</w:t>
      </w:r>
      <w:r>
        <w:rPr>
          <w:spacing w:val="-5"/>
          <w:sz w:val="24"/>
        </w:rPr>
        <w:t> </w:t>
      </w:r>
      <w:r>
        <w:rPr>
          <w:sz w:val="24"/>
        </w:rPr>
        <w:t>Earnings</w:t>
      </w:r>
      <w:r>
        <w:rPr>
          <w:spacing w:val="-5"/>
          <w:sz w:val="24"/>
        </w:rPr>
        <w:t> </w:t>
      </w:r>
      <w:r>
        <w:rPr>
          <w:sz w:val="24"/>
        </w:rPr>
        <w:t>Management</w:t>
      </w:r>
      <w:r>
        <w:rPr>
          <w:spacing w:val="-5"/>
          <w:sz w:val="24"/>
        </w:rPr>
        <w:t> </w:t>
      </w:r>
      <w:r>
        <w:rPr>
          <w:sz w:val="24"/>
        </w:rPr>
        <w:t>in Korea, </w:t>
      </w:r>
      <w:r>
        <w:rPr>
          <w:i/>
          <w:sz w:val="24"/>
        </w:rPr>
        <w:t>Journal ofInternational Financial Management and Accounting, </w:t>
      </w:r>
      <w:r>
        <w:rPr>
          <w:sz w:val="24"/>
        </w:rPr>
        <w:t>5(4), 85-109</w:t>
      </w:r>
    </w:p>
    <w:p>
      <w:pPr>
        <w:pStyle w:val="BodyText"/>
      </w:pPr>
    </w:p>
    <w:p>
      <w:pPr>
        <w:spacing w:before="0"/>
        <w:ind w:left="1569" w:right="1436" w:hanging="720"/>
        <w:jc w:val="left"/>
        <w:rPr>
          <w:sz w:val="24"/>
        </w:rPr>
      </w:pPr>
      <w:r>
        <w:rPr>
          <w:sz w:val="24"/>
        </w:rPr>
        <w:t>Zeff,</w:t>
      </w:r>
      <w:r>
        <w:rPr>
          <w:spacing w:val="-3"/>
          <w:sz w:val="24"/>
        </w:rPr>
        <w:t> </w:t>
      </w:r>
      <w:r>
        <w:rPr>
          <w:sz w:val="24"/>
        </w:rPr>
        <w:t>S.A.</w:t>
      </w:r>
      <w:r>
        <w:rPr>
          <w:spacing w:val="-3"/>
          <w:sz w:val="24"/>
        </w:rPr>
        <w:t> </w:t>
      </w:r>
      <w:r>
        <w:rPr>
          <w:sz w:val="24"/>
        </w:rPr>
        <w:t>(1977).</w:t>
      </w:r>
      <w:r>
        <w:rPr>
          <w:spacing w:val="-4"/>
          <w:sz w:val="24"/>
        </w:rPr>
        <w:t> </w:t>
      </w:r>
      <w:r>
        <w:rPr>
          <w:i/>
          <w:sz w:val="24"/>
        </w:rPr>
        <w:t>Forgoing</w:t>
      </w:r>
      <w:r>
        <w:rPr>
          <w:i/>
          <w:spacing w:val="-3"/>
          <w:sz w:val="24"/>
        </w:rPr>
        <w:t> </w:t>
      </w:r>
      <w:r>
        <w:rPr>
          <w:i/>
          <w:sz w:val="24"/>
        </w:rPr>
        <w:t>accounting</w:t>
      </w:r>
      <w:r>
        <w:rPr>
          <w:i/>
          <w:spacing w:val="-3"/>
          <w:sz w:val="24"/>
        </w:rPr>
        <w:t> </w:t>
      </w:r>
      <w:r>
        <w:rPr>
          <w:i/>
          <w:sz w:val="24"/>
        </w:rPr>
        <w:t>principles</w:t>
      </w:r>
      <w:r>
        <w:rPr>
          <w:i/>
          <w:spacing w:val="-3"/>
          <w:sz w:val="24"/>
        </w:rPr>
        <w:t> </w:t>
      </w:r>
      <w:r>
        <w:rPr>
          <w:i/>
          <w:sz w:val="24"/>
        </w:rPr>
        <w:t>in</w:t>
      </w:r>
      <w:r>
        <w:rPr>
          <w:i/>
          <w:spacing w:val="-3"/>
          <w:sz w:val="24"/>
        </w:rPr>
        <w:t> </w:t>
      </w:r>
      <w:r>
        <w:rPr>
          <w:i/>
          <w:sz w:val="24"/>
        </w:rPr>
        <w:t>five</w:t>
      </w:r>
      <w:r>
        <w:rPr>
          <w:i/>
          <w:spacing w:val="-5"/>
          <w:sz w:val="24"/>
        </w:rPr>
        <w:t> </w:t>
      </w:r>
      <w:r>
        <w:rPr>
          <w:i/>
          <w:sz w:val="24"/>
        </w:rPr>
        <w:t>countries:</w:t>
      </w:r>
      <w:r>
        <w:rPr>
          <w:i/>
          <w:spacing w:val="-4"/>
          <w:sz w:val="24"/>
        </w:rPr>
        <w:t> </w:t>
      </w:r>
      <w:r>
        <w:rPr>
          <w:i/>
          <w:sz w:val="24"/>
        </w:rPr>
        <w:t>A</w:t>
      </w:r>
      <w:r>
        <w:rPr>
          <w:i/>
          <w:spacing w:val="-3"/>
          <w:sz w:val="24"/>
        </w:rPr>
        <w:t> </w:t>
      </w:r>
      <w:r>
        <w:rPr>
          <w:i/>
          <w:sz w:val="24"/>
        </w:rPr>
        <w:t>history</w:t>
      </w:r>
      <w:r>
        <w:rPr>
          <w:i/>
          <w:spacing w:val="-4"/>
          <w:sz w:val="24"/>
        </w:rPr>
        <w:t> </w:t>
      </w:r>
      <w:r>
        <w:rPr>
          <w:i/>
          <w:sz w:val="24"/>
        </w:rPr>
        <w:t>and</w:t>
      </w:r>
      <w:r>
        <w:rPr>
          <w:i/>
          <w:spacing w:val="-3"/>
          <w:sz w:val="24"/>
        </w:rPr>
        <w:t> </w:t>
      </w:r>
      <w:r>
        <w:rPr>
          <w:i/>
          <w:sz w:val="24"/>
        </w:rPr>
        <w:t>analysis</w:t>
      </w:r>
      <w:r>
        <w:rPr>
          <w:i/>
          <w:spacing w:val="-3"/>
          <w:sz w:val="24"/>
        </w:rPr>
        <w:t> </w:t>
      </w:r>
      <w:r>
        <w:rPr>
          <w:i/>
          <w:sz w:val="24"/>
        </w:rPr>
        <w:t>of trends. </w:t>
      </w:r>
      <w:r>
        <w:rPr>
          <w:sz w:val="24"/>
        </w:rPr>
        <w:t>Champaign, IL: Stipes</w:t>
      </w:r>
    </w:p>
    <w:p>
      <w:pPr>
        <w:spacing w:before="264"/>
        <w:ind w:left="1571" w:right="1435" w:hanging="723"/>
        <w:jc w:val="both"/>
        <w:rPr>
          <w:sz w:val="23"/>
        </w:rPr>
      </w:pPr>
      <w:r>
        <w:rPr>
          <w:sz w:val="23"/>
        </w:rPr>
        <w:t>Zeghal,</w:t>
      </w:r>
      <w:r>
        <w:rPr>
          <w:spacing w:val="-7"/>
          <w:sz w:val="23"/>
        </w:rPr>
        <w:t> </w:t>
      </w:r>
      <w:r>
        <w:rPr>
          <w:sz w:val="23"/>
        </w:rPr>
        <w:t>D.,</w:t>
      </w:r>
      <w:r>
        <w:rPr>
          <w:spacing w:val="-10"/>
          <w:sz w:val="23"/>
        </w:rPr>
        <w:t> </w:t>
      </w:r>
      <w:r>
        <w:rPr>
          <w:sz w:val="23"/>
        </w:rPr>
        <w:t>Chtourou,</w:t>
      </w:r>
      <w:r>
        <w:rPr>
          <w:spacing w:val="-7"/>
          <w:sz w:val="23"/>
        </w:rPr>
        <w:t> </w:t>
      </w:r>
      <w:r>
        <w:rPr>
          <w:sz w:val="23"/>
        </w:rPr>
        <w:t>S.</w:t>
      </w:r>
      <w:r>
        <w:rPr>
          <w:spacing w:val="-10"/>
          <w:sz w:val="23"/>
        </w:rPr>
        <w:t> </w:t>
      </w:r>
      <w:r>
        <w:rPr>
          <w:sz w:val="23"/>
        </w:rPr>
        <w:t>M.,</w:t>
      </w:r>
      <w:r>
        <w:rPr>
          <w:spacing w:val="-7"/>
          <w:sz w:val="23"/>
        </w:rPr>
        <w:t> </w:t>
      </w:r>
      <w:r>
        <w:rPr>
          <w:sz w:val="23"/>
        </w:rPr>
        <w:t>&amp;</w:t>
      </w:r>
      <w:r>
        <w:rPr>
          <w:spacing w:val="-7"/>
          <w:sz w:val="23"/>
        </w:rPr>
        <w:t> </w:t>
      </w:r>
      <w:r>
        <w:rPr>
          <w:sz w:val="23"/>
        </w:rPr>
        <w:t>Fourati,</w:t>
      </w:r>
      <w:r>
        <w:rPr>
          <w:spacing w:val="-10"/>
          <w:sz w:val="23"/>
        </w:rPr>
        <w:t> </w:t>
      </w:r>
      <w:r>
        <w:rPr>
          <w:sz w:val="23"/>
        </w:rPr>
        <w:t>Y.</w:t>
      </w:r>
      <w:r>
        <w:rPr>
          <w:spacing w:val="-7"/>
          <w:sz w:val="23"/>
        </w:rPr>
        <w:t> </w:t>
      </w:r>
      <w:r>
        <w:rPr>
          <w:sz w:val="23"/>
        </w:rPr>
        <w:t>M.</w:t>
      </w:r>
      <w:r>
        <w:rPr>
          <w:spacing w:val="-7"/>
          <w:sz w:val="23"/>
        </w:rPr>
        <w:t> </w:t>
      </w:r>
      <w:r>
        <w:rPr>
          <w:sz w:val="23"/>
        </w:rPr>
        <w:t>(2012).</w:t>
      </w:r>
      <w:r>
        <w:rPr>
          <w:spacing w:val="-7"/>
          <w:sz w:val="23"/>
        </w:rPr>
        <w:t> </w:t>
      </w:r>
      <w:r>
        <w:rPr>
          <w:sz w:val="23"/>
        </w:rPr>
        <w:t>The</w:t>
      </w:r>
      <w:r>
        <w:rPr>
          <w:spacing w:val="-7"/>
          <w:sz w:val="23"/>
        </w:rPr>
        <w:t> </w:t>
      </w:r>
      <w:r>
        <w:rPr>
          <w:sz w:val="23"/>
        </w:rPr>
        <w:t>effect</w:t>
      </w:r>
      <w:r>
        <w:rPr>
          <w:spacing w:val="-7"/>
          <w:sz w:val="23"/>
        </w:rPr>
        <w:t> </w:t>
      </w:r>
      <w:r>
        <w:rPr>
          <w:sz w:val="23"/>
        </w:rPr>
        <w:t>of</w:t>
      </w:r>
      <w:r>
        <w:rPr>
          <w:spacing w:val="-6"/>
          <w:sz w:val="23"/>
        </w:rPr>
        <w:t> </w:t>
      </w:r>
      <w:r>
        <w:rPr>
          <w:sz w:val="23"/>
        </w:rPr>
        <w:t>mandatory</w:t>
      </w:r>
      <w:r>
        <w:rPr>
          <w:spacing w:val="-7"/>
          <w:sz w:val="23"/>
        </w:rPr>
        <w:t> </w:t>
      </w:r>
      <w:r>
        <w:rPr>
          <w:sz w:val="23"/>
        </w:rPr>
        <w:t>adoption</w:t>
      </w:r>
      <w:r>
        <w:rPr>
          <w:spacing w:val="-10"/>
          <w:sz w:val="23"/>
        </w:rPr>
        <w:t> </w:t>
      </w:r>
      <w:r>
        <w:rPr>
          <w:sz w:val="23"/>
        </w:rPr>
        <w:t>of</w:t>
      </w:r>
      <w:r>
        <w:rPr>
          <w:spacing w:val="-7"/>
          <w:sz w:val="23"/>
        </w:rPr>
        <w:t> </w:t>
      </w:r>
      <w:r>
        <w:rPr>
          <w:sz w:val="23"/>
        </w:rPr>
        <w:t>IFRS</w:t>
      </w:r>
      <w:r>
        <w:rPr>
          <w:spacing w:val="-8"/>
          <w:sz w:val="23"/>
        </w:rPr>
        <w:t> </w:t>
      </w:r>
      <w:r>
        <w:rPr>
          <w:sz w:val="23"/>
        </w:rPr>
        <w:t>on earnings quality: evidence from the European Union. </w:t>
      </w:r>
      <w:r>
        <w:rPr>
          <w:i/>
          <w:sz w:val="23"/>
        </w:rPr>
        <w:t>Journal of International Accounting Research, 11</w:t>
      </w:r>
      <w:r>
        <w:rPr>
          <w:sz w:val="23"/>
        </w:rPr>
        <w:t>(2), 1-25.</w:t>
      </w:r>
    </w:p>
    <w:p>
      <w:pPr>
        <w:pStyle w:val="BodyText"/>
        <w:spacing w:before="13"/>
        <w:rPr>
          <w:sz w:val="23"/>
        </w:rPr>
      </w:pPr>
    </w:p>
    <w:p>
      <w:pPr>
        <w:spacing w:before="0"/>
        <w:ind w:left="1571" w:right="1436" w:hanging="723"/>
        <w:jc w:val="left"/>
        <w:rPr>
          <w:sz w:val="24"/>
        </w:rPr>
      </w:pPr>
      <w:r>
        <w:rPr>
          <w:sz w:val="24"/>
        </w:rPr>
        <w:t>Zhang,</w:t>
      </w:r>
      <w:r>
        <w:rPr>
          <w:spacing w:val="32"/>
          <w:sz w:val="24"/>
        </w:rPr>
        <w:t> </w:t>
      </w:r>
      <w:r>
        <w:rPr>
          <w:sz w:val="24"/>
        </w:rPr>
        <w:t>X.</w:t>
      </w:r>
      <w:r>
        <w:rPr>
          <w:spacing w:val="32"/>
          <w:sz w:val="24"/>
        </w:rPr>
        <w:t> </w:t>
      </w:r>
      <w:r>
        <w:rPr>
          <w:sz w:val="24"/>
        </w:rPr>
        <w:t>(2002).</w:t>
      </w:r>
      <w:r>
        <w:rPr>
          <w:spacing w:val="34"/>
          <w:sz w:val="24"/>
        </w:rPr>
        <w:t> </w:t>
      </w:r>
      <w:r>
        <w:rPr>
          <w:sz w:val="24"/>
        </w:rPr>
        <w:t>Accounting</w:t>
      </w:r>
      <w:r>
        <w:rPr>
          <w:spacing w:val="32"/>
          <w:sz w:val="24"/>
        </w:rPr>
        <w:t> </w:t>
      </w:r>
      <w:r>
        <w:rPr>
          <w:sz w:val="24"/>
        </w:rPr>
        <w:t>conservatism,</w:t>
      </w:r>
      <w:r>
        <w:rPr>
          <w:spacing w:val="33"/>
          <w:sz w:val="24"/>
        </w:rPr>
        <w:t> </w:t>
      </w:r>
      <w:r>
        <w:rPr>
          <w:sz w:val="24"/>
        </w:rPr>
        <w:t>the</w:t>
      </w:r>
      <w:r>
        <w:rPr>
          <w:spacing w:val="32"/>
          <w:sz w:val="24"/>
        </w:rPr>
        <w:t> </w:t>
      </w:r>
      <w:r>
        <w:rPr>
          <w:sz w:val="24"/>
        </w:rPr>
        <w:t>quality</w:t>
      </w:r>
      <w:r>
        <w:rPr>
          <w:spacing w:val="33"/>
          <w:sz w:val="24"/>
        </w:rPr>
        <w:t> </w:t>
      </w:r>
      <w:r>
        <w:rPr>
          <w:sz w:val="24"/>
        </w:rPr>
        <w:t>of</w:t>
      </w:r>
      <w:r>
        <w:rPr>
          <w:spacing w:val="32"/>
          <w:sz w:val="24"/>
        </w:rPr>
        <w:t> </w:t>
      </w:r>
      <w:r>
        <w:rPr>
          <w:sz w:val="24"/>
        </w:rPr>
        <w:t>earnings</w:t>
      </w:r>
      <w:r>
        <w:rPr>
          <w:spacing w:val="32"/>
          <w:sz w:val="24"/>
        </w:rPr>
        <w:t> </w:t>
      </w:r>
      <w:r>
        <w:rPr>
          <w:sz w:val="24"/>
        </w:rPr>
        <w:t>and</w:t>
      </w:r>
      <w:r>
        <w:rPr>
          <w:spacing w:val="34"/>
          <w:sz w:val="24"/>
        </w:rPr>
        <w:t> </w:t>
      </w:r>
      <w:r>
        <w:rPr>
          <w:sz w:val="24"/>
        </w:rPr>
        <w:t>stock</w:t>
      </w:r>
      <w:r>
        <w:rPr>
          <w:spacing w:val="32"/>
          <w:sz w:val="24"/>
        </w:rPr>
        <w:t> </w:t>
      </w:r>
      <w:r>
        <w:rPr>
          <w:sz w:val="24"/>
        </w:rPr>
        <w:t>returns.</w:t>
      </w:r>
      <w:r>
        <w:rPr>
          <w:spacing w:val="39"/>
          <w:sz w:val="24"/>
        </w:rPr>
        <w:t> </w:t>
      </w:r>
      <w:r>
        <w:rPr>
          <w:i/>
          <w:sz w:val="24"/>
        </w:rPr>
        <w:t>The Accounting Review, 77</w:t>
      </w:r>
      <w:r>
        <w:rPr>
          <w:sz w:val="24"/>
        </w:rPr>
        <w:t>(4), 237-264.</w:t>
      </w:r>
    </w:p>
    <w:p>
      <w:pPr>
        <w:pStyle w:val="BodyText"/>
      </w:pPr>
    </w:p>
    <w:p>
      <w:pPr>
        <w:spacing w:line="276" w:lineRule="auto" w:before="0"/>
        <w:ind w:left="1660" w:right="1442" w:hanging="720"/>
        <w:jc w:val="both"/>
        <w:rPr>
          <w:sz w:val="24"/>
        </w:rPr>
      </w:pPr>
      <w:r>
        <w:rPr>
          <w:sz w:val="24"/>
        </w:rPr>
        <w:t>Zhou, H., Xiong, Y., &amp; Ganguli, G. (2009). Does the adoption of International Financial Reporting Standards restrain earnings management? Evidence from an emerging market. </w:t>
      </w:r>
      <w:r>
        <w:rPr>
          <w:i/>
          <w:sz w:val="24"/>
        </w:rPr>
        <w:t>Academy of Accounting and Financial Studies Journal, 13</w:t>
      </w:r>
      <w:r>
        <w:rPr>
          <w:sz w:val="24"/>
        </w:rPr>
        <w:t>(3), 43-56.</w:t>
      </w:r>
    </w:p>
    <w:p>
      <w:pPr>
        <w:spacing w:after="0" w:line="276" w:lineRule="auto"/>
        <w:jc w:val="both"/>
        <w:rPr>
          <w:sz w:val="24"/>
        </w:rPr>
        <w:sectPr>
          <w:pgSz w:w="11910" w:h="16840"/>
          <w:pgMar w:header="0" w:footer="971" w:top="1360" w:bottom="1160" w:left="500" w:right="0"/>
        </w:sectPr>
      </w:pPr>
    </w:p>
    <w:p>
      <w:pPr>
        <w:pStyle w:val="Heading2"/>
        <w:ind w:right="497"/>
      </w:pPr>
      <w:bookmarkStart w:name="_TOC_250000" w:id="70"/>
      <w:bookmarkEnd w:id="70"/>
      <w:r>
        <w:rPr>
          <w:spacing w:val="-2"/>
        </w:rPr>
        <w:t>APPENDIXES</w:t>
      </w:r>
    </w:p>
    <w:p>
      <w:pPr>
        <w:pStyle w:val="BodyText"/>
        <w:spacing w:before="199"/>
        <w:rPr>
          <w:b/>
        </w:rPr>
      </w:pPr>
    </w:p>
    <w:p>
      <w:pPr>
        <w:spacing w:before="0"/>
        <w:ind w:left="940" w:right="0" w:firstLine="0"/>
        <w:jc w:val="left"/>
        <w:rPr>
          <w:b/>
          <w:sz w:val="24"/>
        </w:rPr>
      </w:pPr>
      <w:r>
        <w:rPr/>
        <w:drawing>
          <wp:anchor distT="0" distB="0" distL="0" distR="0" allowOverlap="1" layoutInCell="1" locked="0" behindDoc="1" simplePos="0" relativeHeight="477777408">
            <wp:simplePos x="0" y="0"/>
            <wp:positionH relativeFrom="page">
              <wp:posOffset>1024923</wp:posOffset>
            </wp:positionH>
            <wp:positionV relativeFrom="paragraph">
              <wp:posOffset>693026</wp:posOffset>
            </wp:positionV>
            <wp:extent cx="6176271" cy="5880269"/>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30" cstate="print"/>
                    <a:stretch>
                      <a:fillRect/>
                    </a:stretch>
                  </pic:blipFill>
                  <pic:spPr>
                    <a:xfrm>
                      <a:off x="0" y="0"/>
                      <a:ext cx="6176271" cy="5880269"/>
                    </a:xfrm>
                    <a:prstGeom prst="rect">
                      <a:avLst/>
                    </a:prstGeom>
                  </pic:spPr>
                </pic:pic>
              </a:graphicData>
            </a:graphic>
          </wp:anchor>
        </w:drawing>
      </w:r>
      <w:r>
        <w:rPr>
          <w:b/>
          <w:sz w:val="24"/>
        </w:rPr>
        <w:t>Appendix </w:t>
      </w:r>
      <w:r>
        <w:rPr>
          <w:b/>
          <w:spacing w:val="-10"/>
          <w:sz w:val="24"/>
        </w:rPr>
        <w:t>1</w:t>
      </w:r>
    </w:p>
    <w:p>
      <w:pPr>
        <w:pStyle w:val="BodyText"/>
        <w:rPr>
          <w:b/>
          <w:sz w:val="20"/>
        </w:rPr>
      </w:pPr>
    </w:p>
    <w:p>
      <w:pPr>
        <w:pStyle w:val="BodyText"/>
        <w:spacing w:before="9"/>
        <w:rPr>
          <w:b/>
          <w:sz w:val="20"/>
        </w:rPr>
      </w:pPr>
    </w:p>
    <w:tbl>
      <w:tblPr>
        <w:tblW w:w="0" w:type="auto"/>
        <w:jc w:val="left"/>
        <w:tblInd w:w="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
        <w:gridCol w:w="292"/>
        <w:gridCol w:w="287"/>
        <w:gridCol w:w="588"/>
        <w:gridCol w:w="292"/>
        <w:gridCol w:w="455"/>
        <w:gridCol w:w="629"/>
        <w:gridCol w:w="292"/>
        <w:gridCol w:w="293"/>
        <w:gridCol w:w="583"/>
        <w:gridCol w:w="293"/>
        <w:gridCol w:w="277"/>
        <w:gridCol w:w="1100"/>
        <w:gridCol w:w="293"/>
        <w:gridCol w:w="584"/>
        <w:gridCol w:w="293"/>
        <w:gridCol w:w="477"/>
        <w:gridCol w:w="606"/>
        <w:gridCol w:w="294"/>
        <w:gridCol w:w="877"/>
        <w:gridCol w:w="293"/>
        <w:gridCol w:w="245"/>
      </w:tblGrid>
      <w:tr>
        <w:trPr>
          <w:trHeight w:val="219" w:hRule="atLeast"/>
        </w:trPr>
        <w:tc>
          <w:tcPr>
            <w:tcW w:w="1026" w:type="dxa"/>
            <w:gridSpan w:val="3"/>
          </w:tcPr>
          <w:p>
            <w:pPr>
              <w:pStyle w:val="TableParagraph"/>
              <w:rPr>
                <w:rFonts w:ascii="Times New Roman"/>
                <w:sz w:val="8"/>
              </w:rPr>
            </w:pPr>
          </w:p>
        </w:tc>
        <w:tc>
          <w:tcPr>
            <w:tcW w:w="588" w:type="dxa"/>
          </w:tcPr>
          <w:p>
            <w:pPr>
              <w:pStyle w:val="TableParagraph"/>
              <w:spacing w:line="166" w:lineRule="exact"/>
              <w:ind w:left="132"/>
              <w:rPr>
                <w:sz w:val="15"/>
              </w:rPr>
            </w:pPr>
            <w:r>
              <w:rPr>
                <w:spacing w:val="-5"/>
                <w:w w:val="70"/>
                <w:sz w:val="15"/>
              </w:rPr>
              <w:t>FRQ</w:t>
            </w: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rPr>
                <w:rFonts w:ascii="Times New Roman"/>
                <w:sz w:val="8"/>
              </w:rPr>
            </w:pP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spacing w:line="166" w:lineRule="exact"/>
              <w:ind w:left="91"/>
              <w:rPr>
                <w:sz w:val="15"/>
              </w:rPr>
            </w:pPr>
            <w:r>
              <w:rPr>
                <w:spacing w:val="-2"/>
                <w:w w:val="70"/>
                <w:sz w:val="15"/>
              </w:rPr>
              <w:t>BDIND</w:t>
            </w: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293" w:type="dxa"/>
          </w:tcPr>
          <w:p>
            <w:pPr>
              <w:pStyle w:val="TableParagraph"/>
              <w:rPr>
                <w:rFonts w:ascii="Times New Roman"/>
                <w:sz w:val="8"/>
              </w:rPr>
            </w:pPr>
          </w:p>
        </w:tc>
        <w:tc>
          <w:tcPr>
            <w:tcW w:w="584" w:type="dxa"/>
          </w:tcPr>
          <w:p>
            <w:pPr>
              <w:pStyle w:val="TableParagraph"/>
              <w:spacing w:line="166" w:lineRule="exact"/>
              <w:ind w:right="138"/>
              <w:jc w:val="center"/>
              <w:rPr>
                <w:sz w:val="15"/>
              </w:rPr>
            </w:pPr>
            <w:r>
              <w:rPr>
                <w:spacing w:val="-5"/>
                <w:w w:val="70"/>
                <w:sz w:val="15"/>
              </w:rPr>
              <w:t>BDS</w:t>
            </w: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rPr>
                <w:rFonts w:ascii="Times New Roman"/>
                <w:sz w:val="8"/>
              </w:rPr>
            </w:pPr>
          </w:p>
        </w:tc>
        <w:tc>
          <w:tcPr>
            <w:tcW w:w="294" w:type="dxa"/>
          </w:tcPr>
          <w:p>
            <w:pPr>
              <w:pStyle w:val="TableParagraph"/>
              <w:rPr>
                <w:rFonts w:ascii="Times New Roman"/>
                <w:sz w:val="8"/>
              </w:rPr>
            </w:pPr>
          </w:p>
        </w:tc>
        <w:tc>
          <w:tcPr>
            <w:tcW w:w="877" w:type="dxa"/>
          </w:tcPr>
          <w:p>
            <w:pPr>
              <w:pStyle w:val="TableParagraph"/>
              <w:spacing w:line="166" w:lineRule="exact"/>
              <w:ind w:left="367"/>
              <w:rPr>
                <w:sz w:val="15"/>
              </w:rPr>
            </w:pPr>
            <w:r>
              <w:rPr>
                <w:spacing w:val="-2"/>
                <w:w w:val="70"/>
                <w:sz w:val="15"/>
              </w:rPr>
              <w:t>BFEXP</w:t>
            </w:r>
          </w:p>
        </w:tc>
        <w:tc>
          <w:tcPr>
            <w:tcW w:w="538" w:type="dxa"/>
            <w:gridSpan w:val="2"/>
            <w:vMerge w:val="restart"/>
          </w:tcPr>
          <w:p>
            <w:pPr>
              <w:pStyle w:val="TableParagraph"/>
              <w:rPr>
                <w:rFonts w:ascii="Times New Roman"/>
                <w:sz w:val="8"/>
              </w:rPr>
            </w:pPr>
          </w:p>
        </w:tc>
      </w:tr>
      <w:tr>
        <w:trPr>
          <w:trHeight w:val="286" w:hRule="atLeast"/>
        </w:trPr>
        <w:tc>
          <w:tcPr>
            <w:tcW w:w="447" w:type="dxa"/>
          </w:tcPr>
          <w:p>
            <w:pPr>
              <w:pStyle w:val="TableParagraph"/>
              <w:spacing w:before="52"/>
              <w:ind w:left="66"/>
              <w:rPr>
                <w:sz w:val="12"/>
              </w:rPr>
            </w:pPr>
            <w:r>
              <w:rPr>
                <w:spacing w:val="-5"/>
                <w:w w:val="70"/>
                <w:sz w:val="12"/>
              </w:rPr>
              <w:t>.75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52"/>
              <w:ind w:left="292"/>
              <w:rPr>
                <w:sz w:val="12"/>
              </w:rPr>
            </w:pPr>
            <w:r>
              <w:rPr>
                <w:spacing w:val="-5"/>
                <w:w w:val="70"/>
                <w:sz w:val="12"/>
              </w:rPr>
              <w:t>.8</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52"/>
              <w:ind w:left="30" w:right="159"/>
              <w:jc w:val="center"/>
              <w:rPr>
                <w:sz w:val="12"/>
              </w:rPr>
            </w:pPr>
            <w:r>
              <w:rPr>
                <w:spacing w:val="-5"/>
                <w:w w:val="70"/>
                <w:sz w:val="12"/>
              </w:rPr>
              <w:t>20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52"/>
              <w:ind w:left="266"/>
              <w:rPr>
                <w:sz w:val="12"/>
              </w:rPr>
            </w:pPr>
            <w:r>
              <w:rPr>
                <w:spacing w:val="-5"/>
                <w:w w:val="70"/>
                <w:sz w:val="12"/>
              </w:rPr>
              <w:t>.8</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538" w:type="dxa"/>
            <w:gridSpan w:val="2"/>
            <w:vMerge/>
            <w:tcBorders>
              <w:top w:val="nil"/>
            </w:tcBorders>
          </w:tcPr>
          <w:p>
            <w:pPr>
              <w:rPr>
                <w:sz w:val="2"/>
                <w:szCs w:val="2"/>
              </w:rPr>
            </w:pPr>
          </w:p>
        </w:tc>
      </w:tr>
      <w:tr>
        <w:trPr>
          <w:trHeight w:val="662" w:hRule="atLeast"/>
        </w:trPr>
        <w:tc>
          <w:tcPr>
            <w:tcW w:w="447" w:type="dxa"/>
          </w:tcPr>
          <w:p>
            <w:pPr>
              <w:pStyle w:val="TableParagraph"/>
              <w:spacing w:before="94"/>
              <w:ind w:left="66"/>
              <w:rPr>
                <w:sz w:val="12"/>
              </w:rPr>
            </w:pPr>
            <w:r>
              <w:rPr>
                <w:spacing w:val="-5"/>
                <w:w w:val="70"/>
                <w:sz w:val="12"/>
              </w:rPr>
              <w:t>.70</w:t>
            </w:r>
          </w:p>
          <w:p>
            <w:pPr>
              <w:pStyle w:val="TableParagraph"/>
              <w:spacing w:before="56"/>
              <w:rPr>
                <w:rFonts w:ascii="Times New Roman"/>
                <w:b/>
                <w:sz w:val="12"/>
              </w:rPr>
            </w:pPr>
          </w:p>
          <w:p>
            <w:pPr>
              <w:pStyle w:val="TableParagraph"/>
              <w:ind w:left="66"/>
              <w:rPr>
                <w:sz w:val="12"/>
              </w:rPr>
            </w:pPr>
            <w:r>
              <w:rPr>
                <w:spacing w:val="-5"/>
                <w:w w:val="70"/>
                <w:sz w:val="12"/>
              </w:rPr>
              <w:t>.65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4"/>
              <w:rPr>
                <w:rFonts w:ascii="Times New Roman"/>
                <w:b/>
                <w:sz w:val="12"/>
              </w:rPr>
            </w:pPr>
          </w:p>
          <w:p>
            <w:pPr>
              <w:pStyle w:val="TableParagraph"/>
              <w:ind w:left="292"/>
              <w:rPr>
                <w:sz w:val="12"/>
              </w:rPr>
            </w:pPr>
            <w:r>
              <w:rPr>
                <w:spacing w:val="-5"/>
                <w:w w:val="70"/>
                <w:sz w:val="12"/>
              </w:rPr>
              <w:t>.7</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94"/>
              <w:ind w:left="30" w:right="159"/>
              <w:jc w:val="center"/>
              <w:rPr>
                <w:sz w:val="12"/>
              </w:rPr>
            </w:pPr>
            <w:r>
              <w:rPr>
                <w:spacing w:val="-5"/>
                <w:w w:val="70"/>
                <w:sz w:val="12"/>
              </w:rPr>
              <w:t>18</w:t>
            </w:r>
          </w:p>
          <w:p>
            <w:pPr>
              <w:pStyle w:val="TableParagraph"/>
              <w:spacing w:before="56"/>
              <w:rPr>
                <w:rFonts w:ascii="Times New Roman"/>
                <w:b/>
                <w:sz w:val="12"/>
              </w:rPr>
            </w:pPr>
          </w:p>
          <w:p>
            <w:pPr>
              <w:pStyle w:val="TableParagraph"/>
              <w:ind w:left="30" w:right="159"/>
              <w:jc w:val="center"/>
              <w:rPr>
                <w:sz w:val="12"/>
              </w:rPr>
            </w:pPr>
            <w:r>
              <w:rPr>
                <w:spacing w:val="-5"/>
                <w:w w:val="70"/>
                <w:sz w:val="12"/>
              </w:rPr>
              <w:t>16</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4"/>
              <w:rPr>
                <w:rFonts w:ascii="Times New Roman"/>
                <w:b/>
                <w:sz w:val="12"/>
              </w:rPr>
            </w:pPr>
          </w:p>
          <w:p>
            <w:pPr>
              <w:pStyle w:val="TableParagraph"/>
              <w:ind w:left="266"/>
              <w:rPr>
                <w:sz w:val="12"/>
              </w:rPr>
            </w:pPr>
            <w:r>
              <w:rPr>
                <w:spacing w:val="-5"/>
                <w:w w:val="70"/>
                <w:sz w:val="12"/>
              </w:rPr>
              <w:t>.7</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538" w:type="dxa"/>
            <w:gridSpan w:val="2"/>
            <w:vMerge/>
            <w:tcBorders>
              <w:top w:val="nil"/>
            </w:tcBorders>
          </w:tcPr>
          <w:p>
            <w:pPr>
              <w:rPr>
                <w:sz w:val="2"/>
                <w:szCs w:val="2"/>
              </w:rPr>
            </w:pPr>
          </w:p>
        </w:tc>
      </w:tr>
      <w:tr>
        <w:trPr>
          <w:trHeight w:val="331" w:hRule="atLeast"/>
        </w:trPr>
        <w:tc>
          <w:tcPr>
            <w:tcW w:w="447" w:type="dxa"/>
          </w:tcPr>
          <w:p>
            <w:pPr>
              <w:pStyle w:val="TableParagraph"/>
              <w:spacing w:before="96"/>
              <w:ind w:left="66"/>
              <w:rPr>
                <w:sz w:val="12"/>
              </w:rPr>
            </w:pPr>
            <w:r>
              <w:rPr>
                <w:spacing w:val="-5"/>
                <w:w w:val="70"/>
                <w:sz w:val="12"/>
              </w:rPr>
              <w:t>.60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96"/>
              <w:ind w:left="292"/>
              <w:rPr>
                <w:sz w:val="12"/>
              </w:rPr>
            </w:pPr>
            <w:r>
              <w:rPr>
                <w:spacing w:val="-5"/>
                <w:w w:val="70"/>
                <w:sz w:val="12"/>
              </w:rPr>
              <w:t>.6</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96"/>
              <w:ind w:left="30" w:right="159"/>
              <w:jc w:val="center"/>
              <w:rPr>
                <w:sz w:val="12"/>
              </w:rPr>
            </w:pPr>
            <w:r>
              <w:rPr>
                <w:spacing w:val="-5"/>
                <w:w w:val="70"/>
                <w:sz w:val="12"/>
              </w:rPr>
              <w:t>14</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96"/>
              <w:ind w:left="266"/>
              <w:rPr>
                <w:sz w:val="12"/>
              </w:rPr>
            </w:pPr>
            <w:r>
              <w:rPr>
                <w:spacing w:val="-5"/>
                <w:w w:val="70"/>
                <w:sz w:val="12"/>
              </w:rPr>
              <w:t>.6</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538" w:type="dxa"/>
            <w:gridSpan w:val="2"/>
            <w:vMerge/>
            <w:tcBorders>
              <w:top w:val="nil"/>
            </w:tcBorders>
          </w:tcPr>
          <w:p>
            <w:pPr>
              <w:rPr>
                <w:sz w:val="2"/>
                <w:szCs w:val="2"/>
              </w:rPr>
            </w:pPr>
          </w:p>
        </w:tc>
      </w:tr>
      <w:tr>
        <w:trPr>
          <w:trHeight w:val="663" w:hRule="atLeast"/>
        </w:trPr>
        <w:tc>
          <w:tcPr>
            <w:tcW w:w="447" w:type="dxa"/>
          </w:tcPr>
          <w:p>
            <w:pPr>
              <w:pStyle w:val="TableParagraph"/>
              <w:spacing w:before="94"/>
              <w:ind w:left="66"/>
              <w:rPr>
                <w:sz w:val="12"/>
              </w:rPr>
            </w:pPr>
            <w:r>
              <w:rPr>
                <w:spacing w:val="-5"/>
                <w:w w:val="70"/>
                <w:sz w:val="12"/>
              </w:rPr>
              <w:t>.55</w:t>
            </w:r>
          </w:p>
          <w:p>
            <w:pPr>
              <w:pStyle w:val="TableParagraph"/>
              <w:spacing w:before="57"/>
              <w:rPr>
                <w:rFonts w:ascii="Times New Roman"/>
                <w:b/>
                <w:sz w:val="12"/>
              </w:rPr>
            </w:pPr>
          </w:p>
          <w:p>
            <w:pPr>
              <w:pStyle w:val="TableParagraph"/>
              <w:ind w:left="66"/>
              <w:rPr>
                <w:sz w:val="12"/>
              </w:rPr>
            </w:pPr>
            <w:r>
              <w:rPr>
                <w:spacing w:val="-5"/>
                <w:w w:val="70"/>
                <w:sz w:val="12"/>
              </w:rPr>
              <w:t>.50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4"/>
              <w:rPr>
                <w:rFonts w:ascii="Times New Roman"/>
                <w:b/>
                <w:sz w:val="12"/>
              </w:rPr>
            </w:pPr>
          </w:p>
          <w:p>
            <w:pPr>
              <w:pStyle w:val="TableParagraph"/>
              <w:ind w:left="292"/>
              <w:rPr>
                <w:sz w:val="12"/>
              </w:rPr>
            </w:pPr>
            <w:r>
              <w:rPr>
                <w:spacing w:val="-5"/>
                <w:w w:val="70"/>
                <w:sz w:val="12"/>
              </w:rPr>
              <w:t>.5</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94"/>
              <w:ind w:left="30" w:right="159"/>
              <w:jc w:val="center"/>
              <w:rPr>
                <w:sz w:val="12"/>
              </w:rPr>
            </w:pPr>
            <w:r>
              <w:rPr>
                <w:spacing w:val="-5"/>
                <w:w w:val="70"/>
                <w:sz w:val="12"/>
              </w:rPr>
              <w:t>12</w:t>
            </w:r>
          </w:p>
          <w:p>
            <w:pPr>
              <w:pStyle w:val="TableParagraph"/>
              <w:spacing w:before="57"/>
              <w:rPr>
                <w:rFonts w:ascii="Times New Roman"/>
                <w:b/>
                <w:sz w:val="12"/>
              </w:rPr>
            </w:pPr>
          </w:p>
          <w:p>
            <w:pPr>
              <w:pStyle w:val="TableParagraph"/>
              <w:ind w:left="30" w:right="159"/>
              <w:jc w:val="center"/>
              <w:rPr>
                <w:sz w:val="12"/>
              </w:rPr>
            </w:pPr>
            <w:r>
              <w:rPr>
                <w:spacing w:val="-5"/>
                <w:w w:val="70"/>
                <w:sz w:val="12"/>
              </w:rPr>
              <w:t>10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4"/>
              <w:rPr>
                <w:rFonts w:ascii="Times New Roman"/>
                <w:b/>
                <w:sz w:val="12"/>
              </w:rPr>
            </w:pPr>
          </w:p>
          <w:p>
            <w:pPr>
              <w:pStyle w:val="TableParagraph"/>
              <w:ind w:left="266"/>
              <w:rPr>
                <w:sz w:val="12"/>
              </w:rPr>
            </w:pPr>
            <w:r>
              <w:rPr>
                <w:spacing w:val="-5"/>
                <w:w w:val="70"/>
                <w:sz w:val="12"/>
              </w:rPr>
              <w:t>.5</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538" w:type="dxa"/>
            <w:gridSpan w:val="2"/>
            <w:vMerge/>
            <w:tcBorders>
              <w:top w:val="nil"/>
            </w:tcBorders>
          </w:tcPr>
          <w:p>
            <w:pPr>
              <w:rPr>
                <w:sz w:val="2"/>
                <w:szCs w:val="2"/>
              </w:rPr>
            </w:pPr>
          </w:p>
        </w:tc>
      </w:tr>
      <w:tr>
        <w:trPr>
          <w:trHeight w:val="256" w:hRule="atLeast"/>
        </w:trPr>
        <w:tc>
          <w:tcPr>
            <w:tcW w:w="447" w:type="dxa"/>
          </w:tcPr>
          <w:p>
            <w:pPr>
              <w:pStyle w:val="TableParagraph"/>
              <w:spacing w:before="96"/>
              <w:ind w:left="66"/>
              <w:rPr>
                <w:sz w:val="12"/>
              </w:rPr>
            </w:pPr>
            <w:r>
              <w:rPr>
                <w:spacing w:val="-5"/>
                <w:w w:val="70"/>
                <w:sz w:val="12"/>
              </w:rPr>
              <w:t>.45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96"/>
              <w:ind w:left="292"/>
              <w:rPr>
                <w:sz w:val="12"/>
              </w:rPr>
            </w:pPr>
            <w:r>
              <w:rPr>
                <w:spacing w:val="-5"/>
                <w:w w:val="70"/>
                <w:sz w:val="12"/>
              </w:rPr>
              <w:t>.4</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96"/>
              <w:ind w:left="76" w:right="159"/>
              <w:jc w:val="center"/>
              <w:rPr>
                <w:sz w:val="12"/>
              </w:rPr>
            </w:pPr>
            <w:r>
              <w:rPr>
                <w:spacing w:val="-10"/>
                <w:w w:val="70"/>
                <w:sz w:val="12"/>
              </w:rPr>
              <w:t>8</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96"/>
              <w:ind w:left="266"/>
              <w:rPr>
                <w:sz w:val="12"/>
              </w:rPr>
            </w:pPr>
            <w:r>
              <w:rPr>
                <w:spacing w:val="-5"/>
                <w:w w:val="70"/>
                <w:sz w:val="12"/>
              </w:rPr>
              <w:t>.4</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538" w:type="dxa"/>
            <w:gridSpan w:val="2"/>
            <w:vMerge/>
            <w:tcBorders>
              <w:top w:val="nil"/>
            </w:tcBorders>
          </w:tcPr>
          <w:p>
            <w:pPr>
              <w:rPr>
                <w:sz w:val="2"/>
                <w:szCs w:val="2"/>
              </w:rPr>
            </w:pPr>
          </w:p>
        </w:tc>
      </w:tr>
      <w:tr>
        <w:trPr>
          <w:trHeight w:val="318" w:hRule="atLeast"/>
        </w:trPr>
        <w:tc>
          <w:tcPr>
            <w:tcW w:w="447" w:type="dxa"/>
          </w:tcPr>
          <w:p>
            <w:pPr>
              <w:pStyle w:val="TableParagraph"/>
              <w:spacing w:before="20"/>
              <w:ind w:right="68"/>
              <w:jc w:val="right"/>
              <w:rPr>
                <w:sz w:val="12"/>
              </w:rPr>
            </w:pPr>
            <w:r>
              <w:rPr>
                <w:spacing w:val="-4"/>
                <w:w w:val="70"/>
                <w:sz w:val="12"/>
              </w:rPr>
              <w:t>2006</w:t>
            </w:r>
          </w:p>
        </w:tc>
        <w:tc>
          <w:tcPr>
            <w:tcW w:w="292" w:type="dxa"/>
          </w:tcPr>
          <w:p>
            <w:pPr>
              <w:pStyle w:val="TableParagraph"/>
              <w:spacing w:before="20"/>
              <w:ind w:left="4" w:right="4"/>
              <w:jc w:val="center"/>
              <w:rPr>
                <w:sz w:val="12"/>
              </w:rPr>
            </w:pPr>
            <w:r>
              <w:rPr>
                <w:spacing w:val="-4"/>
                <w:w w:val="70"/>
                <w:sz w:val="12"/>
              </w:rPr>
              <w:t>2008</w:t>
            </w:r>
          </w:p>
        </w:tc>
        <w:tc>
          <w:tcPr>
            <w:tcW w:w="287" w:type="dxa"/>
          </w:tcPr>
          <w:p>
            <w:pPr>
              <w:pStyle w:val="TableParagraph"/>
              <w:spacing w:before="20"/>
              <w:ind w:left="8"/>
              <w:jc w:val="center"/>
              <w:rPr>
                <w:sz w:val="12"/>
              </w:rPr>
            </w:pPr>
            <w:r>
              <w:rPr>
                <w:spacing w:val="-4"/>
                <w:w w:val="70"/>
                <w:sz w:val="12"/>
              </w:rPr>
              <w:t>2010</w:t>
            </w:r>
          </w:p>
        </w:tc>
        <w:tc>
          <w:tcPr>
            <w:tcW w:w="588" w:type="dxa"/>
          </w:tcPr>
          <w:p>
            <w:pPr>
              <w:pStyle w:val="TableParagraph"/>
              <w:spacing w:before="20"/>
              <w:ind w:right="65"/>
              <w:jc w:val="right"/>
              <w:rPr>
                <w:sz w:val="12"/>
              </w:rPr>
            </w:pPr>
            <w:r>
              <w:rPr>
                <w:w w:val="70"/>
                <w:sz w:val="12"/>
              </w:rPr>
              <w:t>2012</w:t>
            </w:r>
            <w:r>
              <w:rPr>
                <w:spacing w:val="67"/>
                <w:sz w:val="12"/>
              </w:rPr>
              <w:t> </w:t>
            </w:r>
            <w:r>
              <w:rPr>
                <w:spacing w:val="-4"/>
                <w:w w:val="70"/>
                <w:sz w:val="12"/>
              </w:rPr>
              <w:t>2014</w:t>
            </w:r>
          </w:p>
        </w:tc>
        <w:tc>
          <w:tcPr>
            <w:tcW w:w="292" w:type="dxa"/>
          </w:tcPr>
          <w:p>
            <w:pPr>
              <w:pStyle w:val="TableParagraph"/>
              <w:spacing w:before="20"/>
              <w:ind w:left="4" w:right="1"/>
              <w:jc w:val="center"/>
              <w:rPr>
                <w:sz w:val="12"/>
              </w:rPr>
            </w:pPr>
            <w:r>
              <w:rPr>
                <w:spacing w:val="-4"/>
                <w:w w:val="70"/>
                <w:sz w:val="12"/>
              </w:rPr>
              <w:t>2016</w:t>
            </w:r>
          </w:p>
        </w:tc>
        <w:tc>
          <w:tcPr>
            <w:tcW w:w="455" w:type="dxa"/>
          </w:tcPr>
          <w:p>
            <w:pPr>
              <w:pStyle w:val="TableParagraph"/>
              <w:spacing w:before="20"/>
              <w:ind w:left="72"/>
              <w:rPr>
                <w:sz w:val="12"/>
              </w:rPr>
            </w:pPr>
            <w:r>
              <w:rPr>
                <w:spacing w:val="-4"/>
                <w:w w:val="70"/>
                <w:sz w:val="12"/>
              </w:rPr>
              <w:t>2018</w:t>
            </w:r>
          </w:p>
        </w:tc>
        <w:tc>
          <w:tcPr>
            <w:tcW w:w="629" w:type="dxa"/>
          </w:tcPr>
          <w:p>
            <w:pPr>
              <w:pStyle w:val="TableParagraph"/>
              <w:spacing w:before="20"/>
              <w:ind w:right="64"/>
              <w:jc w:val="right"/>
              <w:rPr>
                <w:sz w:val="12"/>
              </w:rPr>
            </w:pPr>
            <w:r>
              <w:rPr>
                <w:spacing w:val="-4"/>
                <w:w w:val="70"/>
                <w:sz w:val="12"/>
              </w:rPr>
              <w:t>2006</w:t>
            </w:r>
          </w:p>
        </w:tc>
        <w:tc>
          <w:tcPr>
            <w:tcW w:w="292" w:type="dxa"/>
          </w:tcPr>
          <w:p>
            <w:pPr>
              <w:pStyle w:val="TableParagraph"/>
              <w:spacing w:before="20"/>
              <w:ind w:left="4"/>
              <w:jc w:val="center"/>
              <w:rPr>
                <w:sz w:val="12"/>
              </w:rPr>
            </w:pPr>
            <w:r>
              <w:rPr>
                <w:spacing w:val="-4"/>
                <w:w w:val="70"/>
                <w:sz w:val="12"/>
              </w:rPr>
              <w:t>2008</w:t>
            </w:r>
          </w:p>
        </w:tc>
        <w:tc>
          <w:tcPr>
            <w:tcW w:w="293" w:type="dxa"/>
          </w:tcPr>
          <w:p>
            <w:pPr>
              <w:pStyle w:val="TableParagraph"/>
              <w:spacing w:before="20"/>
              <w:ind w:left="12" w:right="6"/>
              <w:jc w:val="center"/>
              <w:rPr>
                <w:sz w:val="12"/>
              </w:rPr>
            </w:pPr>
            <w:r>
              <w:rPr>
                <w:spacing w:val="-4"/>
                <w:w w:val="70"/>
                <w:sz w:val="12"/>
              </w:rPr>
              <w:t>2010</w:t>
            </w:r>
          </w:p>
        </w:tc>
        <w:tc>
          <w:tcPr>
            <w:tcW w:w="583" w:type="dxa"/>
          </w:tcPr>
          <w:p>
            <w:pPr>
              <w:pStyle w:val="TableParagraph"/>
              <w:spacing w:before="20"/>
              <w:ind w:left="71"/>
              <w:rPr>
                <w:sz w:val="12"/>
              </w:rPr>
            </w:pPr>
            <w:r>
              <w:rPr>
                <w:w w:val="70"/>
                <w:sz w:val="12"/>
              </w:rPr>
              <w:t>2012</w:t>
            </w:r>
            <w:r>
              <w:rPr>
                <w:spacing w:val="68"/>
                <w:sz w:val="12"/>
              </w:rPr>
              <w:t> </w:t>
            </w:r>
            <w:r>
              <w:rPr>
                <w:spacing w:val="-4"/>
                <w:w w:val="70"/>
                <w:sz w:val="12"/>
              </w:rPr>
              <w:t>2014</w:t>
            </w:r>
          </w:p>
        </w:tc>
        <w:tc>
          <w:tcPr>
            <w:tcW w:w="293" w:type="dxa"/>
          </w:tcPr>
          <w:p>
            <w:pPr>
              <w:pStyle w:val="TableParagraph"/>
              <w:spacing w:before="20"/>
              <w:ind w:left="10" w:right="6"/>
              <w:jc w:val="center"/>
              <w:rPr>
                <w:sz w:val="12"/>
              </w:rPr>
            </w:pPr>
            <w:r>
              <w:rPr>
                <w:spacing w:val="-4"/>
                <w:w w:val="70"/>
                <w:sz w:val="12"/>
              </w:rPr>
              <w:t>2016</w:t>
            </w:r>
          </w:p>
        </w:tc>
        <w:tc>
          <w:tcPr>
            <w:tcW w:w="277" w:type="dxa"/>
          </w:tcPr>
          <w:p>
            <w:pPr>
              <w:pStyle w:val="TableParagraph"/>
              <w:spacing w:before="20"/>
              <w:ind w:left="21"/>
              <w:jc w:val="center"/>
              <w:rPr>
                <w:sz w:val="12"/>
              </w:rPr>
            </w:pPr>
            <w:r>
              <w:rPr>
                <w:spacing w:val="-4"/>
                <w:w w:val="70"/>
                <w:sz w:val="12"/>
              </w:rPr>
              <w:t>2018</w:t>
            </w:r>
          </w:p>
        </w:tc>
        <w:tc>
          <w:tcPr>
            <w:tcW w:w="1100" w:type="dxa"/>
          </w:tcPr>
          <w:p>
            <w:pPr>
              <w:pStyle w:val="TableParagraph"/>
              <w:spacing w:before="20"/>
              <w:ind w:right="66"/>
              <w:jc w:val="right"/>
              <w:rPr>
                <w:sz w:val="12"/>
              </w:rPr>
            </w:pPr>
            <w:r>
              <w:rPr>
                <w:w w:val="70"/>
                <w:sz w:val="12"/>
              </w:rPr>
              <w:t>2006</w:t>
            </w:r>
            <w:r>
              <w:rPr>
                <w:spacing w:val="68"/>
                <w:sz w:val="12"/>
              </w:rPr>
              <w:t> </w:t>
            </w:r>
            <w:r>
              <w:rPr>
                <w:spacing w:val="-4"/>
                <w:w w:val="70"/>
                <w:sz w:val="12"/>
              </w:rPr>
              <w:t>2008</w:t>
            </w:r>
          </w:p>
        </w:tc>
        <w:tc>
          <w:tcPr>
            <w:tcW w:w="293" w:type="dxa"/>
          </w:tcPr>
          <w:p>
            <w:pPr>
              <w:pStyle w:val="TableParagraph"/>
              <w:spacing w:before="20"/>
              <w:ind w:left="10" w:right="6"/>
              <w:jc w:val="center"/>
              <w:rPr>
                <w:sz w:val="12"/>
              </w:rPr>
            </w:pPr>
            <w:r>
              <w:rPr>
                <w:spacing w:val="-4"/>
                <w:w w:val="70"/>
                <w:sz w:val="12"/>
              </w:rPr>
              <w:t>2010</w:t>
            </w:r>
          </w:p>
        </w:tc>
        <w:tc>
          <w:tcPr>
            <w:tcW w:w="584" w:type="dxa"/>
          </w:tcPr>
          <w:p>
            <w:pPr>
              <w:pStyle w:val="TableParagraph"/>
              <w:spacing w:before="20"/>
              <w:ind w:left="1"/>
              <w:jc w:val="center"/>
              <w:rPr>
                <w:sz w:val="12"/>
              </w:rPr>
            </w:pPr>
            <w:r>
              <w:rPr>
                <w:w w:val="70"/>
                <w:sz w:val="12"/>
              </w:rPr>
              <w:t>2012</w:t>
            </w:r>
            <w:r>
              <w:rPr>
                <w:spacing w:val="68"/>
                <w:sz w:val="12"/>
              </w:rPr>
              <w:t> </w:t>
            </w:r>
            <w:r>
              <w:rPr>
                <w:spacing w:val="-4"/>
                <w:w w:val="70"/>
                <w:sz w:val="12"/>
              </w:rPr>
              <w:t>2014</w:t>
            </w:r>
          </w:p>
        </w:tc>
        <w:tc>
          <w:tcPr>
            <w:tcW w:w="293" w:type="dxa"/>
          </w:tcPr>
          <w:p>
            <w:pPr>
              <w:pStyle w:val="TableParagraph"/>
              <w:spacing w:before="20"/>
              <w:ind w:left="6" w:right="6"/>
              <w:jc w:val="center"/>
              <w:rPr>
                <w:sz w:val="12"/>
              </w:rPr>
            </w:pPr>
            <w:r>
              <w:rPr>
                <w:spacing w:val="-4"/>
                <w:w w:val="70"/>
                <w:sz w:val="12"/>
              </w:rPr>
              <w:t>2016</w:t>
            </w:r>
          </w:p>
        </w:tc>
        <w:tc>
          <w:tcPr>
            <w:tcW w:w="477" w:type="dxa"/>
          </w:tcPr>
          <w:p>
            <w:pPr>
              <w:pStyle w:val="TableParagraph"/>
              <w:spacing w:before="20"/>
              <w:ind w:left="70"/>
              <w:rPr>
                <w:sz w:val="12"/>
              </w:rPr>
            </w:pPr>
            <w:r>
              <w:rPr>
                <w:spacing w:val="-4"/>
                <w:w w:val="70"/>
                <w:sz w:val="12"/>
              </w:rPr>
              <w:t>2018</w:t>
            </w:r>
          </w:p>
        </w:tc>
        <w:tc>
          <w:tcPr>
            <w:tcW w:w="606" w:type="dxa"/>
          </w:tcPr>
          <w:p>
            <w:pPr>
              <w:pStyle w:val="TableParagraph"/>
              <w:spacing w:before="20"/>
              <w:ind w:right="68"/>
              <w:jc w:val="right"/>
              <w:rPr>
                <w:sz w:val="12"/>
              </w:rPr>
            </w:pPr>
            <w:r>
              <w:rPr>
                <w:spacing w:val="-4"/>
                <w:w w:val="70"/>
                <w:sz w:val="12"/>
              </w:rPr>
              <w:t>2006</w:t>
            </w:r>
          </w:p>
        </w:tc>
        <w:tc>
          <w:tcPr>
            <w:tcW w:w="294" w:type="dxa"/>
          </w:tcPr>
          <w:p>
            <w:pPr>
              <w:pStyle w:val="TableParagraph"/>
              <w:spacing w:before="20"/>
              <w:ind w:right="2"/>
              <w:jc w:val="center"/>
              <w:rPr>
                <w:sz w:val="12"/>
              </w:rPr>
            </w:pPr>
            <w:r>
              <w:rPr>
                <w:spacing w:val="-4"/>
                <w:w w:val="70"/>
                <w:sz w:val="12"/>
              </w:rPr>
              <w:t>2008</w:t>
            </w:r>
          </w:p>
        </w:tc>
        <w:tc>
          <w:tcPr>
            <w:tcW w:w="877" w:type="dxa"/>
          </w:tcPr>
          <w:p>
            <w:pPr>
              <w:pStyle w:val="TableParagraph"/>
              <w:spacing w:before="20"/>
              <w:ind w:right="70"/>
              <w:jc w:val="right"/>
              <w:rPr>
                <w:sz w:val="12"/>
              </w:rPr>
            </w:pPr>
            <w:r>
              <w:rPr>
                <w:w w:val="70"/>
                <w:sz w:val="12"/>
              </w:rPr>
              <w:t>2010</w:t>
            </w:r>
            <w:r>
              <w:rPr>
                <w:spacing w:val="68"/>
                <w:sz w:val="12"/>
              </w:rPr>
              <w:t> </w:t>
            </w:r>
            <w:r>
              <w:rPr>
                <w:w w:val="70"/>
                <w:sz w:val="12"/>
              </w:rPr>
              <w:t>2012</w:t>
            </w:r>
            <w:r>
              <w:rPr>
                <w:spacing w:val="68"/>
                <w:sz w:val="12"/>
              </w:rPr>
              <w:t> </w:t>
            </w:r>
            <w:r>
              <w:rPr>
                <w:spacing w:val="-4"/>
                <w:w w:val="70"/>
                <w:sz w:val="12"/>
              </w:rPr>
              <w:t>2014</w:t>
            </w:r>
          </w:p>
        </w:tc>
        <w:tc>
          <w:tcPr>
            <w:tcW w:w="293" w:type="dxa"/>
          </w:tcPr>
          <w:p>
            <w:pPr>
              <w:pStyle w:val="TableParagraph"/>
              <w:spacing w:before="20"/>
              <w:ind w:left="6" w:right="12"/>
              <w:jc w:val="center"/>
              <w:rPr>
                <w:sz w:val="12"/>
              </w:rPr>
            </w:pPr>
            <w:r>
              <w:rPr>
                <w:spacing w:val="-4"/>
                <w:w w:val="70"/>
                <w:sz w:val="12"/>
              </w:rPr>
              <w:t>2016</w:t>
            </w:r>
          </w:p>
        </w:tc>
        <w:tc>
          <w:tcPr>
            <w:tcW w:w="245" w:type="dxa"/>
          </w:tcPr>
          <w:p>
            <w:pPr>
              <w:pStyle w:val="TableParagraph"/>
              <w:spacing w:before="20"/>
              <w:ind w:left="40"/>
              <w:jc w:val="center"/>
              <w:rPr>
                <w:sz w:val="12"/>
              </w:rPr>
            </w:pPr>
            <w:r>
              <w:rPr>
                <w:spacing w:val="-4"/>
                <w:w w:val="70"/>
                <w:sz w:val="12"/>
              </w:rPr>
              <w:t>2018</w:t>
            </w:r>
          </w:p>
        </w:tc>
      </w:tr>
      <w:tr>
        <w:trPr>
          <w:trHeight w:val="380" w:hRule="atLeast"/>
        </w:trPr>
        <w:tc>
          <w:tcPr>
            <w:tcW w:w="447" w:type="dxa"/>
          </w:tcPr>
          <w:p>
            <w:pPr>
              <w:pStyle w:val="TableParagraph"/>
              <w:rPr>
                <w:rFonts w:ascii="Times New Roman"/>
                <w:sz w:val="8"/>
              </w:rPr>
            </w:pP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spacing w:before="154"/>
              <w:ind w:left="66"/>
              <w:rPr>
                <w:sz w:val="15"/>
              </w:rPr>
            </w:pPr>
            <w:r>
              <w:rPr>
                <w:spacing w:val="-2"/>
                <w:w w:val="70"/>
                <w:sz w:val="15"/>
              </w:rPr>
              <w:t>BLOWN</w:t>
            </w: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rPr>
                <w:rFonts w:ascii="Times New Roman"/>
                <w:sz w:val="8"/>
              </w:rPr>
            </w:pP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spacing w:before="154"/>
              <w:ind w:left="85"/>
              <w:rPr>
                <w:sz w:val="15"/>
              </w:rPr>
            </w:pPr>
            <w:r>
              <w:rPr>
                <w:spacing w:val="-4"/>
                <w:w w:val="70"/>
                <w:sz w:val="15"/>
              </w:rPr>
              <w:t>FOWN</w:t>
            </w: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293" w:type="dxa"/>
          </w:tcPr>
          <w:p>
            <w:pPr>
              <w:pStyle w:val="TableParagraph"/>
              <w:rPr>
                <w:rFonts w:ascii="Times New Roman"/>
                <w:sz w:val="8"/>
              </w:rPr>
            </w:pPr>
          </w:p>
        </w:tc>
        <w:tc>
          <w:tcPr>
            <w:tcW w:w="584" w:type="dxa"/>
          </w:tcPr>
          <w:p>
            <w:pPr>
              <w:pStyle w:val="TableParagraph"/>
              <w:spacing w:before="154"/>
              <w:ind w:left="1" w:right="132"/>
              <w:jc w:val="center"/>
              <w:rPr>
                <w:sz w:val="15"/>
              </w:rPr>
            </w:pPr>
            <w:r>
              <w:rPr>
                <w:spacing w:val="-4"/>
                <w:w w:val="70"/>
                <w:sz w:val="15"/>
              </w:rPr>
              <w:t>MOWN</w:t>
            </w: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rPr>
                <w:rFonts w:ascii="Times New Roman"/>
                <w:sz w:val="8"/>
              </w:rPr>
            </w:pPr>
          </w:p>
        </w:tc>
        <w:tc>
          <w:tcPr>
            <w:tcW w:w="294" w:type="dxa"/>
          </w:tcPr>
          <w:p>
            <w:pPr>
              <w:pStyle w:val="TableParagraph"/>
              <w:rPr>
                <w:rFonts w:ascii="Times New Roman"/>
                <w:sz w:val="8"/>
              </w:rPr>
            </w:pPr>
          </w:p>
        </w:tc>
        <w:tc>
          <w:tcPr>
            <w:tcW w:w="877" w:type="dxa"/>
          </w:tcPr>
          <w:p>
            <w:pPr>
              <w:pStyle w:val="TableParagraph"/>
              <w:spacing w:before="154"/>
              <w:ind w:left="277"/>
              <w:rPr>
                <w:sz w:val="15"/>
              </w:rPr>
            </w:pPr>
            <w:r>
              <w:rPr>
                <w:spacing w:val="-2"/>
                <w:w w:val="70"/>
                <w:sz w:val="15"/>
              </w:rPr>
              <w:t>LEVERAGE</w:t>
            </w: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20" w:hRule="atLeast"/>
        </w:trPr>
        <w:tc>
          <w:tcPr>
            <w:tcW w:w="447" w:type="dxa"/>
          </w:tcPr>
          <w:p>
            <w:pPr>
              <w:pStyle w:val="TableParagraph"/>
              <w:spacing w:before="52"/>
              <w:ind w:left="79"/>
              <w:rPr>
                <w:sz w:val="12"/>
              </w:rPr>
            </w:pPr>
            <w:r>
              <w:rPr>
                <w:spacing w:val="-5"/>
                <w:w w:val="70"/>
                <w:sz w:val="12"/>
              </w:rPr>
              <w:t>80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52"/>
              <w:ind w:left="263"/>
              <w:rPr>
                <w:sz w:val="12"/>
              </w:rPr>
            </w:pPr>
            <w:r>
              <w:rPr>
                <w:spacing w:val="-5"/>
                <w:w w:val="70"/>
                <w:sz w:val="12"/>
              </w:rPr>
              <w:t>80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52"/>
              <w:ind w:left="30" w:right="159"/>
              <w:jc w:val="center"/>
              <w:rPr>
                <w:sz w:val="12"/>
              </w:rPr>
            </w:pPr>
            <w:r>
              <w:rPr>
                <w:spacing w:val="-5"/>
                <w:w w:val="70"/>
                <w:sz w:val="12"/>
              </w:rPr>
              <w:t>40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52"/>
              <w:ind w:left="281"/>
              <w:rPr>
                <w:sz w:val="12"/>
              </w:rPr>
            </w:pPr>
            <w:r>
              <w:rPr>
                <w:spacing w:val="-10"/>
                <w:w w:val="70"/>
                <w:sz w:val="12"/>
              </w:rPr>
              <w:t>4</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97" w:hRule="atLeast"/>
        </w:trPr>
        <w:tc>
          <w:tcPr>
            <w:tcW w:w="447" w:type="dxa"/>
          </w:tcPr>
          <w:p>
            <w:pPr>
              <w:pStyle w:val="TableParagraph"/>
              <w:spacing w:before="127"/>
              <w:ind w:left="79"/>
              <w:rPr>
                <w:sz w:val="12"/>
              </w:rPr>
            </w:pPr>
            <w:r>
              <w:rPr>
                <w:spacing w:val="-5"/>
                <w:w w:val="70"/>
                <w:sz w:val="12"/>
              </w:rPr>
              <w:t>60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7"/>
              <w:ind w:left="263"/>
              <w:rPr>
                <w:sz w:val="12"/>
              </w:rPr>
            </w:pPr>
            <w:r>
              <w:rPr>
                <w:spacing w:val="-5"/>
                <w:w w:val="70"/>
                <w:sz w:val="12"/>
              </w:rPr>
              <w:t>60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127"/>
              <w:ind w:left="30" w:right="159"/>
              <w:jc w:val="center"/>
              <w:rPr>
                <w:sz w:val="12"/>
              </w:rPr>
            </w:pPr>
            <w:r>
              <w:rPr>
                <w:spacing w:val="-5"/>
                <w:w w:val="70"/>
                <w:sz w:val="12"/>
              </w:rPr>
              <w:t>30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7"/>
              <w:ind w:left="281"/>
              <w:rPr>
                <w:sz w:val="12"/>
              </w:rPr>
            </w:pPr>
            <w:r>
              <w:rPr>
                <w:spacing w:val="-10"/>
                <w:w w:val="70"/>
                <w:sz w:val="12"/>
              </w:rPr>
              <w:t>3</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97" w:hRule="atLeast"/>
        </w:trPr>
        <w:tc>
          <w:tcPr>
            <w:tcW w:w="447" w:type="dxa"/>
          </w:tcPr>
          <w:p>
            <w:pPr>
              <w:pStyle w:val="TableParagraph"/>
              <w:spacing w:before="129"/>
              <w:ind w:left="79"/>
              <w:rPr>
                <w:sz w:val="12"/>
              </w:rPr>
            </w:pPr>
            <w:r>
              <w:rPr>
                <w:spacing w:val="-5"/>
                <w:w w:val="70"/>
                <w:sz w:val="12"/>
              </w:rPr>
              <w:t>40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63"/>
              <w:rPr>
                <w:sz w:val="12"/>
              </w:rPr>
            </w:pPr>
            <w:r>
              <w:rPr>
                <w:spacing w:val="-5"/>
                <w:w w:val="70"/>
                <w:sz w:val="12"/>
              </w:rPr>
              <w:t>40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129"/>
              <w:ind w:left="30" w:right="159"/>
              <w:jc w:val="center"/>
              <w:rPr>
                <w:sz w:val="12"/>
              </w:rPr>
            </w:pPr>
            <w:r>
              <w:rPr>
                <w:spacing w:val="-5"/>
                <w:w w:val="70"/>
                <w:sz w:val="12"/>
              </w:rPr>
              <w:t>20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9"/>
              <w:ind w:left="281"/>
              <w:rPr>
                <w:sz w:val="12"/>
              </w:rPr>
            </w:pPr>
            <w:r>
              <w:rPr>
                <w:spacing w:val="-10"/>
                <w:w w:val="70"/>
                <w:sz w:val="12"/>
              </w:rPr>
              <w:t>2</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97" w:hRule="atLeast"/>
        </w:trPr>
        <w:tc>
          <w:tcPr>
            <w:tcW w:w="447" w:type="dxa"/>
          </w:tcPr>
          <w:p>
            <w:pPr>
              <w:pStyle w:val="TableParagraph"/>
              <w:spacing w:before="127"/>
              <w:ind w:left="79"/>
              <w:rPr>
                <w:sz w:val="12"/>
              </w:rPr>
            </w:pPr>
            <w:r>
              <w:rPr>
                <w:spacing w:val="-5"/>
                <w:w w:val="70"/>
                <w:sz w:val="12"/>
              </w:rPr>
              <w:t>20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7"/>
              <w:ind w:left="263"/>
              <w:rPr>
                <w:sz w:val="12"/>
              </w:rPr>
            </w:pPr>
            <w:r>
              <w:rPr>
                <w:spacing w:val="-5"/>
                <w:w w:val="70"/>
                <w:sz w:val="12"/>
              </w:rPr>
              <w:t>20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127"/>
              <w:ind w:left="30" w:right="159"/>
              <w:jc w:val="center"/>
              <w:rPr>
                <w:sz w:val="12"/>
              </w:rPr>
            </w:pPr>
            <w:r>
              <w:rPr>
                <w:spacing w:val="-5"/>
                <w:w w:val="70"/>
                <w:sz w:val="12"/>
              </w:rPr>
              <w:t>10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7"/>
              <w:ind w:left="281"/>
              <w:rPr>
                <w:sz w:val="12"/>
              </w:rPr>
            </w:pPr>
            <w:r>
              <w:rPr>
                <w:spacing w:val="-10"/>
                <w:w w:val="70"/>
                <w:sz w:val="12"/>
              </w:rPr>
              <w:t>1</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98" w:hRule="atLeast"/>
        </w:trPr>
        <w:tc>
          <w:tcPr>
            <w:tcW w:w="447" w:type="dxa"/>
          </w:tcPr>
          <w:p>
            <w:pPr>
              <w:pStyle w:val="TableParagraph"/>
              <w:spacing w:before="129"/>
              <w:ind w:left="124"/>
              <w:rPr>
                <w:sz w:val="12"/>
              </w:rPr>
            </w:pPr>
            <w:r>
              <w:rPr>
                <w:spacing w:val="-10"/>
                <w:w w:val="70"/>
                <w:sz w:val="12"/>
              </w:rPr>
              <w:t>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8"/>
              <w:jc w:val="center"/>
              <w:rPr>
                <w:sz w:val="12"/>
              </w:rPr>
            </w:pPr>
            <w:r>
              <w:rPr>
                <w:spacing w:val="-10"/>
                <w:w w:val="70"/>
                <w:sz w:val="12"/>
              </w:rPr>
              <w:t>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129"/>
              <w:ind w:left="76" w:right="159"/>
              <w:jc w:val="center"/>
              <w:rPr>
                <w:sz w:val="12"/>
              </w:rPr>
            </w:pPr>
            <w:r>
              <w:rPr>
                <w:spacing w:val="-10"/>
                <w:w w:val="70"/>
                <w:sz w:val="12"/>
              </w:rPr>
              <w:t>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9"/>
              <w:ind w:left="281"/>
              <w:rPr>
                <w:sz w:val="12"/>
              </w:rPr>
            </w:pPr>
            <w:r>
              <w:rPr>
                <w:spacing w:val="-10"/>
                <w:w w:val="70"/>
                <w:sz w:val="12"/>
              </w:rPr>
              <w:t>0</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289" w:hRule="atLeast"/>
        </w:trPr>
        <w:tc>
          <w:tcPr>
            <w:tcW w:w="447" w:type="dxa"/>
          </w:tcPr>
          <w:p>
            <w:pPr>
              <w:pStyle w:val="TableParagraph"/>
              <w:spacing w:before="129"/>
              <w:ind w:left="50"/>
              <w:rPr>
                <w:sz w:val="12"/>
              </w:rPr>
            </w:pPr>
            <w:r>
              <w:rPr>
                <w:w w:val="60"/>
                <w:sz w:val="12"/>
              </w:rPr>
              <w:t>-</w:t>
            </w:r>
            <w:r>
              <w:rPr>
                <w:spacing w:val="-5"/>
                <w:w w:val="70"/>
                <w:sz w:val="12"/>
              </w:rPr>
              <w:t>20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34"/>
              <w:rPr>
                <w:sz w:val="12"/>
              </w:rPr>
            </w:pPr>
            <w:r>
              <w:rPr>
                <w:w w:val="60"/>
                <w:sz w:val="12"/>
              </w:rPr>
              <w:t>-</w:t>
            </w:r>
            <w:r>
              <w:rPr>
                <w:spacing w:val="-5"/>
                <w:w w:val="70"/>
                <w:sz w:val="12"/>
              </w:rPr>
              <w:t>20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129"/>
              <w:ind w:right="159"/>
              <w:jc w:val="center"/>
              <w:rPr>
                <w:sz w:val="12"/>
              </w:rPr>
            </w:pPr>
            <w:r>
              <w:rPr>
                <w:w w:val="60"/>
                <w:sz w:val="12"/>
              </w:rPr>
              <w:t>-</w:t>
            </w:r>
            <w:r>
              <w:rPr>
                <w:spacing w:val="-5"/>
                <w:w w:val="70"/>
                <w:sz w:val="12"/>
              </w:rPr>
              <w:t>10</w:t>
            </w:r>
          </w:p>
        </w:tc>
        <w:tc>
          <w:tcPr>
            <w:tcW w:w="293" w:type="dxa"/>
          </w:tcPr>
          <w:p>
            <w:pPr>
              <w:pStyle w:val="TableParagraph"/>
              <w:rPr>
                <w:rFonts w:ascii="Times New Roman"/>
                <w:sz w:val="8"/>
              </w:rPr>
            </w:pPr>
          </w:p>
        </w:tc>
        <w:tc>
          <w:tcPr>
            <w:tcW w:w="584" w:type="dxa"/>
          </w:tcPr>
          <w:p>
            <w:pPr>
              <w:pStyle w:val="TableParagraph"/>
              <w:rPr>
                <w:rFonts w:ascii="Times New Roman"/>
                <w:sz w:val="8"/>
              </w:rPr>
            </w:pPr>
          </w:p>
        </w:tc>
        <w:tc>
          <w:tcPr>
            <w:tcW w:w="293" w:type="dxa"/>
          </w:tcPr>
          <w:p>
            <w:pPr>
              <w:pStyle w:val="TableParagraph"/>
              <w:rPr>
                <w:rFonts w:ascii="Times New Roman"/>
                <w:sz w:val="8"/>
              </w:rPr>
            </w:pPr>
          </w:p>
        </w:tc>
        <w:tc>
          <w:tcPr>
            <w:tcW w:w="477" w:type="dxa"/>
          </w:tcPr>
          <w:p>
            <w:pPr>
              <w:pStyle w:val="TableParagraph"/>
              <w:rPr>
                <w:rFonts w:ascii="Times New Roman"/>
                <w:sz w:val="8"/>
              </w:rPr>
            </w:pPr>
          </w:p>
        </w:tc>
        <w:tc>
          <w:tcPr>
            <w:tcW w:w="606" w:type="dxa"/>
          </w:tcPr>
          <w:p>
            <w:pPr>
              <w:pStyle w:val="TableParagraph"/>
              <w:spacing w:before="129"/>
              <w:ind w:left="252"/>
              <w:rPr>
                <w:sz w:val="12"/>
              </w:rPr>
            </w:pPr>
            <w:r>
              <w:rPr>
                <w:w w:val="60"/>
                <w:sz w:val="12"/>
              </w:rPr>
              <w:t>-</w:t>
            </w:r>
            <w:r>
              <w:rPr>
                <w:spacing w:val="-10"/>
                <w:w w:val="70"/>
                <w:sz w:val="12"/>
              </w:rPr>
              <w:t>1</w:t>
            </w:r>
          </w:p>
        </w:tc>
        <w:tc>
          <w:tcPr>
            <w:tcW w:w="294" w:type="dxa"/>
          </w:tcPr>
          <w:p>
            <w:pPr>
              <w:pStyle w:val="TableParagraph"/>
              <w:rPr>
                <w:rFonts w:ascii="Times New Roman"/>
                <w:sz w:val="8"/>
              </w:rPr>
            </w:pPr>
          </w:p>
        </w:tc>
        <w:tc>
          <w:tcPr>
            <w:tcW w:w="877" w:type="dxa"/>
          </w:tcPr>
          <w:p>
            <w:pPr>
              <w:pStyle w:val="TableParagraph"/>
              <w:rPr>
                <w:rFonts w:ascii="Times New Roman"/>
                <w:sz w:val="8"/>
              </w:rPr>
            </w:pPr>
          </w:p>
        </w:tc>
        <w:tc>
          <w:tcPr>
            <w:tcW w:w="293" w:type="dxa"/>
          </w:tcPr>
          <w:p>
            <w:pPr>
              <w:pStyle w:val="TableParagraph"/>
              <w:rPr>
                <w:rFonts w:ascii="Times New Roman"/>
                <w:sz w:val="8"/>
              </w:rPr>
            </w:pPr>
          </w:p>
        </w:tc>
        <w:tc>
          <w:tcPr>
            <w:tcW w:w="245" w:type="dxa"/>
          </w:tcPr>
          <w:p>
            <w:pPr>
              <w:pStyle w:val="TableParagraph"/>
              <w:rPr>
                <w:rFonts w:ascii="Times New Roman"/>
                <w:sz w:val="8"/>
              </w:rPr>
            </w:pPr>
          </w:p>
        </w:tc>
      </w:tr>
      <w:tr>
        <w:trPr>
          <w:trHeight w:val="319" w:hRule="atLeast"/>
        </w:trPr>
        <w:tc>
          <w:tcPr>
            <w:tcW w:w="447" w:type="dxa"/>
          </w:tcPr>
          <w:p>
            <w:pPr>
              <w:pStyle w:val="TableParagraph"/>
              <w:spacing w:before="20"/>
              <w:ind w:right="68"/>
              <w:jc w:val="right"/>
              <w:rPr>
                <w:sz w:val="12"/>
              </w:rPr>
            </w:pPr>
            <w:r>
              <w:rPr>
                <w:spacing w:val="-4"/>
                <w:w w:val="70"/>
                <w:sz w:val="12"/>
              </w:rPr>
              <w:t>2006</w:t>
            </w:r>
          </w:p>
        </w:tc>
        <w:tc>
          <w:tcPr>
            <w:tcW w:w="292" w:type="dxa"/>
          </w:tcPr>
          <w:p>
            <w:pPr>
              <w:pStyle w:val="TableParagraph"/>
              <w:spacing w:before="20"/>
              <w:ind w:left="4" w:right="4"/>
              <w:jc w:val="center"/>
              <w:rPr>
                <w:sz w:val="12"/>
              </w:rPr>
            </w:pPr>
            <w:r>
              <w:rPr>
                <w:spacing w:val="-4"/>
                <w:w w:val="70"/>
                <w:sz w:val="12"/>
              </w:rPr>
              <w:t>2008</w:t>
            </w:r>
          </w:p>
        </w:tc>
        <w:tc>
          <w:tcPr>
            <w:tcW w:w="287" w:type="dxa"/>
          </w:tcPr>
          <w:p>
            <w:pPr>
              <w:pStyle w:val="TableParagraph"/>
              <w:spacing w:before="20"/>
              <w:ind w:left="8"/>
              <w:jc w:val="center"/>
              <w:rPr>
                <w:sz w:val="12"/>
              </w:rPr>
            </w:pPr>
            <w:r>
              <w:rPr>
                <w:spacing w:val="-4"/>
                <w:w w:val="70"/>
                <w:sz w:val="12"/>
              </w:rPr>
              <w:t>2010</w:t>
            </w:r>
          </w:p>
        </w:tc>
        <w:tc>
          <w:tcPr>
            <w:tcW w:w="588" w:type="dxa"/>
          </w:tcPr>
          <w:p>
            <w:pPr>
              <w:pStyle w:val="TableParagraph"/>
              <w:spacing w:before="20"/>
              <w:ind w:right="65"/>
              <w:jc w:val="right"/>
              <w:rPr>
                <w:sz w:val="12"/>
              </w:rPr>
            </w:pPr>
            <w:r>
              <w:rPr>
                <w:w w:val="70"/>
                <w:sz w:val="12"/>
              </w:rPr>
              <w:t>2012</w:t>
            </w:r>
            <w:r>
              <w:rPr>
                <w:spacing w:val="67"/>
                <w:sz w:val="12"/>
              </w:rPr>
              <w:t> </w:t>
            </w:r>
            <w:r>
              <w:rPr>
                <w:spacing w:val="-4"/>
                <w:w w:val="70"/>
                <w:sz w:val="12"/>
              </w:rPr>
              <w:t>2014</w:t>
            </w:r>
          </w:p>
        </w:tc>
        <w:tc>
          <w:tcPr>
            <w:tcW w:w="292" w:type="dxa"/>
          </w:tcPr>
          <w:p>
            <w:pPr>
              <w:pStyle w:val="TableParagraph"/>
              <w:spacing w:before="20"/>
              <w:ind w:left="4" w:right="1"/>
              <w:jc w:val="center"/>
              <w:rPr>
                <w:sz w:val="12"/>
              </w:rPr>
            </w:pPr>
            <w:r>
              <w:rPr>
                <w:spacing w:val="-4"/>
                <w:w w:val="70"/>
                <w:sz w:val="12"/>
              </w:rPr>
              <w:t>2016</w:t>
            </w:r>
          </w:p>
        </w:tc>
        <w:tc>
          <w:tcPr>
            <w:tcW w:w="455" w:type="dxa"/>
          </w:tcPr>
          <w:p>
            <w:pPr>
              <w:pStyle w:val="TableParagraph"/>
              <w:spacing w:before="20"/>
              <w:ind w:left="72"/>
              <w:rPr>
                <w:sz w:val="12"/>
              </w:rPr>
            </w:pPr>
            <w:r>
              <w:rPr>
                <w:spacing w:val="-4"/>
                <w:w w:val="70"/>
                <w:sz w:val="12"/>
              </w:rPr>
              <w:t>2018</w:t>
            </w:r>
          </w:p>
        </w:tc>
        <w:tc>
          <w:tcPr>
            <w:tcW w:w="629" w:type="dxa"/>
          </w:tcPr>
          <w:p>
            <w:pPr>
              <w:pStyle w:val="TableParagraph"/>
              <w:spacing w:before="20"/>
              <w:ind w:right="64"/>
              <w:jc w:val="right"/>
              <w:rPr>
                <w:sz w:val="12"/>
              </w:rPr>
            </w:pPr>
            <w:r>
              <w:rPr>
                <w:spacing w:val="-4"/>
                <w:w w:val="70"/>
                <w:sz w:val="12"/>
              </w:rPr>
              <w:t>2006</w:t>
            </w:r>
          </w:p>
        </w:tc>
        <w:tc>
          <w:tcPr>
            <w:tcW w:w="292" w:type="dxa"/>
          </w:tcPr>
          <w:p>
            <w:pPr>
              <w:pStyle w:val="TableParagraph"/>
              <w:spacing w:before="20"/>
              <w:ind w:left="4"/>
              <w:jc w:val="center"/>
              <w:rPr>
                <w:sz w:val="12"/>
              </w:rPr>
            </w:pPr>
            <w:r>
              <w:rPr>
                <w:spacing w:val="-4"/>
                <w:w w:val="70"/>
                <w:sz w:val="12"/>
              </w:rPr>
              <w:t>2008</w:t>
            </w:r>
          </w:p>
        </w:tc>
        <w:tc>
          <w:tcPr>
            <w:tcW w:w="293" w:type="dxa"/>
          </w:tcPr>
          <w:p>
            <w:pPr>
              <w:pStyle w:val="TableParagraph"/>
              <w:spacing w:before="20"/>
              <w:ind w:left="12" w:right="6"/>
              <w:jc w:val="center"/>
              <w:rPr>
                <w:sz w:val="12"/>
              </w:rPr>
            </w:pPr>
            <w:r>
              <w:rPr>
                <w:spacing w:val="-4"/>
                <w:w w:val="70"/>
                <w:sz w:val="12"/>
              </w:rPr>
              <w:t>2010</w:t>
            </w:r>
          </w:p>
        </w:tc>
        <w:tc>
          <w:tcPr>
            <w:tcW w:w="583" w:type="dxa"/>
          </w:tcPr>
          <w:p>
            <w:pPr>
              <w:pStyle w:val="TableParagraph"/>
              <w:spacing w:before="20"/>
              <w:ind w:left="71"/>
              <w:rPr>
                <w:sz w:val="12"/>
              </w:rPr>
            </w:pPr>
            <w:r>
              <w:rPr>
                <w:w w:val="70"/>
                <w:sz w:val="12"/>
              </w:rPr>
              <w:t>2012</w:t>
            </w:r>
            <w:r>
              <w:rPr>
                <w:spacing w:val="68"/>
                <w:sz w:val="12"/>
              </w:rPr>
              <w:t> </w:t>
            </w:r>
            <w:r>
              <w:rPr>
                <w:spacing w:val="-4"/>
                <w:w w:val="70"/>
                <w:sz w:val="12"/>
              </w:rPr>
              <w:t>2014</w:t>
            </w:r>
          </w:p>
        </w:tc>
        <w:tc>
          <w:tcPr>
            <w:tcW w:w="293" w:type="dxa"/>
          </w:tcPr>
          <w:p>
            <w:pPr>
              <w:pStyle w:val="TableParagraph"/>
              <w:spacing w:before="20"/>
              <w:ind w:left="10" w:right="6"/>
              <w:jc w:val="center"/>
              <w:rPr>
                <w:sz w:val="12"/>
              </w:rPr>
            </w:pPr>
            <w:r>
              <w:rPr>
                <w:spacing w:val="-4"/>
                <w:w w:val="70"/>
                <w:sz w:val="12"/>
              </w:rPr>
              <w:t>2016</w:t>
            </w:r>
          </w:p>
        </w:tc>
        <w:tc>
          <w:tcPr>
            <w:tcW w:w="277" w:type="dxa"/>
          </w:tcPr>
          <w:p>
            <w:pPr>
              <w:pStyle w:val="TableParagraph"/>
              <w:spacing w:before="20"/>
              <w:ind w:left="21"/>
              <w:jc w:val="center"/>
              <w:rPr>
                <w:sz w:val="12"/>
              </w:rPr>
            </w:pPr>
            <w:r>
              <w:rPr>
                <w:spacing w:val="-4"/>
                <w:w w:val="70"/>
                <w:sz w:val="12"/>
              </w:rPr>
              <w:t>2018</w:t>
            </w:r>
          </w:p>
        </w:tc>
        <w:tc>
          <w:tcPr>
            <w:tcW w:w="1100" w:type="dxa"/>
          </w:tcPr>
          <w:p>
            <w:pPr>
              <w:pStyle w:val="TableParagraph"/>
              <w:spacing w:before="20"/>
              <w:ind w:right="66"/>
              <w:jc w:val="right"/>
              <w:rPr>
                <w:sz w:val="12"/>
              </w:rPr>
            </w:pPr>
            <w:r>
              <w:rPr>
                <w:w w:val="70"/>
                <w:sz w:val="12"/>
              </w:rPr>
              <w:t>2006</w:t>
            </w:r>
            <w:r>
              <w:rPr>
                <w:spacing w:val="68"/>
                <w:sz w:val="12"/>
              </w:rPr>
              <w:t> </w:t>
            </w:r>
            <w:r>
              <w:rPr>
                <w:spacing w:val="-4"/>
                <w:w w:val="70"/>
                <w:sz w:val="12"/>
              </w:rPr>
              <w:t>2008</w:t>
            </w:r>
          </w:p>
        </w:tc>
        <w:tc>
          <w:tcPr>
            <w:tcW w:w="293" w:type="dxa"/>
          </w:tcPr>
          <w:p>
            <w:pPr>
              <w:pStyle w:val="TableParagraph"/>
              <w:spacing w:before="20"/>
              <w:ind w:left="10" w:right="6"/>
              <w:jc w:val="center"/>
              <w:rPr>
                <w:sz w:val="12"/>
              </w:rPr>
            </w:pPr>
            <w:r>
              <w:rPr>
                <w:spacing w:val="-4"/>
                <w:w w:val="70"/>
                <w:sz w:val="12"/>
              </w:rPr>
              <w:t>2010</w:t>
            </w:r>
          </w:p>
        </w:tc>
        <w:tc>
          <w:tcPr>
            <w:tcW w:w="584" w:type="dxa"/>
          </w:tcPr>
          <w:p>
            <w:pPr>
              <w:pStyle w:val="TableParagraph"/>
              <w:spacing w:before="20"/>
              <w:ind w:left="1"/>
              <w:jc w:val="center"/>
              <w:rPr>
                <w:sz w:val="12"/>
              </w:rPr>
            </w:pPr>
            <w:r>
              <w:rPr>
                <w:w w:val="70"/>
                <w:sz w:val="12"/>
              </w:rPr>
              <w:t>2012</w:t>
            </w:r>
            <w:r>
              <w:rPr>
                <w:spacing w:val="68"/>
                <w:sz w:val="12"/>
              </w:rPr>
              <w:t> </w:t>
            </w:r>
            <w:r>
              <w:rPr>
                <w:spacing w:val="-4"/>
                <w:w w:val="70"/>
                <w:sz w:val="12"/>
              </w:rPr>
              <w:t>2014</w:t>
            </w:r>
          </w:p>
        </w:tc>
        <w:tc>
          <w:tcPr>
            <w:tcW w:w="293" w:type="dxa"/>
          </w:tcPr>
          <w:p>
            <w:pPr>
              <w:pStyle w:val="TableParagraph"/>
              <w:spacing w:before="20"/>
              <w:ind w:left="6" w:right="6"/>
              <w:jc w:val="center"/>
              <w:rPr>
                <w:sz w:val="12"/>
              </w:rPr>
            </w:pPr>
            <w:r>
              <w:rPr>
                <w:spacing w:val="-4"/>
                <w:w w:val="70"/>
                <w:sz w:val="12"/>
              </w:rPr>
              <w:t>2016</w:t>
            </w:r>
          </w:p>
        </w:tc>
        <w:tc>
          <w:tcPr>
            <w:tcW w:w="477" w:type="dxa"/>
          </w:tcPr>
          <w:p>
            <w:pPr>
              <w:pStyle w:val="TableParagraph"/>
              <w:spacing w:before="20"/>
              <w:ind w:left="70"/>
              <w:rPr>
                <w:sz w:val="12"/>
              </w:rPr>
            </w:pPr>
            <w:r>
              <w:rPr>
                <w:spacing w:val="-4"/>
                <w:w w:val="70"/>
                <w:sz w:val="12"/>
              </w:rPr>
              <w:t>2018</w:t>
            </w:r>
          </w:p>
        </w:tc>
        <w:tc>
          <w:tcPr>
            <w:tcW w:w="606" w:type="dxa"/>
          </w:tcPr>
          <w:p>
            <w:pPr>
              <w:pStyle w:val="TableParagraph"/>
              <w:spacing w:before="20"/>
              <w:ind w:right="68"/>
              <w:jc w:val="right"/>
              <w:rPr>
                <w:sz w:val="12"/>
              </w:rPr>
            </w:pPr>
            <w:r>
              <w:rPr>
                <w:spacing w:val="-4"/>
                <w:w w:val="70"/>
                <w:sz w:val="12"/>
              </w:rPr>
              <w:t>2006</w:t>
            </w:r>
          </w:p>
        </w:tc>
        <w:tc>
          <w:tcPr>
            <w:tcW w:w="294" w:type="dxa"/>
          </w:tcPr>
          <w:p>
            <w:pPr>
              <w:pStyle w:val="TableParagraph"/>
              <w:spacing w:before="20"/>
              <w:ind w:right="2"/>
              <w:jc w:val="center"/>
              <w:rPr>
                <w:sz w:val="12"/>
              </w:rPr>
            </w:pPr>
            <w:r>
              <w:rPr>
                <w:spacing w:val="-4"/>
                <w:w w:val="70"/>
                <w:sz w:val="12"/>
              </w:rPr>
              <w:t>2008</w:t>
            </w:r>
          </w:p>
        </w:tc>
        <w:tc>
          <w:tcPr>
            <w:tcW w:w="877" w:type="dxa"/>
          </w:tcPr>
          <w:p>
            <w:pPr>
              <w:pStyle w:val="TableParagraph"/>
              <w:spacing w:before="20"/>
              <w:ind w:right="70"/>
              <w:jc w:val="right"/>
              <w:rPr>
                <w:sz w:val="12"/>
              </w:rPr>
            </w:pPr>
            <w:r>
              <w:rPr>
                <w:w w:val="70"/>
                <w:sz w:val="12"/>
              </w:rPr>
              <w:t>2010</w:t>
            </w:r>
            <w:r>
              <w:rPr>
                <w:spacing w:val="68"/>
                <w:sz w:val="12"/>
              </w:rPr>
              <w:t> </w:t>
            </w:r>
            <w:r>
              <w:rPr>
                <w:w w:val="70"/>
                <w:sz w:val="12"/>
              </w:rPr>
              <w:t>2012</w:t>
            </w:r>
            <w:r>
              <w:rPr>
                <w:spacing w:val="68"/>
                <w:sz w:val="12"/>
              </w:rPr>
              <w:t> </w:t>
            </w:r>
            <w:r>
              <w:rPr>
                <w:spacing w:val="-4"/>
                <w:w w:val="70"/>
                <w:sz w:val="12"/>
              </w:rPr>
              <w:t>2014</w:t>
            </w:r>
          </w:p>
        </w:tc>
        <w:tc>
          <w:tcPr>
            <w:tcW w:w="293" w:type="dxa"/>
          </w:tcPr>
          <w:p>
            <w:pPr>
              <w:pStyle w:val="TableParagraph"/>
              <w:spacing w:before="20"/>
              <w:ind w:left="6" w:right="12"/>
              <w:jc w:val="center"/>
              <w:rPr>
                <w:sz w:val="12"/>
              </w:rPr>
            </w:pPr>
            <w:r>
              <w:rPr>
                <w:spacing w:val="-4"/>
                <w:w w:val="70"/>
                <w:sz w:val="12"/>
              </w:rPr>
              <w:t>2016</w:t>
            </w:r>
          </w:p>
        </w:tc>
        <w:tc>
          <w:tcPr>
            <w:tcW w:w="245" w:type="dxa"/>
          </w:tcPr>
          <w:p>
            <w:pPr>
              <w:pStyle w:val="TableParagraph"/>
              <w:spacing w:before="20"/>
              <w:ind w:left="40"/>
              <w:jc w:val="center"/>
              <w:rPr>
                <w:sz w:val="12"/>
              </w:rPr>
            </w:pPr>
            <w:r>
              <w:rPr>
                <w:spacing w:val="-4"/>
                <w:w w:val="70"/>
                <w:sz w:val="12"/>
              </w:rPr>
              <w:t>2018</w:t>
            </w:r>
          </w:p>
        </w:tc>
      </w:tr>
      <w:tr>
        <w:trPr>
          <w:trHeight w:val="379" w:hRule="atLeast"/>
        </w:trPr>
        <w:tc>
          <w:tcPr>
            <w:tcW w:w="447" w:type="dxa"/>
          </w:tcPr>
          <w:p>
            <w:pPr>
              <w:pStyle w:val="TableParagraph"/>
              <w:rPr>
                <w:rFonts w:ascii="Times New Roman"/>
                <w:sz w:val="8"/>
              </w:rPr>
            </w:pP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spacing w:before="154"/>
              <w:ind w:left="97"/>
              <w:rPr>
                <w:sz w:val="15"/>
              </w:rPr>
            </w:pPr>
            <w:r>
              <w:rPr>
                <w:spacing w:val="-2"/>
                <w:w w:val="70"/>
                <w:sz w:val="15"/>
              </w:rPr>
              <w:t>FSIZE</w:t>
            </w: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rPr>
                <w:rFonts w:ascii="Times New Roman"/>
                <w:sz w:val="8"/>
              </w:rPr>
            </w:pP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spacing w:before="154"/>
              <w:ind w:left="122"/>
              <w:rPr>
                <w:sz w:val="15"/>
              </w:rPr>
            </w:pPr>
            <w:r>
              <w:rPr>
                <w:spacing w:val="-4"/>
                <w:w w:val="70"/>
                <w:sz w:val="15"/>
              </w:rPr>
              <w:t>IFRS</w:t>
            </w: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val="restart"/>
          </w:tcPr>
          <w:p>
            <w:pPr>
              <w:pStyle w:val="TableParagraph"/>
              <w:rPr>
                <w:rFonts w:ascii="Times New Roman"/>
                <w:sz w:val="8"/>
              </w:rPr>
            </w:pPr>
          </w:p>
        </w:tc>
      </w:tr>
      <w:tr>
        <w:trPr>
          <w:trHeight w:val="320" w:hRule="atLeast"/>
        </w:trPr>
        <w:tc>
          <w:tcPr>
            <w:tcW w:w="447" w:type="dxa"/>
          </w:tcPr>
          <w:p>
            <w:pPr>
              <w:pStyle w:val="TableParagraph"/>
              <w:spacing w:before="52"/>
              <w:ind w:left="21"/>
              <w:rPr>
                <w:sz w:val="12"/>
              </w:rPr>
            </w:pPr>
            <w:r>
              <w:rPr>
                <w:spacing w:val="-4"/>
                <w:w w:val="70"/>
                <w:sz w:val="12"/>
              </w:rPr>
              <w:t>10.0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52"/>
              <w:ind w:left="249"/>
              <w:rPr>
                <w:sz w:val="12"/>
              </w:rPr>
            </w:pPr>
            <w:r>
              <w:rPr>
                <w:spacing w:val="-5"/>
                <w:w w:val="70"/>
                <w:sz w:val="12"/>
              </w:rPr>
              <w:t>1.0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397" w:hRule="atLeast"/>
        </w:trPr>
        <w:tc>
          <w:tcPr>
            <w:tcW w:w="447" w:type="dxa"/>
          </w:tcPr>
          <w:p>
            <w:pPr>
              <w:pStyle w:val="TableParagraph"/>
              <w:spacing w:before="128"/>
              <w:ind w:left="66"/>
              <w:rPr>
                <w:sz w:val="12"/>
              </w:rPr>
            </w:pPr>
            <w:r>
              <w:rPr>
                <w:spacing w:val="-5"/>
                <w:w w:val="70"/>
                <w:sz w:val="12"/>
              </w:rPr>
              <w:t>9.5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8"/>
              <w:ind w:left="249"/>
              <w:rPr>
                <w:sz w:val="12"/>
              </w:rPr>
            </w:pPr>
            <w:r>
              <w:rPr>
                <w:spacing w:val="-5"/>
                <w:w w:val="70"/>
                <w:sz w:val="12"/>
              </w:rPr>
              <w:t>0.8</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398" w:hRule="atLeast"/>
        </w:trPr>
        <w:tc>
          <w:tcPr>
            <w:tcW w:w="447" w:type="dxa"/>
          </w:tcPr>
          <w:p>
            <w:pPr>
              <w:pStyle w:val="TableParagraph"/>
              <w:spacing w:before="129"/>
              <w:ind w:left="66"/>
              <w:rPr>
                <w:sz w:val="12"/>
              </w:rPr>
            </w:pPr>
            <w:r>
              <w:rPr>
                <w:spacing w:val="-5"/>
                <w:w w:val="70"/>
                <w:sz w:val="12"/>
              </w:rPr>
              <w:t>9.0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49"/>
              <w:rPr>
                <w:sz w:val="12"/>
              </w:rPr>
            </w:pPr>
            <w:r>
              <w:rPr>
                <w:spacing w:val="-5"/>
                <w:w w:val="70"/>
                <w:sz w:val="12"/>
              </w:rPr>
              <w:t>0.6</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398" w:hRule="atLeast"/>
        </w:trPr>
        <w:tc>
          <w:tcPr>
            <w:tcW w:w="447" w:type="dxa"/>
          </w:tcPr>
          <w:p>
            <w:pPr>
              <w:pStyle w:val="TableParagraph"/>
              <w:spacing w:before="129"/>
              <w:ind w:left="66"/>
              <w:rPr>
                <w:sz w:val="12"/>
              </w:rPr>
            </w:pPr>
            <w:r>
              <w:rPr>
                <w:spacing w:val="-5"/>
                <w:w w:val="70"/>
                <w:sz w:val="12"/>
              </w:rPr>
              <w:t>8.5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49"/>
              <w:rPr>
                <w:sz w:val="12"/>
              </w:rPr>
            </w:pPr>
            <w:r>
              <w:rPr>
                <w:spacing w:val="-5"/>
                <w:w w:val="70"/>
                <w:sz w:val="12"/>
              </w:rPr>
              <w:t>0.4</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398" w:hRule="atLeast"/>
        </w:trPr>
        <w:tc>
          <w:tcPr>
            <w:tcW w:w="447" w:type="dxa"/>
          </w:tcPr>
          <w:p>
            <w:pPr>
              <w:pStyle w:val="TableParagraph"/>
              <w:spacing w:before="129"/>
              <w:ind w:left="66"/>
              <w:rPr>
                <w:sz w:val="12"/>
              </w:rPr>
            </w:pPr>
            <w:r>
              <w:rPr>
                <w:spacing w:val="-5"/>
                <w:w w:val="70"/>
                <w:sz w:val="12"/>
              </w:rPr>
              <w:t>8.0</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49"/>
              <w:rPr>
                <w:sz w:val="12"/>
              </w:rPr>
            </w:pPr>
            <w:r>
              <w:rPr>
                <w:spacing w:val="-5"/>
                <w:w w:val="70"/>
                <w:sz w:val="12"/>
              </w:rPr>
              <w:t>0.2</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290" w:hRule="atLeast"/>
        </w:trPr>
        <w:tc>
          <w:tcPr>
            <w:tcW w:w="447" w:type="dxa"/>
          </w:tcPr>
          <w:p>
            <w:pPr>
              <w:pStyle w:val="TableParagraph"/>
              <w:spacing w:before="129"/>
              <w:ind w:left="66"/>
              <w:rPr>
                <w:sz w:val="12"/>
              </w:rPr>
            </w:pPr>
            <w:r>
              <w:rPr>
                <w:spacing w:val="-5"/>
                <w:w w:val="70"/>
                <w:sz w:val="12"/>
              </w:rPr>
              <w:t>7.5</w:t>
            </w: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spacing w:before="129"/>
              <w:ind w:left="249"/>
              <w:rPr>
                <w:sz w:val="12"/>
              </w:rPr>
            </w:pPr>
            <w:r>
              <w:rPr>
                <w:spacing w:val="-5"/>
                <w:w w:val="70"/>
                <w:sz w:val="12"/>
              </w:rPr>
              <w:t>0.0</w:t>
            </w: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305" w:hRule="atLeast"/>
        </w:trPr>
        <w:tc>
          <w:tcPr>
            <w:tcW w:w="447" w:type="dxa"/>
          </w:tcPr>
          <w:p>
            <w:pPr>
              <w:pStyle w:val="TableParagraph"/>
              <w:spacing w:before="20"/>
              <w:ind w:right="68"/>
              <w:jc w:val="right"/>
              <w:rPr>
                <w:sz w:val="12"/>
              </w:rPr>
            </w:pPr>
            <w:r>
              <w:rPr>
                <w:spacing w:val="-4"/>
                <w:w w:val="70"/>
                <w:sz w:val="12"/>
              </w:rPr>
              <w:t>2006</w:t>
            </w:r>
          </w:p>
        </w:tc>
        <w:tc>
          <w:tcPr>
            <w:tcW w:w="292" w:type="dxa"/>
          </w:tcPr>
          <w:p>
            <w:pPr>
              <w:pStyle w:val="TableParagraph"/>
              <w:spacing w:before="20"/>
              <w:ind w:left="4" w:right="4"/>
              <w:jc w:val="center"/>
              <w:rPr>
                <w:sz w:val="12"/>
              </w:rPr>
            </w:pPr>
            <w:r>
              <w:rPr>
                <w:spacing w:val="-4"/>
                <w:w w:val="70"/>
                <w:sz w:val="12"/>
              </w:rPr>
              <w:t>2008</w:t>
            </w:r>
          </w:p>
        </w:tc>
        <w:tc>
          <w:tcPr>
            <w:tcW w:w="287" w:type="dxa"/>
          </w:tcPr>
          <w:p>
            <w:pPr>
              <w:pStyle w:val="TableParagraph"/>
              <w:spacing w:before="20"/>
              <w:ind w:left="8"/>
              <w:jc w:val="center"/>
              <w:rPr>
                <w:sz w:val="12"/>
              </w:rPr>
            </w:pPr>
            <w:r>
              <w:rPr>
                <w:spacing w:val="-4"/>
                <w:w w:val="70"/>
                <w:sz w:val="12"/>
              </w:rPr>
              <w:t>2010</w:t>
            </w:r>
          </w:p>
        </w:tc>
        <w:tc>
          <w:tcPr>
            <w:tcW w:w="588" w:type="dxa"/>
          </w:tcPr>
          <w:p>
            <w:pPr>
              <w:pStyle w:val="TableParagraph"/>
              <w:spacing w:before="20"/>
              <w:ind w:right="65"/>
              <w:jc w:val="right"/>
              <w:rPr>
                <w:sz w:val="12"/>
              </w:rPr>
            </w:pPr>
            <w:r>
              <w:rPr>
                <w:w w:val="70"/>
                <w:sz w:val="12"/>
              </w:rPr>
              <w:t>2012</w:t>
            </w:r>
            <w:r>
              <w:rPr>
                <w:spacing w:val="67"/>
                <w:sz w:val="12"/>
              </w:rPr>
              <w:t> </w:t>
            </w:r>
            <w:r>
              <w:rPr>
                <w:spacing w:val="-4"/>
                <w:w w:val="70"/>
                <w:sz w:val="12"/>
              </w:rPr>
              <w:t>2014</w:t>
            </w:r>
          </w:p>
        </w:tc>
        <w:tc>
          <w:tcPr>
            <w:tcW w:w="292" w:type="dxa"/>
          </w:tcPr>
          <w:p>
            <w:pPr>
              <w:pStyle w:val="TableParagraph"/>
              <w:spacing w:before="20"/>
              <w:ind w:left="4" w:right="1"/>
              <w:jc w:val="center"/>
              <w:rPr>
                <w:sz w:val="12"/>
              </w:rPr>
            </w:pPr>
            <w:r>
              <w:rPr>
                <w:spacing w:val="-4"/>
                <w:w w:val="70"/>
                <w:sz w:val="12"/>
              </w:rPr>
              <w:t>2016</w:t>
            </w:r>
          </w:p>
        </w:tc>
        <w:tc>
          <w:tcPr>
            <w:tcW w:w="455" w:type="dxa"/>
          </w:tcPr>
          <w:p>
            <w:pPr>
              <w:pStyle w:val="TableParagraph"/>
              <w:spacing w:before="20"/>
              <w:ind w:left="72"/>
              <w:rPr>
                <w:sz w:val="12"/>
              </w:rPr>
            </w:pPr>
            <w:r>
              <w:rPr>
                <w:spacing w:val="-4"/>
                <w:w w:val="70"/>
                <w:sz w:val="12"/>
              </w:rPr>
              <w:t>2018</w:t>
            </w:r>
          </w:p>
        </w:tc>
        <w:tc>
          <w:tcPr>
            <w:tcW w:w="629" w:type="dxa"/>
          </w:tcPr>
          <w:p>
            <w:pPr>
              <w:pStyle w:val="TableParagraph"/>
              <w:spacing w:before="20"/>
              <w:ind w:right="64"/>
              <w:jc w:val="right"/>
              <w:rPr>
                <w:sz w:val="12"/>
              </w:rPr>
            </w:pPr>
            <w:r>
              <w:rPr>
                <w:spacing w:val="-4"/>
                <w:w w:val="70"/>
                <w:sz w:val="12"/>
              </w:rPr>
              <w:t>2006</w:t>
            </w:r>
          </w:p>
        </w:tc>
        <w:tc>
          <w:tcPr>
            <w:tcW w:w="292" w:type="dxa"/>
          </w:tcPr>
          <w:p>
            <w:pPr>
              <w:pStyle w:val="TableParagraph"/>
              <w:spacing w:before="20"/>
              <w:ind w:left="4"/>
              <w:jc w:val="center"/>
              <w:rPr>
                <w:sz w:val="12"/>
              </w:rPr>
            </w:pPr>
            <w:r>
              <w:rPr>
                <w:spacing w:val="-4"/>
                <w:w w:val="70"/>
                <w:sz w:val="12"/>
              </w:rPr>
              <w:t>2008</w:t>
            </w:r>
          </w:p>
        </w:tc>
        <w:tc>
          <w:tcPr>
            <w:tcW w:w="293" w:type="dxa"/>
          </w:tcPr>
          <w:p>
            <w:pPr>
              <w:pStyle w:val="TableParagraph"/>
              <w:spacing w:before="20"/>
              <w:ind w:left="12" w:right="6"/>
              <w:jc w:val="center"/>
              <w:rPr>
                <w:sz w:val="12"/>
              </w:rPr>
            </w:pPr>
            <w:r>
              <w:rPr>
                <w:spacing w:val="-4"/>
                <w:w w:val="70"/>
                <w:sz w:val="12"/>
              </w:rPr>
              <w:t>2010</w:t>
            </w:r>
          </w:p>
        </w:tc>
        <w:tc>
          <w:tcPr>
            <w:tcW w:w="583" w:type="dxa"/>
          </w:tcPr>
          <w:p>
            <w:pPr>
              <w:pStyle w:val="TableParagraph"/>
              <w:spacing w:before="20"/>
              <w:ind w:left="71"/>
              <w:rPr>
                <w:sz w:val="12"/>
              </w:rPr>
            </w:pPr>
            <w:r>
              <w:rPr>
                <w:w w:val="70"/>
                <w:sz w:val="12"/>
              </w:rPr>
              <w:t>2012</w:t>
            </w:r>
            <w:r>
              <w:rPr>
                <w:spacing w:val="68"/>
                <w:sz w:val="12"/>
              </w:rPr>
              <w:t> </w:t>
            </w:r>
            <w:r>
              <w:rPr>
                <w:spacing w:val="-4"/>
                <w:w w:val="70"/>
                <w:sz w:val="12"/>
              </w:rPr>
              <w:t>2014</w:t>
            </w:r>
          </w:p>
        </w:tc>
        <w:tc>
          <w:tcPr>
            <w:tcW w:w="293" w:type="dxa"/>
          </w:tcPr>
          <w:p>
            <w:pPr>
              <w:pStyle w:val="TableParagraph"/>
              <w:spacing w:before="20"/>
              <w:ind w:left="10" w:right="6"/>
              <w:jc w:val="center"/>
              <w:rPr>
                <w:sz w:val="12"/>
              </w:rPr>
            </w:pPr>
            <w:r>
              <w:rPr>
                <w:spacing w:val="-4"/>
                <w:w w:val="70"/>
                <w:sz w:val="12"/>
              </w:rPr>
              <w:t>2016</w:t>
            </w:r>
          </w:p>
        </w:tc>
        <w:tc>
          <w:tcPr>
            <w:tcW w:w="277" w:type="dxa"/>
          </w:tcPr>
          <w:p>
            <w:pPr>
              <w:pStyle w:val="TableParagraph"/>
              <w:spacing w:before="20"/>
              <w:ind w:left="21"/>
              <w:jc w:val="center"/>
              <w:rPr>
                <w:sz w:val="12"/>
              </w:rPr>
            </w:pPr>
            <w:r>
              <w:rPr>
                <w:spacing w:val="-4"/>
                <w:w w:val="70"/>
                <w:sz w:val="12"/>
              </w:rPr>
              <w:t>2018</w:t>
            </w:r>
          </w:p>
        </w:tc>
        <w:tc>
          <w:tcPr>
            <w:tcW w:w="1100" w:type="dxa"/>
          </w:tcPr>
          <w:p>
            <w:pPr>
              <w:pStyle w:val="TableParagraph"/>
              <w:rPr>
                <w:rFonts w:ascii="Times New Roman"/>
                <w:sz w:val="8"/>
              </w:rPr>
            </w:pPr>
          </w:p>
        </w:tc>
        <w:tc>
          <w:tcPr>
            <w:tcW w:w="3962" w:type="dxa"/>
            <w:gridSpan w:val="9"/>
            <w:vMerge/>
            <w:tcBorders>
              <w:top w:val="nil"/>
            </w:tcBorders>
          </w:tcPr>
          <w:p>
            <w:pPr>
              <w:rPr>
                <w:sz w:val="2"/>
                <w:szCs w:val="2"/>
              </w:rPr>
            </w:pPr>
          </w:p>
        </w:tc>
      </w:tr>
      <w:tr>
        <w:trPr>
          <w:trHeight w:val="283" w:hRule="atLeast"/>
        </w:trPr>
        <w:tc>
          <w:tcPr>
            <w:tcW w:w="447" w:type="dxa"/>
          </w:tcPr>
          <w:p>
            <w:pPr>
              <w:pStyle w:val="TableParagraph"/>
              <w:rPr>
                <w:rFonts w:ascii="Times New Roman"/>
                <w:sz w:val="8"/>
              </w:rPr>
            </w:pPr>
          </w:p>
        </w:tc>
        <w:tc>
          <w:tcPr>
            <w:tcW w:w="292" w:type="dxa"/>
          </w:tcPr>
          <w:p>
            <w:pPr>
              <w:pStyle w:val="TableParagraph"/>
              <w:rPr>
                <w:rFonts w:ascii="Times New Roman"/>
                <w:sz w:val="8"/>
              </w:rPr>
            </w:pPr>
          </w:p>
        </w:tc>
        <w:tc>
          <w:tcPr>
            <w:tcW w:w="287" w:type="dxa"/>
          </w:tcPr>
          <w:p>
            <w:pPr>
              <w:pStyle w:val="TableParagraph"/>
              <w:rPr>
                <w:rFonts w:ascii="Times New Roman"/>
                <w:sz w:val="8"/>
              </w:rPr>
            </w:pPr>
          </w:p>
        </w:tc>
        <w:tc>
          <w:tcPr>
            <w:tcW w:w="588" w:type="dxa"/>
          </w:tcPr>
          <w:p>
            <w:pPr>
              <w:pStyle w:val="TableParagraph"/>
              <w:rPr>
                <w:rFonts w:ascii="Times New Roman"/>
                <w:sz w:val="8"/>
              </w:rPr>
            </w:pPr>
          </w:p>
        </w:tc>
        <w:tc>
          <w:tcPr>
            <w:tcW w:w="292" w:type="dxa"/>
          </w:tcPr>
          <w:p>
            <w:pPr>
              <w:pStyle w:val="TableParagraph"/>
              <w:rPr>
                <w:rFonts w:ascii="Times New Roman"/>
                <w:sz w:val="8"/>
              </w:rPr>
            </w:pPr>
          </w:p>
        </w:tc>
        <w:tc>
          <w:tcPr>
            <w:tcW w:w="455" w:type="dxa"/>
          </w:tcPr>
          <w:p>
            <w:pPr>
              <w:pStyle w:val="TableParagraph"/>
              <w:rPr>
                <w:rFonts w:ascii="Times New Roman"/>
                <w:sz w:val="8"/>
              </w:rPr>
            </w:pPr>
          </w:p>
        </w:tc>
        <w:tc>
          <w:tcPr>
            <w:tcW w:w="629" w:type="dxa"/>
          </w:tcPr>
          <w:p>
            <w:pPr>
              <w:pStyle w:val="TableParagraph"/>
              <w:rPr>
                <w:rFonts w:ascii="Times New Roman"/>
                <w:sz w:val="8"/>
              </w:rPr>
            </w:pPr>
          </w:p>
        </w:tc>
        <w:tc>
          <w:tcPr>
            <w:tcW w:w="292" w:type="dxa"/>
          </w:tcPr>
          <w:p>
            <w:pPr>
              <w:pStyle w:val="TableParagraph"/>
              <w:rPr>
                <w:rFonts w:ascii="Times New Roman"/>
                <w:sz w:val="8"/>
              </w:rPr>
            </w:pPr>
          </w:p>
        </w:tc>
        <w:tc>
          <w:tcPr>
            <w:tcW w:w="293" w:type="dxa"/>
          </w:tcPr>
          <w:p>
            <w:pPr>
              <w:pStyle w:val="TableParagraph"/>
              <w:rPr>
                <w:rFonts w:ascii="Times New Roman"/>
                <w:sz w:val="8"/>
              </w:rPr>
            </w:pPr>
          </w:p>
        </w:tc>
        <w:tc>
          <w:tcPr>
            <w:tcW w:w="583" w:type="dxa"/>
          </w:tcPr>
          <w:p>
            <w:pPr>
              <w:pStyle w:val="TableParagraph"/>
              <w:rPr>
                <w:rFonts w:ascii="Times New Roman"/>
                <w:sz w:val="8"/>
              </w:rPr>
            </w:pPr>
          </w:p>
        </w:tc>
        <w:tc>
          <w:tcPr>
            <w:tcW w:w="293" w:type="dxa"/>
          </w:tcPr>
          <w:p>
            <w:pPr>
              <w:pStyle w:val="TableParagraph"/>
              <w:rPr>
                <w:rFonts w:ascii="Times New Roman"/>
                <w:sz w:val="8"/>
              </w:rPr>
            </w:pPr>
          </w:p>
        </w:tc>
        <w:tc>
          <w:tcPr>
            <w:tcW w:w="277" w:type="dxa"/>
          </w:tcPr>
          <w:p>
            <w:pPr>
              <w:pStyle w:val="TableParagraph"/>
              <w:rPr>
                <w:rFonts w:ascii="Times New Roman"/>
                <w:sz w:val="8"/>
              </w:rPr>
            </w:pPr>
          </w:p>
        </w:tc>
        <w:tc>
          <w:tcPr>
            <w:tcW w:w="1100" w:type="dxa"/>
          </w:tcPr>
          <w:p>
            <w:pPr>
              <w:pStyle w:val="TableParagraph"/>
              <w:spacing w:before="7"/>
              <w:rPr>
                <w:rFonts w:ascii="Times New Roman"/>
                <w:b/>
                <w:sz w:val="12"/>
              </w:rPr>
            </w:pPr>
          </w:p>
          <w:p>
            <w:pPr>
              <w:pStyle w:val="TableParagraph"/>
              <w:tabs>
                <w:tab w:pos="480" w:val="left" w:leader="none"/>
              </w:tabs>
              <w:spacing w:line="119" w:lineRule="exact"/>
              <w:ind w:left="55"/>
              <w:rPr>
                <w:sz w:val="12"/>
              </w:rPr>
            </w:pPr>
            <w:r>
              <w:rPr>
                <w:spacing w:val="-4"/>
                <w:w w:val="70"/>
                <w:sz w:val="12"/>
              </w:rPr>
              <w:t>Mean</w:t>
            </w:r>
            <w:r>
              <w:rPr>
                <w:sz w:val="12"/>
              </w:rPr>
              <w:tab/>
            </w:r>
            <w:r>
              <w:rPr>
                <w:w w:val="60"/>
                <w:sz w:val="12"/>
              </w:rPr>
              <w:t>+/-</w:t>
            </w:r>
            <w:r>
              <w:rPr>
                <w:spacing w:val="-9"/>
                <w:sz w:val="12"/>
              </w:rPr>
              <w:t> </w:t>
            </w:r>
            <w:r>
              <w:rPr>
                <w:w w:val="60"/>
                <w:sz w:val="12"/>
              </w:rPr>
              <w:t>1</w:t>
            </w:r>
            <w:r>
              <w:rPr>
                <w:spacing w:val="-1"/>
                <w:w w:val="60"/>
                <w:sz w:val="12"/>
              </w:rPr>
              <w:t> </w:t>
            </w:r>
            <w:r>
              <w:rPr>
                <w:spacing w:val="-4"/>
                <w:w w:val="60"/>
                <w:sz w:val="12"/>
              </w:rPr>
              <w:t>S.D.</w:t>
            </w:r>
          </w:p>
        </w:tc>
        <w:tc>
          <w:tcPr>
            <w:tcW w:w="3962" w:type="dxa"/>
            <w:gridSpan w:val="9"/>
            <w:vMerge/>
            <w:tcBorders>
              <w:top w:val="nil"/>
            </w:tcBorders>
          </w:tcPr>
          <w:p>
            <w:pPr>
              <w:rPr>
                <w:sz w:val="2"/>
                <w:szCs w:val="2"/>
              </w:rPr>
            </w:pPr>
          </w:p>
        </w:tc>
      </w:tr>
    </w:tbl>
    <w:p>
      <w:pPr>
        <w:spacing w:after="0"/>
        <w:rPr>
          <w:sz w:val="2"/>
          <w:szCs w:val="2"/>
        </w:rPr>
        <w:sectPr>
          <w:pgSz w:w="11910" w:h="16840"/>
          <w:pgMar w:header="0" w:footer="971" w:top="1360" w:bottom="1160" w:left="500" w:right="0"/>
        </w:sectPr>
      </w:pPr>
    </w:p>
    <w:p>
      <w:pPr>
        <w:spacing w:before="61"/>
        <w:ind w:left="940" w:right="0" w:firstLine="0"/>
        <w:jc w:val="left"/>
        <w:rPr>
          <w:b/>
          <w:sz w:val="24"/>
        </w:rPr>
      </w:pPr>
      <w:r>
        <w:rPr/>
        <w:drawing>
          <wp:anchor distT="0" distB="0" distL="0" distR="0" allowOverlap="1" layoutInCell="1" locked="0" behindDoc="1" simplePos="0" relativeHeight="477777920">
            <wp:simplePos x="0" y="0"/>
            <wp:positionH relativeFrom="page">
              <wp:posOffset>1095451</wp:posOffset>
            </wp:positionH>
            <wp:positionV relativeFrom="page">
              <wp:posOffset>2726054</wp:posOffset>
            </wp:positionV>
            <wp:extent cx="5106847" cy="5238115"/>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5" cstate="print"/>
                    <a:stretch>
                      <a:fillRect/>
                    </a:stretch>
                  </pic:blipFill>
                  <pic:spPr>
                    <a:xfrm>
                      <a:off x="0" y="0"/>
                      <a:ext cx="5106847" cy="5238115"/>
                    </a:xfrm>
                    <a:prstGeom prst="rect">
                      <a:avLst/>
                    </a:prstGeom>
                  </pic:spPr>
                </pic:pic>
              </a:graphicData>
            </a:graphic>
          </wp:anchor>
        </w:drawing>
      </w:r>
      <w:r>
        <w:rPr>
          <w:b/>
          <w:sz w:val="24"/>
        </w:rPr>
        <w:t>Appendix</w:t>
      </w:r>
      <w:r>
        <w:rPr>
          <w:b/>
          <w:spacing w:val="-1"/>
          <w:sz w:val="24"/>
        </w:rPr>
        <w:t> </w:t>
      </w:r>
      <w:r>
        <w:rPr>
          <w:b/>
          <w:sz w:val="24"/>
        </w:rPr>
        <w:t>2:</w:t>
      </w:r>
      <w:r>
        <w:rPr>
          <w:b/>
          <w:spacing w:val="-1"/>
          <w:sz w:val="24"/>
        </w:rPr>
        <w:t> </w:t>
      </w:r>
      <w:r>
        <w:rPr>
          <w:b/>
          <w:sz w:val="24"/>
        </w:rPr>
        <w:t>Table</w:t>
      </w:r>
      <w:r>
        <w:rPr>
          <w:b/>
          <w:spacing w:val="-1"/>
          <w:sz w:val="24"/>
        </w:rPr>
        <w:t> </w:t>
      </w:r>
      <w:r>
        <w:rPr>
          <w:b/>
          <w:sz w:val="24"/>
        </w:rPr>
        <w:t>4.3</w:t>
      </w:r>
      <w:r>
        <w:rPr>
          <w:b/>
          <w:spacing w:val="-1"/>
          <w:sz w:val="24"/>
        </w:rPr>
        <w:t> </w:t>
      </w:r>
      <w:r>
        <w:rPr>
          <w:b/>
          <w:sz w:val="24"/>
        </w:rPr>
        <w:t>Variance</w:t>
      </w:r>
      <w:r>
        <w:rPr>
          <w:b/>
          <w:spacing w:val="-2"/>
          <w:sz w:val="24"/>
        </w:rPr>
        <w:t> </w:t>
      </w:r>
      <w:r>
        <w:rPr>
          <w:b/>
          <w:sz w:val="24"/>
        </w:rPr>
        <w:t>Inflation Factor</w:t>
      </w:r>
      <w:r>
        <w:rPr>
          <w:b/>
          <w:spacing w:val="-1"/>
          <w:sz w:val="24"/>
        </w:rPr>
        <w:t> </w:t>
      </w:r>
      <w:r>
        <w:rPr>
          <w:b/>
          <w:spacing w:val="-4"/>
          <w:sz w:val="24"/>
        </w:rPr>
        <w:t>Test</w:t>
      </w:r>
    </w:p>
    <w:p>
      <w:pPr>
        <w:pStyle w:val="BodyText"/>
        <w:spacing w:before="207" w:after="1"/>
        <w:rPr>
          <w:b/>
          <w:sz w:val="20"/>
        </w:rPr>
      </w:pPr>
    </w:p>
    <w:tbl>
      <w:tblPr>
        <w:tblW w:w="0" w:type="auto"/>
        <w:jc w:val="left"/>
        <w:tblInd w:w="9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109"/>
        <w:gridCol w:w="1863"/>
        <w:gridCol w:w="1861"/>
        <w:gridCol w:w="1860"/>
      </w:tblGrid>
      <w:tr>
        <w:trPr>
          <w:trHeight w:val="311" w:hRule="atLeast"/>
        </w:trPr>
        <w:tc>
          <w:tcPr>
            <w:tcW w:w="6833" w:type="dxa"/>
            <w:gridSpan w:val="3"/>
          </w:tcPr>
          <w:p>
            <w:pPr>
              <w:pStyle w:val="TableParagraph"/>
              <w:spacing w:line="206" w:lineRule="exact"/>
              <w:ind w:left="107"/>
              <w:rPr>
                <w:sz w:val="18"/>
              </w:rPr>
            </w:pPr>
            <w:r>
              <w:rPr>
                <w:sz w:val="18"/>
              </w:rPr>
              <w:t>Variance</w:t>
            </w:r>
            <w:r>
              <w:rPr>
                <w:spacing w:val="-4"/>
                <w:sz w:val="18"/>
              </w:rPr>
              <w:t> </w:t>
            </w:r>
            <w:r>
              <w:rPr>
                <w:sz w:val="18"/>
              </w:rPr>
              <w:t>Inflation</w:t>
            </w:r>
            <w:r>
              <w:rPr>
                <w:spacing w:val="-5"/>
                <w:sz w:val="18"/>
              </w:rPr>
              <w:t> </w:t>
            </w:r>
            <w:r>
              <w:rPr>
                <w:spacing w:val="-2"/>
                <w:sz w:val="18"/>
              </w:rPr>
              <w:t>Factors</w:t>
            </w:r>
          </w:p>
        </w:tc>
        <w:tc>
          <w:tcPr>
            <w:tcW w:w="1860" w:type="dxa"/>
          </w:tcPr>
          <w:p>
            <w:pPr>
              <w:pStyle w:val="TableParagraph"/>
              <w:rPr>
                <w:rFonts w:ascii="Times New Roman"/>
                <w:sz w:val="18"/>
              </w:rPr>
            </w:pPr>
          </w:p>
        </w:tc>
      </w:tr>
      <w:tr>
        <w:trPr>
          <w:trHeight w:val="314" w:hRule="atLeast"/>
        </w:trPr>
        <w:tc>
          <w:tcPr>
            <w:tcW w:w="6833" w:type="dxa"/>
            <w:gridSpan w:val="3"/>
          </w:tcPr>
          <w:p>
            <w:pPr>
              <w:pStyle w:val="TableParagraph"/>
              <w:spacing w:line="206" w:lineRule="exact"/>
              <w:ind w:left="107"/>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21:28</w:t>
            </w:r>
          </w:p>
        </w:tc>
        <w:tc>
          <w:tcPr>
            <w:tcW w:w="1860" w:type="dxa"/>
          </w:tcPr>
          <w:p>
            <w:pPr>
              <w:pStyle w:val="TableParagraph"/>
              <w:rPr>
                <w:rFonts w:ascii="Times New Roman"/>
                <w:sz w:val="18"/>
              </w:rPr>
            </w:pPr>
          </w:p>
        </w:tc>
      </w:tr>
      <w:tr>
        <w:trPr>
          <w:trHeight w:val="311" w:hRule="atLeast"/>
        </w:trPr>
        <w:tc>
          <w:tcPr>
            <w:tcW w:w="4972" w:type="dxa"/>
            <w:gridSpan w:val="2"/>
          </w:tcPr>
          <w:p>
            <w:pPr>
              <w:pStyle w:val="TableParagraph"/>
              <w:spacing w:line="206" w:lineRule="exact"/>
              <w:ind w:left="107"/>
              <w:rPr>
                <w:sz w:val="18"/>
              </w:rPr>
            </w:pPr>
            <w:r>
              <w:rPr>
                <w:sz w:val="18"/>
              </w:rPr>
              <w:t>Sample:</w:t>
            </w:r>
            <w:r>
              <w:rPr>
                <w:spacing w:val="-4"/>
                <w:sz w:val="18"/>
              </w:rPr>
              <w:t> </w:t>
            </w:r>
            <w:r>
              <w:rPr>
                <w:sz w:val="18"/>
              </w:rPr>
              <w:t>1</w:t>
            </w:r>
            <w:r>
              <w:rPr>
                <w:spacing w:val="-3"/>
                <w:sz w:val="18"/>
              </w:rPr>
              <w:t> </w:t>
            </w:r>
            <w:r>
              <w:rPr>
                <w:spacing w:val="-5"/>
                <w:sz w:val="18"/>
              </w:rPr>
              <w:t>195</w:t>
            </w:r>
          </w:p>
        </w:tc>
        <w:tc>
          <w:tcPr>
            <w:tcW w:w="1861" w:type="dxa"/>
          </w:tcPr>
          <w:p>
            <w:pPr>
              <w:pStyle w:val="TableParagraph"/>
              <w:rPr>
                <w:rFonts w:ascii="Times New Roman"/>
                <w:sz w:val="18"/>
              </w:rPr>
            </w:pPr>
          </w:p>
        </w:tc>
        <w:tc>
          <w:tcPr>
            <w:tcW w:w="1860" w:type="dxa"/>
          </w:tcPr>
          <w:p>
            <w:pPr>
              <w:pStyle w:val="TableParagraph"/>
              <w:rPr>
                <w:rFonts w:ascii="Times New Roman"/>
                <w:sz w:val="18"/>
              </w:rPr>
            </w:pPr>
          </w:p>
        </w:tc>
      </w:tr>
      <w:tr>
        <w:trPr>
          <w:trHeight w:val="313" w:hRule="atLeast"/>
        </w:trPr>
        <w:tc>
          <w:tcPr>
            <w:tcW w:w="6833" w:type="dxa"/>
            <w:gridSpan w:val="3"/>
          </w:tcPr>
          <w:p>
            <w:pPr>
              <w:pStyle w:val="TableParagraph"/>
              <w:spacing w:before="1"/>
              <w:ind w:left="107"/>
              <w:rPr>
                <w:sz w:val="18"/>
              </w:rPr>
            </w:pPr>
            <w:r>
              <w:rPr>
                <w:sz w:val="18"/>
              </w:rPr>
              <w:t>Included</w:t>
            </w:r>
            <w:r>
              <w:rPr>
                <w:spacing w:val="-6"/>
                <w:sz w:val="18"/>
              </w:rPr>
              <w:t> </w:t>
            </w:r>
            <w:r>
              <w:rPr>
                <w:sz w:val="18"/>
              </w:rPr>
              <w:t>observations:</w:t>
            </w:r>
            <w:r>
              <w:rPr>
                <w:spacing w:val="-5"/>
                <w:sz w:val="18"/>
              </w:rPr>
              <w:t> 195</w:t>
            </w:r>
          </w:p>
        </w:tc>
        <w:tc>
          <w:tcPr>
            <w:tcW w:w="1860" w:type="dxa"/>
          </w:tcPr>
          <w:p>
            <w:pPr>
              <w:pStyle w:val="TableParagraph"/>
              <w:rPr>
                <w:rFonts w:ascii="Times New Roman"/>
                <w:sz w:val="18"/>
              </w:rPr>
            </w:pPr>
          </w:p>
        </w:tc>
      </w:tr>
      <w:tr>
        <w:trPr>
          <w:trHeight w:val="114" w:hRule="atLeast"/>
        </w:trPr>
        <w:tc>
          <w:tcPr>
            <w:tcW w:w="3109" w:type="dxa"/>
          </w:tcPr>
          <w:p>
            <w:pPr>
              <w:pStyle w:val="TableParagraph"/>
              <w:rPr>
                <w:rFonts w:ascii="Times New Roman"/>
                <w:sz w:val="6"/>
              </w:rPr>
            </w:pPr>
          </w:p>
        </w:tc>
        <w:tc>
          <w:tcPr>
            <w:tcW w:w="1863" w:type="dxa"/>
          </w:tcPr>
          <w:p>
            <w:pPr>
              <w:pStyle w:val="TableParagraph"/>
              <w:rPr>
                <w:rFonts w:ascii="Times New Roman"/>
                <w:sz w:val="6"/>
              </w:rPr>
            </w:pPr>
          </w:p>
        </w:tc>
        <w:tc>
          <w:tcPr>
            <w:tcW w:w="1861" w:type="dxa"/>
          </w:tcPr>
          <w:p>
            <w:pPr>
              <w:pStyle w:val="TableParagraph"/>
              <w:rPr>
                <w:rFonts w:ascii="Times New Roman"/>
                <w:sz w:val="6"/>
              </w:rPr>
            </w:pPr>
          </w:p>
        </w:tc>
        <w:tc>
          <w:tcPr>
            <w:tcW w:w="1860" w:type="dxa"/>
          </w:tcPr>
          <w:p>
            <w:pPr>
              <w:pStyle w:val="TableParagraph"/>
              <w:rPr>
                <w:rFonts w:ascii="Times New Roman"/>
                <w:sz w:val="6"/>
              </w:rPr>
            </w:pPr>
          </w:p>
        </w:tc>
      </w:tr>
      <w:tr>
        <w:trPr>
          <w:trHeight w:val="177" w:hRule="atLeast"/>
        </w:trPr>
        <w:tc>
          <w:tcPr>
            <w:tcW w:w="3109" w:type="dxa"/>
          </w:tcPr>
          <w:p>
            <w:pPr>
              <w:pStyle w:val="TableParagraph"/>
              <w:rPr>
                <w:rFonts w:ascii="Times New Roman"/>
                <w:sz w:val="10"/>
              </w:rPr>
            </w:pPr>
          </w:p>
        </w:tc>
        <w:tc>
          <w:tcPr>
            <w:tcW w:w="1863" w:type="dxa"/>
          </w:tcPr>
          <w:p>
            <w:pPr>
              <w:pStyle w:val="TableParagraph"/>
              <w:rPr>
                <w:rFonts w:ascii="Times New Roman"/>
                <w:sz w:val="10"/>
              </w:rPr>
            </w:pPr>
          </w:p>
        </w:tc>
        <w:tc>
          <w:tcPr>
            <w:tcW w:w="1861" w:type="dxa"/>
          </w:tcPr>
          <w:p>
            <w:pPr>
              <w:pStyle w:val="TableParagraph"/>
              <w:rPr>
                <w:rFonts w:ascii="Times New Roman"/>
                <w:sz w:val="10"/>
              </w:rPr>
            </w:pPr>
          </w:p>
        </w:tc>
        <w:tc>
          <w:tcPr>
            <w:tcW w:w="1860" w:type="dxa"/>
          </w:tcPr>
          <w:p>
            <w:pPr>
              <w:pStyle w:val="TableParagraph"/>
              <w:rPr>
                <w:rFonts w:ascii="Times New Roman"/>
                <w:sz w:val="10"/>
              </w:rPr>
            </w:pPr>
          </w:p>
        </w:tc>
      </w:tr>
      <w:tr>
        <w:trPr>
          <w:trHeight w:val="314" w:hRule="atLeast"/>
        </w:trPr>
        <w:tc>
          <w:tcPr>
            <w:tcW w:w="3109" w:type="dxa"/>
          </w:tcPr>
          <w:p>
            <w:pPr>
              <w:pStyle w:val="TableParagraph"/>
              <w:rPr>
                <w:rFonts w:ascii="Times New Roman"/>
                <w:sz w:val="18"/>
              </w:rPr>
            </w:pPr>
          </w:p>
        </w:tc>
        <w:tc>
          <w:tcPr>
            <w:tcW w:w="1863" w:type="dxa"/>
          </w:tcPr>
          <w:p>
            <w:pPr>
              <w:pStyle w:val="TableParagraph"/>
              <w:spacing w:line="206" w:lineRule="exact"/>
              <w:ind w:left="59" w:right="50"/>
              <w:jc w:val="center"/>
              <w:rPr>
                <w:sz w:val="18"/>
              </w:rPr>
            </w:pPr>
            <w:r>
              <w:rPr>
                <w:spacing w:val="-2"/>
                <w:sz w:val="18"/>
              </w:rPr>
              <w:t>Coefficient</w:t>
            </w:r>
          </w:p>
        </w:tc>
        <w:tc>
          <w:tcPr>
            <w:tcW w:w="1861" w:type="dxa"/>
          </w:tcPr>
          <w:p>
            <w:pPr>
              <w:pStyle w:val="TableParagraph"/>
              <w:spacing w:line="206" w:lineRule="exact"/>
              <w:ind w:left="56" w:right="51"/>
              <w:jc w:val="center"/>
              <w:rPr>
                <w:sz w:val="18"/>
              </w:rPr>
            </w:pPr>
            <w:r>
              <w:rPr>
                <w:spacing w:val="-2"/>
                <w:sz w:val="18"/>
              </w:rPr>
              <w:t>Uncentered</w:t>
            </w:r>
          </w:p>
        </w:tc>
        <w:tc>
          <w:tcPr>
            <w:tcW w:w="1860" w:type="dxa"/>
          </w:tcPr>
          <w:p>
            <w:pPr>
              <w:pStyle w:val="TableParagraph"/>
              <w:spacing w:line="206" w:lineRule="exact"/>
              <w:ind w:left="57" w:right="49"/>
              <w:jc w:val="center"/>
              <w:rPr>
                <w:sz w:val="18"/>
              </w:rPr>
            </w:pPr>
            <w:r>
              <w:rPr>
                <w:spacing w:val="-2"/>
                <w:sz w:val="18"/>
              </w:rPr>
              <w:t>Centered</w:t>
            </w:r>
          </w:p>
        </w:tc>
      </w:tr>
      <w:tr>
        <w:trPr>
          <w:trHeight w:val="311" w:hRule="atLeast"/>
        </w:trPr>
        <w:tc>
          <w:tcPr>
            <w:tcW w:w="3109" w:type="dxa"/>
          </w:tcPr>
          <w:p>
            <w:pPr>
              <w:pStyle w:val="TableParagraph"/>
              <w:spacing w:line="206" w:lineRule="exact"/>
              <w:ind w:left="9"/>
              <w:jc w:val="center"/>
              <w:rPr>
                <w:sz w:val="18"/>
              </w:rPr>
            </w:pPr>
            <w:r>
              <w:rPr>
                <w:spacing w:val="-2"/>
                <w:sz w:val="18"/>
              </w:rPr>
              <w:t>Variable</w:t>
            </w:r>
          </w:p>
        </w:tc>
        <w:tc>
          <w:tcPr>
            <w:tcW w:w="1863" w:type="dxa"/>
          </w:tcPr>
          <w:p>
            <w:pPr>
              <w:pStyle w:val="TableParagraph"/>
              <w:spacing w:line="206" w:lineRule="exact"/>
              <w:ind w:left="59" w:right="50"/>
              <w:jc w:val="center"/>
              <w:rPr>
                <w:sz w:val="18"/>
              </w:rPr>
            </w:pPr>
            <w:r>
              <w:rPr>
                <w:spacing w:val="-2"/>
                <w:sz w:val="18"/>
              </w:rPr>
              <w:t>Variance</w:t>
            </w:r>
          </w:p>
        </w:tc>
        <w:tc>
          <w:tcPr>
            <w:tcW w:w="1861" w:type="dxa"/>
          </w:tcPr>
          <w:p>
            <w:pPr>
              <w:pStyle w:val="TableParagraph"/>
              <w:spacing w:line="206" w:lineRule="exact"/>
              <w:ind w:left="56" w:right="50"/>
              <w:jc w:val="center"/>
              <w:rPr>
                <w:sz w:val="18"/>
              </w:rPr>
            </w:pPr>
            <w:r>
              <w:rPr>
                <w:spacing w:val="-5"/>
                <w:sz w:val="18"/>
              </w:rPr>
              <w:t>VIF</w:t>
            </w:r>
          </w:p>
        </w:tc>
        <w:tc>
          <w:tcPr>
            <w:tcW w:w="1860" w:type="dxa"/>
          </w:tcPr>
          <w:p>
            <w:pPr>
              <w:pStyle w:val="TableParagraph"/>
              <w:spacing w:line="206" w:lineRule="exact"/>
              <w:ind w:left="57" w:right="51"/>
              <w:jc w:val="center"/>
              <w:rPr>
                <w:sz w:val="18"/>
              </w:rPr>
            </w:pPr>
            <w:r>
              <w:rPr>
                <w:spacing w:val="-5"/>
                <w:sz w:val="18"/>
              </w:rPr>
              <w:t>VIF</w:t>
            </w:r>
          </w:p>
        </w:tc>
      </w:tr>
      <w:tr>
        <w:trPr>
          <w:trHeight w:val="114" w:hRule="atLeast"/>
        </w:trPr>
        <w:tc>
          <w:tcPr>
            <w:tcW w:w="3109" w:type="dxa"/>
          </w:tcPr>
          <w:p>
            <w:pPr>
              <w:pStyle w:val="TableParagraph"/>
              <w:rPr>
                <w:rFonts w:ascii="Times New Roman"/>
                <w:sz w:val="6"/>
              </w:rPr>
            </w:pPr>
          </w:p>
        </w:tc>
        <w:tc>
          <w:tcPr>
            <w:tcW w:w="1863" w:type="dxa"/>
          </w:tcPr>
          <w:p>
            <w:pPr>
              <w:pStyle w:val="TableParagraph"/>
              <w:rPr>
                <w:rFonts w:ascii="Times New Roman"/>
                <w:sz w:val="6"/>
              </w:rPr>
            </w:pPr>
          </w:p>
        </w:tc>
        <w:tc>
          <w:tcPr>
            <w:tcW w:w="1861" w:type="dxa"/>
          </w:tcPr>
          <w:p>
            <w:pPr>
              <w:pStyle w:val="TableParagraph"/>
              <w:rPr>
                <w:rFonts w:ascii="Times New Roman"/>
                <w:sz w:val="6"/>
              </w:rPr>
            </w:pPr>
          </w:p>
        </w:tc>
        <w:tc>
          <w:tcPr>
            <w:tcW w:w="1860" w:type="dxa"/>
          </w:tcPr>
          <w:p>
            <w:pPr>
              <w:pStyle w:val="TableParagraph"/>
              <w:rPr>
                <w:rFonts w:ascii="Times New Roman"/>
                <w:sz w:val="6"/>
              </w:rPr>
            </w:pPr>
          </w:p>
        </w:tc>
      </w:tr>
      <w:tr>
        <w:trPr>
          <w:trHeight w:val="177" w:hRule="atLeast"/>
        </w:trPr>
        <w:tc>
          <w:tcPr>
            <w:tcW w:w="3109" w:type="dxa"/>
          </w:tcPr>
          <w:p>
            <w:pPr>
              <w:pStyle w:val="TableParagraph"/>
              <w:rPr>
                <w:rFonts w:ascii="Times New Roman"/>
                <w:sz w:val="10"/>
              </w:rPr>
            </w:pPr>
          </w:p>
        </w:tc>
        <w:tc>
          <w:tcPr>
            <w:tcW w:w="1863" w:type="dxa"/>
          </w:tcPr>
          <w:p>
            <w:pPr>
              <w:pStyle w:val="TableParagraph"/>
              <w:rPr>
                <w:rFonts w:ascii="Times New Roman"/>
                <w:sz w:val="10"/>
              </w:rPr>
            </w:pPr>
          </w:p>
        </w:tc>
        <w:tc>
          <w:tcPr>
            <w:tcW w:w="1861" w:type="dxa"/>
          </w:tcPr>
          <w:p>
            <w:pPr>
              <w:pStyle w:val="TableParagraph"/>
              <w:rPr>
                <w:rFonts w:ascii="Times New Roman"/>
                <w:sz w:val="10"/>
              </w:rPr>
            </w:pPr>
          </w:p>
        </w:tc>
        <w:tc>
          <w:tcPr>
            <w:tcW w:w="1860" w:type="dxa"/>
          </w:tcPr>
          <w:p>
            <w:pPr>
              <w:pStyle w:val="TableParagraph"/>
              <w:rPr>
                <w:rFonts w:ascii="Times New Roman"/>
                <w:sz w:val="10"/>
              </w:rPr>
            </w:pPr>
          </w:p>
        </w:tc>
      </w:tr>
      <w:tr>
        <w:trPr>
          <w:trHeight w:val="314" w:hRule="atLeast"/>
        </w:trPr>
        <w:tc>
          <w:tcPr>
            <w:tcW w:w="3109" w:type="dxa"/>
          </w:tcPr>
          <w:p>
            <w:pPr>
              <w:pStyle w:val="TableParagraph"/>
              <w:spacing w:line="206" w:lineRule="exact"/>
              <w:ind w:left="9" w:right="3"/>
              <w:jc w:val="center"/>
              <w:rPr>
                <w:sz w:val="18"/>
              </w:rPr>
            </w:pPr>
            <w:r>
              <w:rPr>
                <w:spacing w:val="-10"/>
                <w:sz w:val="18"/>
              </w:rPr>
              <w:t>C</w:t>
            </w:r>
          </w:p>
        </w:tc>
        <w:tc>
          <w:tcPr>
            <w:tcW w:w="1863" w:type="dxa"/>
          </w:tcPr>
          <w:p>
            <w:pPr>
              <w:pStyle w:val="TableParagraph"/>
              <w:spacing w:line="206" w:lineRule="exact"/>
              <w:ind w:left="59"/>
              <w:jc w:val="center"/>
              <w:rPr>
                <w:sz w:val="18"/>
              </w:rPr>
            </w:pPr>
            <w:r>
              <w:rPr>
                <w:spacing w:val="-2"/>
                <w:sz w:val="18"/>
              </w:rPr>
              <w:t>0.744796</w:t>
            </w:r>
          </w:p>
        </w:tc>
        <w:tc>
          <w:tcPr>
            <w:tcW w:w="1861" w:type="dxa"/>
          </w:tcPr>
          <w:p>
            <w:pPr>
              <w:pStyle w:val="TableParagraph"/>
              <w:spacing w:line="206" w:lineRule="exact"/>
              <w:ind w:left="56"/>
              <w:jc w:val="center"/>
              <w:rPr>
                <w:sz w:val="18"/>
              </w:rPr>
            </w:pPr>
            <w:r>
              <w:rPr>
                <w:spacing w:val="-2"/>
                <w:sz w:val="18"/>
              </w:rPr>
              <w:t>453.9059</w:t>
            </w:r>
          </w:p>
        </w:tc>
        <w:tc>
          <w:tcPr>
            <w:tcW w:w="1860" w:type="dxa"/>
          </w:tcPr>
          <w:p>
            <w:pPr>
              <w:pStyle w:val="TableParagraph"/>
              <w:spacing w:line="206" w:lineRule="exact"/>
              <w:ind w:left="57"/>
              <w:jc w:val="center"/>
              <w:rPr>
                <w:sz w:val="18"/>
              </w:rPr>
            </w:pPr>
            <w:r>
              <w:rPr>
                <w:spacing w:val="-5"/>
                <w:sz w:val="18"/>
              </w:rPr>
              <w:t>NA</w:t>
            </w:r>
          </w:p>
        </w:tc>
      </w:tr>
      <w:tr>
        <w:trPr>
          <w:trHeight w:val="311" w:hRule="atLeast"/>
        </w:trPr>
        <w:tc>
          <w:tcPr>
            <w:tcW w:w="3109" w:type="dxa"/>
          </w:tcPr>
          <w:p>
            <w:pPr>
              <w:pStyle w:val="TableParagraph"/>
              <w:spacing w:line="206" w:lineRule="exact"/>
              <w:ind w:left="9"/>
              <w:jc w:val="center"/>
              <w:rPr>
                <w:sz w:val="18"/>
              </w:rPr>
            </w:pPr>
            <w:r>
              <w:rPr>
                <w:spacing w:val="-2"/>
                <w:sz w:val="18"/>
              </w:rPr>
              <w:t>BDIND</w:t>
            </w:r>
          </w:p>
        </w:tc>
        <w:tc>
          <w:tcPr>
            <w:tcW w:w="1863" w:type="dxa"/>
          </w:tcPr>
          <w:p>
            <w:pPr>
              <w:pStyle w:val="TableParagraph"/>
              <w:spacing w:line="206" w:lineRule="exact"/>
              <w:ind w:left="59"/>
              <w:jc w:val="center"/>
              <w:rPr>
                <w:sz w:val="18"/>
              </w:rPr>
            </w:pPr>
            <w:r>
              <w:rPr>
                <w:spacing w:val="-2"/>
                <w:sz w:val="18"/>
              </w:rPr>
              <w:t>0.181133</w:t>
            </w:r>
          </w:p>
        </w:tc>
        <w:tc>
          <w:tcPr>
            <w:tcW w:w="1861" w:type="dxa"/>
          </w:tcPr>
          <w:p>
            <w:pPr>
              <w:pStyle w:val="TableParagraph"/>
              <w:spacing w:line="206" w:lineRule="exact"/>
              <w:ind w:left="56"/>
              <w:jc w:val="center"/>
              <w:rPr>
                <w:sz w:val="18"/>
              </w:rPr>
            </w:pPr>
            <w:r>
              <w:rPr>
                <w:spacing w:val="-2"/>
                <w:sz w:val="18"/>
              </w:rPr>
              <w:t>37.38267</w:t>
            </w:r>
          </w:p>
        </w:tc>
        <w:tc>
          <w:tcPr>
            <w:tcW w:w="1860" w:type="dxa"/>
          </w:tcPr>
          <w:p>
            <w:pPr>
              <w:pStyle w:val="TableParagraph"/>
              <w:spacing w:line="206" w:lineRule="exact"/>
              <w:ind w:left="57" w:right="1"/>
              <w:jc w:val="center"/>
              <w:rPr>
                <w:sz w:val="18"/>
              </w:rPr>
            </w:pPr>
            <w:r>
              <w:rPr>
                <w:spacing w:val="-2"/>
                <w:sz w:val="18"/>
              </w:rPr>
              <w:t>1.348595</w:t>
            </w:r>
          </w:p>
        </w:tc>
      </w:tr>
      <w:tr>
        <w:trPr>
          <w:trHeight w:val="314" w:hRule="atLeast"/>
        </w:trPr>
        <w:tc>
          <w:tcPr>
            <w:tcW w:w="3109" w:type="dxa"/>
          </w:tcPr>
          <w:p>
            <w:pPr>
              <w:pStyle w:val="TableParagraph"/>
              <w:spacing w:line="206" w:lineRule="exact"/>
              <w:ind w:left="9" w:right="3"/>
              <w:jc w:val="center"/>
              <w:rPr>
                <w:sz w:val="18"/>
              </w:rPr>
            </w:pPr>
            <w:r>
              <w:rPr>
                <w:spacing w:val="-5"/>
                <w:sz w:val="18"/>
              </w:rPr>
              <w:t>BDS</w:t>
            </w:r>
          </w:p>
        </w:tc>
        <w:tc>
          <w:tcPr>
            <w:tcW w:w="1863" w:type="dxa"/>
          </w:tcPr>
          <w:p>
            <w:pPr>
              <w:pStyle w:val="TableParagraph"/>
              <w:spacing w:line="206" w:lineRule="exact"/>
              <w:ind w:left="59"/>
              <w:jc w:val="center"/>
              <w:rPr>
                <w:sz w:val="18"/>
              </w:rPr>
            </w:pPr>
            <w:r>
              <w:rPr>
                <w:spacing w:val="-2"/>
                <w:sz w:val="18"/>
              </w:rPr>
              <w:t>0.000229</w:t>
            </w:r>
          </w:p>
        </w:tc>
        <w:tc>
          <w:tcPr>
            <w:tcW w:w="1861" w:type="dxa"/>
          </w:tcPr>
          <w:p>
            <w:pPr>
              <w:pStyle w:val="TableParagraph"/>
              <w:spacing w:line="206" w:lineRule="exact"/>
              <w:ind w:left="56"/>
              <w:jc w:val="center"/>
              <w:rPr>
                <w:sz w:val="18"/>
              </w:rPr>
            </w:pPr>
            <w:r>
              <w:rPr>
                <w:spacing w:val="-2"/>
                <w:sz w:val="18"/>
              </w:rPr>
              <w:t>27.71939</w:t>
            </w:r>
          </w:p>
        </w:tc>
        <w:tc>
          <w:tcPr>
            <w:tcW w:w="1860" w:type="dxa"/>
          </w:tcPr>
          <w:p>
            <w:pPr>
              <w:pStyle w:val="TableParagraph"/>
              <w:spacing w:line="206" w:lineRule="exact"/>
              <w:ind w:left="57" w:right="1"/>
              <w:jc w:val="center"/>
              <w:rPr>
                <w:sz w:val="18"/>
              </w:rPr>
            </w:pPr>
            <w:r>
              <w:rPr>
                <w:spacing w:val="-2"/>
                <w:sz w:val="18"/>
              </w:rPr>
              <w:t>1.272032</w:t>
            </w:r>
          </w:p>
        </w:tc>
      </w:tr>
      <w:tr>
        <w:trPr>
          <w:trHeight w:val="311" w:hRule="atLeast"/>
        </w:trPr>
        <w:tc>
          <w:tcPr>
            <w:tcW w:w="3109" w:type="dxa"/>
          </w:tcPr>
          <w:p>
            <w:pPr>
              <w:pStyle w:val="TableParagraph"/>
              <w:spacing w:line="206" w:lineRule="exact"/>
              <w:ind w:left="9" w:right="4"/>
              <w:jc w:val="center"/>
              <w:rPr>
                <w:sz w:val="18"/>
              </w:rPr>
            </w:pPr>
            <w:r>
              <w:rPr>
                <w:spacing w:val="-2"/>
                <w:sz w:val="18"/>
              </w:rPr>
              <w:t>BFEXP</w:t>
            </w:r>
          </w:p>
        </w:tc>
        <w:tc>
          <w:tcPr>
            <w:tcW w:w="1863" w:type="dxa"/>
          </w:tcPr>
          <w:p>
            <w:pPr>
              <w:pStyle w:val="TableParagraph"/>
              <w:spacing w:line="206" w:lineRule="exact"/>
              <w:ind w:left="59"/>
              <w:jc w:val="center"/>
              <w:rPr>
                <w:sz w:val="18"/>
              </w:rPr>
            </w:pPr>
            <w:r>
              <w:rPr>
                <w:spacing w:val="-2"/>
                <w:sz w:val="18"/>
              </w:rPr>
              <w:t>0.178054</w:t>
            </w:r>
          </w:p>
        </w:tc>
        <w:tc>
          <w:tcPr>
            <w:tcW w:w="1861" w:type="dxa"/>
          </w:tcPr>
          <w:p>
            <w:pPr>
              <w:pStyle w:val="TableParagraph"/>
              <w:spacing w:line="206" w:lineRule="exact"/>
              <w:ind w:left="56"/>
              <w:jc w:val="center"/>
              <w:rPr>
                <w:sz w:val="18"/>
              </w:rPr>
            </w:pPr>
            <w:r>
              <w:rPr>
                <w:spacing w:val="-2"/>
                <w:sz w:val="18"/>
              </w:rPr>
              <w:t>36.49619</w:t>
            </w:r>
          </w:p>
        </w:tc>
        <w:tc>
          <w:tcPr>
            <w:tcW w:w="1860" w:type="dxa"/>
          </w:tcPr>
          <w:p>
            <w:pPr>
              <w:pStyle w:val="TableParagraph"/>
              <w:spacing w:line="206" w:lineRule="exact"/>
              <w:ind w:left="57" w:right="1"/>
              <w:jc w:val="center"/>
              <w:rPr>
                <w:sz w:val="18"/>
              </w:rPr>
            </w:pPr>
            <w:r>
              <w:rPr>
                <w:spacing w:val="-2"/>
                <w:sz w:val="18"/>
              </w:rPr>
              <w:t>1.153696</w:t>
            </w:r>
          </w:p>
        </w:tc>
      </w:tr>
      <w:tr>
        <w:trPr>
          <w:trHeight w:val="313" w:hRule="atLeast"/>
        </w:trPr>
        <w:tc>
          <w:tcPr>
            <w:tcW w:w="3109" w:type="dxa"/>
          </w:tcPr>
          <w:p>
            <w:pPr>
              <w:pStyle w:val="TableParagraph"/>
              <w:spacing w:before="1"/>
              <w:ind w:left="9" w:right="4"/>
              <w:jc w:val="center"/>
              <w:rPr>
                <w:sz w:val="18"/>
              </w:rPr>
            </w:pPr>
            <w:r>
              <w:rPr>
                <w:spacing w:val="-4"/>
                <w:sz w:val="18"/>
              </w:rPr>
              <w:t>MOWN</w:t>
            </w:r>
          </w:p>
        </w:tc>
        <w:tc>
          <w:tcPr>
            <w:tcW w:w="1863" w:type="dxa"/>
          </w:tcPr>
          <w:p>
            <w:pPr>
              <w:pStyle w:val="TableParagraph"/>
              <w:spacing w:before="1"/>
              <w:ind w:left="59" w:right="3"/>
              <w:jc w:val="center"/>
              <w:rPr>
                <w:sz w:val="18"/>
              </w:rPr>
            </w:pPr>
            <w:r>
              <w:rPr>
                <w:spacing w:val="-2"/>
                <w:sz w:val="18"/>
              </w:rPr>
              <w:t>1.02E-</w:t>
            </w:r>
            <w:r>
              <w:rPr>
                <w:spacing w:val="-5"/>
                <w:sz w:val="18"/>
              </w:rPr>
              <w:t>05</w:t>
            </w:r>
          </w:p>
        </w:tc>
        <w:tc>
          <w:tcPr>
            <w:tcW w:w="1861" w:type="dxa"/>
          </w:tcPr>
          <w:p>
            <w:pPr>
              <w:pStyle w:val="TableParagraph"/>
              <w:spacing w:before="1"/>
              <w:ind w:left="56"/>
              <w:jc w:val="center"/>
              <w:rPr>
                <w:sz w:val="18"/>
              </w:rPr>
            </w:pPr>
            <w:r>
              <w:rPr>
                <w:spacing w:val="-2"/>
                <w:sz w:val="18"/>
              </w:rPr>
              <w:t>2.040747</w:t>
            </w:r>
          </w:p>
        </w:tc>
        <w:tc>
          <w:tcPr>
            <w:tcW w:w="1860" w:type="dxa"/>
          </w:tcPr>
          <w:p>
            <w:pPr>
              <w:pStyle w:val="TableParagraph"/>
              <w:spacing w:before="1"/>
              <w:ind w:left="57" w:right="1"/>
              <w:jc w:val="center"/>
              <w:rPr>
                <w:sz w:val="18"/>
              </w:rPr>
            </w:pPr>
            <w:r>
              <w:rPr>
                <w:spacing w:val="-2"/>
                <w:sz w:val="18"/>
              </w:rPr>
              <w:t>1.218599</w:t>
            </w:r>
          </w:p>
        </w:tc>
      </w:tr>
      <w:tr>
        <w:trPr>
          <w:trHeight w:val="314" w:hRule="atLeast"/>
        </w:trPr>
        <w:tc>
          <w:tcPr>
            <w:tcW w:w="3109" w:type="dxa"/>
          </w:tcPr>
          <w:p>
            <w:pPr>
              <w:pStyle w:val="TableParagraph"/>
              <w:spacing w:line="206" w:lineRule="exact"/>
              <w:ind w:left="9" w:right="1"/>
              <w:jc w:val="center"/>
              <w:rPr>
                <w:sz w:val="18"/>
              </w:rPr>
            </w:pPr>
            <w:r>
              <w:rPr>
                <w:spacing w:val="-4"/>
                <w:sz w:val="18"/>
              </w:rPr>
              <w:t>FOWN</w:t>
            </w:r>
          </w:p>
        </w:tc>
        <w:tc>
          <w:tcPr>
            <w:tcW w:w="1863" w:type="dxa"/>
          </w:tcPr>
          <w:p>
            <w:pPr>
              <w:pStyle w:val="TableParagraph"/>
              <w:spacing w:line="206" w:lineRule="exact"/>
              <w:ind w:left="59" w:right="3"/>
              <w:jc w:val="center"/>
              <w:rPr>
                <w:sz w:val="18"/>
              </w:rPr>
            </w:pPr>
            <w:r>
              <w:rPr>
                <w:spacing w:val="-2"/>
                <w:sz w:val="18"/>
              </w:rPr>
              <w:t>7.63E-</w:t>
            </w:r>
            <w:r>
              <w:rPr>
                <w:spacing w:val="-5"/>
                <w:sz w:val="18"/>
              </w:rPr>
              <w:t>06</w:t>
            </w:r>
          </w:p>
        </w:tc>
        <w:tc>
          <w:tcPr>
            <w:tcW w:w="1861" w:type="dxa"/>
          </w:tcPr>
          <w:p>
            <w:pPr>
              <w:pStyle w:val="TableParagraph"/>
              <w:spacing w:line="206" w:lineRule="exact"/>
              <w:ind w:left="56"/>
              <w:jc w:val="center"/>
              <w:rPr>
                <w:sz w:val="18"/>
              </w:rPr>
            </w:pPr>
            <w:r>
              <w:rPr>
                <w:spacing w:val="-2"/>
                <w:sz w:val="18"/>
              </w:rPr>
              <w:t>6.263620</w:t>
            </w:r>
          </w:p>
        </w:tc>
        <w:tc>
          <w:tcPr>
            <w:tcW w:w="1860" w:type="dxa"/>
          </w:tcPr>
          <w:p>
            <w:pPr>
              <w:pStyle w:val="TableParagraph"/>
              <w:spacing w:line="206" w:lineRule="exact"/>
              <w:ind w:left="57" w:right="1"/>
              <w:jc w:val="center"/>
              <w:rPr>
                <w:sz w:val="18"/>
              </w:rPr>
            </w:pPr>
            <w:r>
              <w:rPr>
                <w:spacing w:val="-2"/>
                <w:sz w:val="18"/>
              </w:rPr>
              <w:t>4.222756</w:t>
            </w:r>
          </w:p>
        </w:tc>
      </w:tr>
      <w:tr>
        <w:trPr>
          <w:trHeight w:val="311" w:hRule="atLeast"/>
        </w:trPr>
        <w:tc>
          <w:tcPr>
            <w:tcW w:w="3109" w:type="dxa"/>
          </w:tcPr>
          <w:p>
            <w:pPr>
              <w:pStyle w:val="TableParagraph"/>
              <w:spacing w:line="206" w:lineRule="exact"/>
              <w:ind w:left="9" w:right="3"/>
              <w:jc w:val="center"/>
              <w:rPr>
                <w:sz w:val="18"/>
              </w:rPr>
            </w:pPr>
            <w:r>
              <w:rPr>
                <w:spacing w:val="-2"/>
                <w:sz w:val="18"/>
              </w:rPr>
              <w:t>INSTOWN</w:t>
            </w:r>
          </w:p>
        </w:tc>
        <w:tc>
          <w:tcPr>
            <w:tcW w:w="1863" w:type="dxa"/>
          </w:tcPr>
          <w:p>
            <w:pPr>
              <w:pStyle w:val="TableParagraph"/>
              <w:spacing w:line="206" w:lineRule="exact"/>
              <w:ind w:left="59" w:right="3"/>
              <w:jc w:val="center"/>
              <w:rPr>
                <w:sz w:val="18"/>
              </w:rPr>
            </w:pPr>
            <w:r>
              <w:rPr>
                <w:spacing w:val="-2"/>
                <w:sz w:val="18"/>
              </w:rPr>
              <w:t>1.28E-</w:t>
            </w:r>
            <w:r>
              <w:rPr>
                <w:spacing w:val="-5"/>
                <w:sz w:val="18"/>
              </w:rPr>
              <w:t>05</w:t>
            </w:r>
          </w:p>
        </w:tc>
        <w:tc>
          <w:tcPr>
            <w:tcW w:w="1861" w:type="dxa"/>
          </w:tcPr>
          <w:p>
            <w:pPr>
              <w:pStyle w:val="TableParagraph"/>
              <w:spacing w:line="206" w:lineRule="exact"/>
              <w:ind w:left="56"/>
              <w:jc w:val="center"/>
              <w:rPr>
                <w:sz w:val="18"/>
              </w:rPr>
            </w:pPr>
            <w:r>
              <w:rPr>
                <w:spacing w:val="-2"/>
                <w:sz w:val="18"/>
              </w:rPr>
              <w:t>16.31983</w:t>
            </w:r>
          </w:p>
        </w:tc>
        <w:tc>
          <w:tcPr>
            <w:tcW w:w="1860" w:type="dxa"/>
          </w:tcPr>
          <w:p>
            <w:pPr>
              <w:pStyle w:val="TableParagraph"/>
              <w:spacing w:line="206" w:lineRule="exact"/>
              <w:ind w:left="57" w:right="1"/>
              <w:jc w:val="center"/>
              <w:rPr>
                <w:sz w:val="18"/>
              </w:rPr>
            </w:pPr>
            <w:r>
              <w:rPr>
                <w:spacing w:val="-2"/>
                <w:sz w:val="18"/>
              </w:rPr>
              <w:t>5.926072</w:t>
            </w:r>
          </w:p>
        </w:tc>
      </w:tr>
      <w:tr>
        <w:trPr>
          <w:trHeight w:val="314" w:hRule="atLeast"/>
        </w:trPr>
        <w:tc>
          <w:tcPr>
            <w:tcW w:w="3109" w:type="dxa"/>
          </w:tcPr>
          <w:p>
            <w:pPr>
              <w:pStyle w:val="TableParagraph"/>
              <w:spacing w:line="206" w:lineRule="exact"/>
              <w:ind w:left="9" w:right="1"/>
              <w:jc w:val="center"/>
              <w:rPr>
                <w:sz w:val="18"/>
              </w:rPr>
            </w:pPr>
            <w:r>
              <w:rPr>
                <w:spacing w:val="-2"/>
                <w:sz w:val="18"/>
              </w:rPr>
              <w:t>BLOWN</w:t>
            </w:r>
          </w:p>
        </w:tc>
        <w:tc>
          <w:tcPr>
            <w:tcW w:w="1863" w:type="dxa"/>
          </w:tcPr>
          <w:p>
            <w:pPr>
              <w:pStyle w:val="TableParagraph"/>
              <w:spacing w:line="206" w:lineRule="exact"/>
              <w:ind w:left="59" w:right="3"/>
              <w:jc w:val="center"/>
              <w:rPr>
                <w:sz w:val="18"/>
              </w:rPr>
            </w:pPr>
            <w:r>
              <w:rPr>
                <w:spacing w:val="-2"/>
                <w:sz w:val="18"/>
              </w:rPr>
              <w:t>1.31E-</w:t>
            </w:r>
            <w:r>
              <w:rPr>
                <w:spacing w:val="-5"/>
                <w:sz w:val="18"/>
              </w:rPr>
              <w:t>05</w:t>
            </w:r>
          </w:p>
        </w:tc>
        <w:tc>
          <w:tcPr>
            <w:tcW w:w="1861" w:type="dxa"/>
          </w:tcPr>
          <w:p>
            <w:pPr>
              <w:pStyle w:val="TableParagraph"/>
              <w:spacing w:line="206" w:lineRule="exact"/>
              <w:ind w:left="56"/>
              <w:jc w:val="center"/>
              <w:rPr>
                <w:sz w:val="18"/>
              </w:rPr>
            </w:pPr>
            <w:r>
              <w:rPr>
                <w:spacing w:val="-2"/>
                <w:sz w:val="18"/>
              </w:rPr>
              <w:t>16.48940</w:t>
            </w:r>
          </w:p>
        </w:tc>
        <w:tc>
          <w:tcPr>
            <w:tcW w:w="1860" w:type="dxa"/>
          </w:tcPr>
          <w:p>
            <w:pPr>
              <w:pStyle w:val="TableParagraph"/>
              <w:spacing w:line="206" w:lineRule="exact"/>
              <w:ind w:left="57" w:right="1"/>
              <w:jc w:val="center"/>
              <w:rPr>
                <w:sz w:val="18"/>
              </w:rPr>
            </w:pPr>
            <w:r>
              <w:rPr>
                <w:spacing w:val="-2"/>
                <w:sz w:val="18"/>
              </w:rPr>
              <w:t>6.870258</w:t>
            </w:r>
          </w:p>
        </w:tc>
      </w:tr>
      <w:tr>
        <w:trPr>
          <w:trHeight w:val="311" w:hRule="atLeast"/>
        </w:trPr>
        <w:tc>
          <w:tcPr>
            <w:tcW w:w="3109" w:type="dxa"/>
          </w:tcPr>
          <w:p>
            <w:pPr>
              <w:pStyle w:val="TableParagraph"/>
              <w:spacing w:line="206" w:lineRule="exact"/>
              <w:ind w:left="9" w:right="3"/>
              <w:jc w:val="center"/>
              <w:rPr>
                <w:sz w:val="18"/>
              </w:rPr>
            </w:pPr>
            <w:r>
              <w:rPr>
                <w:spacing w:val="-4"/>
                <w:sz w:val="18"/>
              </w:rPr>
              <w:t>FAGE</w:t>
            </w:r>
          </w:p>
        </w:tc>
        <w:tc>
          <w:tcPr>
            <w:tcW w:w="1863" w:type="dxa"/>
          </w:tcPr>
          <w:p>
            <w:pPr>
              <w:pStyle w:val="TableParagraph"/>
              <w:spacing w:line="206" w:lineRule="exact"/>
              <w:ind w:left="59" w:right="3"/>
              <w:jc w:val="center"/>
              <w:rPr>
                <w:sz w:val="18"/>
              </w:rPr>
            </w:pPr>
            <w:r>
              <w:rPr>
                <w:spacing w:val="-2"/>
                <w:sz w:val="18"/>
              </w:rPr>
              <w:t>1.69E-</w:t>
            </w:r>
            <w:r>
              <w:rPr>
                <w:spacing w:val="-5"/>
                <w:sz w:val="18"/>
              </w:rPr>
              <w:t>05</w:t>
            </w:r>
          </w:p>
        </w:tc>
        <w:tc>
          <w:tcPr>
            <w:tcW w:w="1861" w:type="dxa"/>
          </w:tcPr>
          <w:p>
            <w:pPr>
              <w:pStyle w:val="TableParagraph"/>
              <w:spacing w:line="206" w:lineRule="exact"/>
              <w:ind w:left="56"/>
              <w:jc w:val="center"/>
              <w:rPr>
                <w:sz w:val="18"/>
              </w:rPr>
            </w:pPr>
            <w:r>
              <w:rPr>
                <w:spacing w:val="-2"/>
                <w:sz w:val="18"/>
              </w:rPr>
              <w:t>10.94839</w:t>
            </w:r>
          </w:p>
        </w:tc>
        <w:tc>
          <w:tcPr>
            <w:tcW w:w="1860" w:type="dxa"/>
          </w:tcPr>
          <w:p>
            <w:pPr>
              <w:pStyle w:val="TableParagraph"/>
              <w:spacing w:line="206" w:lineRule="exact"/>
              <w:ind w:left="57" w:right="1"/>
              <w:jc w:val="center"/>
              <w:rPr>
                <w:sz w:val="18"/>
              </w:rPr>
            </w:pPr>
            <w:r>
              <w:rPr>
                <w:spacing w:val="-2"/>
                <w:sz w:val="18"/>
              </w:rPr>
              <w:t>1.275881</w:t>
            </w:r>
          </w:p>
        </w:tc>
      </w:tr>
      <w:tr>
        <w:trPr>
          <w:trHeight w:val="314" w:hRule="atLeast"/>
        </w:trPr>
        <w:tc>
          <w:tcPr>
            <w:tcW w:w="3109" w:type="dxa"/>
          </w:tcPr>
          <w:p>
            <w:pPr>
              <w:pStyle w:val="TableParagraph"/>
              <w:spacing w:before="1"/>
              <w:ind w:left="9" w:right="2"/>
              <w:jc w:val="center"/>
              <w:rPr>
                <w:sz w:val="18"/>
              </w:rPr>
            </w:pPr>
            <w:r>
              <w:rPr>
                <w:spacing w:val="-2"/>
                <w:sz w:val="18"/>
              </w:rPr>
              <w:t>FSIZE</w:t>
            </w:r>
          </w:p>
        </w:tc>
        <w:tc>
          <w:tcPr>
            <w:tcW w:w="1863" w:type="dxa"/>
          </w:tcPr>
          <w:p>
            <w:pPr>
              <w:pStyle w:val="TableParagraph"/>
              <w:spacing w:before="1"/>
              <w:ind w:left="59"/>
              <w:jc w:val="center"/>
              <w:rPr>
                <w:sz w:val="18"/>
              </w:rPr>
            </w:pPr>
            <w:r>
              <w:rPr>
                <w:spacing w:val="-2"/>
                <w:sz w:val="18"/>
              </w:rPr>
              <w:t>0.007663</w:t>
            </w:r>
          </w:p>
        </w:tc>
        <w:tc>
          <w:tcPr>
            <w:tcW w:w="1861" w:type="dxa"/>
          </w:tcPr>
          <w:p>
            <w:pPr>
              <w:pStyle w:val="TableParagraph"/>
              <w:spacing w:before="1"/>
              <w:ind w:left="56"/>
              <w:jc w:val="center"/>
              <w:rPr>
                <w:sz w:val="18"/>
              </w:rPr>
            </w:pPr>
            <w:r>
              <w:rPr>
                <w:spacing w:val="-2"/>
                <w:sz w:val="18"/>
              </w:rPr>
              <w:t>373.7945</w:t>
            </w:r>
          </w:p>
        </w:tc>
        <w:tc>
          <w:tcPr>
            <w:tcW w:w="1860" w:type="dxa"/>
          </w:tcPr>
          <w:p>
            <w:pPr>
              <w:pStyle w:val="TableParagraph"/>
              <w:spacing w:before="1"/>
              <w:ind w:left="57" w:right="1"/>
              <w:jc w:val="center"/>
              <w:rPr>
                <w:sz w:val="18"/>
              </w:rPr>
            </w:pPr>
            <w:r>
              <w:rPr>
                <w:spacing w:val="-2"/>
                <w:sz w:val="18"/>
              </w:rPr>
              <w:t>1.243380</w:t>
            </w:r>
          </w:p>
        </w:tc>
      </w:tr>
      <w:tr>
        <w:trPr>
          <w:trHeight w:val="313" w:hRule="atLeast"/>
        </w:trPr>
        <w:tc>
          <w:tcPr>
            <w:tcW w:w="3109" w:type="dxa"/>
          </w:tcPr>
          <w:p>
            <w:pPr>
              <w:pStyle w:val="TableParagraph"/>
              <w:spacing w:line="206" w:lineRule="exact"/>
              <w:ind w:left="9" w:right="4"/>
              <w:jc w:val="center"/>
              <w:rPr>
                <w:sz w:val="18"/>
              </w:rPr>
            </w:pPr>
            <w:r>
              <w:rPr>
                <w:spacing w:val="-2"/>
                <w:sz w:val="18"/>
              </w:rPr>
              <w:t>LEVERAGE</w:t>
            </w:r>
          </w:p>
        </w:tc>
        <w:tc>
          <w:tcPr>
            <w:tcW w:w="1863" w:type="dxa"/>
          </w:tcPr>
          <w:p>
            <w:pPr>
              <w:pStyle w:val="TableParagraph"/>
              <w:spacing w:line="206" w:lineRule="exact"/>
              <w:ind w:left="59"/>
              <w:jc w:val="center"/>
              <w:rPr>
                <w:sz w:val="18"/>
              </w:rPr>
            </w:pPr>
            <w:r>
              <w:rPr>
                <w:spacing w:val="-2"/>
                <w:sz w:val="18"/>
              </w:rPr>
              <w:t>0.003331</w:t>
            </w:r>
          </w:p>
        </w:tc>
        <w:tc>
          <w:tcPr>
            <w:tcW w:w="1861" w:type="dxa"/>
          </w:tcPr>
          <w:p>
            <w:pPr>
              <w:pStyle w:val="TableParagraph"/>
              <w:spacing w:line="206" w:lineRule="exact"/>
              <w:ind w:left="56"/>
              <w:jc w:val="center"/>
              <w:rPr>
                <w:sz w:val="18"/>
              </w:rPr>
            </w:pPr>
            <w:r>
              <w:rPr>
                <w:spacing w:val="-2"/>
                <w:sz w:val="18"/>
              </w:rPr>
              <w:t>3.037180</w:t>
            </w:r>
          </w:p>
        </w:tc>
        <w:tc>
          <w:tcPr>
            <w:tcW w:w="1860" w:type="dxa"/>
          </w:tcPr>
          <w:p>
            <w:pPr>
              <w:pStyle w:val="TableParagraph"/>
              <w:spacing w:line="206" w:lineRule="exact"/>
              <w:ind w:left="57" w:right="1"/>
              <w:jc w:val="center"/>
              <w:rPr>
                <w:sz w:val="18"/>
              </w:rPr>
            </w:pPr>
            <w:r>
              <w:rPr>
                <w:spacing w:val="-2"/>
                <w:sz w:val="18"/>
              </w:rPr>
              <w:t>1.161591</w:t>
            </w:r>
          </w:p>
        </w:tc>
      </w:tr>
      <w:tr>
        <w:trPr>
          <w:trHeight w:val="115" w:hRule="atLeast"/>
        </w:trPr>
        <w:tc>
          <w:tcPr>
            <w:tcW w:w="3109" w:type="dxa"/>
          </w:tcPr>
          <w:p>
            <w:pPr>
              <w:pStyle w:val="TableParagraph"/>
              <w:rPr>
                <w:rFonts w:ascii="Times New Roman"/>
                <w:sz w:val="6"/>
              </w:rPr>
            </w:pPr>
          </w:p>
        </w:tc>
        <w:tc>
          <w:tcPr>
            <w:tcW w:w="1863" w:type="dxa"/>
          </w:tcPr>
          <w:p>
            <w:pPr>
              <w:pStyle w:val="TableParagraph"/>
              <w:rPr>
                <w:rFonts w:ascii="Times New Roman"/>
                <w:sz w:val="6"/>
              </w:rPr>
            </w:pPr>
          </w:p>
        </w:tc>
        <w:tc>
          <w:tcPr>
            <w:tcW w:w="1861" w:type="dxa"/>
          </w:tcPr>
          <w:p>
            <w:pPr>
              <w:pStyle w:val="TableParagraph"/>
              <w:rPr>
                <w:rFonts w:ascii="Times New Roman"/>
                <w:sz w:val="6"/>
              </w:rPr>
            </w:pPr>
          </w:p>
        </w:tc>
        <w:tc>
          <w:tcPr>
            <w:tcW w:w="1860" w:type="dxa"/>
          </w:tcPr>
          <w:p>
            <w:pPr>
              <w:pStyle w:val="TableParagraph"/>
              <w:rPr>
                <w:rFonts w:ascii="Times New Roman"/>
                <w:sz w:val="6"/>
              </w:rPr>
            </w:pPr>
          </w:p>
        </w:tc>
      </w:tr>
      <w:tr>
        <w:trPr>
          <w:trHeight w:val="177" w:hRule="atLeast"/>
        </w:trPr>
        <w:tc>
          <w:tcPr>
            <w:tcW w:w="3109" w:type="dxa"/>
          </w:tcPr>
          <w:p>
            <w:pPr>
              <w:pStyle w:val="TableParagraph"/>
              <w:rPr>
                <w:rFonts w:ascii="Times New Roman"/>
                <w:sz w:val="10"/>
              </w:rPr>
            </w:pPr>
          </w:p>
        </w:tc>
        <w:tc>
          <w:tcPr>
            <w:tcW w:w="1863" w:type="dxa"/>
          </w:tcPr>
          <w:p>
            <w:pPr>
              <w:pStyle w:val="TableParagraph"/>
              <w:rPr>
                <w:rFonts w:ascii="Times New Roman"/>
                <w:sz w:val="10"/>
              </w:rPr>
            </w:pPr>
          </w:p>
        </w:tc>
        <w:tc>
          <w:tcPr>
            <w:tcW w:w="1861" w:type="dxa"/>
          </w:tcPr>
          <w:p>
            <w:pPr>
              <w:pStyle w:val="TableParagraph"/>
              <w:rPr>
                <w:rFonts w:ascii="Times New Roman"/>
                <w:sz w:val="10"/>
              </w:rPr>
            </w:pPr>
          </w:p>
        </w:tc>
        <w:tc>
          <w:tcPr>
            <w:tcW w:w="1860" w:type="dxa"/>
          </w:tcPr>
          <w:p>
            <w:pPr>
              <w:pStyle w:val="TableParagraph"/>
              <w:rPr>
                <w:rFonts w:ascii="Times New Roman"/>
                <w:sz w:val="10"/>
              </w:rPr>
            </w:pPr>
          </w:p>
        </w:tc>
      </w:tr>
    </w:tbl>
    <w:p>
      <w:pPr>
        <w:spacing w:after="0"/>
        <w:rPr>
          <w:rFonts w:ascii="Times New Roman"/>
          <w:sz w:val="10"/>
        </w:rPr>
        <w:sectPr>
          <w:pgSz w:w="11910" w:h="16840"/>
          <w:pgMar w:header="0" w:footer="971" w:top="1360" w:bottom="1160" w:left="500" w:right="0"/>
        </w:sectPr>
      </w:pPr>
    </w:p>
    <w:p>
      <w:pPr>
        <w:spacing w:before="61"/>
        <w:ind w:left="940" w:right="0" w:firstLine="0"/>
        <w:jc w:val="left"/>
        <w:rPr>
          <w:b/>
          <w:sz w:val="24"/>
        </w:rPr>
      </w:pPr>
      <w:r>
        <w:rPr/>
        <w:drawing>
          <wp:anchor distT="0" distB="0" distL="0" distR="0" allowOverlap="1" layoutInCell="1" locked="0" behindDoc="1" simplePos="0" relativeHeight="477778432">
            <wp:simplePos x="0" y="0"/>
            <wp:positionH relativeFrom="page">
              <wp:posOffset>1095451</wp:posOffset>
            </wp:positionH>
            <wp:positionV relativeFrom="page">
              <wp:posOffset>2726054</wp:posOffset>
            </wp:positionV>
            <wp:extent cx="5106847" cy="5238115"/>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5" cstate="print"/>
                    <a:stretch>
                      <a:fillRect/>
                    </a:stretch>
                  </pic:blipFill>
                  <pic:spPr>
                    <a:xfrm>
                      <a:off x="0" y="0"/>
                      <a:ext cx="5106847" cy="5238115"/>
                    </a:xfrm>
                    <a:prstGeom prst="rect">
                      <a:avLst/>
                    </a:prstGeom>
                  </pic:spPr>
                </pic:pic>
              </a:graphicData>
            </a:graphic>
          </wp:anchor>
        </w:drawing>
      </w:r>
      <w:r>
        <w:rPr>
          <w:b/>
          <w:sz w:val="24"/>
        </w:rPr>
        <w:t>Appendix</w:t>
      </w:r>
      <w:r>
        <w:rPr>
          <w:b/>
          <w:spacing w:val="-1"/>
          <w:sz w:val="24"/>
        </w:rPr>
        <w:t> </w:t>
      </w:r>
      <w:r>
        <w:rPr>
          <w:b/>
          <w:sz w:val="24"/>
        </w:rPr>
        <w:t>3:</w:t>
      </w:r>
      <w:r>
        <w:rPr>
          <w:b/>
          <w:spacing w:val="-1"/>
          <w:sz w:val="24"/>
        </w:rPr>
        <w:t> </w:t>
      </w:r>
      <w:r>
        <w:rPr>
          <w:b/>
          <w:sz w:val="24"/>
        </w:rPr>
        <w:t>Table</w:t>
      </w:r>
      <w:r>
        <w:rPr>
          <w:b/>
          <w:spacing w:val="-1"/>
          <w:sz w:val="24"/>
        </w:rPr>
        <w:t> </w:t>
      </w:r>
      <w:r>
        <w:rPr>
          <w:b/>
          <w:sz w:val="24"/>
        </w:rPr>
        <w:t>4.3</w:t>
      </w:r>
      <w:r>
        <w:rPr>
          <w:b/>
          <w:spacing w:val="-1"/>
          <w:sz w:val="24"/>
        </w:rPr>
        <w:t> </w:t>
      </w:r>
      <w:r>
        <w:rPr>
          <w:b/>
          <w:sz w:val="24"/>
        </w:rPr>
        <w:t>Variance</w:t>
      </w:r>
      <w:r>
        <w:rPr>
          <w:b/>
          <w:spacing w:val="-2"/>
          <w:sz w:val="24"/>
        </w:rPr>
        <w:t> </w:t>
      </w:r>
      <w:r>
        <w:rPr>
          <w:b/>
          <w:sz w:val="24"/>
        </w:rPr>
        <w:t>Inflation Factor</w:t>
      </w:r>
      <w:r>
        <w:rPr>
          <w:b/>
          <w:spacing w:val="-1"/>
          <w:sz w:val="24"/>
        </w:rPr>
        <w:t> </w:t>
      </w:r>
      <w:r>
        <w:rPr>
          <w:b/>
          <w:spacing w:val="-4"/>
          <w:sz w:val="24"/>
        </w:rPr>
        <w:t>Test</w:t>
      </w:r>
    </w:p>
    <w:p>
      <w:pPr>
        <w:pStyle w:val="BodyText"/>
        <w:spacing w:before="207" w:after="1"/>
        <w:rPr>
          <w:b/>
          <w:sz w:val="20"/>
        </w:rPr>
      </w:pPr>
    </w:p>
    <w:tbl>
      <w:tblPr>
        <w:tblW w:w="0" w:type="auto"/>
        <w:jc w:val="left"/>
        <w:tblInd w:w="9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358"/>
        <w:gridCol w:w="2014"/>
        <w:gridCol w:w="2009"/>
        <w:gridCol w:w="2011"/>
      </w:tblGrid>
      <w:tr>
        <w:trPr>
          <w:trHeight w:val="311" w:hRule="atLeast"/>
        </w:trPr>
        <w:tc>
          <w:tcPr>
            <w:tcW w:w="7381" w:type="dxa"/>
            <w:gridSpan w:val="3"/>
          </w:tcPr>
          <w:p>
            <w:pPr>
              <w:pStyle w:val="TableParagraph"/>
              <w:spacing w:line="206" w:lineRule="exact"/>
              <w:ind w:left="107"/>
              <w:rPr>
                <w:sz w:val="18"/>
              </w:rPr>
            </w:pPr>
            <w:r>
              <w:rPr>
                <w:sz w:val="18"/>
              </w:rPr>
              <w:t>Variance</w:t>
            </w:r>
            <w:r>
              <w:rPr>
                <w:spacing w:val="-4"/>
                <w:sz w:val="18"/>
              </w:rPr>
              <w:t> </w:t>
            </w:r>
            <w:r>
              <w:rPr>
                <w:sz w:val="18"/>
              </w:rPr>
              <w:t>Inflation</w:t>
            </w:r>
            <w:r>
              <w:rPr>
                <w:spacing w:val="-5"/>
                <w:sz w:val="18"/>
              </w:rPr>
              <w:t> </w:t>
            </w:r>
            <w:r>
              <w:rPr>
                <w:spacing w:val="-2"/>
                <w:sz w:val="18"/>
              </w:rPr>
              <w:t>Factors</w:t>
            </w:r>
          </w:p>
        </w:tc>
        <w:tc>
          <w:tcPr>
            <w:tcW w:w="2011" w:type="dxa"/>
          </w:tcPr>
          <w:p>
            <w:pPr>
              <w:pStyle w:val="TableParagraph"/>
              <w:rPr>
                <w:rFonts w:ascii="Times New Roman"/>
                <w:sz w:val="18"/>
              </w:rPr>
            </w:pPr>
          </w:p>
        </w:tc>
      </w:tr>
      <w:tr>
        <w:trPr>
          <w:trHeight w:val="314" w:hRule="atLeast"/>
        </w:trPr>
        <w:tc>
          <w:tcPr>
            <w:tcW w:w="7381" w:type="dxa"/>
            <w:gridSpan w:val="3"/>
          </w:tcPr>
          <w:p>
            <w:pPr>
              <w:pStyle w:val="TableParagraph"/>
              <w:spacing w:line="206" w:lineRule="exact"/>
              <w:ind w:left="107"/>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21:31</w:t>
            </w:r>
          </w:p>
        </w:tc>
        <w:tc>
          <w:tcPr>
            <w:tcW w:w="2011" w:type="dxa"/>
          </w:tcPr>
          <w:p>
            <w:pPr>
              <w:pStyle w:val="TableParagraph"/>
              <w:rPr>
                <w:rFonts w:ascii="Times New Roman"/>
                <w:sz w:val="18"/>
              </w:rPr>
            </w:pPr>
          </w:p>
        </w:tc>
      </w:tr>
      <w:tr>
        <w:trPr>
          <w:trHeight w:val="311" w:hRule="atLeast"/>
        </w:trPr>
        <w:tc>
          <w:tcPr>
            <w:tcW w:w="5372" w:type="dxa"/>
            <w:gridSpan w:val="2"/>
          </w:tcPr>
          <w:p>
            <w:pPr>
              <w:pStyle w:val="TableParagraph"/>
              <w:spacing w:line="206" w:lineRule="exact"/>
              <w:ind w:left="107"/>
              <w:rPr>
                <w:sz w:val="18"/>
              </w:rPr>
            </w:pPr>
            <w:r>
              <w:rPr>
                <w:sz w:val="18"/>
              </w:rPr>
              <w:t>Sample:</w:t>
            </w:r>
            <w:r>
              <w:rPr>
                <w:spacing w:val="-4"/>
                <w:sz w:val="18"/>
              </w:rPr>
              <w:t> </w:t>
            </w:r>
            <w:r>
              <w:rPr>
                <w:sz w:val="18"/>
              </w:rPr>
              <w:t>1</w:t>
            </w:r>
            <w:r>
              <w:rPr>
                <w:spacing w:val="-3"/>
                <w:sz w:val="18"/>
              </w:rPr>
              <w:t> </w:t>
            </w:r>
            <w:r>
              <w:rPr>
                <w:spacing w:val="-5"/>
                <w:sz w:val="18"/>
              </w:rPr>
              <w:t>195</w:t>
            </w:r>
          </w:p>
        </w:tc>
        <w:tc>
          <w:tcPr>
            <w:tcW w:w="2009" w:type="dxa"/>
          </w:tcPr>
          <w:p>
            <w:pPr>
              <w:pStyle w:val="TableParagraph"/>
              <w:rPr>
                <w:rFonts w:ascii="Times New Roman"/>
                <w:sz w:val="18"/>
              </w:rPr>
            </w:pPr>
          </w:p>
        </w:tc>
        <w:tc>
          <w:tcPr>
            <w:tcW w:w="2011" w:type="dxa"/>
          </w:tcPr>
          <w:p>
            <w:pPr>
              <w:pStyle w:val="TableParagraph"/>
              <w:rPr>
                <w:rFonts w:ascii="Times New Roman"/>
                <w:sz w:val="18"/>
              </w:rPr>
            </w:pPr>
          </w:p>
        </w:tc>
      </w:tr>
      <w:tr>
        <w:trPr>
          <w:trHeight w:val="313" w:hRule="atLeast"/>
        </w:trPr>
        <w:tc>
          <w:tcPr>
            <w:tcW w:w="7381" w:type="dxa"/>
            <w:gridSpan w:val="3"/>
          </w:tcPr>
          <w:p>
            <w:pPr>
              <w:pStyle w:val="TableParagraph"/>
              <w:spacing w:before="1"/>
              <w:ind w:left="107"/>
              <w:rPr>
                <w:sz w:val="18"/>
              </w:rPr>
            </w:pPr>
            <w:r>
              <w:rPr>
                <w:sz w:val="18"/>
              </w:rPr>
              <w:t>Included</w:t>
            </w:r>
            <w:r>
              <w:rPr>
                <w:spacing w:val="-6"/>
                <w:sz w:val="18"/>
              </w:rPr>
              <w:t> </w:t>
            </w:r>
            <w:r>
              <w:rPr>
                <w:sz w:val="18"/>
              </w:rPr>
              <w:t>observations:</w:t>
            </w:r>
            <w:r>
              <w:rPr>
                <w:spacing w:val="-5"/>
                <w:sz w:val="18"/>
              </w:rPr>
              <w:t> 195</w:t>
            </w:r>
          </w:p>
        </w:tc>
        <w:tc>
          <w:tcPr>
            <w:tcW w:w="2011" w:type="dxa"/>
          </w:tcPr>
          <w:p>
            <w:pPr>
              <w:pStyle w:val="TableParagraph"/>
              <w:rPr>
                <w:rFonts w:ascii="Times New Roman"/>
                <w:sz w:val="18"/>
              </w:rPr>
            </w:pPr>
          </w:p>
        </w:tc>
      </w:tr>
      <w:tr>
        <w:trPr>
          <w:trHeight w:val="114" w:hRule="atLeast"/>
        </w:trPr>
        <w:tc>
          <w:tcPr>
            <w:tcW w:w="3358" w:type="dxa"/>
          </w:tcPr>
          <w:p>
            <w:pPr>
              <w:pStyle w:val="TableParagraph"/>
              <w:rPr>
                <w:rFonts w:ascii="Times New Roman"/>
                <w:sz w:val="6"/>
              </w:rPr>
            </w:pPr>
          </w:p>
        </w:tc>
        <w:tc>
          <w:tcPr>
            <w:tcW w:w="2014" w:type="dxa"/>
          </w:tcPr>
          <w:p>
            <w:pPr>
              <w:pStyle w:val="TableParagraph"/>
              <w:rPr>
                <w:rFonts w:ascii="Times New Roman"/>
                <w:sz w:val="6"/>
              </w:rPr>
            </w:pPr>
          </w:p>
        </w:tc>
        <w:tc>
          <w:tcPr>
            <w:tcW w:w="2009" w:type="dxa"/>
          </w:tcPr>
          <w:p>
            <w:pPr>
              <w:pStyle w:val="TableParagraph"/>
              <w:rPr>
                <w:rFonts w:ascii="Times New Roman"/>
                <w:sz w:val="6"/>
              </w:rPr>
            </w:pPr>
          </w:p>
        </w:tc>
        <w:tc>
          <w:tcPr>
            <w:tcW w:w="2011" w:type="dxa"/>
          </w:tcPr>
          <w:p>
            <w:pPr>
              <w:pStyle w:val="TableParagraph"/>
              <w:rPr>
                <w:rFonts w:ascii="Times New Roman"/>
                <w:sz w:val="6"/>
              </w:rPr>
            </w:pPr>
          </w:p>
        </w:tc>
      </w:tr>
      <w:tr>
        <w:trPr>
          <w:trHeight w:val="177" w:hRule="atLeast"/>
        </w:trPr>
        <w:tc>
          <w:tcPr>
            <w:tcW w:w="3358" w:type="dxa"/>
          </w:tcPr>
          <w:p>
            <w:pPr>
              <w:pStyle w:val="TableParagraph"/>
              <w:rPr>
                <w:rFonts w:ascii="Times New Roman"/>
                <w:sz w:val="10"/>
              </w:rPr>
            </w:pPr>
          </w:p>
        </w:tc>
        <w:tc>
          <w:tcPr>
            <w:tcW w:w="2014" w:type="dxa"/>
          </w:tcPr>
          <w:p>
            <w:pPr>
              <w:pStyle w:val="TableParagraph"/>
              <w:rPr>
                <w:rFonts w:ascii="Times New Roman"/>
                <w:sz w:val="10"/>
              </w:rPr>
            </w:pPr>
          </w:p>
        </w:tc>
        <w:tc>
          <w:tcPr>
            <w:tcW w:w="2009" w:type="dxa"/>
          </w:tcPr>
          <w:p>
            <w:pPr>
              <w:pStyle w:val="TableParagraph"/>
              <w:rPr>
                <w:rFonts w:ascii="Times New Roman"/>
                <w:sz w:val="10"/>
              </w:rPr>
            </w:pPr>
          </w:p>
        </w:tc>
        <w:tc>
          <w:tcPr>
            <w:tcW w:w="2011" w:type="dxa"/>
          </w:tcPr>
          <w:p>
            <w:pPr>
              <w:pStyle w:val="TableParagraph"/>
              <w:rPr>
                <w:rFonts w:ascii="Times New Roman"/>
                <w:sz w:val="10"/>
              </w:rPr>
            </w:pPr>
          </w:p>
        </w:tc>
      </w:tr>
      <w:tr>
        <w:trPr>
          <w:trHeight w:val="314" w:hRule="atLeast"/>
        </w:trPr>
        <w:tc>
          <w:tcPr>
            <w:tcW w:w="3358" w:type="dxa"/>
          </w:tcPr>
          <w:p>
            <w:pPr>
              <w:pStyle w:val="TableParagraph"/>
              <w:rPr>
                <w:rFonts w:ascii="Times New Roman"/>
                <w:sz w:val="18"/>
              </w:rPr>
            </w:pPr>
          </w:p>
        </w:tc>
        <w:tc>
          <w:tcPr>
            <w:tcW w:w="2014" w:type="dxa"/>
          </w:tcPr>
          <w:p>
            <w:pPr>
              <w:pStyle w:val="TableParagraph"/>
              <w:spacing w:line="206" w:lineRule="exact"/>
              <w:ind w:left="58" w:right="50"/>
              <w:jc w:val="center"/>
              <w:rPr>
                <w:sz w:val="18"/>
              </w:rPr>
            </w:pPr>
            <w:r>
              <w:rPr>
                <w:spacing w:val="-2"/>
                <w:sz w:val="18"/>
              </w:rPr>
              <w:t>Coefficient</w:t>
            </w:r>
          </w:p>
        </w:tc>
        <w:tc>
          <w:tcPr>
            <w:tcW w:w="2009" w:type="dxa"/>
          </w:tcPr>
          <w:p>
            <w:pPr>
              <w:pStyle w:val="TableParagraph"/>
              <w:spacing w:line="206" w:lineRule="exact"/>
              <w:ind w:left="53" w:right="50"/>
              <w:jc w:val="center"/>
              <w:rPr>
                <w:sz w:val="18"/>
              </w:rPr>
            </w:pPr>
            <w:r>
              <w:rPr>
                <w:spacing w:val="-2"/>
                <w:sz w:val="18"/>
              </w:rPr>
              <w:t>Uncentered</w:t>
            </w:r>
          </w:p>
        </w:tc>
        <w:tc>
          <w:tcPr>
            <w:tcW w:w="2011" w:type="dxa"/>
          </w:tcPr>
          <w:p>
            <w:pPr>
              <w:pStyle w:val="TableParagraph"/>
              <w:spacing w:line="206" w:lineRule="exact"/>
              <w:ind w:left="62" w:right="53"/>
              <w:jc w:val="center"/>
              <w:rPr>
                <w:sz w:val="18"/>
              </w:rPr>
            </w:pPr>
            <w:r>
              <w:rPr>
                <w:spacing w:val="-2"/>
                <w:sz w:val="18"/>
              </w:rPr>
              <w:t>Centered</w:t>
            </w:r>
          </w:p>
        </w:tc>
      </w:tr>
      <w:tr>
        <w:trPr>
          <w:trHeight w:val="311" w:hRule="atLeast"/>
        </w:trPr>
        <w:tc>
          <w:tcPr>
            <w:tcW w:w="3358" w:type="dxa"/>
          </w:tcPr>
          <w:p>
            <w:pPr>
              <w:pStyle w:val="TableParagraph"/>
              <w:spacing w:line="206" w:lineRule="exact"/>
              <w:ind w:left="10"/>
              <w:jc w:val="center"/>
              <w:rPr>
                <w:sz w:val="18"/>
              </w:rPr>
            </w:pPr>
            <w:r>
              <w:rPr>
                <w:spacing w:val="-2"/>
                <w:sz w:val="18"/>
              </w:rPr>
              <w:t>Variable</w:t>
            </w:r>
          </w:p>
        </w:tc>
        <w:tc>
          <w:tcPr>
            <w:tcW w:w="2014" w:type="dxa"/>
          </w:tcPr>
          <w:p>
            <w:pPr>
              <w:pStyle w:val="TableParagraph"/>
              <w:spacing w:line="206" w:lineRule="exact"/>
              <w:ind w:left="58" w:right="50"/>
              <w:jc w:val="center"/>
              <w:rPr>
                <w:sz w:val="18"/>
              </w:rPr>
            </w:pPr>
            <w:r>
              <w:rPr>
                <w:spacing w:val="-2"/>
                <w:sz w:val="18"/>
              </w:rPr>
              <w:t>Variance</w:t>
            </w:r>
          </w:p>
        </w:tc>
        <w:tc>
          <w:tcPr>
            <w:tcW w:w="2009" w:type="dxa"/>
          </w:tcPr>
          <w:p>
            <w:pPr>
              <w:pStyle w:val="TableParagraph"/>
              <w:spacing w:line="206" w:lineRule="exact"/>
              <w:ind w:left="53" w:right="49"/>
              <w:jc w:val="center"/>
              <w:rPr>
                <w:sz w:val="18"/>
              </w:rPr>
            </w:pPr>
            <w:r>
              <w:rPr>
                <w:spacing w:val="-5"/>
                <w:sz w:val="18"/>
              </w:rPr>
              <w:t>VIF</w:t>
            </w:r>
          </w:p>
        </w:tc>
        <w:tc>
          <w:tcPr>
            <w:tcW w:w="2011" w:type="dxa"/>
          </w:tcPr>
          <w:p>
            <w:pPr>
              <w:pStyle w:val="TableParagraph"/>
              <w:spacing w:line="206" w:lineRule="exact"/>
              <w:ind w:left="62" w:right="55"/>
              <w:jc w:val="center"/>
              <w:rPr>
                <w:sz w:val="18"/>
              </w:rPr>
            </w:pPr>
            <w:r>
              <w:rPr>
                <w:spacing w:val="-5"/>
                <w:sz w:val="18"/>
              </w:rPr>
              <w:t>VIF</w:t>
            </w:r>
          </w:p>
        </w:tc>
      </w:tr>
      <w:tr>
        <w:trPr>
          <w:trHeight w:val="114" w:hRule="atLeast"/>
        </w:trPr>
        <w:tc>
          <w:tcPr>
            <w:tcW w:w="3358" w:type="dxa"/>
          </w:tcPr>
          <w:p>
            <w:pPr>
              <w:pStyle w:val="TableParagraph"/>
              <w:rPr>
                <w:rFonts w:ascii="Times New Roman"/>
                <w:sz w:val="6"/>
              </w:rPr>
            </w:pPr>
          </w:p>
        </w:tc>
        <w:tc>
          <w:tcPr>
            <w:tcW w:w="2014" w:type="dxa"/>
          </w:tcPr>
          <w:p>
            <w:pPr>
              <w:pStyle w:val="TableParagraph"/>
              <w:rPr>
                <w:rFonts w:ascii="Times New Roman"/>
                <w:sz w:val="6"/>
              </w:rPr>
            </w:pPr>
          </w:p>
        </w:tc>
        <w:tc>
          <w:tcPr>
            <w:tcW w:w="2009" w:type="dxa"/>
          </w:tcPr>
          <w:p>
            <w:pPr>
              <w:pStyle w:val="TableParagraph"/>
              <w:rPr>
                <w:rFonts w:ascii="Times New Roman"/>
                <w:sz w:val="6"/>
              </w:rPr>
            </w:pPr>
          </w:p>
        </w:tc>
        <w:tc>
          <w:tcPr>
            <w:tcW w:w="2011" w:type="dxa"/>
          </w:tcPr>
          <w:p>
            <w:pPr>
              <w:pStyle w:val="TableParagraph"/>
              <w:rPr>
                <w:rFonts w:ascii="Times New Roman"/>
                <w:sz w:val="6"/>
              </w:rPr>
            </w:pPr>
          </w:p>
        </w:tc>
      </w:tr>
      <w:tr>
        <w:trPr>
          <w:trHeight w:val="177" w:hRule="atLeast"/>
        </w:trPr>
        <w:tc>
          <w:tcPr>
            <w:tcW w:w="3358" w:type="dxa"/>
          </w:tcPr>
          <w:p>
            <w:pPr>
              <w:pStyle w:val="TableParagraph"/>
              <w:rPr>
                <w:rFonts w:ascii="Times New Roman"/>
                <w:sz w:val="10"/>
              </w:rPr>
            </w:pPr>
          </w:p>
        </w:tc>
        <w:tc>
          <w:tcPr>
            <w:tcW w:w="2014" w:type="dxa"/>
          </w:tcPr>
          <w:p>
            <w:pPr>
              <w:pStyle w:val="TableParagraph"/>
              <w:rPr>
                <w:rFonts w:ascii="Times New Roman"/>
                <w:sz w:val="10"/>
              </w:rPr>
            </w:pPr>
          </w:p>
        </w:tc>
        <w:tc>
          <w:tcPr>
            <w:tcW w:w="2009" w:type="dxa"/>
          </w:tcPr>
          <w:p>
            <w:pPr>
              <w:pStyle w:val="TableParagraph"/>
              <w:rPr>
                <w:rFonts w:ascii="Times New Roman"/>
                <w:sz w:val="10"/>
              </w:rPr>
            </w:pPr>
          </w:p>
        </w:tc>
        <w:tc>
          <w:tcPr>
            <w:tcW w:w="2011" w:type="dxa"/>
          </w:tcPr>
          <w:p>
            <w:pPr>
              <w:pStyle w:val="TableParagraph"/>
              <w:rPr>
                <w:rFonts w:ascii="Times New Roman"/>
                <w:sz w:val="10"/>
              </w:rPr>
            </w:pPr>
          </w:p>
        </w:tc>
      </w:tr>
      <w:tr>
        <w:trPr>
          <w:trHeight w:val="314" w:hRule="atLeast"/>
        </w:trPr>
        <w:tc>
          <w:tcPr>
            <w:tcW w:w="3358" w:type="dxa"/>
          </w:tcPr>
          <w:p>
            <w:pPr>
              <w:pStyle w:val="TableParagraph"/>
              <w:spacing w:line="206" w:lineRule="exact"/>
              <w:ind w:left="10" w:right="3"/>
              <w:jc w:val="center"/>
              <w:rPr>
                <w:sz w:val="18"/>
              </w:rPr>
            </w:pPr>
            <w:r>
              <w:rPr>
                <w:spacing w:val="-10"/>
                <w:sz w:val="18"/>
              </w:rPr>
              <w:t>C</w:t>
            </w:r>
          </w:p>
        </w:tc>
        <w:tc>
          <w:tcPr>
            <w:tcW w:w="2014" w:type="dxa"/>
          </w:tcPr>
          <w:p>
            <w:pPr>
              <w:pStyle w:val="TableParagraph"/>
              <w:spacing w:line="206" w:lineRule="exact"/>
              <w:ind w:left="58"/>
              <w:jc w:val="center"/>
              <w:rPr>
                <w:sz w:val="18"/>
              </w:rPr>
            </w:pPr>
            <w:r>
              <w:rPr>
                <w:spacing w:val="-2"/>
                <w:sz w:val="18"/>
              </w:rPr>
              <w:t>215.4747</w:t>
            </w:r>
          </w:p>
        </w:tc>
        <w:tc>
          <w:tcPr>
            <w:tcW w:w="2009" w:type="dxa"/>
          </w:tcPr>
          <w:p>
            <w:pPr>
              <w:pStyle w:val="TableParagraph"/>
              <w:spacing w:line="206" w:lineRule="exact"/>
              <w:ind w:left="53"/>
              <w:jc w:val="center"/>
              <w:rPr>
                <w:sz w:val="18"/>
              </w:rPr>
            </w:pPr>
            <w:r>
              <w:rPr>
                <w:spacing w:val="-2"/>
                <w:sz w:val="18"/>
              </w:rPr>
              <w:t>453.9059</w:t>
            </w:r>
          </w:p>
        </w:tc>
        <w:tc>
          <w:tcPr>
            <w:tcW w:w="2011" w:type="dxa"/>
          </w:tcPr>
          <w:p>
            <w:pPr>
              <w:pStyle w:val="TableParagraph"/>
              <w:spacing w:line="206" w:lineRule="exact"/>
              <w:ind w:left="62" w:right="4"/>
              <w:jc w:val="center"/>
              <w:rPr>
                <w:sz w:val="18"/>
              </w:rPr>
            </w:pPr>
            <w:r>
              <w:rPr>
                <w:spacing w:val="-5"/>
                <w:sz w:val="18"/>
              </w:rPr>
              <w:t>NA</w:t>
            </w:r>
          </w:p>
        </w:tc>
      </w:tr>
      <w:tr>
        <w:trPr>
          <w:trHeight w:val="311" w:hRule="atLeast"/>
        </w:trPr>
        <w:tc>
          <w:tcPr>
            <w:tcW w:w="3358" w:type="dxa"/>
          </w:tcPr>
          <w:p>
            <w:pPr>
              <w:pStyle w:val="TableParagraph"/>
              <w:spacing w:line="206" w:lineRule="exact"/>
              <w:ind w:left="10" w:right="1"/>
              <w:jc w:val="center"/>
              <w:rPr>
                <w:sz w:val="18"/>
              </w:rPr>
            </w:pPr>
            <w:r>
              <w:rPr>
                <w:spacing w:val="-2"/>
                <w:sz w:val="18"/>
              </w:rPr>
              <w:t>BDIND</w:t>
            </w:r>
          </w:p>
        </w:tc>
        <w:tc>
          <w:tcPr>
            <w:tcW w:w="2014" w:type="dxa"/>
          </w:tcPr>
          <w:p>
            <w:pPr>
              <w:pStyle w:val="TableParagraph"/>
              <w:spacing w:line="206" w:lineRule="exact"/>
              <w:ind w:left="58"/>
              <w:jc w:val="center"/>
              <w:rPr>
                <w:sz w:val="18"/>
              </w:rPr>
            </w:pPr>
            <w:r>
              <w:rPr>
                <w:spacing w:val="-2"/>
                <w:sz w:val="18"/>
              </w:rPr>
              <w:t>52.40299</w:t>
            </w:r>
          </w:p>
        </w:tc>
        <w:tc>
          <w:tcPr>
            <w:tcW w:w="2009" w:type="dxa"/>
          </w:tcPr>
          <w:p>
            <w:pPr>
              <w:pStyle w:val="TableParagraph"/>
              <w:spacing w:line="206" w:lineRule="exact"/>
              <w:ind w:left="53"/>
              <w:jc w:val="center"/>
              <w:rPr>
                <w:sz w:val="18"/>
              </w:rPr>
            </w:pPr>
            <w:r>
              <w:rPr>
                <w:spacing w:val="-2"/>
                <w:sz w:val="18"/>
              </w:rPr>
              <w:t>37.38267</w:t>
            </w:r>
          </w:p>
        </w:tc>
        <w:tc>
          <w:tcPr>
            <w:tcW w:w="2011" w:type="dxa"/>
          </w:tcPr>
          <w:p>
            <w:pPr>
              <w:pStyle w:val="TableParagraph"/>
              <w:spacing w:line="206" w:lineRule="exact"/>
              <w:ind w:left="62"/>
              <w:jc w:val="center"/>
              <w:rPr>
                <w:sz w:val="18"/>
              </w:rPr>
            </w:pPr>
            <w:r>
              <w:rPr>
                <w:spacing w:val="-2"/>
                <w:sz w:val="18"/>
              </w:rPr>
              <w:t>1.348595</w:t>
            </w:r>
          </w:p>
        </w:tc>
      </w:tr>
      <w:tr>
        <w:trPr>
          <w:trHeight w:val="314" w:hRule="atLeast"/>
        </w:trPr>
        <w:tc>
          <w:tcPr>
            <w:tcW w:w="3358" w:type="dxa"/>
          </w:tcPr>
          <w:p>
            <w:pPr>
              <w:pStyle w:val="TableParagraph"/>
              <w:spacing w:line="206" w:lineRule="exact"/>
              <w:ind w:left="10" w:right="3"/>
              <w:jc w:val="center"/>
              <w:rPr>
                <w:sz w:val="18"/>
              </w:rPr>
            </w:pPr>
            <w:r>
              <w:rPr>
                <w:spacing w:val="-5"/>
                <w:sz w:val="18"/>
              </w:rPr>
              <w:t>BDS</w:t>
            </w:r>
          </w:p>
        </w:tc>
        <w:tc>
          <w:tcPr>
            <w:tcW w:w="2014" w:type="dxa"/>
          </w:tcPr>
          <w:p>
            <w:pPr>
              <w:pStyle w:val="TableParagraph"/>
              <w:spacing w:line="206" w:lineRule="exact"/>
              <w:ind w:left="58"/>
              <w:jc w:val="center"/>
              <w:rPr>
                <w:sz w:val="18"/>
              </w:rPr>
            </w:pPr>
            <w:r>
              <w:rPr>
                <w:spacing w:val="-2"/>
                <w:sz w:val="18"/>
              </w:rPr>
              <w:t>0.066369</w:t>
            </w:r>
          </w:p>
        </w:tc>
        <w:tc>
          <w:tcPr>
            <w:tcW w:w="2009" w:type="dxa"/>
          </w:tcPr>
          <w:p>
            <w:pPr>
              <w:pStyle w:val="TableParagraph"/>
              <w:spacing w:line="206" w:lineRule="exact"/>
              <w:ind w:left="53"/>
              <w:jc w:val="center"/>
              <w:rPr>
                <w:sz w:val="18"/>
              </w:rPr>
            </w:pPr>
            <w:r>
              <w:rPr>
                <w:spacing w:val="-2"/>
                <w:sz w:val="18"/>
              </w:rPr>
              <w:t>27.71939</w:t>
            </w:r>
          </w:p>
        </w:tc>
        <w:tc>
          <w:tcPr>
            <w:tcW w:w="2011" w:type="dxa"/>
          </w:tcPr>
          <w:p>
            <w:pPr>
              <w:pStyle w:val="TableParagraph"/>
              <w:spacing w:line="206" w:lineRule="exact"/>
              <w:ind w:left="62"/>
              <w:jc w:val="center"/>
              <w:rPr>
                <w:sz w:val="18"/>
              </w:rPr>
            </w:pPr>
            <w:r>
              <w:rPr>
                <w:spacing w:val="-2"/>
                <w:sz w:val="18"/>
              </w:rPr>
              <w:t>1.272032</w:t>
            </w:r>
          </w:p>
        </w:tc>
      </w:tr>
      <w:tr>
        <w:trPr>
          <w:trHeight w:val="311" w:hRule="atLeast"/>
        </w:trPr>
        <w:tc>
          <w:tcPr>
            <w:tcW w:w="3358" w:type="dxa"/>
          </w:tcPr>
          <w:p>
            <w:pPr>
              <w:pStyle w:val="TableParagraph"/>
              <w:spacing w:line="206" w:lineRule="exact"/>
              <w:ind w:left="10" w:right="4"/>
              <w:jc w:val="center"/>
              <w:rPr>
                <w:sz w:val="18"/>
              </w:rPr>
            </w:pPr>
            <w:r>
              <w:rPr>
                <w:spacing w:val="-2"/>
                <w:sz w:val="18"/>
              </w:rPr>
              <w:t>BFEXP</w:t>
            </w:r>
          </w:p>
        </w:tc>
        <w:tc>
          <w:tcPr>
            <w:tcW w:w="2014" w:type="dxa"/>
          </w:tcPr>
          <w:p>
            <w:pPr>
              <w:pStyle w:val="TableParagraph"/>
              <w:spacing w:line="206" w:lineRule="exact"/>
              <w:ind w:left="58"/>
              <w:jc w:val="center"/>
              <w:rPr>
                <w:sz w:val="18"/>
              </w:rPr>
            </w:pPr>
            <w:r>
              <w:rPr>
                <w:spacing w:val="-2"/>
                <w:sz w:val="18"/>
              </w:rPr>
              <w:t>51.51235</w:t>
            </w:r>
          </w:p>
        </w:tc>
        <w:tc>
          <w:tcPr>
            <w:tcW w:w="2009" w:type="dxa"/>
          </w:tcPr>
          <w:p>
            <w:pPr>
              <w:pStyle w:val="TableParagraph"/>
              <w:spacing w:line="206" w:lineRule="exact"/>
              <w:ind w:left="53"/>
              <w:jc w:val="center"/>
              <w:rPr>
                <w:sz w:val="18"/>
              </w:rPr>
            </w:pPr>
            <w:r>
              <w:rPr>
                <w:spacing w:val="-2"/>
                <w:sz w:val="18"/>
              </w:rPr>
              <w:t>36.49619</w:t>
            </w:r>
          </w:p>
        </w:tc>
        <w:tc>
          <w:tcPr>
            <w:tcW w:w="2011" w:type="dxa"/>
          </w:tcPr>
          <w:p>
            <w:pPr>
              <w:pStyle w:val="TableParagraph"/>
              <w:spacing w:line="206" w:lineRule="exact"/>
              <w:ind w:left="62"/>
              <w:jc w:val="center"/>
              <w:rPr>
                <w:sz w:val="18"/>
              </w:rPr>
            </w:pPr>
            <w:r>
              <w:rPr>
                <w:spacing w:val="-2"/>
                <w:sz w:val="18"/>
              </w:rPr>
              <w:t>1.153696</w:t>
            </w:r>
          </w:p>
        </w:tc>
      </w:tr>
      <w:tr>
        <w:trPr>
          <w:trHeight w:val="313" w:hRule="atLeast"/>
        </w:trPr>
        <w:tc>
          <w:tcPr>
            <w:tcW w:w="3358" w:type="dxa"/>
          </w:tcPr>
          <w:p>
            <w:pPr>
              <w:pStyle w:val="TableParagraph"/>
              <w:spacing w:before="1"/>
              <w:ind w:left="10" w:right="4"/>
              <w:jc w:val="center"/>
              <w:rPr>
                <w:sz w:val="18"/>
              </w:rPr>
            </w:pPr>
            <w:r>
              <w:rPr>
                <w:spacing w:val="-4"/>
                <w:sz w:val="18"/>
              </w:rPr>
              <w:t>MOWN</w:t>
            </w:r>
          </w:p>
        </w:tc>
        <w:tc>
          <w:tcPr>
            <w:tcW w:w="2014" w:type="dxa"/>
          </w:tcPr>
          <w:p>
            <w:pPr>
              <w:pStyle w:val="TableParagraph"/>
              <w:spacing w:before="1"/>
              <w:ind w:left="58"/>
              <w:jc w:val="center"/>
              <w:rPr>
                <w:sz w:val="18"/>
              </w:rPr>
            </w:pPr>
            <w:r>
              <w:rPr>
                <w:spacing w:val="-2"/>
                <w:sz w:val="18"/>
              </w:rPr>
              <w:t>0.002955</w:t>
            </w:r>
          </w:p>
        </w:tc>
        <w:tc>
          <w:tcPr>
            <w:tcW w:w="2009" w:type="dxa"/>
          </w:tcPr>
          <w:p>
            <w:pPr>
              <w:pStyle w:val="TableParagraph"/>
              <w:spacing w:before="1"/>
              <w:ind w:left="53"/>
              <w:jc w:val="center"/>
              <w:rPr>
                <w:sz w:val="18"/>
              </w:rPr>
            </w:pPr>
            <w:r>
              <w:rPr>
                <w:spacing w:val="-2"/>
                <w:sz w:val="18"/>
              </w:rPr>
              <w:t>2.040747</w:t>
            </w:r>
          </w:p>
        </w:tc>
        <w:tc>
          <w:tcPr>
            <w:tcW w:w="2011" w:type="dxa"/>
          </w:tcPr>
          <w:p>
            <w:pPr>
              <w:pStyle w:val="TableParagraph"/>
              <w:spacing w:before="1"/>
              <w:ind w:left="62"/>
              <w:jc w:val="center"/>
              <w:rPr>
                <w:sz w:val="18"/>
              </w:rPr>
            </w:pPr>
            <w:r>
              <w:rPr>
                <w:spacing w:val="-2"/>
                <w:sz w:val="18"/>
              </w:rPr>
              <w:t>1.218599</w:t>
            </w:r>
          </w:p>
        </w:tc>
      </w:tr>
      <w:tr>
        <w:trPr>
          <w:trHeight w:val="314" w:hRule="atLeast"/>
        </w:trPr>
        <w:tc>
          <w:tcPr>
            <w:tcW w:w="3358" w:type="dxa"/>
          </w:tcPr>
          <w:p>
            <w:pPr>
              <w:pStyle w:val="TableParagraph"/>
              <w:spacing w:line="206" w:lineRule="exact"/>
              <w:ind w:left="10" w:right="1"/>
              <w:jc w:val="center"/>
              <w:rPr>
                <w:sz w:val="18"/>
              </w:rPr>
            </w:pPr>
            <w:r>
              <w:rPr>
                <w:spacing w:val="-4"/>
                <w:sz w:val="18"/>
              </w:rPr>
              <w:t>FOWN</w:t>
            </w:r>
          </w:p>
        </w:tc>
        <w:tc>
          <w:tcPr>
            <w:tcW w:w="2014" w:type="dxa"/>
          </w:tcPr>
          <w:p>
            <w:pPr>
              <w:pStyle w:val="TableParagraph"/>
              <w:spacing w:line="206" w:lineRule="exact"/>
              <w:ind w:left="58"/>
              <w:jc w:val="center"/>
              <w:rPr>
                <w:sz w:val="18"/>
              </w:rPr>
            </w:pPr>
            <w:r>
              <w:rPr>
                <w:spacing w:val="-2"/>
                <w:sz w:val="18"/>
              </w:rPr>
              <w:t>0.002206</w:t>
            </w:r>
          </w:p>
        </w:tc>
        <w:tc>
          <w:tcPr>
            <w:tcW w:w="2009" w:type="dxa"/>
          </w:tcPr>
          <w:p>
            <w:pPr>
              <w:pStyle w:val="TableParagraph"/>
              <w:spacing w:line="206" w:lineRule="exact"/>
              <w:ind w:left="53"/>
              <w:jc w:val="center"/>
              <w:rPr>
                <w:sz w:val="18"/>
              </w:rPr>
            </w:pPr>
            <w:r>
              <w:rPr>
                <w:spacing w:val="-2"/>
                <w:sz w:val="18"/>
              </w:rPr>
              <w:t>6.263620</w:t>
            </w:r>
          </w:p>
        </w:tc>
        <w:tc>
          <w:tcPr>
            <w:tcW w:w="2011" w:type="dxa"/>
          </w:tcPr>
          <w:p>
            <w:pPr>
              <w:pStyle w:val="TableParagraph"/>
              <w:spacing w:line="206" w:lineRule="exact"/>
              <w:ind w:left="62"/>
              <w:jc w:val="center"/>
              <w:rPr>
                <w:sz w:val="18"/>
              </w:rPr>
            </w:pPr>
            <w:r>
              <w:rPr>
                <w:spacing w:val="-2"/>
                <w:sz w:val="18"/>
              </w:rPr>
              <w:t>4.222756</w:t>
            </w:r>
          </w:p>
        </w:tc>
      </w:tr>
      <w:tr>
        <w:trPr>
          <w:trHeight w:val="311" w:hRule="atLeast"/>
        </w:trPr>
        <w:tc>
          <w:tcPr>
            <w:tcW w:w="3358" w:type="dxa"/>
          </w:tcPr>
          <w:p>
            <w:pPr>
              <w:pStyle w:val="TableParagraph"/>
              <w:spacing w:line="206" w:lineRule="exact"/>
              <w:ind w:left="10" w:right="3"/>
              <w:jc w:val="center"/>
              <w:rPr>
                <w:sz w:val="18"/>
              </w:rPr>
            </w:pPr>
            <w:r>
              <w:rPr>
                <w:spacing w:val="-2"/>
                <w:sz w:val="18"/>
              </w:rPr>
              <w:t>INSTOWN</w:t>
            </w:r>
          </w:p>
        </w:tc>
        <w:tc>
          <w:tcPr>
            <w:tcW w:w="2014" w:type="dxa"/>
          </w:tcPr>
          <w:p>
            <w:pPr>
              <w:pStyle w:val="TableParagraph"/>
              <w:spacing w:line="206" w:lineRule="exact"/>
              <w:ind w:left="58"/>
              <w:jc w:val="center"/>
              <w:rPr>
                <w:sz w:val="18"/>
              </w:rPr>
            </w:pPr>
            <w:r>
              <w:rPr>
                <w:spacing w:val="-2"/>
                <w:sz w:val="18"/>
              </w:rPr>
              <w:t>0.003707</w:t>
            </w:r>
          </w:p>
        </w:tc>
        <w:tc>
          <w:tcPr>
            <w:tcW w:w="2009" w:type="dxa"/>
          </w:tcPr>
          <w:p>
            <w:pPr>
              <w:pStyle w:val="TableParagraph"/>
              <w:spacing w:line="206" w:lineRule="exact"/>
              <w:ind w:left="53"/>
              <w:jc w:val="center"/>
              <w:rPr>
                <w:sz w:val="18"/>
              </w:rPr>
            </w:pPr>
            <w:r>
              <w:rPr>
                <w:spacing w:val="-2"/>
                <w:sz w:val="18"/>
              </w:rPr>
              <w:t>16.31983</w:t>
            </w:r>
          </w:p>
        </w:tc>
        <w:tc>
          <w:tcPr>
            <w:tcW w:w="2011" w:type="dxa"/>
          </w:tcPr>
          <w:p>
            <w:pPr>
              <w:pStyle w:val="TableParagraph"/>
              <w:spacing w:line="206" w:lineRule="exact"/>
              <w:ind w:left="62"/>
              <w:jc w:val="center"/>
              <w:rPr>
                <w:sz w:val="18"/>
              </w:rPr>
            </w:pPr>
            <w:r>
              <w:rPr>
                <w:spacing w:val="-2"/>
                <w:sz w:val="18"/>
              </w:rPr>
              <w:t>5.926072</w:t>
            </w:r>
          </w:p>
        </w:tc>
      </w:tr>
      <w:tr>
        <w:trPr>
          <w:trHeight w:val="314" w:hRule="atLeast"/>
        </w:trPr>
        <w:tc>
          <w:tcPr>
            <w:tcW w:w="3358" w:type="dxa"/>
          </w:tcPr>
          <w:p>
            <w:pPr>
              <w:pStyle w:val="TableParagraph"/>
              <w:spacing w:line="206" w:lineRule="exact"/>
              <w:ind w:left="10" w:right="2"/>
              <w:jc w:val="center"/>
              <w:rPr>
                <w:sz w:val="18"/>
              </w:rPr>
            </w:pPr>
            <w:r>
              <w:rPr>
                <w:spacing w:val="-2"/>
                <w:sz w:val="18"/>
              </w:rPr>
              <w:t>BLOWN</w:t>
            </w:r>
          </w:p>
        </w:tc>
        <w:tc>
          <w:tcPr>
            <w:tcW w:w="2014" w:type="dxa"/>
          </w:tcPr>
          <w:p>
            <w:pPr>
              <w:pStyle w:val="TableParagraph"/>
              <w:spacing w:line="206" w:lineRule="exact"/>
              <w:ind w:left="58"/>
              <w:jc w:val="center"/>
              <w:rPr>
                <w:sz w:val="18"/>
              </w:rPr>
            </w:pPr>
            <w:r>
              <w:rPr>
                <w:spacing w:val="-2"/>
                <w:sz w:val="18"/>
              </w:rPr>
              <w:t>0.003782</w:t>
            </w:r>
          </w:p>
        </w:tc>
        <w:tc>
          <w:tcPr>
            <w:tcW w:w="2009" w:type="dxa"/>
          </w:tcPr>
          <w:p>
            <w:pPr>
              <w:pStyle w:val="TableParagraph"/>
              <w:spacing w:line="206" w:lineRule="exact"/>
              <w:ind w:left="53"/>
              <w:jc w:val="center"/>
              <w:rPr>
                <w:sz w:val="18"/>
              </w:rPr>
            </w:pPr>
            <w:r>
              <w:rPr>
                <w:spacing w:val="-2"/>
                <w:sz w:val="18"/>
              </w:rPr>
              <w:t>16.48940</w:t>
            </w:r>
          </w:p>
        </w:tc>
        <w:tc>
          <w:tcPr>
            <w:tcW w:w="2011" w:type="dxa"/>
          </w:tcPr>
          <w:p>
            <w:pPr>
              <w:pStyle w:val="TableParagraph"/>
              <w:spacing w:line="206" w:lineRule="exact"/>
              <w:ind w:left="62"/>
              <w:jc w:val="center"/>
              <w:rPr>
                <w:sz w:val="18"/>
              </w:rPr>
            </w:pPr>
            <w:r>
              <w:rPr>
                <w:spacing w:val="-2"/>
                <w:sz w:val="18"/>
              </w:rPr>
              <w:t>6.870258</w:t>
            </w:r>
          </w:p>
        </w:tc>
      </w:tr>
      <w:tr>
        <w:trPr>
          <w:trHeight w:val="311" w:hRule="atLeast"/>
        </w:trPr>
        <w:tc>
          <w:tcPr>
            <w:tcW w:w="3358" w:type="dxa"/>
          </w:tcPr>
          <w:p>
            <w:pPr>
              <w:pStyle w:val="TableParagraph"/>
              <w:spacing w:line="206" w:lineRule="exact"/>
              <w:ind w:left="10" w:right="3"/>
              <w:jc w:val="center"/>
              <w:rPr>
                <w:sz w:val="18"/>
              </w:rPr>
            </w:pPr>
            <w:r>
              <w:rPr>
                <w:spacing w:val="-4"/>
                <w:sz w:val="18"/>
              </w:rPr>
              <w:t>FAGE</w:t>
            </w:r>
          </w:p>
        </w:tc>
        <w:tc>
          <w:tcPr>
            <w:tcW w:w="2014" w:type="dxa"/>
          </w:tcPr>
          <w:p>
            <w:pPr>
              <w:pStyle w:val="TableParagraph"/>
              <w:spacing w:line="206" w:lineRule="exact"/>
              <w:ind w:left="58"/>
              <w:jc w:val="center"/>
              <w:rPr>
                <w:sz w:val="18"/>
              </w:rPr>
            </w:pPr>
            <w:r>
              <w:rPr>
                <w:spacing w:val="-2"/>
                <w:sz w:val="18"/>
              </w:rPr>
              <w:t>0.004886</w:t>
            </w:r>
          </w:p>
        </w:tc>
        <w:tc>
          <w:tcPr>
            <w:tcW w:w="2009" w:type="dxa"/>
          </w:tcPr>
          <w:p>
            <w:pPr>
              <w:pStyle w:val="TableParagraph"/>
              <w:spacing w:line="206" w:lineRule="exact"/>
              <w:ind w:left="53"/>
              <w:jc w:val="center"/>
              <w:rPr>
                <w:sz w:val="18"/>
              </w:rPr>
            </w:pPr>
            <w:r>
              <w:rPr>
                <w:spacing w:val="-2"/>
                <w:sz w:val="18"/>
              </w:rPr>
              <w:t>10.94839</w:t>
            </w:r>
          </w:p>
        </w:tc>
        <w:tc>
          <w:tcPr>
            <w:tcW w:w="2011" w:type="dxa"/>
          </w:tcPr>
          <w:p>
            <w:pPr>
              <w:pStyle w:val="TableParagraph"/>
              <w:spacing w:line="206" w:lineRule="exact"/>
              <w:ind w:left="62"/>
              <w:jc w:val="center"/>
              <w:rPr>
                <w:sz w:val="18"/>
              </w:rPr>
            </w:pPr>
            <w:r>
              <w:rPr>
                <w:spacing w:val="-2"/>
                <w:sz w:val="18"/>
              </w:rPr>
              <w:t>1.275881</w:t>
            </w:r>
          </w:p>
        </w:tc>
      </w:tr>
      <w:tr>
        <w:trPr>
          <w:trHeight w:val="314" w:hRule="atLeast"/>
        </w:trPr>
        <w:tc>
          <w:tcPr>
            <w:tcW w:w="3358" w:type="dxa"/>
          </w:tcPr>
          <w:p>
            <w:pPr>
              <w:pStyle w:val="TableParagraph"/>
              <w:spacing w:before="1"/>
              <w:ind w:left="10" w:right="2"/>
              <w:jc w:val="center"/>
              <w:rPr>
                <w:sz w:val="18"/>
              </w:rPr>
            </w:pPr>
            <w:r>
              <w:rPr>
                <w:spacing w:val="-2"/>
                <w:sz w:val="18"/>
              </w:rPr>
              <w:t>FSIZE</w:t>
            </w:r>
          </w:p>
        </w:tc>
        <w:tc>
          <w:tcPr>
            <w:tcW w:w="2014" w:type="dxa"/>
          </w:tcPr>
          <w:p>
            <w:pPr>
              <w:pStyle w:val="TableParagraph"/>
              <w:spacing w:before="1"/>
              <w:ind w:left="58"/>
              <w:jc w:val="center"/>
              <w:rPr>
                <w:sz w:val="18"/>
              </w:rPr>
            </w:pPr>
            <w:r>
              <w:rPr>
                <w:spacing w:val="-2"/>
                <w:sz w:val="18"/>
              </w:rPr>
              <w:t>2.217069</w:t>
            </w:r>
          </w:p>
        </w:tc>
        <w:tc>
          <w:tcPr>
            <w:tcW w:w="2009" w:type="dxa"/>
          </w:tcPr>
          <w:p>
            <w:pPr>
              <w:pStyle w:val="TableParagraph"/>
              <w:spacing w:before="1"/>
              <w:ind w:left="53"/>
              <w:jc w:val="center"/>
              <w:rPr>
                <w:sz w:val="18"/>
              </w:rPr>
            </w:pPr>
            <w:r>
              <w:rPr>
                <w:spacing w:val="-2"/>
                <w:sz w:val="18"/>
              </w:rPr>
              <w:t>373.7945</w:t>
            </w:r>
          </w:p>
        </w:tc>
        <w:tc>
          <w:tcPr>
            <w:tcW w:w="2011" w:type="dxa"/>
          </w:tcPr>
          <w:p>
            <w:pPr>
              <w:pStyle w:val="TableParagraph"/>
              <w:spacing w:before="1"/>
              <w:ind w:left="62"/>
              <w:jc w:val="center"/>
              <w:rPr>
                <w:sz w:val="18"/>
              </w:rPr>
            </w:pPr>
            <w:r>
              <w:rPr>
                <w:spacing w:val="-2"/>
                <w:sz w:val="18"/>
              </w:rPr>
              <w:t>1.243380</w:t>
            </w:r>
          </w:p>
        </w:tc>
      </w:tr>
      <w:tr>
        <w:trPr>
          <w:trHeight w:val="313" w:hRule="atLeast"/>
        </w:trPr>
        <w:tc>
          <w:tcPr>
            <w:tcW w:w="3358" w:type="dxa"/>
          </w:tcPr>
          <w:p>
            <w:pPr>
              <w:pStyle w:val="TableParagraph"/>
              <w:spacing w:line="206" w:lineRule="exact"/>
              <w:ind w:left="10" w:right="4"/>
              <w:jc w:val="center"/>
              <w:rPr>
                <w:sz w:val="18"/>
              </w:rPr>
            </w:pPr>
            <w:r>
              <w:rPr>
                <w:spacing w:val="-2"/>
                <w:sz w:val="18"/>
              </w:rPr>
              <w:t>LEVERAGE</w:t>
            </w:r>
          </w:p>
        </w:tc>
        <w:tc>
          <w:tcPr>
            <w:tcW w:w="2014" w:type="dxa"/>
          </w:tcPr>
          <w:p>
            <w:pPr>
              <w:pStyle w:val="TableParagraph"/>
              <w:spacing w:line="206" w:lineRule="exact"/>
              <w:ind w:left="58"/>
              <w:jc w:val="center"/>
              <w:rPr>
                <w:sz w:val="18"/>
              </w:rPr>
            </w:pPr>
            <w:r>
              <w:rPr>
                <w:spacing w:val="-2"/>
                <w:sz w:val="18"/>
              </w:rPr>
              <w:t>0.963665</w:t>
            </w:r>
          </w:p>
        </w:tc>
        <w:tc>
          <w:tcPr>
            <w:tcW w:w="2009" w:type="dxa"/>
          </w:tcPr>
          <w:p>
            <w:pPr>
              <w:pStyle w:val="TableParagraph"/>
              <w:spacing w:line="206" w:lineRule="exact"/>
              <w:ind w:left="53"/>
              <w:jc w:val="center"/>
              <w:rPr>
                <w:sz w:val="18"/>
              </w:rPr>
            </w:pPr>
            <w:r>
              <w:rPr>
                <w:spacing w:val="-2"/>
                <w:sz w:val="18"/>
              </w:rPr>
              <w:t>3.037180</w:t>
            </w:r>
          </w:p>
        </w:tc>
        <w:tc>
          <w:tcPr>
            <w:tcW w:w="2011" w:type="dxa"/>
          </w:tcPr>
          <w:p>
            <w:pPr>
              <w:pStyle w:val="TableParagraph"/>
              <w:spacing w:line="206" w:lineRule="exact"/>
              <w:ind w:left="62"/>
              <w:jc w:val="center"/>
              <w:rPr>
                <w:sz w:val="18"/>
              </w:rPr>
            </w:pPr>
            <w:r>
              <w:rPr>
                <w:spacing w:val="-2"/>
                <w:sz w:val="18"/>
              </w:rPr>
              <w:t>1.161591</w:t>
            </w:r>
          </w:p>
        </w:tc>
      </w:tr>
      <w:tr>
        <w:trPr>
          <w:trHeight w:val="115" w:hRule="atLeast"/>
        </w:trPr>
        <w:tc>
          <w:tcPr>
            <w:tcW w:w="3358" w:type="dxa"/>
          </w:tcPr>
          <w:p>
            <w:pPr>
              <w:pStyle w:val="TableParagraph"/>
              <w:rPr>
                <w:rFonts w:ascii="Times New Roman"/>
                <w:sz w:val="6"/>
              </w:rPr>
            </w:pPr>
          </w:p>
        </w:tc>
        <w:tc>
          <w:tcPr>
            <w:tcW w:w="2014" w:type="dxa"/>
          </w:tcPr>
          <w:p>
            <w:pPr>
              <w:pStyle w:val="TableParagraph"/>
              <w:rPr>
                <w:rFonts w:ascii="Times New Roman"/>
                <w:sz w:val="6"/>
              </w:rPr>
            </w:pPr>
          </w:p>
        </w:tc>
        <w:tc>
          <w:tcPr>
            <w:tcW w:w="2009" w:type="dxa"/>
          </w:tcPr>
          <w:p>
            <w:pPr>
              <w:pStyle w:val="TableParagraph"/>
              <w:rPr>
                <w:rFonts w:ascii="Times New Roman"/>
                <w:sz w:val="6"/>
              </w:rPr>
            </w:pPr>
          </w:p>
        </w:tc>
        <w:tc>
          <w:tcPr>
            <w:tcW w:w="2011" w:type="dxa"/>
          </w:tcPr>
          <w:p>
            <w:pPr>
              <w:pStyle w:val="TableParagraph"/>
              <w:rPr>
                <w:rFonts w:ascii="Times New Roman"/>
                <w:sz w:val="6"/>
              </w:rPr>
            </w:pPr>
          </w:p>
        </w:tc>
      </w:tr>
      <w:tr>
        <w:trPr>
          <w:trHeight w:val="177" w:hRule="atLeast"/>
        </w:trPr>
        <w:tc>
          <w:tcPr>
            <w:tcW w:w="3358" w:type="dxa"/>
          </w:tcPr>
          <w:p>
            <w:pPr>
              <w:pStyle w:val="TableParagraph"/>
              <w:rPr>
                <w:rFonts w:ascii="Times New Roman"/>
                <w:sz w:val="10"/>
              </w:rPr>
            </w:pPr>
          </w:p>
        </w:tc>
        <w:tc>
          <w:tcPr>
            <w:tcW w:w="2014" w:type="dxa"/>
          </w:tcPr>
          <w:p>
            <w:pPr>
              <w:pStyle w:val="TableParagraph"/>
              <w:rPr>
                <w:rFonts w:ascii="Times New Roman"/>
                <w:sz w:val="10"/>
              </w:rPr>
            </w:pPr>
          </w:p>
        </w:tc>
        <w:tc>
          <w:tcPr>
            <w:tcW w:w="2009" w:type="dxa"/>
          </w:tcPr>
          <w:p>
            <w:pPr>
              <w:pStyle w:val="TableParagraph"/>
              <w:rPr>
                <w:rFonts w:ascii="Times New Roman"/>
                <w:sz w:val="10"/>
              </w:rPr>
            </w:pPr>
          </w:p>
        </w:tc>
        <w:tc>
          <w:tcPr>
            <w:tcW w:w="2011" w:type="dxa"/>
          </w:tcPr>
          <w:p>
            <w:pPr>
              <w:pStyle w:val="TableParagraph"/>
              <w:rPr>
                <w:rFonts w:ascii="Times New Roman"/>
                <w:sz w:val="10"/>
              </w:rPr>
            </w:pPr>
          </w:p>
        </w:tc>
      </w:tr>
    </w:tbl>
    <w:p>
      <w:pPr>
        <w:spacing w:after="0"/>
        <w:rPr>
          <w:rFonts w:ascii="Times New Roman"/>
          <w:sz w:val="10"/>
        </w:rPr>
        <w:sectPr>
          <w:pgSz w:w="11910" w:h="16840"/>
          <w:pgMar w:header="0" w:footer="971" w:top="1360" w:bottom="1160" w:left="500" w:right="0"/>
        </w:sectPr>
      </w:pPr>
    </w:p>
    <w:p>
      <w:pPr>
        <w:spacing w:before="61"/>
        <w:ind w:left="940" w:right="0" w:firstLine="0"/>
        <w:jc w:val="left"/>
        <w:rPr>
          <w:b/>
          <w:sz w:val="22"/>
        </w:rPr>
      </w:pPr>
      <w:r>
        <w:rPr/>
        <w:drawing>
          <wp:anchor distT="0" distB="0" distL="0" distR="0" allowOverlap="1" layoutInCell="1" locked="0" behindDoc="1" simplePos="0" relativeHeight="477778944">
            <wp:simplePos x="0" y="0"/>
            <wp:positionH relativeFrom="page">
              <wp:posOffset>1095451</wp:posOffset>
            </wp:positionH>
            <wp:positionV relativeFrom="page">
              <wp:posOffset>2726054</wp:posOffset>
            </wp:positionV>
            <wp:extent cx="5106847" cy="5238115"/>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5" cstate="print"/>
                    <a:stretch>
                      <a:fillRect/>
                    </a:stretch>
                  </pic:blipFill>
                  <pic:spPr>
                    <a:xfrm>
                      <a:off x="0" y="0"/>
                      <a:ext cx="5106847" cy="5238115"/>
                    </a:xfrm>
                    <a:prstGeom prst="rect">
                      <a:avLst/>
                    </a:prstGeom>
                  </pic:spPr>
                </pic:pic>
              </a:graphicData>
            </a:graphic>
          </wp:anchor>
        </w:drawing>
      </w:r>
      <w:r>
        <w:rPr>
          <w:b/>
          <w:sz w:val="24"/>
        </w:rPr>
        <w:t>Appendix</w:t>
      </w:r>
      <w:r>
        <w:rPr>
          <w:b/>
          <w:spacing w:val="-3"/>
          <w:sz w:val="24"/>
        </w:rPr>
        <w:t> </w:t>
      </w:r>
      <w:r>
        <w:rPr>
          <w:b/>
          <w:sz w:val="24"/>
        </w:rPr>
        <w:t>4:</w:t>
      </w:r>
      <w:r>
        <w:rPr>
          <w:b/>
          <w:spacing w:val="-3"/>
          <w:sz w:val="24"/>
        </w:rPr>
        <w:t> </w:t>
      </w:r>
      <w:r>
        <w:rPr>
          <w:b/>
          <w:sz w:val="22"/>
        </w:rPr>
        <w:t>Table</w:t>
      </w:r>
      <w:r>
        <w:rPr>
          <w:b/>
          <w:spacing w:val="-3"/>
          <w:sz w:val="22"/>
        </w:rPr>
        <w:t> </w:t>
      </w:r>
      <w:r>
        <w:rPr>
          <w:b/>
          <w:sz w:val="22"/>
        </w:rPr>
        <w:t>4.3</w:t>
      </w:r>
      <w:r>
        <w:rPr>
          <w:b/>
          <w:spacing w:val="-4"/>
          <w:sz w:val="22"/>
        </w:rPr>
        <w:t> </w:t>
      </w:r>
      <w:r>
        <w:rPr>
          <w:b/>
          <w:sz w:val="22"/>
        </w:rPr>
        <w:t>Variance</w:t>
      </w:r>
      <w:r>
        <w:rPr>
          <w:b/>
          <w:spacing w:val="-2"/>
          <w:sz w:val="22"/>
        </w:rPr>
        <w:t> </w:t>
      </w:r>
      <w:r>
        <w:rPr>
          <w:b/>
          <w:sz w:val="22"/>
        </w:rPr>
        <w:t>Inflation</w:t>
      </w:r>
      <w:r>
        <w:rPr>
          <w:b/>
          <w:spacing w:val="-3"/>
          <w:sz w:val="22"/>
        </w:rPr>
        <w:t> </w:t>
      </w:r>
      <w:r>
        <w:rPr>
          <w:b/>
          <w:sz w:val="22"/>
        </w:rPr>
        <w:t>Factor</w:t>
      </w:r>
      <w:r>
        <w:rPr>
          <w:b/>
          <w:spacing w:val="-2"/>
          <w:sz w:val="22"/>
        </w:rPr>
        <w:t> </w:t>
      </w:r>
      <w:r>
        <w:rPr>
          <w:b/>
          <w:spacing w:val="-4"/>
          <w:sz w:val="22"/>
        </w:rPr>
        <w:t>Test</w:t>
      </w:r>
    </w:p>
    <w:p>
      <w:pPr>
        <w:pStyle w:val="BodyText"/>
        <w:rPr>
          <w:b/>
          <w:sz w:val="14"/>
        </w:rPr>
      </w:pPr>
    </w:p>
    <w:tbl>
      <w:tblPr>
        <w:tblW w:w="0" w:type="auto"/>
        <w:jc w:val="left"/>
        <w:tblInd w:w="9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5"/>
        <w:gridCol w:w="1954"/>
        <w:gridCol w:w="1952"/>
        <w:gridCol w:w="1954"/>
      </w:tblGrid>
      <w:tr>
        <w:trPr>
          <w:trHeight w:val="311" w:hRule="atLeast"/>
        </w:trPr>
        <w:tc>
          <w:tcPr>
            <w:tcW w:w="7171" w:type="dxa"/>
            <w:gridSpan w:val="3"/>
          </w:tcPr>
          <w:p>
            <w:pPr>
              <w:pStyle w:val="TableParagraph"/>
              <w:spacing w:line="206" w:lineRule="exact"/>
              <w:ind w:left="107"/>
              <w:rPr>
                <w:sz w:val="18"/>
              </w:rPr>
            </w:pPr>
            <w:r>
              <w:rPr>
                <w:sz w:val="18"/>
              </w:rPr>
              <w:t>Variance</w:t>
            </w:r>
            <w:r>
              <w:rPr>
                <w:spacing w:val="-4"/>
                <w:sz w:val="18"/>
              </w:rPr>
              <w:t> </w:t>
            </w:r>
            <w:r>
              <w:rPr>
                <w:sz w:val="18"/>
              </w:rPr>
              <w:t>Inflation</w:t>
            </w:r>
            <w:r>
              <w:rPr>
                <w:spacing w:val="-5"/>
                <w:sz w:val="18"/>
              </w:rPr>
              <w:t> </w:t>
            </w:r>
            <w:r>
              <w:rPr>
                <w:spacing w:val="-2"/>
                <w:sz w:val="18"/>
              </w:rPr>
              <w:t>Factors</w:t>
            </w:r>
          </w:p>
        </w:tc>
        <w:tc>
          <w:tcPr>
            <w:tcW w:w="1954" w:type="dxa"/>
          </w:tcPr>
          <w:p>
            <w:pPr>
              <w:pStyle w:val="TableParagraph"/>
              <w:rPr>
                <w:rFonts w:ascii="Times New Roman"/>
                <w:sz w:val="18"/>
              </w:rPr>
            </w:pPr>
          </w:p>
        </w:tc>
      </w:tr>
      <w:tr>
        <w:trPr>
          <w:trHeight w:val="314" w:hRule="atLeast"/>
        </w:trPr>
        <w:tc>
          <w:tcPr>
            <w:tcW w:w="7171" w:type="dxa"/>
            <w:gridSpan w:val="3"/>
          </w:tcPr>
          <w:p>
            <w:pPr>
              <w:pStyle w:val="TableParagraph"/>
              <w:spacing w:line="206" w:lineRule="exact"/>
              <w:ind w:left="107"/>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21:32</w:t>
            </w:r>
          </w:p>
        </w:tc>
        <w:tc>
          <w:tcPr>
            <w:tcW w:w="1954" w:type="dxa"/>
          </w:tcPr>
          <w:p>
            <w:pPr>
              <w:pStyle w:val="TableParagraph"/>
              <w:rPr>
                <w:rFonts w:ascii="Times New Roman"/>
                <w:sz w:val="18"/>
              </w:rPr>
            </w:pPr>
          </w:p>
        </w:tc>
      </w:tr>
      <w:tr>
        <w:trPr>
          <w:trHeight w:val="311" w:hRule="atLeast"/>
        </w:trPr>
        <w:tc>
          <w:tcPr>
            <w:tcW w:w="5219" w:type="dxa"/>
            <w:gridSpan w:val="2"/>
          </w:tcPr>
          <w:p>
            <w:pPr>
              <w:pStyle w:val="TableParagraph"/>
              <w:spacing w:line="206" w:lineRule="exact"/>
              <w:ind w:left="107"/>
              <w:rPr>
                <w:sz w:val="18"/>
              </w:rPr>
            </w:pPr>
            <w:r>
              <w:rPr>
                <w:sz w:val="18"/>
              </w:rPr>
              <w:t>Sample:</w:t>
            </w:r>
            <w:r>
              <w:rPr>
                <w:spacing w:val="-4"/>
                <w:sz w:val="18"/>
              </w:rPr>
              <w:t> </w:t>
            </w:r>
            <w:r>
              <w:rPr>
                <w:sz w:val="18"/>
              </w:rPr>
              <w:t>1</w:t>
            </w:r>
            <w:r>
              <w:rPr>
                <w:spacing w:val="-3"/>
                <w:sz w:val="18"/>
              </w:rPr>
              <w:t> </w:t>
            </w:r>
            <w:r>
              <w:rPr>
                <w:spacing w:val="-5"/>
                <w:sz w:val="18"/>
              </w:rPr>
              <w:t>195</w:t>
            </w:r>
          </w:p>
        </w:tc>
        <w:tc>
          <w:tcPr>
            <w:tcW w:w="1952" w:type="dxa"/>
          </w:tcPr>
          <w:p>
            <w:pPr>
              <w:pStyle w:val="TableParagraph"/>
              <w:rPr>
                <w:rFonts w:ascii="Times New Roman"/>
                <w:sz w:val="18"/>
              </w:rPr>
            </w:pPr>
          </w:p>
        </w:tc>
        <w:tc>
          <w:tcPr>
            <w:tcW w:w="1954" w:type="dxa"/>
          </w:tcPr>
          <w:p>
            <w:pPr>
              <w:pStyle w:val="TableParagraph"/>
              <w:rPr>
                <w:rFonts w:ascii="Times New Roman"/>
                <w:sz w:val="18"/>
              </w:rPr>
            </w:pPr>
          </w:p>
        </w:tc>
      </w:tr>
      <w:tr>
        <w:trPr>
          <w:trHeight w:val="313" w:hRule="atLeast"/>
        </w:trPr>
        <w:tc>
          <w:tcPr>
            <w:tcW w:w="7171" w:type="dxa"/>
            <w:gridSpan w:val="3"/>
          </w:tcPr>
          <w:p>
            <w:pPr>
              <w:pStyle w:val="TableParagraph"/>
              <w:spacing w:before="1"/>
              <w:ind w:left="107"/>
              <w:rPr>
                <w:sz w:val="18"/>
              </w:rPr>
            </w:pPr>
            <w:r>
              <w:rPr>
                <w:sz w:val="18"/>
              </w:rPr>
              <w:t>Included</w:t>
            </w:r>
            <w:r>
              <w:rPr>
                <w:spacing w:val="-6"/>
                <w:sz w:val="18"/>
              </w:rPr>
              <w:t> </w:t>
            </w:r>
            <w:r>
              <w:rPr>
                <w:sz w:val="18"/>
              </w:rPr>
              <w:t>observations:</w:t>
            </w:r>
            <w:r>
              <w:rPr>
                <w:spacing w:val="-5"/>
                <w:sz w:val="18"/>
              </w:rPr>
              <w:t> 195</w:t>
            </w:r>
          </w:p>
        </w:tc>
        <w:tc>
          <w:tcPr>
            <w:tcW w:w="1954" w:type="dxa"/>
          </w:tcPr>
          <w:p>
            <w:pPr>
              <w:pStyle w:val="TableParagraph"/>
              <w:rPr>
                <w:rFonts w:ascii="Times New Roman"/>
                <w:sz w:val="18"/>
              </w:rPr>
            </w:pPr>
          </w:p>
        </w:tc>
      </w:tr>
      <w:tr>
        <w:trPr>
          <w:trHeight w:val="114" w:hRule="atLeast"/>
        </w:trPr>
        <w:tc>
          <w:tcPr>
            <w:tcW w:w="3265" w:type="dxa"/>
          </w:tcPr>
          <w:p>
            <w:pPr>
              <w:pStyle w:val="TableParagraph"/>
              <w:rPr>
                <w:rFonts w:ascii="Times New Roman"/>
                <w:sz w:val="6"/>
              </w:rPr>
            </w:pPr>
          </w:p>
        </w:tc>
        <w:tc>
          <w:tcPr>
            <w:tcW w:w="1954" w:type="dxa"/>
          </w:tcPr>
          <w:p>
            <w:pPr>
              <w:pStyle w:val="TableParagraph"/>
              <w:rPr>
                <w:rFonts w:ascii="Times New Roman"/>
                <w:sz w:val="6"/>
              </w:rPr>
            </w:pPr>
          </w:p>
        </w:tc>
        <w:tc>
          <w:tcPr>
            <w:tcW w:w="1952" w:type="dxa"/>
          </w:tcPr>
          <w:p>
            <w:pPr>
              <w:pStyle w:val="TableParagraph"/>
              <w:rPr>
                <w:rFonts w:ascii="Times New Roman"/>
                <w:sz w:val="6"/>
              </w:rPr>
            </w:pPr>
          </w:p>
        </w:tc>
        <w:tc>
          <w:tcPr>
            <w:tcW w:w="1954" w:type="dxa"/>
          </w:tcPr>
          <w:p>
            <w:pPr>
              <w:pStyle w:val="TableParagraph"/>
              <w:rPr>
                <w:rFonts w:ascii="Times New Roman"/>
                <w:sz w:val="6"/>
              </w:rPr>
            </w:pPr>
          </w:p>
        </w:tc>
      </w:tr>
      <w:tr>
        <w:trPr>
          <w:trHeight w:val="177" w:hRule="atLeast"/>
        </w:trPr>
        <w:tc>
          <w:tcPr>
            <w:tcW w:w="3265" w:type="dxa"/>
          </w:tcPr>
          <w:p>
            <w:pPr>
              <w:pStyle w:val="TableParagraph"/>
              <w:rPr>
                <w:rFonts w:ascii="Times New Roman"/>
                <w:sz w:val="10"/>
              </w:rPr>
            </w:pPr>
          </w:p>
        </w:tc>
        <w:tc>
          <w:tcPr>
            <w:tcW w:w="1954" w:type="dxa"/>
          </w:tcPr>
          <w:p>
            <w:pPr>
              <w:pStyle w:val="TableParagraph"/>
              <w:rPr>
                <w:rFonts w:ascii="Times New Roman"/>
                <w:sz w:val="10"/>
              </w:rPr>
            </w:pPr>
          </w:p>
        </w:tc>
        <w:tc>
          <w:tcPr>
            <w:tcW w:w="1952" w:type="dxa"/>
          </w:tcPr>
          <w:p>
            <w:pPr>
              <w:pStyle w:val="TableParagraph"/>
              <w:rPr>
                <w:rFonts w:ascii="Times New Roman"/>
                <w:sz w:val="10"/>
              </w:rPr>
            </w:pPr>
          </w:p>
        </w:tc>
        <w:tc>
          <w:tcPr>
            <w:tcW w:w="1954" w:type="dxa"/>
          </w:tcPr>
          <w:p>
            <w:pPr>
              <w:pStyle w:val="TableParagraph"/>
              <w:rPr>
                <w:rFonts w:ascii="Times New Roman"/>
                <w:sz w:val="10"/>
              </w:rPr>
            </w:pPr>
          </w:p>
        </w:tc>
      </w:tr>
      <w:tr>
        <w:trPr>
          <w:trHeight w:val="313" w:hRule="atLeast"/>
        </w:trPr>
        <w:tc>
          <w:tcPr>
            <w:tcW w:w="3265" w:type="dxa"/>
          </w:tcPr>
          <w:p>
            <w:pPr>
              <w:pStyle w:val="TableParagraph"/>
              <w:rPr>
                <w:rFonts w:ascii="Times New Roman"/>
                <w:sz w:val="18"/>
              </w:rPr>
            </w:pPr>
          </w:p>
        </w:tc>
        <w:tc>
          <w:tcPr>
            <w:tcW w:w="1954" w:type="dxa"/>
          </w:tcPr>
          <w:p>
            <w:pPr>
              <w:pStyle w:val="TableParagraph"/>
              <w:spacing w:line="206" w:lineRule="exact"/>
              <w:ind w:left="59" w:right="50"/>
              <w:jc w:val="center"/>
              <w:rPr>
                <w:sz w:val="18"/>
              </w:rPr>
            </w:pPr>
            <w:r>
              <w:rPr>
                <w:spacing w:val="-2"/>
                <w:sz w:val="18"/>
              </w:rPr>
              <w:t>Coefficient</w:t>
            </w:r>
          </w:p>
        </w:tc>
        <w:tc>
          <w:tcPr>
            <w:tcW w:w="1952" w:type="dxa"/>
          </w:tcPr>
          <w:p>
            <w:pPr>
              <w:pStyle w:val="TableParagraph"/>
              <w:spacing w:line="206" w:lineRule="exact"/>
              <w:ind w:left="56" w:right="50"/>
              <w:jc w:val="center"/>
              <w:rPr>
                <w:sz w:val="18"/>
              </w:rPr>
            </w:pPr>
            <w:r>
              <w:rPr>
                <w:spacing w:val="-2"/>
                <w:sz w:val="18"/>
              </w:rPr>
              <w:t>Uncentered</w:t>
            </w:r>
          </w:p>
        </w:tc>
        <w:tc>
          <w:tcPr>
            <w:tcW w:w="1954" w:type="dxa"/>
          </w:tcPr>
          <w:p>
            <w:pPr>
              <w:pStyle w:val="TableParagraph"/>
              <w:spacing w:line="206" w:lineRule="exact"/>
              <w:ind w:left="59" w:right="53"/>
              <w:jc w:val="center"/>
              <w:rPr>
                <w:sz w:val="18"/>
              </w:rPr>
            </w:pPr>
            <w:r>
              <w:rPr>
                <w:spacing w:val="-2"/>
                <w:sz w:val="18"/>
              </w:rPr>
              <w:t>Centered</w:t>
            </w:r>
          </w:p>
        </w:tc>
      </w:tr>
      <w:tr>
        <w:trPr>
          <w:trHeight w:val="311" w:hRule="atLeast"/>
        </w:trPr>
        <w:tc>
          <w:tcPr>
            <w:tcW w:w="3265" w:type="dxa"/>
          </w:tcPr>
          <w:p>
            <w:pPr>
              <w:pStyle w:val="TableParagraph"/>
              <w:spacing w:line="206" w:lineRule="exact"/>
              <w:ind w:left="8" w:right="1"/>
              <w:jc w:val="center"/>
              <w:rPr>
                <w:sz w:val="18"/>
              </w:rPr>
            </w:pPr>
            <w:r>
              <w:rPr>
                <w:spacing w:val="-2"/>
                <w:sz w:val="18"/>
              </w:rPr>
              <w:t>Variable</w:t>
            </w:r>
          </w:p>
        </w:tc>
        <w:tc>
          <w:tcPr>
            <w:tcW w:w="1954" w:type="dxa"/>
          </w:tcPr>
          <w:p>
            <w:pPr>
              <w:pStyle w:val="TableParagraph"/>
              <w:spacing w:line="206" w:lineRule="exact"/>
              <w:ind w:left="59" w:right="50"/>
              <w:jc w:val="center"/>
              <w:rPr>
                <w:sz w:val="18"/>
              </w:rPr>
            </w:pPr>
            <w:r>
              <w:rPr>
                <w:spacing w:val="-2"/>
                <w:sz w:val="18"/>
              </w:rPr>
              <w:t>Variance</w:t>
            </w:r>
          </w:p>
        </w:tc>
        <w:tc>
          <w:tcPr>
            <w:tcW w:w="1952" w:type="dxa"/>
          </w:tcPr>
          <w:p>
            <w:pPr>
              <w:pStyle w:val="TableParagraph"/>
              <w:spacing w:line="206" w:lineRule="exact"/>
              <w:ind w:left="56" w:right="49"/>
              <w:jc w:val="center"/>
              <w:rPr>
                <w:sz w:val="18"/>
              </w:rPr>
            </w:pPr>
            <w:r>
              <w:rPr>
                <w:spacing w:val="-5"/>
                <w:sz w:val="18"/>
              </w:rPr>
              <w:t>VIF</w:t>
            </w:r>
          </w:p>
        </w:tc>
        <w:tc>
          <w:tcPr>
            <w:tcW w:w="1954" w:type="dxa"/>
          </w:tcPr>
          <w:p>
            <w:pPr>
              <w:pStyle w:val="TableParagraph"/>
              <w:spacing w:line="206" w:lineRule="exact"/>
              <w:ind w:left="59" w:right="55"/>
              <w:jc w:val="center"/>
              <w:rPr>
                <w:sz w:val="18"/>
              </w:rPr>
            </w:pPr>
            <w:r>
              <w:rPr>
                <w:spacing w:val="-5"/>
                <w:sz w:val="18"/>
              </w:rPr>
              <w:t>VIF</w:t>
            </w:r>
          </w:p>
        </w:tc>
      </w:tr>
      <w:tr>
        <w:trPr>
          <w:trHeight w:val="114" w:hRule="atLeast"/>
        </w:trPr>
        <w:tc>
          <w:tcPr>
            <w:tcW w:w="3265" w:type="dxa"/>
          </w:tcPr>
          <w:p>
            <w:pPr>
              <w:pStyle w:val="TableParagraph"/>
              <w:rPr>
                <w:rFonts w:ascii="Times New Roman"/>
                <w:sz w:val="6"/>
              </w:rPr>
            </w:pPr>
          </w:p>
        </w:tc>
        <w:tc>
          <w:tcPr>
            <w:tcW w:w="1954" w:type="dxa"/>
          </w:tcPr>
          <w:p>
            <w:pPr>
              <w:pStyle w:val="TableParagraph"/>
              <w:rPr>
                <w:rFonts w:ascii="Times New Roman"/>
                <w:sz w:val="6"/>
              </w:rPr>
            </w:pPr>
          </w:p>
        </w:tc>
        <w:tc>
          <w:tcPr>
            <w:tcW w:w="1952" w:type="dxa"/>
          </w:tcPr>
          <w:p>
            <w:pPr>
              <w:pStyle w:val="TableParagraph"/>
              <w:rPr>
                <w:rFonts w:ascii="Times New Roman"/>
                <w:sz w:val="6"/>
              </w:rPr>
            </w:pPr>
          </w:p>
        </w:tc>
        <w:tc>
          <w:tcPr>
            <w:tcW w:w="1954" w:type="dxa"/>
          </w:tcPr>
          <w:p>
            <w:pPr>
              <w:pStyle w:val="TableParagraph"/>
              <w:rPr>
                <w:rFonts w:ascii="Times New Roman"/>
                <w:sz w:val="6"/>
              </w:rPr>
            </w:pPr>
          </w:p>
        </w:tc>
      </w:tr>
      <w:tr>
        <w:trPr>
          <w:trHeight w:val="177" w:hRule="atLeast"/>
        </w:trPr>
        <w:tc>
          <w:tcPr>
            <w:tcW w:w="3265" w:type="dxa"/>
          </w:tcPr>
          <w:p>
            <w:pPr>
              <w:pStyle w:val="TableParagraph"/>
              <w:rPr>
                <w:rFonts w:ascii="Times New Roman"/>
                <w:sz w:val="10"/>
              </w:rPr>
            </w:pPr>
          </w:p>
        </w:tc>
        <w:tc>
          <w:tcPr>
            <w:tcW w:w="1954" w:type="dxa"/>
          </w:tcPr>
          <w:p>
            <w:pPr>
              <w:pStyle w:val="TableParagraph"/>
              <w:rPr>
                <w:rFonts w:ascii="Times New Roman"/>
                <w:sz w:val="10"/>
              </w:rPr>
            </w:pPr>
          </w:p>
        </w:tc>
        <w:tc>
          <w:tcPr>
            <w:tcW w:w="1952" w:type="dxa"/>
          </w:tcPr>
          <w:p>
            <w:pPr>
              <w:pStyle w:val="TableParagraph"/>
              <w:rPr>
                <w:rFonts w:ascii="Times New Roman"/>
                <w:sz w:val="10"/>
              </w:rPr>
            </w:pPr>
          </w:p>
        </w:tc>
        <w:tc>
          <w:tcPr>
            <w:tcW w:w="1954" w:type="dxa"/>
          </w:tcPr>
          <w:p>
            <w:pPr>
              <w:pStyle w:val="TableParagraph"/>
              <w:rPr>
                <w:rFonts w:ascii="Times New Roman"/>
                <w:sz w:val="10"/>
              </w:rPr>
            </w:pPr>
          </w:p>
        </w:tc>
      </w:tr>
      <w:tr>
        <w:trPr>
          <w:trHeight w:val="313" w:hRule="atLeast"/>
        </w:trPr>
        <w:tc>
          <w:tcPr>
            <w:tcW w:w="3265" w:type="dxa"/>
          </w:tcPr>
          <w:p>
            <w:pPr>
              <w:pStyle w:val="TableParagraph"/>
              <w:spacing w:line="206" w:lineRule="exact"/>
              <w:ind w:left="8"/>
              <w:jc w:val="center"/>
              <w:rPr>
                <w:sz w:val="18"/>
              </w:rPr>
            </w:pPr>
            <w:r>
              <w:rPr>
                <w:spacing w:val="-10"/>
                <w:sz w:val="18"/>
              </w:rPr>
              <w:t>C</w:t>
            </w:r>
          </w:p>
        </w:tc>
        <w:tc>
          <w:tcPr>
            <w:tcW w:w="1954" w:type="dxa"/>
          </w:tcPr>
          <w:p>
            <w:pPr>
              <w:pStyle w:val="TableParagraph"/>
              <w:spacing w:line="206" w:lineRule="exact"/>
              <w:ind w:left="59"/>
              <w:jc w:val="center"/>
              <w:rPr>
                <w:sz w:val="18"/>
              </w:rPr>
            </w:pPr>
            <w:r>
              <w:rPr>
                <w:spacing w:val="-2"/>
                <w:sz w:val="18"/>
              </w:rPr>
              <w:t>0.006413</w:t>
            </w:r>
          </w:p>
        </w:tc>
        <w:tc>
          <w:tcPr>
            <w:tcW w:w="1952" w:type="dxa"/>
          </w:tcPr>
          <w:p>
            <w:pPr>
              <w:pStyle w:val="TableParagraph"/>
              <w:spacing w:line="206" w:lineRule="exact"/>
              <w:ind w:left="56"/>
              <w:jc w:val="center"/>
              <w:rPr>
                <w:sz w:val="18"/>
              </w:rPr>
            </w:pPr>
            <w:r>
              <w:rPr>
                <w:spacing w:val="-2"/>
                <w:sz w:val="18"/>
              </w:rPr>
              <w:t>453.9059</w:t>
            </w:r>
          </w:p>
        </w:tc>
        <w:tc>
          <w:tcPr>
            <w:tcW w:w="1954" w:type="dxa"/>
          </w:tcPr>
          <w:p>
            <w:pPr>
              <w:pStyle w:val="TableParagraph"/>
              <w:spacing w:line="206" w:lineRule="exact"/>
              <w:ind w:left="59" w:right="4"/>
              <w:jc w:val="center"/>
              <w:rPr>
                <w:sz w:val="18"/>
              </w:rPr>
            </w:pPr>
            <w:r>
              <w:rPr>
                <w:spacing w:val="-5"/>
                <w:sz w:val="18"/>
              </w:rPr>
              <w:t>NA</w:t>
            </w:r>
          </w:p>
        </w:tc>
      </w:tr>
      <w:tr>
        <w:trPr>
          <w:trHeight w:val="312" w:hRule="atLeast"/>
        </w:trPr>
        <w:tc>
          <w:tcPr>
            <w:tcW w:w="3265" w:type="dxa"/>
          </w:tcPr>
          <w:p>
            <w:pPr>
              <w:pStyle w:val="TableParagraph"/>
              <w:spacing w:line="206" w:lineRule="exact"/>
              <w:ind w:left="8" w:right="2"/>
              <w:jc w:val="center"/>
              <w:rPr>
                <w:sz w:val="18"/>
              </w:rPr>
            </w:pPr>
            <w:r>
              <w:rPr>
                <w:spacing w:val="-2"/>
                <w:sz w:val="18"/>
              </w:rPr>
              <w:t>BDIND</w:t>
            </w:r>
          </w:p>
        </w:tc>
        <w:tc>
          <w:tcPr>
            <w:tcW w:w="1954" w:type="dxa"/>
          </w:tcPr>
          <w:p>
            <w:pPr>
              <w:pStyle w:val="TableParagraph"/>
              <w:spacing w:line="206" w:lineRule="exact"/>
              <w:ind w:left="59"/>
              <w:jc w:val="center"/>
              <w:rPr>
                <w:sz w:val="18"/>
              </w:rPr>
            </w:pPr>
            <w:r>
              <w:rPr>
                <w:spacing w:val="-2"/>
                <w:sz w:val="18"/>
              </w:rPr>
              <w:t>0.001560</w:t>
            </w:r>
          </w:p>
        </w:tc>
        <w:tc>
          <w:tcPr>
            <w:tcW w:w="1952" w:type="dxa"/>
          </w:tcPr>
          <w:p>
            <w:pPr>
              <w:pStyle w:val="TableParagraph"/>
              <w:spacing w:line="206" w:lineRule="exact"/>
              <w:ind w:left="56"/>
              <w:jc w:val="center"/>
              <w:rPr>
                <w:sz w:val="18"/>
              </w:rPr>
            </w:pPr>
            <w:r>
              <w:rPr>
                <w:spacing w:val="-2"/>
                <w:sz w:val="18"/>
              </w:rPr>
              <w:t>37.38267</w:t>
            </w:r>
          </w:p>
        </w:tc>
        <w:tc>
          <w:tcPr>
            <w:tcW w:w="1954" w:type="dxa"/>
          </w:tcPr>
          <w:p>
            <w:pPr>
              <w:pStyle w:val="TableParagraph"/>
              <w:spacing w:line="206" w:lineRule="exact"/>
              <w:ind w:left="59"/>
              <w:jc w:val="center"/>
              <w:rPr>
                <w:sz w:val="18"/>
              </w:rPr>
            </w:pPr>
            <w:r>
              <w:rPr>
                <w:spacing w:val="-2"/>
                <w:sz w:val="18"/>
              </w:rPr>
              <w:t>1.348595</w:t>
            </w:r>
          </w:p>
        </w:tc>
      </w:tr>
      <w:tr>
        <w:trPr>
          <w:trHeight w:val="313" w:hRule="atLeast"/>
        </w:trPr>
        <w:tc>
          <w:tcPr>
            <w:tcW w:w="3265" w:type="dxa"/>
          </w:tcPr>
          <w:p>
            <w:pPr>
              <w:pStyle w:val="TableParagraph"/>
              <w:spacing w:line="206" w:lineRule="exact"/>
              <w:ind w:left="8"/>
              <w:jc w:val="center"/>
              <w:rPr>
                <w:sz w:val="18"/>
              </w:rPr>
            </w:pPr>
            <w:r>
              <w:rPr>
                <w:spacing w:val="-5"/>
                <w:sz w:val="18"/>
              </w:rPr>
              <w:t>BDS</w:t>
            </w:r>
          </w:p>
        </w:tc>
        <w:tc>
          <w:tcPr>
            <w:tcW w:w="1954" w:type="dxa"/>
          </w:tcPr>
          <w:p>
            <w:pPr>
              <w:pStyle w:val="TableParagraph"/>
              <w:spacing w:line="206" w:lineRule="exact"/>
              <w:ind w:left="59" w:right="3"/>
              <w:jc w:val="center"/>
              <w:rPr>
                <w:sz w:val="18"/>
              </w:rPr>
            </w:pPr>
            <w:r>
              <w:rPr>
                <w:spacing w:val="-2"/>
                <w:sz w:val="18"/>
              </w:rPr>
              <w:t>1.98E-</w:t>
            </w:r>
            <w:r>
              <w:rPr>
                <w:spacing w:val="-5"/>
                <w:sz w:val="18"/>
              </w:rPr>
              <w:t>06</w:t>
            </w:r>
          </w:p>
        </w:tc>
        <w:tc>
          <w:tcPr>
            <w:tcW w:w="1952" w:type="dxa"/>
          </w:tcPr>
          <w:p>
            <w:pPr>
              <w:pStyle w:val="TableParagraph"/>
              <w:spacing w:line="206" w:lineRule="exact"/>
              <w:ind w:left="56"/>
              <w:jc w:val="center"/>
              <w:rPr>
                <w:sz w:val="18"/>
              </w:rPr>
            </w:pPr>
            <w:r>
              <w:rPr>
                <w:spacing w:val="-2"/>
                <w:sz w:val="18"/>
              </w:rPr>
              <w:t>27.71939</w:t>
            </w:r>
          </w:p>
        </w:tc>
        <w:tc>
          <w:tcPr>
            <w:tcW w:w="1954" w:type="dxa"/>
          </w:tcPr>
          <w:p>
            <w:pPr>
              <w:pStyle w:val="TableParagraph"/>
              <w:spacing w:line="206" w:lineRule="exact"/>
              <w:ind w:left="59"/>
              <w:jc w:val="center"/>
              <w:rPr>
                <w:sz w:val="18"/>
              </w:rPr>
            </w:pPr>
            <w:r>
              <w:rPr>
                <w:spacing w:val="-2"/>
                <w:sz w:val="18"/>
              </w:rPr>
              <w:t>1.272032</w:t>
            </w:r>
          </w:p>
        </w:tc>
      </w:tr>
      <w:tr>
        <w:trPr>
          <w:trHeight w:val="311" w:hRule="atLeast"/>
        </w:trPr>
        <w:tc>
          <w:tcPr>
            <w:tcW w:w="3265" w:type="dxa"/>
          </w:tcPr>
          <w:p>
            <w:pPr>
              <w:pStyle w:val="TableParagraph"/>
              <w:spacing w:line="206" w:lineRule="exact"/>
              <w:ind w:left="8"/>
              <w:jc w:val="center"/>
              <w:rPr>
                <w:sz w:val="18"/>
              </w:rPr>
            </w:pPr>
            <w:r>
              <w:rPr>
                <w:spacing w:val="-2"/>
                <w:sz w:val="18"/>
              </w:rPr>
              <w:t>BFEXP</w:t>
            </w:r>
          </w:p>
        </w:tc>
        <w:tc>
          <w:tcPr>
            <w:tcW w:w="1954" w:type="dxa"/>
          </w:tcPr>
          <w:p>
            <w:pPr>
              <w:pStyle w:val="TableParagraph"/>
              <w:spacing w:line="206" w:lineRule="exact"/>
              <w:ind w:left="59"/>
              <w:jc w:val="center"/>
              <w:rPr>
                <w:sz w:val="18"/>
              </w:rPr>
            </w:pPr>
            <w:r>
              <w:rPr>
                <w:spacing w:val="-2"/>
                <w:sz w:val="18"/>
              </w:rPr>
              <w:t>0.001533</w:t>
            </w:r>
          </w:p>
        </w:tc>
        <w:tc>
          <w:tcPr>
            <w:tcW w:w="1952" w:type="dxa"/>
          </w:tcPr>
          <w:p>
            <w:pPr>
              <w:pStyle w:val="TableParagraph"/>
              <w:spacing w:line="206" w:lineRule="exact"/>
              <w:ind w:left="56"/>
              <w:jc w:val="center"/>
              <w:rPr>
                <w:sz w:val="18"/>
              </w:rPr>
            </w:pPr>
            <w:r>
              <w:rPr>
                <w:spacing w:val="-2"/>
                <w:sz w:val="18"/>
              </w:rPr>
              <w:t>36.49619</w:t>
            </w:r>
          </w:p>
        </w:tc>
        <w:tc>
          <w:tcPr>
            <w:tcW w:w="1954" w:type="dxa"/>
          </w:tcPr>
          <w:p>
            <w:pPr>
              <w:pStyle w:val="TableParagraph"/>
              <w:spacing w:line="206" w:lineRule="exact"/>
              <w:ind w:left="59"/>
              <w:jc w:val="center"/>
              <w:rPr>
                <w:sz w:val="18"/>
              </w:rPr>
            </w:pPr>
            <w:r>
              <w:rPr>
                <w:spacing w:val="-2"/>
                <w:sz w:val="18"/>
              </w:rPr>
              <w:t>1.153696</w:t>
            </w:r>
          </w:p>
        </w:tc>
      </w:tr>
      <w:tr>
        <w:trPr>
          <w:trHeight w:val="314" w:hRule="atLeast"/>
        </w:trPr>
        <w:tc>
          <w:tcPr>
            <w:tcW w:w="3265" w:type="dxa"/>
          </w:tcPr>
          <w:p>
            <w:pPr>
              <w:pStyle w:val="TableParagraph"/>
              <w:spacing w:before="1"/>
              <w:ind w:left="8"/>
              <w:jc w:val="center"/>
              <w:rPr>
                <w:sz w:val="18"/>
              </w:rPr>
            </w:pPr>
            <w:r>
              <w:rPr>
                <w:spacing w:val="-4"/>
                <w:sz w:val="18"/>
              </w:rPr>
              <w:t>MOWN</w:t>
            </w:r>
          </w:p>
        </w:tc>
        <w:tc>
          <w:tcPr>
            <w:tcW w:w="1954" w:type="dxa"/>
          </w:tcPr>
          <w:p>
            <w:pPr>
              <w:pStyle w:val="TableParagraph"/>
              <w:spacing w:before="1"/>
              <w:ind w:left="59" w:right="3"/>
              <w:jc w:val="center"/>
              <w:rPr>
                <w:sz w:val="18"/>
              </w:rPr>
            </w:pPr>
            <w:r>
              <w:rPr>
                <w:spacing w:val="-2"/>
                <w:sz w:val="18"/>
              </w:rPr>
              <w:t>8.79E-</w:t>
            </w:r>
            <w:r>
              <w:rPr>
                <w:spacing w:val="-5"/>
                <w:sz w:val="18"/>
              </w:rPr>
              <w:t>08</w:t>
            </w:r>
          </w:p>
        </w:tc>
        <w:tc>
          <w:tcPr>
            <w:tcW w:w="1952" w:type="dxa"/>
          </w:tcPr>
          <w:p>
            <w:pPr>
              <w:pStyle w:val="TableParagraph"/>
              <w:spacing w:before="1"/>
              <w:ind w:left="56"/>
              <w:jc w:val="center"/>
              <w:rPr>
                <w:sz w:val="18"/>
              </w:rPr>
            </w:pPr>
            <w:r>
              <w:rPr>
                <w:spacing w:val="-2"/>
                <w:sz w:val="18"/>
              </w:rPr>
              <w:t>2.040747</w:t>
            </w:r>
          </w:p>
        </w:tc>
        <w:tc>
          <w:tcPr>
            <w:tcW w:w="1954" w:type="dxa"/>
          </w:tcPr>
          <w:p>
            <w:pPr>
              <w:pStyle w:val="TableParagraph"/>
              <w:spacing w:before="1"/>
              <w:ind w:left="59"/>
              <w:jc w:val="center"/>
              <w:rPr>
                <w:sz w:val="18"/>
              </w:rPr>
            </w:pPr>
            <w:r>
              <w:rPr>
                <w:spacing w:val="-2"/>
                <w:sz w:val="18"/>
              </w:rPr>
              <w:t>1.218599</w:t>
            </w:r>
          </w:p>
        </w:tc>
      </w:tr>
      <w:tr>
        <w:trPr>
          <w:trHeight w:val="314" w:hRule="atLeast"/>
        </w:trPr>
        <w:tc>
          <w:tcPr>
            <w:tcW w:w="3265" w:type="dxa"/>
          </w:tcPr>
          <w:p>
            <w:pPr>
              <w:pStyle w:val="TableParagraph"/>
              <w:spacing w:line="206" w:lineRule="exact"/>
              <w:ind w:left="8" w:right="2"/>
              <w:jc w:val="center"/>
              <w:rPr>
                <w:sz w:val="18"/>
              </w:rPr>
            </w:pPr>
            <w:r>
              <w:rPr>
                <w:spacing w:val="-4"/>
                <w:sz w:val="18"/>
              </w:rPr>
              <w:t>FOWN</w:t>
            </w:r>
          </w:p>
        </w:tc>
        <w:tc>
          <w:tcPr>
            <w:tcW w:w="1954" w:type="dxa"/>
          </w:tcPr>
          <w:p>
            <w:pPr>
              <w:pStyle w:val="TableParagraph"/>
              <w:spacing w:line="206" w:lineRule="exact"/>
              <w:ind w:left="59" w:right="3"/>
              <w:jc w:val="center"/>
              <w:rPr>
                <w:sz w:val="18"/>
              </w:rPr>
            </w:pPr>
            <w:r>
              <w:rPr>
                <w:spacing w:val="-2"/>
                <w:sz w:val="18"/>
              </w:rPr>
              <w:t>6.57E-</w:t>
            </w:r>
            <w:r>
              <w:rPr>
                <w:spacing w:val="-5"/>
                <w:sz w:val="18"/>
              </w:rPr>
              <w:t>08</w:t>
            </w:r>
          </w:p>
        </w:tc>
        <w:tc>
          <w:tcPr>
            <w:tcW w:w="1952" w:type="dxa"/>
          </w:tcPr>
          <w:p>
            <w:pPr>
              <w:pStyle w:val="TableParagraph"/>
              <w:spacing w:line="206" w:lineRule="exact"/>
              <w:ind w:left="56"/>
              <w:jc w:val="center"/>
              <w:rPr>
                <w:sz w:val="18"/>
              </w:rPr>
            </w:pPr>
            <w:r>
              <w:rPr>
                <w:spacing w:val="-2"/>
                <w:sz w:val="18"/>
              </w:rPr>
              <w:t>6.263620</w:t>
            </w:r>
          </w:p>
        </w:tc>
        <w:tc>
          <w:tcPr>
            <w:tcW w:w="1954" w:type="dxa"/>
          </w:tcPr>
          <w:p>
            <w:pPr>
              <w:pStyle w:val="TableParagraph"/>
              <w:spacing w:line="206" w:lineRule="exact"/>
              <w:ind w:left="59"/>
              <w:jc w:val="center"/>
              <w:rPr>
                <w:sz w:val="18"/>
              </w:rPr>
            </w:pPr>
            <w:r>
              <w:rPr>
                <w:spacing w:val="-2"/>
                <w:sz w:val="18"/>
              </w:rPr>
              <w:t>4.222756</w:t>
            </w:r>
          </w:p>
        </w:tc>
      </w:tr>
      <w:tr>
        <w:trPr>
          <w:trHeight w:val="311" w:hRule="atLeast"/>
        </w:trPr>
        <w:tc>
          <w:tcPr>
            <w:tcW w:w="3265" w:type="dxa"/>
          </w:tcPr>
          <w:p>
            <w:pPr>
              <w:pStyle w:val="TableParagraph"/>
              <w:spacing w:line="206" w:lineRule="exact"/>
              <w:ind w:left="8"/>
              <w:jc w:val="center"/>
              <w:rPr>
                <w:sz w:val="18"/>
              </w:rPr>
            </w:pPr>
            <w:r>
              <w:rPr>
                <w:spacing w:val="-2"/>
                <w:sz w:val="18"/>
              </w:rPr>
              <w:t>INSTOWN</w:t>
            </w:r>
          </w:p>
        </w:tc>
        <w:tc>
          <w:tcPr>
            <w:tcW w:w="1954" w:type="dxa"/>
          </w:tcPr>
          <w:p>
            <w:pPr>
              <w:pStyle w:val="TableParagraph"/>
              <w:spacing w:line="206" w:lineRule="exact"/>
              <w:ind w:left="59" w:right="3"/>
              <w:jc w:val="center"/>
              <w:rPr>
                <w:sz w:val="18"/>
              </w:rPr>
            </w:pPr>
            <w:r>
              <w:rPr>
                <w:spacing w:val="-2"/>
                <w:sz w:val="18"/>
              </w:rPr>
              <w:t>1.10E-</w:t>
            </w:r>
            <w:r>
              <w:rPr>
                <w:spacing w:val="-5"/>
                <w:sz w:val="18"/>
              </w:rPr>
              <w:t>07</w:t>
            </w:r>
          </w:p>
        </w:tc>
        <w:tc>
          <w:tcPr>
            <w:tcW w:w="1952" w:type="dxa"/>
          </w:tcPr>
          <w:p>
            <w:pPr>
              <w:pStyle w:val="TableParagraph"/>
              <w:spacing w:line="206" w:lineRule="exact"/>
              <w:ind w:left="56"/>
              <w:jc w:val="center"/>
              <w:rPr>
                <w:sz w:val="18"/>
              </w:rPr>
            </w:pPr>
            <w:r>
              <w:rPr>
                <w:spacing w:val="-2"/>
                <w:sz w:val="18"/>
              </w:rPr>
              <w:t>16.31983</w:t>
            </w:r>
          </w:p>
        </w:tc>
        <w:tc>
          <w:tcPr>
            <w:tcW w:w="1954" w:type="dxa"/>
          </w:tcPr>
          <w:p>
            <w:pPr>
              <w:pStyle w:val="TableParagraph"/>
              <w:spacing w:line="206" w:lineRule="exact"/>
              <w:ind w:left="59"/>
              <w:jc w:val="center"/>
              <w:rPr>
                <w:sz w:val="18"/>
              </w:rPr>
            </w:pPr>
            <w:r>
              <w:rPr>
                <w:spacing w:val="-2"/>
                <w:sz w:val="18"/>
              </w:rPr>
              <w:t>5.926072</w:t>
            </w:r>
          </w:p>
        </w:tc>
      </w:tr>
      <w:tr>
        <w:trPr>
          <w:trHeight w:val="313" w:hRule="atLeast"/>
        </w:trPr>
        <w:tc>
          <w:tcPr>
            <w:tcW w:w="3265" w:type="dxa"/>
          </w:tcPr>
          <w:p>
            <w:pPr>
              <w:pStyle w:val="TableParagraph"/>
              <w:spacing w:line="206" w:lineRule="exact"/>
              <w:ind w:left="8" w:right="3"/>
              <w:jc w:val="center"/>
              <w:rPr>
                <w:sz w:val="18"/>
              </w:rPr>
            </w:pPr>
            <w:r>
              <w:rPr>
                <w:spacing w:val="-2"/>
                <w:sz w:val="18"/>
              </w:rPr>
              <w:t>BLOWN</w:t>
            </w:r>
          </w:p>
        </w:tc>
        <w:tc>
          <w:tcPr>
            <w:tcW w:w="1954" w:type="dxa"/>
          </w:tcPr>
          <w:p>
            <w:pPr>
              <w:pStyle w:val="TableParagraph"/>
              <w:spacing w:line="206" w:lineRule="exact"/>
              <w:ind w:left="59" w:right="3"/>
              <w:jc w:val="center"/>
              <w:rPr>
                <w:sz w:val="18"/>
              </w:rPr>
            </w:pPr>
            <w:r>
              <w:rPr>
                <w:spacing w:val="-2"/>
                <w:sz w:val="18"/>
              </w:rPr>
              <w:t>1.13E-</w:t>
            </w:r>
            <w:r>
              <w:rPr>
                <w:spacing w:val="-5"/>
                <w:sz w:val="18"/>
              </w:rPr>
              <w:t>07</w:t>
            </w:r>
          </w:p>
        </w:tc>
        <w:tc>
          <w:tcPr>
            <w:tcW w:w="1952" w:type="dxa"/>
          </w:tcPr>
          <w:p>
            <w:pPr>
              <w:pStyle w:val="TableParagraph"/>
              <w:spacing w:line="206" w:lineRule="exact"/>
              <w:ind w:left="56"/>
              <w:jc w:val="center"/>
              <w:rPr>
                <w:sz w:val="18"/>
              </w:rPr>
            </w:pPr>
            <w:r>
              <w:rPr>
                <w:spacing w:val="-2"/>
                <w:sz w:val="18"/>
              </w:rPr>
              <w:t>16.48940</w:t>
            </w:r>
          </w:p>
        </w:tc>
        <w:tc>
          <w:tcPr>
            <w:tcW w:w="1954" w:type="dxa"/>
          </w:tcPr>
          <w:p>
            <w:pPr>
              <w:pStyle w:val="TableParagraph"/>
              <w:spacing w:line="206" w:lineRule="exact"/>
              <w:ind w:left="59"/>
              <w:jc w:val="center"/>
              <w:rPr>
                <w:sz w:val="18"/>
              </w:rPr>
            </w:pPr>
            <w:r>
              <w:rPr>
                <w:spacing w:val="-2"/>
                <w:sz w:val="18"/>
              </w:rPr>
              <w:t>6.870258</w:t>
            </w:r>
          </w:p>
        </w:tc>
      </w:tr>
      <w:tr>
        <w:trPr>
          <w:trHeight w:val="311" w:hRule="atLeast"/>
        </w:trPr>
        <w:tc>
          <w:tcPr>
            <w:tcW w:w="3265" w:type="dxa"/>
          </w:tcPr>
          <w:p>
            <w:pPr>
              <w:pStyle w:val="TableParagraph"/>
              <w:spacing w:line="206" w:lineRule="exact"/>
              <w:ind w:left="8"/>
              <w:jc w:val="center"/>
              <w:rPr>
                <w:sz w:val="18"/>
              </w:rPr>
            </w:pPr>
            <w:r>
              <w:rPr>
                <w:spacing w:val="-4"/>
                <w:sz w:val="18"/>
              </w:rPr>
              <w:t>FAGE</w:t>
            </w:r>
          </w:p>
        </w:tc>
        <w:tc>
          <w:tcPr>
            <w:tcW w:w="1954" w:type="dxa"/>
          </w:tcPr>
          <w:p>
            <w:pPr>
              <w:pStyle w:val="TableParagraph"/>
              <w:spacing w:line="206" w:lineRule="exact"/>
              <w:ind w:left="59" w:right="3"/>
              <w:jc w:val="center"/>
              <w:rPr>
                <w:sz w:val="18"/>
              </w:rPr>
            </w:pPr>
            <w:r>
              <w:rPr>
                <w:spacing w:val="-2"/>
                <w:sz w:val="18"/>
              </w:rPr>
              <w:t>1.45E-</w:t>
            </w:r>
            <w:r>
              <w:rPr>
                <w:spacing w:val="-5"/>
                <w:sz w:val="18"/>
              </w:rPr>
              <w:t>07</w:t>
            </w:r>
          </w:p>
        </w:tc>
        <w:tc>
          <w:tcPr>
            <w:tcW w:w="1952" w:type="dxa"/>
          </w:tcPr>
          <w:p>
            <w:pPr>
              <w:pStyle w:val="TableParagraph"/>
              <w:spacing w:line="206" w:lineRule="exact"/>
              <w:ind w:left="56"/>
              <w:jc w:val="center"/>
              <w:rPr>
                <w:sz w:val="18"/>
              </w:rPr>
            </w:pPr>
            <w:r>
              <w:rPr>
                <w:spacing w:val="-2"/>
                <w:sz w:val="18"/>
              </w:rPr>
              <w:t>10.94839</w:t>
            </w:r>
          </w:p>
        </w:tc>
        <w:tc>
          <w:tcPr>
            <w:tcW w:w="1954" w:type="dxa"/>
          </w:tcPr>
          <w:p>
            <w:pPr>
              <w:pStyle w:val="TableParagraph"/>
              <w:spacing w:line="206" w:lineRule="exact"/>
              <w:ind w:left="59"/>
              <w:jc w:val="center"/>
              <w:rPr>
                <w:sz w:val="18"/>
              </w:rPr>
            </w:pPr>
            <w:r>
              <w:rPr>
                <w:spacing w:val="-2"/>
                <w:sz w:val="18"/>
              </w:rPr>
              <w:t>1.275881</w:t>
            </w:r>
          </w:p>
        </w:tc>
      </w:tr>
      <w:tr>
        <w:trPr>
          <w:trHeight w:val="313" w:hRule="atLeast"/>
        </w:trPr>
        <w:tc>
          <w:tcPr>
            <w:tcW w:w="3265" w:type="dxa"/>
          </w:tcPr>
          <w:p>
            <w:pPr>
              <w:pStyle w:val="TableParagraph"/>
              <w:spacing w:before="1"/>
              <w:ind w:left="8" w:right="3"/>
              <w:jc w:val="center"/>
              <w:rPr>
                <w:sz w:val="18"/>
              </w:rPr>
            </w:pPr>
            <w:r>
              <w:rPr>
                <w:spacing w:val="-2"/>
                <w:sz w:val="18"/>
              </w:rPr>
              <w:t>FSIZE</w:t>
            </w:r>
          </w:p>
        </w:tc>
        <w:tc>
          <w:tcPr>
            <w:tcW w:w="1954" w:type="dxa"/>
          </w:tcPr>
          <w:p>
            <w:pPr>
              <w:pStyle w:val="TableParagraph"/>
              <w:spacing w:before="1"/>
              <w:ind w:left="59" w:right="3"/>
              <w:jc w:val="center"/>
              <w:rPr>
                <w:sz w:val="18"/>
              </w:rPr>
            </w:pPr>
            <w:r>
              <w:rPr>
                <w:spacing w:val="-2"/>
                <w:sz w:val="18"/>
              </w:rPr>
              <w:t>6.60E-</w:t>
            </w:r>
            <w:r>
              <w:rPr>
                <w:spacing w:val="-5"/>
                <w:sz w:val="18"/>
              </w:rPr>
              <w:t>05</w:t>
            </w:r>
          </w:p>
        </w:tc>
        <w:tc>
          <w:tcPr>
            <w:tcW w:w="1952" w:type="dxa"/>
          </w:tcPr>
          <w:p>
            <w:pPr>
              <w:pStyle w:val="TableParagraph"/>
              <w:spacing w:before="1"/>
              <w:ind w:left="56"/>
              <w:jc w:val="center"/>
              <w:rPr>
                <w:sz w:val="18"/>
              </w:rPr>
            </w:pPr>
            <w:r>
              <w:rPr>
                <w:spacing w:val="-2"/>
                <w:sz w:val="18"/>
              </w:rPr>
              <w:t>373.7945</w:t>
            </w:r>
          </w:p>
        </w:tc>
        <w:tc>
          <w:tcPr>
            <w:tcW w:w="1954" w:type="dxa"/>
          </w:tcPr>
          <w:p>
            <w:pPr>
              <w:pStyle w:val="TableParagraph"/>
              <w:spacing w:before="1"/>
              <w:ind w:left="59"/>
              <w:jc w:val="center"/>
              <w:rPr>
                <w:sz w:val="18"/>
              </w:rPr>
            </w:pPr>
            <w:r>
              <w:rPr>
                <w:spacing w:val="-2"/>
                <w:sz w:val="18"/>
              </w:rPr>
              <w:t>1.243380</w:t>
            </w:r>
          </w:p>
        </w:tc>
      </w:tr>
      <w:tr>
        <w:trPr>
          <w:trHeight w:val="314" w:hRule="atLeast"/>
        </w:trPr>
        <w:tc>
          <w:tcPr>
            <w:tcW w:w="3265" w:type="dxa"/>
          </w:tcPr>
          <w:p>
            <w:pPr>
              <w:pStyle w:val="TableParagraph"/>
              <w:spacing w:line="206" w:lineRule="exact"/>
              <w:ind w:left="8"/>
              <w:jc w:val="center"/>
              <w:rPr>
                <w:sz w:val="18"/>
              </w:rPr>
            </w:pPr>
            <w:r>
              <w:rPr>
                <w:spacing w:val="-2"/>
                <w:sz w:val="18"/>
              </w:rPr>
              <w:t>LEVERAGE</w:t>
            </w:r>
          </w:p>
        </w:tc>
        <w:tc>
          <w:tcPr>
            <w:tcW w:w="1954" w:type="dxa"/>
          </w:tcPr>
          <w:p>
            <w:pPr>
              <w:pStyle w:val="TableParagraph"/>
              <w:spacing w:line="206" w:lineRule="exact"/>
              <w:ind w:left="59" w:right="3"/>
              <w:jc w:val="center"/>
              <w:rPr>
                <w:sz w:val="18"/>
              </w:rPr>
            </w:pPr>
            <w:r>
              <w:rPr>
                <w:spacing w:val="-2"/>
                <w:sz w:val="18"/>
              </w:rPr>
              <w:t>2.87E-</w:t>
            </w:r>
            <w:r>
              <w:rPr>
                <w:spacing w:val="-5"/>
                <w:sz w:val="18"/>
              </w:rPr>
              <w:t>05</w:t>
            </w:r>
          </w:p>
        </w:tc>
        <w:tc>
          <w:tcPr>
            <w:tcW w:w="1952" w:type="dxa"/>
          </w:tcPr>
          <w:p>
            <w:pPr>
              <w:pStyle w:val="TableParagraph"/>
              <w:spacing w:line="206" w:lineRule="exact"/>
              <w:ind w:left="56"/>
              <w:jc w:val="center"/>
              <w:rPr>
                <w:sz w:val="18"/>
              </w:rPr>
            </w:pPr>
            <w:r>
              <w:rPr>
                <w:spacing w:val="-2"/>
                <w:sz w:val="18"/>
              </w:rPr>
              <w:t>3.037180</w:t>
            </w:r>
          </w:p>
        </w:tc>
        <w:tc>
          <w:tcPr>
            <w:tcW w:w="1954" w:type="dxa"/>
          </w:tcPr>
          <w:p>
            <w:pPr>
              <w:pStyle w:val="TableParagraph"/>
              <w:spacing w:line="206" w:lineRule="exact"/>
              <w:ind w:left="59"/>
              <w:jc w:val="center"/>
              <w:rPr>
                <w:sz w:val="18"/>
              </w:rPr>
            </w:pPr>
            <w:r>
              <w:rPr>
                <w:spacing w:val="-2"/>
                <w:sz w:val="18"/>
              </w:rPr>
              <w:t>1.161591</w:t>
            </w:r>
          </w:p>
        </w:tc>
      </w:tr>
      <w:tr>
        <w:trPr>
          <w:trHeight w:val="114" w:hRule="atLeast"/>
        </w:trPr>
        <w:tc>
          <w:tcPr>
            <w:tcW w:w="3265" w:type="dxa"/>
          </w:tcPr>
          <w:p>
            <w:pPr>
              <w:pStyle w:val="TableParagraph"/>
              <w:rPr>
                <w:rFonts w:ascii="Times New Roman"/>
                <w:sz w:val="6"/>
              </w:rPr>
            </w:pPr>
          </w:p>
        </w:tc>
        <w:tc>
          <w:tcPr>
            <w:tcW w:w="1954" w:type="dxa"/>
          </w:tcPr>
          <w:p>
            <w:pPr>
              <w:pStyle w:val="TableParagraph"/>
              <w:rPr>
                <w:rFonts w:ascii="Times New Roman"/>
                <w:sz w:val="6"/>
              </w:rPr>
            </w:pPr>
          </w:p>
        </w:tc>
        <w:tc>
          <w:tcPr>
            <w:tcW w:w="1952" w:type="dxa"/>
          </w:tcPr>
          <w:p>
            <w:pPr>
              <w:pStyle w:val="TableParagraph"/>
              <w:rPr>
                <w:rFonts w:ascii="Times New Roman"/>
                <w:sz w:val="6"/>
              </w:rPr>
            </w:pPr>
          </w:p>
        </w:tc>
        <w:tc>
          <w:tcPr>
            <w:tcW w:w="1954" w:type="dxa"/>
          </w:tcPr>
          <w:p>
            <w:pPr>
              <w:pStyle w:val="TableParagraph"/>
              <w:rPr>
                <w:rFonts w:ascii="Times New Roman"/>
                <w:sz w:val="6"/>
              </w:rPr>
            </w:pPr>
          </w:p>
        </w:tc>
      </w:tr>
      <w:tr>
        <w:trPr>
          <w:trHeight w:val="177" w:hRule="atLeast"/>
        </w:trPr>
        <w:tc>
          <w:tcPr>
            <w:tcW w:w="3265" w:type="dxa"/>
          </w:tcPr>
          <w:p>
            <w:pPr>
              <w:pStyle w:val="TableParagraph"/>
              <w:rPr>
                <w:rFonts w:ascii="Times New Roman"/>
                <w:sz w:val="10"/>
              </w:rPr>
            </w:pPr>
          </w:p>
        </w:tc>
        <w:tc>
          <w:tcPr>
            <w:tcW w:w="1954" w:type="dxa"/>
          </w:tcPr>
          <w:p>
            <w:pPr>
              <w:pStyle w:val="TableParagraph"/>
              <w:rPr>
                <w:rFonts w:ascii="Times New Roman"/>
                <w:sz w:val="10"/>
              </w:rPr>
            </w:pPr>
          </w:p>
        </w:tc>
        <w:tc>
          <w:tcPr>
            <w:tcW w:w="1952" w:type="dxa"/>
          </w:tcPr>
          <w:p>
            <w:pPr>
              <w:pStyle w:val="TableParagraph"/>
              <w:rPr>
                <w:rFonts w:ascii="Times New Roman"/>
                <w:sz w:val="10"/>
              </w:rPr>
            </w:pPr>
          </w:p>
        </w:tc>
        <w:tc>
          <w:tcPr>
            <w:tcW w:w="1954" w:type="dxa"/>
          </w:tcPr>
          <w:p>
            <w:pPr>
              <w:pStyle w:val="TableParagraph"/>
              <w:rPr>
                <w:rFonts w:ascii="Times New Roman"/>
                <w:sz w:val="10"/>
              </w:rPr>
            </w:pPr>
          </w:p>
        </w:tc>
      </w:tr>
    </w:tbl>
    <w:p>
      <w:pPr>
        <w:spacing w:after="0"/>
        <w:rPr>
          <w:rFonts w:ascii="Times New Roman"/>
          <w:sz w:val="10"/>
        </w:rPr>
        <w:sectPr>
          <w:pgSz w:w="11910" w:h="16840"/>
          <w:pgMar w:header="0" w:footer="971" w:top="1360" w:bottom="1160" w:left="500" w:right="0"/>
        </w:sectPr>
      </w:pPr>
    </w:p>
    <w:p>
      <w:pPr>
        <w:spacing w:before="41"/>
        <w:ind w:left="940" w:right="0" w:firstLine="0"/>
        <w:jc w:val="left"/>
        <w:rPr>
          <w:rFonts w:ascii="Calibri"/>
          <w:b/>
          <w:sz w:val="22"/>
        </w:rPr>
      </w:pPr>
      <w:r>
        <w:rPr/>
        <mc:AlternateContent>
          <mc:Choice Requires="wps">
            <w:drawing>
              <wp:anchor distT="0" distB="0" distL="0" distR="0" allowOverlap="1" layoutInCell="1" locked="0" behindDoc="1" simplePos="0" relativeHeight="477779968">
                <wp:simplePos x="0" y="0"/>
                <wp:positionH relativeFrom="page">
                  <wp:posOffset>1269060</wp:posOffset>
                </wp:positionH>
                <wp:positionV relativeFrom="page">
                  <wp:posOffset>2726054</wp:posOffset>
                </wp:positionV>
                <wp:extent cx="4933315" cy="4976495"/>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4933315" cy="4976495"/>
                          <a:chExt cx="4933315" cy="4976495"/>
                        </a:xfrm>
                      </wpg:grpSpPr>
                      <wps:wsp>
                        <wps:cNvPr id="273" name="Graphic 273"/>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74" name="Image 274"/>
                          <pic:cNvPicPr/>
                        </pic:nvPicPr>
                        <pic:blipFill>
                          <a:blip r:embed="rId9" cstate="print"/>
                          <a:stretch>
                            <a:fillRect/>
                          </a:stretch>
                        </pic:blipFill>
                        <pic:spPr>
                          <a:xfrm>
                            <a:off x="1248333" y="3743197"/>
                            <a:ext cx="221995" cy="221614"/>
                          </a:xfrm>
                          <a:prstGeom prst="rect">
                            <a:avLst/>
                          </a:prstGeom>
                        </pic:spPr>
                      </pic:pic>
                      <wps:wsp>
                        <wps:cNvPr id="275" name="Graphic 275"/>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36512" id="docshapegroup79" coordorigin="1999,4293" coordsize="7769,7837">
                <v:shape style="position:absolute;left:1998;top:10112;width:2142;height:2018" id="docshape80"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81" stroked="false">
                  <v:imagedata r:id="rId9" o:title=""/>
                </v:shape>
                <v:shape style="position:absolute;left:3758;top:4293;width:6009;height:6216" id="docshape82"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rFonts w:ascii="Calibri"/>
          <w:b/>
          <w:sz w:val="22"/>
        </w:rPr>
        <w:t>APPENDIX</w:t>
      </w:r>
      <w:r>
        <w:rPr>
          <w:rFonts w:ascii="Calibri"/>
          <w:b/>
          <w:spacing w:val="-6"/>
          <w:sz w:val="22"/>
        </w:rPr>
        <w:t> </w:t>
      </w:r>
      <w:r>
        <w:rPr>
          <w:rFonts w:ascii="Calibri"/>
          <w:b/>
          <w:sz w:val="22"/>
        </w:rPr>
        <w:t>5</w:t>
      </w:r>
      <w:r>
        <w:rPr>
          <w:rFonts w:ascii="Calibri"/>
          <w:b/>
          <w:spacing w:val="-6"/>
          <w:sz w:val="22"/>
        </w:rPr>
        <w:t> </w:t>
      </w:r>
      <w:r>
        <w:rPr>
          <w:rFonts w:ascii="Calibri"/>
          <w:b/>
          <w:sz w:val="22"/>
        </w:rPr>
        <w:t>(TABLE</w:t>
      </w:r>
      <w:r>
        <w:rPr>
          <w:rFonts w:ascii="Calibri"/>
          <w:b/>
          <w:spacing w:val="-6"/>
          <w:sz w:val="22"/>
        </w:rPr>
        <w:t> </w:t>
      </w:r>
      <w:r>
        <w:rPr>
          <w:rFonts w:ascii="Calibri"/>
          <w:b/>
          <w:sz w:val="22"/>
        </w:rPr>
        <w:t>4.5,</w:t>
      </w:r>
      <w:r>
        <w:rPr>
          <w:rFonts w:ascii="Calibri"/>
          <w:b/>
          <w:spacing w:val="-3"/>
          <w:sz w:val="22"/>
        </w:rPr>
        <w:t> </w:t>
      </w:r>
      <w:r>
        <w:rPr>
          <w:rFonts w:ascii="Calibri"/>
          <w:b/>
          <w:sz w:val="22"/>
        </w:rPr>
        <w:t>Dependent</w:t>
      </w:r>
      <w:r>
        <w:rPr>
          <w:rFonts w:ascii="Calibri"/>
          <w:b/>
          <w:spacing w:val="-4"/>
          <w:sz w:val="22"/>
        </w:rPr>
        <w:t> </w:t>
      </w:r>
      <w:r>
        <w:rPr>
          <w:rFonts w:ascii="Calibri"/>
          <w:b/>
          <w:sz w:val="22"/>
        </w:rPr>
        <w:t>variable</w:t>
      </w:r>
      <w:r>
        <w:rPr>
          <w:rFonts w:ascii="Calibri"/>
          <w:b/>
          <w:spacing w:val="-5"/>
          <w:sz w:val="22"/>
        </w:rPr>
        <w:t> </w:t>
      </w:r>
      <w:r>
        <w:rPr>
          <w:rFonts w:ascii="Calibri"/>
          <w:b/>
          <w:sz w:val="22"/>
        </w:rPr>
        <w:t>=</w:t>
      </w:r>
      <w:r>
        <w:rPr>
          <w:rFonts w:ascii="Calibri"/>
          <w:b/>
          <w:spacing w:val="-5"/>
          <w:sz w:val="22"/>
        </w:rPr>
        <w:t> </w:t>
      </w:r>
      <w:r>
        <w:rPr>
          <w:rFonts w:ascii="Calibri"/>
          <w:b/>
          <w:spacing w:val="-2"/>
          <w:sz w:val="22"/>
        </w:rPr>
        <w:t>DISACC)</w:t>
      </w:r>
    </w:p>
    <w:p>
      <w:pPr>
        <w:pStyle w:val="BodyText"/>
        <w:spacing w:before="4" w:after="1"/>
        <w:rPr>
          <w:rFonts w:ascii="Calibri"/>
          <w:b/>
          <w:sz w:val="18"/>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220"/>
        <w:gridCol w:w="1491"/>
        <w:gridCol w:w="910"/>
        <w:gridCol w:w="914"/>
      </w:tblGrid>
      <w:tr>
        <w:trPr>
          <w:trHeight w:val="212" w:hRule="atLeast"/>
        </w:trPr>
        <w:tc>
          <w:tcPr>
            <w:tcW w:w="6530" w:type="dxa"/>
            <w:gridSpan w:val="5"/>
          </w:tcPr>
          <w:p>
            <w:pPr>
              <w:pStyle w:val="TableParagraph"/>
              <w:spacing w:line="192"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0" w:type="dxa"/>
            <w:gridSpan w:val="5"/>
          </w:tcPr>
          <w:p>
            <w:pPr>
              <w:pStyle w:val="TableParagraph"/>
              <w:spacing w:line="199" w:lineRule="exact" w:before="5"/>
              <w:rPr>
                <w:sz w:val="18"/>
              </w:rPr>
            </w:pPr>
            <w:r>
              <w:rPr>
                <w:sz w:val="18"/>
              </w:rPr>
              <w:t>Method:</w:t>
            </w:r>
            <w:r>
              <w:rPr>
                <w:spacing w:val="-5"/>
                <w:sz w:val="18"/>
              </w:rPr>
              <w:t> </w:t>
            </w:r>
            <w:r>
              <w:rPr>
                <w:sz w:val="18"/>
              </w:rPr>
              <w:t>ARMA</w:t>
            </w:r>
            <w:r>
              <w:rPr>
                <w:spacing w:val="-5"/>
                <w:sz w:val="18"/>
              </w:rPr>
              <w:t> </w:t>
            </w:r>
            <w:r>
              <w:rPr>
                <w:sz w:val="18"/>
              </w:rPr>
              <w:t>Maximum</w:t>
            </w:r>
            <w:r>
              <w:rPr>
                <w:spacing w:val="-2"/>
                <w:sz w:val="18"/>
              </w:rPr>
              <w:t> </w:t>
            </w:r>
            <w:r>
              <w:rPr>
                <w:sz w:val="18"/>
              </w:rPr>
              <w:t>Likelihood</w:t>
            </w:r>
            <w:r>
              <w:rPr>
                <w:spacing w:val="-3"/>
                <w:sz w:val="18"/>
              </w:rPr>
              <w:t> </w:t>
            </w:r>
            <w:r>
              <w:rPr>
                <w:sz w:val="18"/>
              </w:rPr>
              <w:t>(OPG</w:t>
            </w:r>
            <w:r>
              <w:rPr>
                <w:spacing w:val="-2"/>
                <w:sz w:val="18"/>
              </w:rPr>
              <w:t> </w:t>
            </w:r>
            <w:r>
              <w:rPr>
                <w:sz w:val="18"/>
              </w:rPr>
              <w:t>-</w:t>
            </w:r>
            <w:r>
              <w:rPr>
                <w:spacing w:val="-2"/>
                <w:sz w:val="18"/>
              </w:rPr>
              <w:t> </w:t>
            </w:r>
            <w:r>
              <w:rPr>
                <w:spacing w:val="-4"/>
                <w:sz w:val="18"/>
              </w:rPr>
              <w:t>BHHH)</w:t>
            </w: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05/06/21</w:t>
            </w:r>
            <w:r>
              <w:rPr>
                <w:spacing w:val="65"/>
                <w:w w:val="150"/>
                <w:sz w:val="18"/>
              </w:rPr>
              <w:t> </w:t>
            </w:r>
            <w:r>
              <w:rPr>
                <w:sz w:val="18"/>
              </w:rPr>
              <w:t>Time:</w:t>
            </w:r>
            <w:r>
              <w:rPr>
                <w:spacing w:val="-2"/>
                <w:sz w:val="18"/>
              </w:rPr>
              <w:t> </w:t>
            </w:r>
            <w:r>
              <w:rPr>
                <w:spacing w:val="-4"/>
                <w:sz w:val="18"/>
              </w:rPr>
              <w:t>09:07</w:t>
            </w:r>
          </w:p>
        </w:tc>
      </w:tr>
      <w:tr>
        <w:trPr>
          <w:trHeight w:val="225" w:hRule="atLeast"/>
        </w:trPr>
        <w:tc>
          <w:tcPr>
            <w:tcW w:w="199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8"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9" w:lineRule="exact" w:before="5"/>
              <w:rPr>
                <w:sz w:val="18"/>
              </w:rPr>
            </w:pPr>
            <w:r>
              <w:rPr>
                <w:sz w:val="18"/>
              </w:rPr>
              <w:t>Convergence</w:t>
            </w:r>
            <w:r>
              <w:rPr>
                <w:spacing w:val="-10"/>
                <w:sz w:val="18"/>
              </w:rPr>
              <w:t> </w:t>
            </w:r>
            <w:r>
              <w:rPr>
                <w:sz w:val="18"/>
              </w:rPr>
              <w:t>achieved</w:t>
            </w:r>
            <w:r>
              <w:rPr>
                <w:spacing w:val="-10"/>
                <w:sz w:val="18"/>
              </w:rPr>
              <w:t> </w:t>
            </w:r>
            <w:r>
              <w:rPr>
                <w:sz w:val="18"/>
              </w:rPr>
              <w:t>after</w:t>
            </w:r>
            <w:r>
              <w:rPr>
                <w:spacing w:val="-10"/>
                <w:sz w:val="18"/>
              </w:rPr>
              <w:t> </w:t>
            </w:r>
            <w:r>
              <w:rPr>
                <w:sz w:val="18"/>
              </w:rPr>
              <w:t>11</w:t>
            </w:r>
            <w:r>
              <w:rPr>
                <w:spacing w:val="-10"/>
                <w:sz w:val="18"/>
              </w:rPr>
              <w:t> </w:t>
            </w:r>
            <w:r>
              <w:rPr>
                <w:spacing w:val="-2"/>
                <w:sz w:val="18"/>
              </w:rPr>
              <w:t>iterations</w:t>
            </w:r>
          </w:p>
        </w:tc>
      </w:tr>
      <w:tr>
        <w:trPr>
          <w:trHeight w:val="303" w:hRule="atLeast"/>
        </w:trPr>
        <w:tc>
          <w:tcPr>
            <w:tcW w:w="6530" w:type="dxa"/>
            <w:gridSpan w:val="5"/>
            <w:tcBorders>
              <w:bottom w:val="double" w:sz="6" w:space="0" w:color="000000"/>
            </w:tcBorders>
          </w:tcPr>
          <w:p>
            <w:pPr>
              <w:pStyle w:val="TableParagraph"/>
              <w:spacing w:before="6"/>
              <w:rPr>
                <w:sz w:val="18"/>
              </w:rPr>
            </w:pPr>
            <w:r>
              <w:rPr>
                <w:sz w:val="18"/>
              </w:rPr>
              <w:t>Coefficient</w:t>
            </w:r>
            <w:r>
              <w:rPr>
                <w:spacing w:val="-10"/>
                <w:sz w:val="18"/>
              </w:rPr>
              <w:t> </w:t>
            </w:r>
            <w:r>
              <w:rPr>
                <w:sz w:val="18"/>
              </w:rPr>
              <w:t>covariance</w:t>
            </w:r>
            <w:r>
              <w:rPr>
                <w:spacing w:val="-11"/>
                <w:sz w:val="18"/>
              </w:rPr>
              <w:t> </w:t>
            </w:r>
            <w:r>
              <w:rPr>
                <w:sz w:val="18"/>
              </w:rPr>
              <w:t>computed</w:t>
            </w:r>
            <w:r>
              <w:rPr>
                <w:spacing w:val="-9"/>
                <w:sz w:val="18"/>
              </w:rPr>
              <w:t> </w:t>
            </w:r>
            <w:r>
              <w:rPr>
                <w:sz w:val="18"/>
              </w:rPr>
              <w:t>using</w:t>
            </w:r>
            <w:r>
              <w:rPr>
                <w:spacing w:val="-11"/>
                <w:sz w:val="18"/>
              </w:rPr>
              <w:t> </w:t>
            </w:r>
            <w:r>
              <w:rPr>
                <w:sz w:val="18"/>
              </w:rPr>
              <w:t>outer</w:t>
            </w:r>
            <w:r>
              <w:rPr>
                <w:spacing w:val="-10"/>
                <w:sz w:val="18"/>
              </w:rPr>
              <w:t> </w:t>
            </w:r>
            <w:r>
              <w:rPr>
                <w:sz w:val="18"/>
              </w:rPr>
              <w:t>product</w:t>
            </w:r>
            <w:r>
              <w:rPr>
                <w:spacing w:val="-9"/>
                <w:sz w:val="18"/>
              </w:rPr>
              <w:t> </w:t>
            </w:r>
            <w:r>
              <w:rPr>
                <w:sz w:val="18"/>
              </w:rPr>
              <w:t>of</w:t>
            </w:r>
            <w:r>
              <w:rPr>
                <w:spacing w:val="-11"/>
                <w:sz w:val="18"/>
              </w:rPr>
              <w:t> </w:t>
            </w:r>
            <w:r>
              <w:rPr>
                <w:spacing w:val="-2"/>
                <w:sz w:val="18"/>
              </w:rPr>
              <w:t>gradients</w:t>
            </w:r>
          </w:p>
        </w:tc>
      </w:tr>
      <w:tr>
        <w:trPr>
          <w:trHeight w:val="403" w:hRule="atLeast"/>
        </w:trPr>
        <w:tc>
          <w:tcPr>
            <w:tcW w:w="199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20" w:type="dxa"/>
            <w:tcBorders>
              <w:top w:val="double" w:sz="6" w:space="0" w:color="000000"/>
              <w:bottom w:val="double" w:sz="6" w:space="0" w:color="000000"/>
            </w:tcBorders>
          </w:tcPr>
          <w:p>
            <w:pPr>
              <w:pStyle w:val="TableParagraph"/>
              <w:spacing w:before="108"/>
              <w:ind w:left="26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7" w:hRule="atLeast"/>
        </w:trPr>
        <w:tc>
          <w:tcPr>
            <w:tcW w:w="1995" w:type="dxa"/>
            <w:tcBorders>
              <w:top w:val="double" w:sz="6" w:space="0" w:color="000000"/>
            </w:tcBorders>
          </w:tcPr>
          <w:p>
            <w:pPr>
              <w:pStyle w:val="TableParagraph"/>
              <w:spacing w:line="199" w:lineRule="exact" w:before="108"/>
              <w:ind w:left="22" w:right="1"/>
              <w:jc w:val="center"/>
              <w:rPr>
                <w:sz w:val="18"/>
              </w:rPr>
            </w:pPr>
            <w:r>
              <w:rPr>
                <w:spacing w:val="-10"/>
                <w:sz w:val="18"/>
              </w:rPr>
              <w:t>C</w:t>
            </w:r>
          </w:p>
        </w:tc>
        <w:tc>
          <w:tcPr>
            <w:tcW w:w="1220" w:type="dxa"/>
            <w:tcBorders>
              <w:top w:val="double" w:sz="6" w:space="0" w:color="000000"/>
            </w:tcBorders>
          </w:tcPr>
          <w:p>
            <w:pPr>
              <w:pStyle w:val="TableParagraph"/>
              <w:spacing w:line="199" w:lineRule="exact" w:before="108"/>
              <w:ind w:left="362"/>
              <w:rPr>
                <w:sz w:val="18"/>
              </w:rPr>
            </w:pPr>
            <w:r>
              <w:rPr>
                <w:spacing w:val="-2"/>
                <w:sz w:val="18"/>
              </w:rPr>
              <w:t>0.002713</w:t>
            </w:r>
          </w:p>
        </w:tc>
        <w:tc>
          <w:tcPr>
            <w:tcW w:w="1491" w:type="dxa"/>
            <w:tcBorders>
              <w:top w:val="double" w:sz="6" w:space="0" w:color="000000"/>
            </w:tcBorders>
          </w:tcPr>
          <w:p>
            <w:pPr>
              <w:pStyle w:val="TableParagraph"/>
              <w:spacing w:line="199" w:lineRule="exact" w:before="108"/>
              <w:ind w:left="351"/>
              <w:rPr>
                <w:sz w:val="18"/>
              </w:rPr>
            </w:pPr>
            <w:r>
              <w:rPr>
                <w:spacing w:val="-2"/>
                <w:sz w:val="18"/>
              </w:rPr>
              <w:t>0.177881</w:t>
            </w:r>
          </w:p>
        </w:tc>
        <w:tc>
          <w:tcPr>
            <w:tcW w:w="910" w:type="dxa"/>
            <w:tcBorders>
              <w:top w:val="double" w:sz="6" w:space="0" w:color="000000"/>
            </w:tcBorders>
          </w:tcPr>
          <w:p>
            <w:pPr>
              <w:pStyle w:val="TableParagraph"/>
              <w:spacing w:line="199" w:lineRule="exact" w:before="108"/>
              <w:ind w:right="89"/>
              <w:jc w:val="right"/>
              <w:rPr>
                <w:sz w:val="18"/>
              </w:rPr>
            </w:pPr>
            <w:r>
              <w:rPr>
                <w:spacing w:val="-2"/>
                <w:sz w:val="18"/>
              </w:rPr>
              <w:t>0.015250</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0.9878</w:t>
            </w:r>
          </w:p>
        </w:tc>
      </w:tr>
      <w:tr>
        <w:trPr>
          <w:trHeight w:val="225" w:hRule="atLeast"/>
        </w:trPr>
        <w:tc>
          <w:tcPr>
            <w:tcW w:w="1995" w:type="dxa"/>
          </w:tcPr>
          <w:p>
            <w:pPr>
              <w:pStyle w:val="TableParagraph"/>
              <w:spacing w:line="199" w:lineRule="exact" w:before="6"/>
              <w:ind w:left="643"/>
              <w:rPr>
                <w:sz w:val="18"/>
              </w:rPr>
            </w:pPr>
            <w:r>
              <w:rPr>
                <w:spacing w:val="-2"/>
                <w:sz w:val="18"/>
              </w:rPr>
              <w:t>IFRS*TG</w:t>
            </w:r>
          </w:p>
        </w:tc>
        <w:tc>
          <w:tcPr>
            <w:tcW w:w="1220" w:type="dxa"/>
          </w:tcPr>
          <w:p>
            <w:pPr>
              <w:pStyle w:val="TableParagraph"/>
              <w:spacing w:line="199" w:lineRule="exact" w:before="6"/>
              <w:ind w:left="362"/>
              <w:rPr>
                <w:sz w:val="18"/>
              </w:rPr>
            </w:pPr>
            <w:r>
              <w:rPr>
                <w:spacing w:val="-2"/>
                <w:sz w:val="18"/>
              </w:rPr>
              <w:t>1.264501</w:t>
            </w:r>
          </w:p>
        </w:tc>
        <w:tc>
          <w:tcPr>
            <w:tcW w:w="1491" w:type="dxa"/>
          </w:tcPr>
          <w:p>
            <w:pPr>
              <w:pStyle w:val="TableParagraph"/>
              <w:spacing w:line="199" w:lineRule="exact" w:before="6"/>
              <w:ind w:left="351"/>
              <w:rPr>
                <w:sz w:val="18"/>
              </w:rPr>
            </w:pPr>
            <w:r>
              <w:rPr>
                <w:spacing w:val="-2"/>
                <w:sz w:val="18"/>
              </w:rPr>
              <w:t>0.350850</w:t>
            </w:r>
          </w:p>
        </w:tc>
        <w:tc>
          <w:tcPr>
            <w:tcW w:w="910" w:type="dxa"/>
          </w:tcPr>
          <w:p>
            <w:pPr>
              <w:pStyle w:val="TableParagraph"/>
              <w:spacing w:line="199" w:lineRule="exact" w:before="6"/>
              <w:ind w:right="89"/>
              <w:jc w:val="right"/>
              <w:rPr>
                <w:sz w:val="18"/>
              </w:rPr>
            </w:pPr>
            <w:r>
              <w:rPr>
                <w:spacing w:val="-2"/>
                <w:sz w:val="18"/>
              </w:rPr>
              <w:t>3.604107</w:t>
            </w:r>
          </w:p>
        </w:tc>
        <w:tc>
          <w:tcPr>
            <w:tcW w:w="914" w:type="dxa"/>
          </w:tcPr>
          <w:p>
            <w:pPr>
              <w:pStyle w:val="TableParagraph"/>
              <w:spacing w:line="199" w:lineRule="exact" w:before="6"/>
              <w:ind w:right="5"/>
              <w:jc w:val="right"/>
              <w:rPr>
                <w:sz w:val="18"/>
              </w:rPr>
            </w:pPr>
            <w:r>
              <w:rPr>
                <w:spacing w:val="-2"/>
                <w:sz w:val="18"/>
              </w:rPr>
              <w:t>0.0004</w:t>
            </w:r>
          </w:p>
        </w:tc>
      </w:tr>
      <w:tr>
        <w:trPr>
          <w:trHeight w:val="224" w:hRule="atLeast"/>
        </w:trPr>
        <w:tc>
          <w:tcPr>
            <w:tcW w:w="1995" w:type="dxa"/>
          </w:tcPr>
          <w:p>
            <w:pPr>
              <w:pStyle w:val="TableParagraph"/>
              <w:spacing w:line="198" w:lineRule="exact" w:before="6"/>
              <w:ind w:left="22" w:right="1"/>
              <w:jc w:val="center"/>
              <w:rPr>
                <w:sz w:val="18"/>
              </w:rPr>
            </w:pPr>
            <w:r>
              <w:rPr>
                <w:spacing w:val="-4"/>
                <w:sz w:val="18"/>
              </w:rPr>
              <w:t>FAGE</w:t>
            </w:r>
          </w:p>
        </w:tc>
        <w:tc>
          <w:tcPr>
            <w:tcW w:w="1220" w:type="dxa"/>
          </w:tcPr>
          <w:p>
            <w:pPr>
              <w:pStyle w:val="TableParagraph"/>
              <w:spacing w:line="198" w:lineRule="exact" w:before="6"/>
              <w:ind w:left="302"/>
              <w:rPr>
                <w:sz w:val="18"/>
              </w:rPr>
            </w:pPr>
            <w:r>
              <w:rPr>
                <w:spacing w:val="-2"/>
                <w:sz w:val="18"/>
              </w:rPr>
              <w:t>-0.003971</w:t>
            </w:r>
          </w:p>
        </w:tc>
        <w:tc>
          <w:tcPr>
            <w:tcW w:w="1491" w:type="dxa"/>
          </w:tcPr>
          <w:p>
            <w:pPr>
              <w:pStyle w:val="TableParagraph"/>
              <w:spacing w:line="198" w:lineRule="exact" w:before="6"/>
              <w:ind w:left="351"/>
              <w:rPr>
                <w:sz w:val="18"/>
              </w:rPr>
            </w:pPr>
            <w:r>
              <w:rPr>
                <w:spacing w:val="-2"/>
                <w:sz w:val="18"/>
              </w:rPr>
              <w:t>0.005659</w:t>
            </w:r>
          </w:p>
        </w:tc>
        <w:tc>
          <w:tcPr>
            <w:tcW w:w="910" w:type="dxa"/>
          </w:tcPr>
          <w:p>
            <w:pPr>
              <w:pStyle w:val="TableParagraph"/>
              <w:spacing w:line="198" w:lineRule="exact" w:before="6"/>
              <w:ind w:right="89"/>
              <w:jc w:val="right"/>
              <w:rPr>
                <w:sz w:val="18"/>
              </w:rPr>
            </w:pPr>
            <w:r>
              <w:rPr>
                <w:spacing w:val="-2"/>
                <w:sz w:val="18"/>
              </w:rPr>
              <w:t>-0.701751</w:t>
            </w:r>
          </w:p>
        </w:tc>
        <w:tc>
          <w:tcPr>
            <w:tcW w:w="914" w:type="dxa"/>
          </w:tcPr>
          <w:p>
            <w:pPr>
              <w:pStyle w:val="TableParagraph"/>
              <w:spacing w:line="198" w:lineRule="exact" w:before="6"/>
              <w:ind w:right="5"/>
              <w:jc w:val="right"/>
              <w:rPr>
                <w:sz w:val="18"/>
              </w:rPr>
            </w:pPr>
            <w:r>
              <w:rPr>
                <w:spacing w:val="-2"/>
                <w:sz w:val="18"/>
              </w:rPr>
              <w:t>0.4837</w:t>
            </w:r>
          </w:p>
        </w:tc>
      </w:tr>
      <w:tr>
        <w:trPr>
          <w:trHeight w:val="224" w:hRule="atLeast"/>
        </w:trPr>
        <w:tc>
          <w:tcPr>
            <w:tcW w:w="1995" w:type="dxa"/>
          </w:tcPr>
          <w:p>
            <w:pPr>
              <w:pStyle w:val="TableParagraph"/>
              <w:spacing w:line="199" w:lineRule="exact" w:before="5"/>
              <w:ind w:left="22" w:right="4"/>
              <w:jc w:val="center"/>
              <w:rPr>
                <w:sz w:val="18"/>
              </w:rPr>
            </w:pPr>
            <w:r>
              <w:rPr>
                <w:spacing w:val="-4"/>
                <w:sz w:val="18"/>
              </w:rPr>
              <w:t>FOWN</w:t>
            </w:r>
          </w:p>
        </w:tc>
        <w:tc>
          <w:tcPr>
            <w:tcW w:w="1220" w:type="dxa"/>
          </w:tcPr>
          <w:p>
            <w:pPr>
              <w:pStyle w:val="TableParagraph"/>
              <w:spacing w:line="199" w:lineRule="exact" w:before="5"/>
              <w:ind w:left="362"/>
              <w:rPr>
                <w:sz w:val="18"/>
              </w:rPr>
            </w:pPr>
            <w:r>
              <w:rPr>
                <w:spacing w:val="-2"/>
                <w:sz w:val="18"/>
              </w:rPr>
              <w:t>0.000395</w:t>
            </w:r>
          </w:p>
        </w:tc>
        <w:tc>
          <w:tcPr>
            <w:tcW w:w="1491" w:type="dxa"/>
          </w:tcPr>
          <w:p>
            <w:pPr>
              <w:pStyle w:val="TableParagraph"/>
              <w:spacing w:line="199" w:lineRule="exact" w:before="5"/>
              <w:ind w:left="351"/>
              <w:rPr>
                <w:sz w:val="18"/>
              </w:rPr>
            </w:pPr>
            <w:r>
              <w:rPr>
                <w:spacing w:val="-2"/>
                <w:sz w:val="18"/>
              </w:rPr>
              <w:t>0.002674</w:t>
            </w:r>
          </w:p>
        </w:tc>
        <w:tc>
          <w:tcPr>
            <w:tcW w:w="910" w:type="dxa"/>
          </w:tcPr>
          <w:p>
            <w:pPr>
              <w:pStyle w:val="TableParagraph"/>
              <w:spacing w:line="199" w:lineRule="exact" w:before="5"/>
              <w:ind w:right="89"/>
              <w:jc w:val="right"/>
              <w:rPr>
                <w:sz w:val="18"/>
              </w:rPr>
            </w:pPr>
            <w:r>
              <w:rPr>
                <w:spacing w:val="-2"/>
                <w:sz w:val="18"/>
              </w:rPr>
              <w:t>0.147818</w:t>
            </w:r>
          </w:p>
        </w:tc>
        <w:tc>
          <w:tcPr>
            <w:tcW w:w="914" w:type="dxa"/>
          </w:tcPr>
          <w:p>
            <w:pPr>
              <w:pStyle w:val="TableParagraph"/>
              <w:spacing w:line="199" w:lineRule="exact" w:before="5"/>
              <w:ind w:right="5"/>
              <w:jc w:val="right"/>
              <w:rPr>
                <w:sz w:val="18"/>
              </w:rPr>
            </w:pPr>
            <w:r>
              <w:rPr>
                <w:spacing w:val="-2"/>
                <w:sz w:val="18"/>
              </w:rPr>
              <w:t>0.8826</w:t>
            </w:r>
          </w:p>
        </w:tc>
      </w:tr>
      <w:tr>
        <w:trPr>
          <w:trHeight w:val="225" w:hRule="atLeast"/>
        </w:trPr>
        <w:tc>
          <w:tcPr>
            <w:tcW w:w="1995" w:type="dxa"/>
          </w:tcPr>
          <w:p>
            <w:pPr>
              <w:pStyle w:val="TableParagraph"/>
              <w:spacing w:line="199" w:lineRule="exact" w:before="6"/>
              <w:ind w:left="523"/>
              <w:rPr>
                <w:sz w:val="18"/>
              </w:rPr>
            </w:pPr>
            <w:r>
              <w:rPr>
                <w:spacing w:val="-2"/>
                <w:sz w:val="18"/>
              </w:rPr>
              <w:t>LEVERAGE</w:t>
            </w:r>
          </w:p>
        </w:tc>
        <w:tc>
          <w:tcPr>
            <w:tcW w:w="1220" w:type="dxa"/>
          </w:tcPr>
          <w:p>
            <w:pPr>
              <w:pStyle w:val="TableParagraph"/>
              <w:spacing w:line="199" w:lineRule="exact" w:before="6"/>
              <w:ind w:left="302"/>
              <w:rPr>
                <w:sz w:val="18"/>
              </w:rPr>
            </w:pPr>
            <w:r>
              <w:rPr>
                <w:spacing w:val="-2"/>
                <w:sz w:val="18"/>
              </w:rPr>
              <w:t>-0.019927</w:t>
            </w:r>
          </w:p>
        </w:tc>
        <w:tc>
          <w:tcPr>
            <w:tcW w:w="1491" w:type="dxa"/>
          </w:tcPr>
          <w:p>
            <w:pPr>
              <w:pStyle w:val="TableParagraph"/>
              <w:spacing w:line="199" w:lineRule="exact" w:before="6"/>
              <w:ind w:left="351"/>
              <w:rPr>
                <w:sz w:val="18"/>
              </w:rPr>
            </w:pPr>
            <w:r>
              <w:rPr>
                <w:spacing w:val="-2"/>
                <w:sz w:val="18"/>
              </w:rPr>
              <w:t>0.091447</w:t>
            </w:r>
          </w:p>
        </w:tc>
        <w:tc>
          <w:tcPr>
            <w:tcW w:w="910" w:type="dxa"/>
          </w:tcPr>
          <w:p>
            <w:pPr>
              <w:pStyle w:val="TableParagraph"/>
              <w:spacing w:line="199" w:lineRule="exact" w:before="6"/>
              <w:ind w:right="89"/>
              <w:jc w:val="right"/>
              <w:rPr>
                <w:sz w:val="18"/>
              </w:rPr>
            </w:pPr>
            <w:r>
              <w:rPr>
                <w:spacing w:val="-2"/>
                <w:sz w:val="18"/>
              </w:rPr>
              <w:t>-0.217909</w:t>
            </w:r>
          </w:p>
        </w:tc>
        <w:tc>
          <w:tcPr>
            <w:tcW w:w="914" w:type="dxa"/>
          </w:tcPr>
          <w:p>
            <w:pPr>
              <w:pStyle w:val="TableParagraph"/>
              <w:spacing w:line="199" w:lineRule="exact" w:before="6"/>
              <w:ind w:right="5"/>
              <w:jc w:val="right"/>
              <w:rPr>
                <w:sz w:val="18"/>
              </w:rPr>
            </w:pPr>
            <w:r>
              <w:rPr>
                <w:spacing w:val="-2"/>
                <w:sz w:val="18"/>
              </w:rPr>
              <w:t>0.8277</w:t>
            </w:r>
          </w:p>
        </w:tc>
      </w:tr>
      <w:tr>
        <w:trPr>
          <w:trHeight w:val="225" w:hRule="atLeast"/>
        </w:trPr>
        <w:tc>
          <w:tcPr>
            <w:tcW w:w="1995" w:type="dxa"/>
          </w:tcPr>
          <w:p>
            <w:pPr>
              <w:pStyle w:val="TableParagraph"/>
              <w:spacing w:line="199" w:lineRule="exact" w:before="6"/>
              <w:ind w:left="22" w:right="2"/>
              <w:jc w:val="center"/>
              <w:rPr>
                <w:sz w:val="18"/>
              </w:rPr>
            </w:pPr>
            <w:r>
              <w:rPr>
                <w:spacing w:val="-2"/>
                <w:sz w:val="18"/>
              </w:rPr>
              <w:t>AR(1)</w:t>
            </w:r>
          </w:p>
        </w:tc>
        <w:tc>
          <w:tcPr>
            <w:tcW w:w="1220" w:type="dxa"/>
          </w:tcPr>
          <w:p>
            <w:pPr>
              <w:pStyle w:val="TableParagraph"/>
              <w:spacing w:line="199" w:lineRule="exact" w:before="6"/>
              <w:ind w:left="362"/>
              <w:rPr>
                <w:sz w:val="18"/>
              </w:rPr>
            </w:pPr>
            <w:r>
              <w:rPr>
                <w:spacing w:val="-2"/>
                <w:sz w:val="18"/>
              </w:rPr>
              <w:t>0.259916</w:t>
            </w:r>
          </w:p>
        </w:tc>
        <w:tc>
          <w:tcPr>
            <w:tcW w:w="1491" w:type="dxa"/>
          </w:tcPr>
          <w:p>
            <w:pPr>
              <w:pStyle w:val="TableParagraph"/>
              <w:spacing w:line="199" w:lineRule="exact" w:before="6"/>
              <w:ind w:left="351"/>
              <w:rPr>
                <w:sz w:val="18"/>
              </w:rPr>
            </w:pPr>
            <w:r>
              <w:rPr>
                <w:spacing w:val="-2"/>
                <w:sz w:val="18"/>
              </w:rPr>
              <w:t>0.061041</w:t>
            </w:r>
          </w:p>
        </w:tc>
        <w:tc>
          <w:tcPr>
            <w:tcW w:w="910" w:type="dxa"/>
          </w:tcPr>
          <w:p>
            <w:pPr>
              <w:pStyle w:val="TableParagraph"/>
              <w:spacing w:line="199" w:lineRule="exact" w:before="6"/>
              <w:ind w:right="89"/>
              <w:jc w:val="right"/>
              <w:rPr>
                <w:sz w:val="18"/>
              </w:rPr>
            </w:pPr>
            <w:r>
              <w:rPr>
                <w:spacing w:val="-2"/>
                <w:sz w:val="18"/>
              </w:rPr>
              <w:t>4.258062</w:t>
            </w:r>
          </w:p>
        </w:tc>
        <w:tc>
          <w:tcPr>
            <w:tcW w:w="914" w:type="dxa"/>
          </w:tcPr>
          <w:p>
            <w:pPr>
              <w:pStyle w:val="TableParagraph"/>
              <w:spacing w:line="199" w:lineRule="exact" w:before="6"/>
              <w:ind w:right="5"/>
              <w:jc w:val="right"/>
              <w:rPr>
                <w:sz w:val="18"/>
              </w:rPr>
            </w:pPr>
            <w:r>
              <w:rPr>
                <w:spacing w:val="-2"/>
                <w:sz w:val="18"/>
              </w:rPr>
              <w:t>0.0000</w:t>
            </w:r>
          </w:p>
        </w:tc>
      </w:tr>
      <w:tr>
        <w:trPr>
          <w:trHeight w:val="301" w:hRule="atLeast"/>
        </w:trPr>
        <w:tc>
          <w:tcPr>
            <w:tcW w:w="1995" w:type="dxa"/>
            <w:tcBorders>
              <w:bottom w:val="double" w:sz="6" w:space="0" w:color="000000"/>
            </w:tcBorders>
          </w:tcPr>
          <w:p>
            <w:pPr>
              <w:pStyle w:val="TableParagraph"/>
              <w:spacing w:before="6"/>
              <w:ind w:left="587"/>
              <w:rPr>
                <w:sz w:val="18"/>
              </w:rPr>
            </w:pPr>
            <w:r>
              <w:rPr>
                <w:spacing w:val="-2"/>
                <w:sz w:val="18"/>
              </w:rPr>
              <w:t>SIGMASQ</w:t>
            </w:r>
          </w:p>
        </w:tc>
        <w:tc>
          <w:tcPr>
            <w:tcW w:w="1220" w:type="dxa"/>
            <w:tcBorders>
              <w:bottom w:val="double" w:sz="6" w:space="0" w:color="000000"/>
            </w:tcBorders>
          </w:tcPr>
          <w:p>
            <w:pPr>
              <w:pStyle w:val="TableParagraph"/>
              <w:spacing w:before="6"/>
              <w:ind w:left="362"/>
              <w:rPr>
                <w:sz w:val="18"/>
              </w:rPr>
            </w:pPr>
            <w:r>
              <w:rPr>
                <w:spacing w:val="-2"/>
                <w:sz w:val="18"/>
              </w:rPr>
              <w:t>0.307617</w:t>
            </w:r>
          </w:p>
        </w:tc>
        <w:tc>
          <w:tcPr>
            <w:tcW w:w="1491" w:type="dxa"/>
            <w:tcBorders>
              <w:bottom w:val="double" w:sz="6" w:space="0" w:color="000000"/>
            </w:tcBorders>
          </w:tcPr>
          <w:p>
            <w:pPr>
              <w:pStyle w:val="TableParagraph"/>
              <w:spacing w:before="6"/>
              <w:ind w:left="351"/>
              <w:rPr>
                <w:sz w:val="18"/>
              </w:rPr>
            </w:pPr>
            <w:r>
              <w:rPr>
                <w:spacing w:val="-2"/>
                <w:sz w:val="18"/>
              </w:rPr>
              <w:t>0.016634</w:t>
            </w:r>
          </w:p>
        </w:tc>
        <w:tc>
          <w:tcPr>
            <w:tcW w:w="910" w:type="dxa"/>
            <w:tcBorders>
              <w:bottom w:val="double" w:sz="6" w:space="0" w:color="000000"/>
            </w:tcBorders>
          </w:tcPr>
          <w:p>
            <w:pPr>
              <w:pStyle w:val="TableParagraph"/>
              <w:spacing w:before="6"/>
              <w:ind w:right="89"/>
              <w:jc w:val="right"/>
              <w:rPr>
                <w:sz w:val="18"/>
              </w:rPr>
            </w:pPr>
            <w:r>
              <w:rPr>
                <w:spacing w:val="-2"/>
                <w:sz w:val="18"/>
              </w:rPr>
              <w:t>18.49350</w:t>
            </w:r>
          </w:p>
        </w:tc>
        <w:tc>
          <w:tcPr>
            <w:tcW w:w="914" w:type="dxa"/>
            <w:tcBorders>
              <w:bottom w:val="double" w:sz="6" w:space="0" w:color="000000"/>
            </w:tcBorders>
          </w:tcPr>
          <w:p>
            <w:pPr>
              <w:pStyle w:val="TableParagraph"/>
              <w:spacing w:before="6"/>
              <w:ind w:right="5"/>
              <w:jc w:val="right"/>
              <w:rPr>
                <w:sz w:val="18"/>
              </w:rPr>
            </w:pPr>
            <w:r>
              <w:rPr>
                <w:spacing w:val="-2"/>
                <w:sz w:val="18"/>
              </w:rPr>
              <w:t>0.0000</w:t>
            </w:r>
          </w:p>
        </w:tc>
      </w:tr>
      <w:tr>
        <w:trPr>
          <w:trHeight w:val="327" w:hRule="atLeast"/>
        </w:trPr>
        <w:tc>
          <w:tcPr>
            <w:tcW w:w="1995" w:type="dxa"/>
            <w:tcBorders>
              <w:top w:val="double" w:sz="6" w:space="0" w:color="000000"/>
            </w:tcBorders>
          </w:tcPr>
          <w:p>
            <w:pPr>
              <w:pStyle w:val="TableParagraph"/>
              <w:spacing w:line="199" w:lineRule="exact" w:before="108"/>
              <w:rPr>
                <w:sz w:val="18"/>
              </w:rPr>
            </w:pPr>
            <w:r>
              <w:rPr>
                <w:spacing w:val="-2"/>
                <w:sz w:val="18"/>
              </w:rPr>
              <w:t>R-squared</w:t>
            </w:r>
          </w:p>
        </w:tc>
        <w:tc>
          <w:tcPr>
            <w:tcW w:w="1220" w:type="dxa"/>
            <w:tcBorders>
              <w:top w:val="double" w:sz="6" w:space="0" w:color="000000"/>
            </w:tcBorders>
          </w:tcPr>
          <w:p>
            <w:pPr>
              <w:pStyle w:val="TableParagraph"/>
              <w:spacing w:line="199" w:lineRule="exact" w:before="108"/>
              <w:ind w:left="362"/>
              <w:rPr>
                <w:sz w:val="18"/>
              </w:rPr>
            </w:pPr>
            <w:r>
              <w:rPr>
                <w:spacing w:val="-2"/>
                <w:sz w:val="18"/>
              </w:rPr>
              <w:t>0.113608</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-0.117725</w:t>
            </w:r>
          </w:p>
        </w:tc>
      </w:tr>
      <w:tr>
        <w:trPr>
          <w:trHeight w:val="225" w:hRule="atLeast"/>
        </w:trPr>
        <w:tc>
          <w:tcPr>
            <w:tcW w:w="199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20" w:type="dxa"/>
          </w:tcPr>
          <w:p>
            <w:pPr>
              <w:pStyle w:val="TableParagraph"/>
              <w:spacing w:line="199" w:lineRule="exact" w:before="6"/>
              <w:ind w:left="362"/>
              <w:rPr>
                <w:sz w:val="18"/>
              </w:rPr>
            </w:pPr>
            <w:r>
              <w:rPr>
                <w:spacing w:val="-2"/>
                <w:sz w:val="18"/>
              </w:rPr>
              <w:t>0.085319</w:t>
            </w:r>
          </w:p>
        </w:tc>
        <w:tc>
          <w:tcPr>
            <w:tcW w:w="240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5"/>
              <w:jc w:val="right"/>
              <w:rPr>
                <w:sz w:val="18"/>
              </w:rPr>
            </w:pPr>
            <w:r>
              <w:rPr>
                <w:spacing w:val="-2"/>
                <w:sz w:val="18"/>
              </w:rPr>
              <w:t>0.590621</w:t>
            </w:r>
          </w:p>
        </w:tc>
      </w:tr>
      <w:tr>
        <w:trPr>
          <w:trHeight w:val="224" w:hRule="atLeast"/>
        </w:trPr>
        <w:tc>
          <w:tcPr>
            <w:tcW w:w="1995"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20" w:type="dxa"/>
          </w:tcPr>
          <w:p>
            <w:pPr>
              <w:pStyle w:val="TableParagraph"/>
              <w:spacing w:line="198" w:lineRule="exact" w:before="6"/>
              <w:ind w:left="362"/>
              <w:rPr>
                <w:sz w:val="18"/>
              </w:rPr>
            </w:pPr>
            <w:r>
              <w:rPr>
                <w:spacing w:val="-2"/>
                <w:sz w:val="18"/>
              </w:rPr>
              <w:t>0.564863</w:t>
            </w:r>
          </w:p>
        </w:tc>
        <w:tc>
          <w:tcPr>
            <w:tcW w:w="2401" w:type="dxa"/>
            <w:gridSpan w:val="2"/>
          </w:tcPr>
          <w:p>
            <w:pPr>
              <w:pStyle w:val="TableParagraph"/>
              <w:spacing w:line="198" w:lineRule="exact" w:before="6"/>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8" w:lineRule="exact" w:before="6"/>
              <w:ind w:right="5"/>
              <w:jc w:val="right"/>
              <w:rPr>
                <w:sz w:val="18"/>
              </w:rPr>
            </w:pPr>
            <w:r>
              <w:rPr>
                <w:spacing w:val="-2"/>
                <w:sz w:val="18"/>
              </w:rPr>
              <w:t>1.731131</w:t>
            </w:r>
          </w:p>
        </w:tc>
      </w:tr>
      <w:tr>
        <w:trPr>
          <w:trHeight w:val="224" w:hRule="atLeast"/>
        </w:trPr>
        <w:tc>
          <w:tcPr>
            <w:tcW w:w="1995" w:type="dxa"/>
          </w:tcPr>
          <w:p>
            <w:pPr>
              <w:pStyle w:val="TableParagraph"/>
              <w:spacing w:line="199" w:lineRule="exact"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20" w:type="dxa"/>
          </w:tcPr>
          <w:p>
            <w:pPr>
              <w:pStyle w:val="TableParagraph"/>
              <w:spacing w:line="199" w:lineRule="exact" w:before="5"/>
              <w:ind w:left="362"/>
              <w:rPr>
                <w:sz w:val="18"/>
              </w:rPr>
            </w:pPr>
            <w:r>
              <w:rPr>
                <w:spacing w:val="-2"/>
                <w:sz w:val="18"/>
              </w:rPr>
              <w:t>59.98531</w:t>
            </w:r>
          </w:p>
        </w:tc>
        <w:tc>
          <w:tcPr>
            <w:tcW w:w="1491" w:type="dxa"/>
          </w:tcPr>
          <w:p>
            <w:pPr>
              <w:pStyle w:val="TableParagraph"/>
              <w:spacing w:line="199" w:lineRule="exact" w:before="5"/>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5"/>
              <w:ind w:right="5"/>
              <w:jc w:val="right"/>
              <w:rPr>
                <w:sz w:val="18"/>
              </w:rPr>
            </w:pPr>
            <w:r>
              <w:rPr>
                <w:spacing w:val="-2"/>
                <w:sz w:val="18"/>
              </w:rPr>
              <w:t>1.848623</w:t>
            </w:r>
          </w:p>
        </w:tc>
      </w:tr>
      <w:tr>
        <w:trPr>
          <w:trHeight w:val="225" w:hRule="atLeast"/>
        </w:trPr>
        <w:tc>
          <w:tcPr>
            <w:tcW w:w="199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20" w:type="dxa"/>
          </w:tcPr>
          <w:p>
            <w:pPr>
              <w:pStyle w:val="TableParagraph"/>
              <w:spacing w:line="199" w:lineRule="exact" w:before="6"/>
              <w:ind w:left="302"/>
              <w:rPr>
                <w:sz w:val="18"/>
              </w:rPr>
            </w:pPr>
            <w:r>
              <w:rPr>
                <w:spacing w:val="-2"/>
                <w:sz w:val="18"/>
              </w:rPr>
              <w:t>-161.7852</w:t>
            </w:r>
          </w:p>
        </w:tc>
        <w:tc>
          <w:tcPr>
            <w:tcW w:w="240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6"/>
              <w:ind w:right="5"/>
              <w:jc w:val="right"/>
              <w:rPr>
                <w:sz w:val="18"/>
              </w:rPr>
            </w:pPr>
            <w:r>
              <w:rPr>
                <w:spacing w:val="-2"/>
                <w:sz w:val="18"/>
              </w:rPr>
              <w:t>1.778702</w:t>
            </w:r>
          </w:p>
        </w:tc>
      </w:tr>
      <w:tr>
        <w:trPr>
          <w:trHeight w:val="225" w:hRule="atLeast"/>
        </w:trPr>
        <w:tc>
          <w:tcPr>
            <w:tcW w:w="1995" w:type="dxa"/>
          </w:tcPr>
          <w:p>
            <w:pPr>
              <w:pStyle w:val="TableParagraph"/>
              <w:spacing w:line="199" w:lineRule="exact" w:before="6"/>
              <w:rPr>
                <w:sz w:val="18"/>
              </w:rPr>
            </w:pPr>
            <w:r>
              <w:rPr>
                <w:spacing w:val="-2"/>
                <w:sz w:val="18"/>
              </w:rPr>
              <w:t>F-statistic</w:t>
            </w:r>
          </w:p>
        </w:tc>
        <w:tc>
          <w:tcPr>
            <w:tcW w:w="1220" w:type="dxa"/>
          </w:tcPr>
          <w:p>
            <w:pPr>
              <w:pStyle w:val="TableParagraph"/>
              <w:spacing w:line="199" w:lineRule="exact" w:before="6"/>
              <w:ind w:left="362"/>
              <w:rPr>
                <w:sz w:val="18"/>
              </w:rPr>
            </w:pPr>
            <w:r>
              <w:rPr>
                <w:spacing w:val="-2"/>
                <w:sz w:val="18"/>
              </w:rPr>
              <w:t>4.015949</w:t>
            </w:r>
          </w:p>
        </w:tc>
        <w:tc>
          <w:tcPr>
            <w:tcW w:w="240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5"/>
              <w:jc w:val="right"/>
              <w:rPr>
                <w:sz w:val="18"/>
              </w:rPr>
            </w:pPr>
            <w:r>
              <w:rPr>
                <w:spacing w:val="-2"/>
                <w:sz w:val="18"/>
              </w:rPr>
              <w:t>2.017768</w:t>
            </w:r>
          </w:p>
        </w:tc>
      </w:tr>
      <w:tr>
        <w:trPr>
          <w:trHeight w:val="301" w:hRule="atLeast"/>
        </w:trPr>
        <w:tc>
          <w:tcPr>
            <w:tcW w:w="1995" w:type="dxa"/>
            <w:tcBorders>
              <w:bottom w:val="double" w:sz="6" w:space="0" w:color="000000"/>
            </w:tcBorders>
          </w:tcPr>
          <w:p>
            <w:pPr>
              <w:pStyle w:val="TableParagraph"/>
              <w:spacing w:before="6"/>
              <w:rPr>
                <w:sz w:val="18"/>
              </w:rPr>
            </w:pPr>
            <w:r>
              <w:rPr>
                <w:spacing w:val="-2"/>
                <w:sz w:val="18"/>
              </w:rPr>
              <w:t>Prob(F-statistic)</w:t>
            </w:r>
          </w:p>
        </w:tc>
        <w:tc>
          <w:tcPr>
            <w:tcW w:w="1220" w:type="dxa"/>
            <w:tcBorders>
              <w:bottom w:val="double" w:sz="6" w:space="0" w:color="000000"/>
            </w:tcBorders>
          </w:tcPr>
          <w:p>
            <w:pPr>
              <w:pStyle w:val="TableParagraph"/>
              <w:spacing w:before="6"/>
              <w:ind w:left="362"/>
              <w:rPr>
                <w:sz w:val="18"/>
              </w:rPr>
            </w:pPr>
            <w:r>
              <w:rPr>
                <w:spacing w:val="-2"/>
                <w:sz w:val="18"/>
              </w:rPr>
              <w:t>0.000827</w:t>
            </w: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1995" w:type="dxa"/>
            <w:tcBorders>
              <w:top w:val="double" w:sz="6" w:space="0" w:color="000000"/>
              <w:bottom w:val="double" w:sz="6" w:space="0" w:color="000000"/>
            </w:tcBorders>
          </w:tcPr>
          <w:p>
            <w:pPr>
              <w:pStyle w:val="TableParagraph"/>
              <w:spacing w:before="108"/>
              <w:rPr>
                <w:sz w:val="18"/>
              </w:rPr>
            </w:pPr>
            <w:r>
              <w:rPr>
                <w:sz w:val="18"/>
              </w:rPr>
              <w:t>Inverted</w:t>
            </w:r>
            <w:r>
              <w:rPr>
                <w:spacing w:val="-3"/>
                <w:sz w:val="18"/>
              </w:rPr>
              <w:t> </w:t>
            </w:r>
            <w:r>
              <w:rPr>
                <w:sz w:val="18"/>
              </w:rPr>
              <w:t>AR</w:t>
            </w:r>
            <w:r>
              <w:rPr>
                <w:spacing w:val="-2"/>
                <w:sz w:val="18"/>
              </w:rPr>
              <w:t> Roots</w:t>
            </w:r>
          </w:p>
        </w:tc>
        <w:tc>
          <w:tcPr>
            <w:tcW w:w="1220" w:type="dxa"/>
            <w:tcBorders>
              <w:top w:val="double" w:sz="6" w:space="0" w:color="000000"/>
              <w:bottom w:val="double" w:sz="6" w:space="0" w:color="000000"/>
            </w:tcBorders>
          </w:tcPr>
          <w:p>
            <w:pPr>
              <w:pStyle w:val="TableParagraph"/>
              <w:spacing w:before="108"/>
              <w:ind w:left="323"/>
              <w:rPr>
                <w:sz w:val="18"/>
              </w:rPr>
            </w:pPr>
            <w:r>
              <w:rPr>
                <w:spacing w:val="-5"/>
                <w:sz w:val="18"/>
              </w:rPr>
              <w:t>.26</w:t>
            </w:r>
          </w:p>
        </w:tc>
        <w:tc>
          <w:tcPr>
            <w:tcW w:w="1491" w:type="dxa"/>
            <w:tcBorders>
              <w:top w:val="double" w:sz="6" w:space="0" w:color="000000"/>
              <w:bottom w:val="double" w:sz="6" w:space="0" w:color="000000"/>
            </w:tcBorders>
          </w:tcPr>
          <w:p>
            <w:pPr>
              <w:pStyle w:val="TableParagraph"/>
              <w:rPr>
                <w:rFonts w:ascii="Times New Roman"/>
                <w:sz w:val="18"/>
              </w:rPr>
            </w:pPr>
          </w:p>
        </w:tc>
        <w:tc>
          <w:tcPr>
            <w:tcW w:w="910" w:type="dxa"/>
            <w:tcBorders>
              <w:top w:val="double" w:sz="6" w:space="0" w:color="000000"/>
              <w:bottom w:val="double" w:sz="6" w:space="0" w:color="000000"/>
            </w:tcBorders>
          </w:tcPr>
          <w:p>
            <w:pPr>
              <w:pStyle w:val="TableParagraph"/>
              <w:rPr>
                <w:rFonts w:ascii="Times New Roman"/>
                <w:sz w:val="18"/>
              </w:rPr>
            </w:pPr>
          </w:p>
        </w:tc>
        <w:tc>
          <w:tcPr>
            <w:tcW w:w="914" w:type="dxa"/>
            <w:tcBorders>
              <w:top w:val="double" w:sz="6" w:space="0" w:color="000000"/>
              <w:bottom w:val="double" w:sz="6" w:space="0" w:color="000000"/>
            </w:tcBorders>
          </w:tcPr>
          <w:p>
            <w:pPr>
              <w:pStyle w:val="TableParagraph"/>
              <w:rPr>
                <w:rFonts w:ascii="Times New Roman"/>
                <w:sz w:val="18"/>
              </w:rPr>
            </w:pPr>
          </w:p>
        </w:tc>
      </w:tr>
      <w:tr>
        <w:trPr>
          <w:trHeight w:val="515" w:hRule="atLeast"/>
        </w:trPr>
        <w:tc>
          <w:tcPr>
            <w:tcW w:w="6530" w:type="dxa"/>
            <w:gridSpan w:val="5"/>
            <w:tcBorders>
              <w:top w:val="double" w:sz="6" w:space="0" w:color="000000"/>
            </w:tcBorders>
          </w:tcPr>
          <w:p>
            <w:pPr>
              <w:pStyle w:val="TableParagraph"/>
              <w:spacing w:before="76"/>
              <w:rPr>
                <w:rFonts w:ascii="Calibri"/>
                <w:b/>
                <w:sz w:val="18"/>
              </w:rPr>
            </w:pPr>
          </w:p>
          <w:p>
            <w:pPr>
              <w:pStyle w:val="TableParagraph"/>
              <w:spacing w:line="199"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5" w:hRule="atLeast"/>
        </w:trPr>
        <w:tc>
          <w:tcPr>
            <w:tcW w:w="1995" w:type="dxa"/>
          </w:tcPr>
          <w:p>
            <w:pPr>
              <w:pStyle w:val="TableParagraph"/>
              <w:spacing w:line="199" w:lineRule="exact" w:before="6"/>
              <w:rPr>
                <w:sz w:val="18"/>
              </w:rPr>
            </w:pPr>
            <w:r>
              <w:rPr>
                <w:sz w:val="18"/>
              </w:rPr>
              <w:t>Method:</w:t>
            </w:r>
            <w:r>
              <w:rPr>
                <w:spacing w:val="-9"/>
                <w:sz w:val="18"/>
              </w:rPr>
              <w:t> </w:t>
            </w:r>
            <w:r>
              <w:rPr>
                <w:sz w:val="18"/>
              </w:rPr>
              <w:t>Least</w:t>
            </w:r>
            <w:r>
              <w:rPr>
                <w:spacing w:val="-6"/>
                <w:sz w:val="18"/>
              </w:rPr>
              <w:t> </w:t>
            </w:r>
            <w:r>
              <w:rPr>
                <w:spacing w:val="-2"/>
                <w:sz w:val="18"/>
              </w:rPr>
              <w:t>Squares</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05/06/21</w:t>
            </w:r>
            <w:r>
              <w:rPr>
                <w:spacing w:val="65"/>
                <w:w w:val="150"/>
                <w:sz w:val="18"/>
              </w:rPr>
              <w:t> </w:t>
            </w:r>
            <w:r>
              <w:rPr>
                <w:sz w:val="18"/>
              </w:rPr>
              <w:t>Time:</w:t>
            </w:r>
            <w:r>
              <w:rPr>
                <w:spacing w:val="-2"/>
                <w:sz w:val="18"/>
              </w:rPr>
              <w:t> </w:t>
            </w:r>
            <w:r>
              <w:rPr>
                <w:spacing w:val="-4"/>
                <w:sz w:val="18"/>
              </w:rPr>
              <w:t>09:12</w:t>
            </w:r>
          </w:p>
        </w:tc>
      </w:tr>
      <w:tr>
        <w:trPr>
          <w:trHeight w:val="224" w:hRule="atLeast"/>
        </w:trPr>
        <w:tc>
          <w:tcPr>
            <w:tcW w:w="1995" w:type="dxa"/>
          </w:tcPr>
          <w:p>
            <w:pPr>
              <w:pStyle w:val="TableParagraph"/>
              <w:spacing w:line="198"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9" w:lineRule="exact" w:before="5"/>
              <w:rPr>
                <w:sz w:val="18"/>
              </w:rPr>
            </w:pPr>
            <w:r>
              <w:rPr>
                <w:sz w:val="18"/>
              </w:rPr>
              <w:t>Included</w:t>
            </w:r>
            <w:r>
              <w:rPr>
                <w:spacing w:val="-6"/>
                <w:sz w:val="18"/>
              </w:rPr>
              <w:t> </w:t>
            </w:r>
            <w:r>
              <w:rPr>
                <w:sz w:val="18"/>
              </w:rPr>
              <w:t>observations:</w:t>
            </w:r>
            <w:r>
              <w:rPr>
                <w:spacing w:val="-5"/>
                <w:sz w:val="18"/>
              </w:rPr>
              <w:t> 195</w:t>
            </w:r>
          </w:p>
        </w:tc>
      </w:tr>
      <w:tr>
        <w:trPr>
          <w:trHeight w:val="225" w:hRule="atLeast"/>
        </w:trPr>
        <w:tc>
          <w:tcPr>
            <w:tcW w:w="6530" w:type="dxa"/>
            <w:gridSpan w:val="5"/>
          </w:tcPr>
          <w:p>
            <w:pPr>
              <w:pStyle w:val="TableParagraph"/>
              <w:spacing w:line="199" w:lineRule="exact" w:before="6"/>
              <w:rPr>
                <w:sz w:val="18"/>
              </w:rPr>
            </w:pPr>
            <w:r>
              <w:rPr>
                <w:sz w:val="18"/>
              </w:rPr>
              <w:t>White-Hinkley</w:t>
            </w:r>
            <w:r>
              <w:rPr>
                <w:spacing w:val="-8"/>
                <w:sz w:val="18"/>
              </w:rPr>
              <w:t> </w:t>
            </w:r>
            <w:r>
              <w:rPr>
                <w:sz w:val="18"/>
              </w:rPr>
              <w:t>(HC1)</w:t>
            </w:r>
            <w:r>
              <w:rPr>
                <w:spacing w:val="-6"/>
                <w:sz w:val="18"/>
              </w:rPr>
              <w:t> </w:t>
            </w:r>
            <w:r>
              <w:rPr>
                <w:sz w:val="18"/>
              </w:rPr>
              <w:t>heteroskedasticity</w:t>
            </w:r>
            <w:r>
              <w:rPr>
                <w:spacing w:val="-7"/>
                <w:sz w:val="18"/>
              </w:rPr>
              <w:t> </w:t>
            </w:r>
            <w:r>
              <w:rPr>
                <w:sz w:val="18"/>
              </w:rPr>
              <w:t>consistent</w:t>
            </w:r>
            <w:r>
              <w:rPr>
                <w:spacing w:val="-6"/>
                <w:sz w:val="18"/>
              </w:rPr>
              <w:t> </w:t>
            </w:r>
            <w:r>
              <w:rPr>
                <w:sz w:val="18"/>
              </w:rPr>
              <w:t>standard</w:t>
            </w:r>
            <w:r>
              <w:rPr>
                <w:spacing w:val="-8"/>
                <w:sz w:val="18"/>
              </w:rPr>
              <w:t> </w:t>
            </w:r>
            <w:r>
              <w:rPr>
                <w:sz w:val="18"/>
              </w:rPr>
              <w:t>errors</w:t>
            </w:r>
            <w:r>
              <w:rPr>
                <w:spacing w:val="-7"/>
                <w:sz w:val="18"/>
              </w:rPr>
              <w:t> </w:t>
            </w:r>
            <w:r>
              <w:rPr>
                <w:spacing w:val="-5"/>
                <w:sz w:val="18"/>
              </w:rPr>
              <w:t>and</w:t>
            </w:r>
          </w:p>
        </w:tc>
      </w:tr>
      <w:tr>
        <w:trPr>
          <w:trHeight w:val="303" w:hRule="atLeast"/>
        </w:trPr>
        <w:tc>
          <w:tcPr>
            <w:tcW w:w="1995" w:type="dxa"/>
            <w:tcBorders>
              <w:bottom w:val="double" w:sz="6" w:space="0" w:color="000000"/>
            </w:tcBorders>
          </w:tcPr>
          <w:p>
            <w:pPr>
              <w:pStyle w:val="TableParagraph"/>
              <w:spacing w:before="6"/>
              <w:ind w:left="400"/>
              <w:rPr>
                <w:sz w:val="18"/>
              </w:rPr>
            </w:pPr>
            <w:r>
              <w:rPr>
                <w:spacing w:val="-2"/>
                <w:sz w:val="18"/>
              </w:rPr>
              <w:t>covariance</w:t>
            </w:r>
          </w:p>
        </w:tc>
        <w:tc>
          <w:tcPr>
            <w:tcW w:w="1220" w:type="dxa"/>
            <w:tcBorders>
              <w:bottom w:val="double" w:sz="6" w:space="0" w:color="000000"/>
            </w:tcBorders>
          </w:tcPr>
          <w:p>
            <w:pPr>
              <w:pStyle w:val="TableParagraph"/>
              <w:rPr>
                <w:rFonts w:ascii="Times New Roman"/>
                <w:sz w:val="18"/>
              </w:rPr>
            </w:pP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3" w:hRule="atLeast"/>
        </w:trPr>
        <w:tc>
          <w:tcPr>
            <w:tcW w:w="1995" w:type="dxa"/>
            <w:tcBorders>
              <w:top w:val="double" w:sz="6" w:space="0" w:color="000000"/>
              <w:bottom w:val="double" w:sz="6" w:space="0" w:color="000000"/>
            </w:tcBorders>
          </w:tcPr>
          <w:p>
            <w:pPr>
              <w:pStyle w:val="TableParagraph"/>
              <w:spacing w:before="106"/>
              <w:ind w:left="676"/>
              <w:rPr>
                <w:sz w:val="18"/>
              </w:rPr>
            </w:pPr>
            <w:r>
              <w:rPr>
                <w:spacing w:val="-2"/>
                <w:sz w:val="18"/>
              </w:rPr>
              <w:t>Variable</w:t>
            </w:r>
          </w:p>
        </w:tc>
        <w:tc>
          <w:tcPr>
            <w:tcW w:w="1220" w:type="dxa"/>
            <w:tcBorders>
              <w:top w:val="double" w:sz="6" w:space="0" w:color="000000"/>
              <w:bottom w:val="double" w:sz="6" w:space="0" w:color="000000"/>
            </w:tcBorders>
          </w:tcPr>
          <w:p>
            <w:pPr>
              <w:pStyle w:val="TableParagraph"/>
              <w:spacing w:before="106"/>
              <w:ind w:left="26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6"/>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6"/>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6"/>
              <w:ind w:left="375"/>
              <w:rPr>
                <w:sz w:val="18"/>
              </w:rPr>
            </w:pPr>
            <w:r>
              <w:rPr>
                <w:spacing w:val="-2"/>
                <w:sz w:val="18"/>
              </w:rPr>
              <w:t>Prob.</w:t>
            </w:r>
          </w:p>
        </w:tc>
      </w:tr>
      <w:tr>
        <w:trPr>
          <w:trHeight w:val="327" w:hRule="atLeast"/>
        </w:trPr>
        <w:tc>
          <w:tcPr>
            <w:tcW w:w="1995" w:type="dxa"/>
            <w:tcBorders>
              <w:top w:val="double" w:sz="6" w:space="0" w:color="000000"/>
            </w:tcBorders>
          </w:tcPr>
          <w:p>
            <w:pPr>
              <w:pStyle w:val="TableParagraph"/>
              <w:spacing w:line="199" w:lineRule="exact" w:before="108"/>
              <w:ind w:left="22" w:right="1"/>
              <w:jc w:val="center"/>
              <w:rPr>
                <w:sz w:val="18"/>
              </w:rPr>
            </w:pPr>
            <w:r>
              <w:rPr>
                <w:spacing w:val="-10"/>
                <w:sz w:val="18"/>
              </w:rPr>
              <w:t>C</w:t>
            </w:r>
          </w:p>
        </w:tc>
        <w:tc>
          <w:tcPr>
            <w:tcW w:w="1220" w:type="dxa"/>
            <w:tcBorders>
              <w:top w:val="double" w:sz="6" w:space="0" w:color="000000"/>
            </w:tcBorders>
          </w:tcPr>
          <w:p>
            <w:pPr>
              <w:pStyle w:val="TableParagraph"/>
              <w:spacing w:line="199" w:lineRule="exact" w:before="108"/>
              <w:ind w:left="362"/>
              <w:rPr>
                <w:sz w:val="18"/>
              </w:rPr>
            </w:pPr>
            <w:r>
              <w:rPr>
                <w:spacing w:val="-2"/>
                <w:sz w:val="18"/>
              </w:rPr>
              <w:t>0.065954</w:t>
            </w:r>
          </w:p>
        </w:tc>
        <w:tc>
          <w:tcPr>
            <w:tcW w:w="1491" w:type="dxa"/>
            <w:tcBorders>
              <w:top w:val="double" w:sz="6" w:space="0" w:color="000000"/>
            </w:tcBorders>
          </w:tcPr>
          <w:p>
            <w:pPr>
              <w:pStyle w:val="TableParagraph"/>
              <w:spacing w:line="199" w:lineRule="exact" w:before="108"/>
              <w:ind w:left="351"/>
              <w:rPr>
                <w:sz w:val="18"/>
              </w:rPr>
            </w:pPr>
            <w:r>
              <w:rPr>
                <w:spacing w:val="-2"/>
                <w:sz w:val="18"/>
              </w:rPr>
              <w:t>0.066702</w:t>
            </w:r>
          </w:p>
        </w:tc>
        <w:tc>
          <w:tcPr>
            <w:tcW w:w="910" w:type="dxa"/>
            <w:tcBorders>
              <w:top w:val="double" w:sz="6" w:space="0" w:color="000000"/>
            </w:tcBorders>
          </w:tcPr>
          <w:p>
            <w:pPr>
              <w:pStyle w:val="TableParagraph"/>
              <w:spacing w:line="199" w:lineRule="exact" w:before="108"/>
              <w:ind w:right="89"/>
              <w:jc w:val="right"/>
              <w:rPr>
                <w:sz w:val="18"/>
              </w:rPr>
            </w:pPr>
            <w:r>
              <w:rPr>
                <w:spacing w:val="-2"/>
                <w:sz w:val="18"/>
              </w:rPr>
              <w:t>0.988779</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0.3240</w:t>
            </w:r>
          </w:p>
        </w:tc>
      </w:tr>
      <w:tr>
        <w:trPr>
          <w:trHeight w:val="224" w:hRule="atLeast"/>
        </w:trPr>
        <w:tc>
          <w:tcPr>
            <w:tcW w:w="1995" w:type="dxa"/>
          </w:tcPr>
          <w:p>
            <w:pPr>
              <w:pStyle w:val="TableParagraph"/>
              <w:spacing w:line="198" w:lineRule="exact" w:before="6"/>
              <w:ind w:left="643"/>
              <w:rPr>
                <w:sz w:val="18"/>
              </w:rPr>
            </w:pPr>
            <w:r>
              <w:rPr>
                <w:spacing w:val="-2"/>
                <w:sz w:val="18"/>
              </w:rPr>
              <w:t>IFRS*TG</w:t>
            </w:r>
          </w:p>
        </w:tc>
        <w:tc>
          <w:tcPr>
            <w:tcW w:w="1220" w:type="dxa"/>
          </w:tcPr>
          <w:p>
            <w:pPr>
              <w:pStyle w:val="TableParagraph"/>
              <w:spacing w:line="198" w:lineRule="exact" w:before="6"/>
              <w:ind w:left="362"/>
              <w:rPr>
                <w:sz w:val="18"/>
              </w:rPr>
            </w:pPr>
            <w:r>
              <w:rPr>
                <w:spacing w:val="-2"/>
                <w:sz w:val="18"/>
              </w:rPr>
              <w:t>0.055000</w:t>
            </w:r>
          </w:p>
        </w:tc>
        <w:tc>
          <w:tcPr>
            <w:tcW w:w="1491" w:type="dxa"/>
          </w:tcPr>
          <w:p>
            <w:pPr>
              <w:pStyle w:val="TableParagraph"/>
              <w:spacing w:line="198" w:lineRule="exact" w:before="6"/>
              <w:ind w:left="351"/>
              <w:rPr>
                <w:sz w:val="18"/>
              </w:rPr>
            </w:pPr>
            <w:r>
              <w:rPr>
                <w:spacing w:val="-2"/>
                <w:sz w:val="18"/>
              </w:rPr>
              <w:t>0.010953</w:t>
            </w:r>
          </w:p>
        </w:tc>
        <w:tc>
          <w:tcPr>
            <w:tcW w:w="910" w:type="dxa"/>
          </w:tcPr>
          <w:p>
            <w:pPr>
              <w:pStyle w:val="TableParagraph"/>
              <w:spacing w:line="198" w:lineRule="exact" w:before="6"/>
              <w:ind w:right="89"/>
              <w:jc w:val="right"/>
              <w:rPr>
                <w:sz w:val="18"/>
              </w:rPr>
            </w:pPr>
            <w:r>
              <w:rPr>
                <w:spacing w:val="-2"/>
                <w:sz w:val="18"/>
              </w:rPr>
              <w:t>5.021380</w:t>
            </w:r>
          </w:p>
        </w:tc>
        <w:tc>
          <w:tcPr>
            <w:tcW w:w="914" w:type="dxa"/>
          </w:tcPr>
          <w:p>
            <w:pPr>
              <w:pStyle w:val="TableParagraph"/>
              <w:spacing w:line="198" w:lineRule="exact" w:before="6"/>
              <w:ind w:right="5"/>
              <w:jc w:val="right"/>
              <w:rPr>
                <w:sz w:val="18"/>
              </w:rPr>
            </w:pPr>
            <w:r>
              <w:rPr>
                <w:spacing w:val="-2"/>
                <w:sz w:val="18"/>
              </w:rPr>
              <w:t>0.0000</w:t>
            </w:r>
          </w:p>
        </w:tc>
      </w:tr>
      <w:tr>
        <w:trPr>
          <w:trHeight w:val="224" w:hRule="atLeast"/>
        </w:trPr>
        <w:tc>
          <w:tcPr>
            <w:tcW w:w="1995" w:type="dxa"/>
          </w:tcPr>
          <w:p>
            <w:pPr>
              <w:pStyle w:val="TableParagraph"/>
              <w:spacing w:line="199" w:lineRule="exact" w:before="5"/>
              <w:ind w:left="22" w:right="1"/>
              <w:jc w:val="center"/>
              <w:rPr>
                <w:sz w:val="18"/>
              </w:rPr>
            </w:pPr>
            <w:r>
              <w:rPr>
                <w:spacing w:val="-4"/>
                <w:sz w:val="18"/>
              </w:rPr>
              <w:t>FAGE</w:t>
            </w:r>
          </w:p>
        </w:tc>
        <w:tc>
          <w:tcPr>
            <w:tcW w:w="1220" w:type="dxa"/>
          </w:tcPr>
          <w:p>
            <w:pPr>
              <w:pStyle w:val="TableParagraph"/>
              <w:spacing w:line="199" w:lineRule="exact" w:before="5"/>
              <w:ind w:left="362"/>
              <w:rPr>
                <w:sz w:val="18"/>
              </w:rPr>
            </w:pPr>
            <w:r>
              <w:rPr>
                <w:spacing w:val="-2"/>
                <w:sz w:val="18"/>
              </w:rPr>
              <w:t>0.000450</w:t>
            </w:r>
          </w:p>
        </w:tc>
        <w:tc>
          <w:tcPr>
            <w:tcW w:w="1491" w:type="dxa"/>
          </w:tcPr>
          <w:p>
            <w:pPr>
              <w:pStyle w:val="TableParagraph"/>
              <w:spacing w:line="199" w:lineRule="exact" w:before="5"/>
              <w:ind w:left="351"/>
              <w:rPr>
                <w:sz w:val="18"/>
              </w:rPr>
            </w:pPr>
            <w:r>
              <w:rPr>
                <w:spacing w:val="-2"/>
                <w:sz w:val="18"/>
              </w:rPr>
              <w:t>0.000366</w:t>
            </w:r>
          </w:p>
        </w:tc>
        <w:tc>
          <w:tcPr>
            <w:tcW w:w="910" w:type="dxa"/>
          </w:tcPr>
          <w:p>
            <w:pPr>
              <w:pStyle w:val="TableParagraph"/>
              <w:spacing w:line="199" w:lineRule="exact" w:before="5"/>
              <w:ind w:right="89"/>
              <w:jc w:val="right"/>
              <w:rPr>
                <w:sz w:val="18"/>
              </w:rPr>
            </w:pPr>
            <w:r>
              <w:rPr>
                <w:spacing w:val="-2"/>
                <w:sz w:val="18"/>
              </w:rPr>
              <w:t>1.226830</w:t>
            </w:r>
          </w:p>
        </w:tc>
        <w:tc>
          <w:tcPr>
            <w:tcW w:w="914" w:type="dxa"/>
          </w:tcPr>
          <w:p>
            <w:pPr>
              <w:pStyle w:val="TableParagraph"/>
              <w:spacing w:line="199" w:lineRule="exact" w:before="5"/>
              <w:ind w:right="5"/>
              <w:jc w:val="right"/>
              <w:rPr>
                <w:sz w:val="18"/>
              </w:rPr>
            </w:pPr>
            <w:r>
              <w:rPr>
                <w:spacing w:val="-2"/>
                <w:sz w:val="18"/>
              </w:rPr>
              <w:t>0.2214</w:t>
            </w:r>
          </w:p>
        </w:tc>
      </w:tr>
      <w:tr>
        <w:trPr>
          <w:trHeight w:val="225" w:hRule="atLeast"/>
        </w:trPr>
        <w:tc>
          <w:tcPr>
            <w:tcW w:w="1995" w:type="dxa"/>
          </w:tcPr>
          <w:p>
            <w:pPr>
              <w:pStyle w:val="TableParagraph"/>
              <w:spacing w:line="200" w:lineRule="exact" w:before="6"/>
              <w:ind w:left="22" w:right="5"/>
              <w:jc w:val="center"/>
              <w:rPr>
                <w:sz w:val="18"/>
              </w:rPr>
            </w:pPr>
            <w:r>
              <w:rPr>
                <w:spacing w:val="-2"/>
                <w:sz w:val="18"/>
              </w:rPr>
              <w:t>FSIZE</w:t>
            </w:r>
          </w:p>
        </w:tc>
        <w:tc>
          <w:tcPr>
            <w:tcW w:w="1220" w:type="dxa"/>
          </w:tcPr>
          <w:p>
            <w:pPr>
              <w:pStyle w:val="TableParagraph"/>
              <w:spacing w:line="200" w:lineRule="exact" w:before="6"/>
              <w:ind w:left="362"/>
              <w:rPr>
                <w:sz w:val="18"/>
              </w:rPr>
            </w:pPr>
            <w:r>
              <w:rPr>
                <w:spacing w:val="-2"/>
                <w:sz w:val="18"/>
              </w:rPr>
              <w:t>0.057919</w:t>
            </w:r>
          </w:p>
        </w:tc>
        <w:tc>
          <w:tcPr>
            <w:tcW w:w="1491" w:type="dxa"/>
          </w:tcPr>
          <w:p>
            <w:pPr>
              <w:pStyle w:val="TableParagraph"/>
              <w:spacing w:line="200" w:lineRule="exact" w:before="6"/>
              <w:ind w:left="351"/>
              <w:rPr>
                <w:sz w:val="18"/>
              </w:rPr>
            </w:pPr>
            <w:r>
              <w:rPr>
                <w:spacing w:val="-2"/>
                <w:sz w:val="18"/>
              </w:rPr>
              <w:t>0.008021</w:t>
            </w:r>
          </w:p>
        </w:tc>
        <w:tc>
          <w:tcPr>
            <w:tcW w:w="910" w:type="dxa"/>
          </w:tcPr>
          <w:p>
            <w:pPr>
              <w:pStyle w:val="TableParagraph"/>
              <w:spacing w:line="200" w:lineRule="exact" w:before="6"/>
              <w:ind w:right="89"/>
              <w:jc w:val="right"/>
              <w:rPr>
                <w:sz w:val="18"/>
              </w:rPr>
            </w:pPr>
            <w:r>
              <w:rPr>
                <w:spacing w:val="-2"/>
                <w:sz w:val="18"/>
              </w:rPr>
              <w:t>7.220971</w:t>
            </w:r>
          </w:p>
        </w:tc>
        <w:tc>
          <w:tcPr>
            <w:tcW w:w="914" w:type="dxa"/>
          </w:tcPr>
          <w:p>
            <w:pPr>
              <w:pStyle w:val="TableParagraph"/>
              <w:spacing w:line="200" w:lineRule="exact" w:before="6"/>
              <w:ind w:right="5"/>
              <w:jc w:val="right"/>
              <w:rPr>
                <w:sz w:val="18"/>
              </w:rPr>
            </w:pPr>
            <w:r>
              <w:rPr>
                <w:spacing w:val="-2"/>
                <w:sz w:val="18"/>
              </w:rPr>
              <w:t>0.0000</w:t>
            </w:r>
          </w:p>
        </w:tc>
      </w:tr>
      <w:tr>
        <w:trPr>
          <w:trHeight w:val="304" w:hRule="atLeast"/>
        </w:trPr>
        <w:tc>
          <w:tcPr>
            <w:tcW w:w="1995" w:type="dxa"/>
            <w:tcBorders>
              <w:bottom w:val="double" w:sz="6" w:space="0" w:color="000000"/>
            </w:tcBorders>
          </w:tcPr>
          <w:p>
            <w:pPr>
              <w:pStyle w:val="TableParagraph"/>
              <w:spacing w:before="6"/>
              <w:ind w:left="523"/>
              <w:rPr>
                <w:sz w:val="18"/>
              </w:rPr>
            </w:pPr>
            <w:r>
              <w:rPr/>
              <mc:AlternateContent>
                <mc:Choice Requires="wps">
                  <w:drawing>
                    <wp:anchor distT="0" distB="0" distL="0" distR="0" allowOverlap="1" layoutInCell="1" locked="0" behindDoc="1" simplePos="0" relativeHeight="477779456">
                      <wp:simplePos x="0" y="0"/>
                      <wp:positionH relativeFrom="column">
                        <wp:posOffset>160934</wp:posOffset>
                      </wp:positionH>
                      <wp:positionV relativeFrom="paragraph">
                        <wp:posOffset>-99035</wp:posOffset>
                      </wp:positionV>
                      <wp:extent cx="721995" cy="72263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721995" cy="722630"/>
                                <a:chExt cx="721995" cy="722630"/>
                              </a:xfrm>
                            </wpg:grpSpPr>
                            <wps:wsp>
                              <wps:cNvPr id="277" name="Graphic 277"/>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72pt;margin-top:-7.798106pt;width:56.85pt;height:56.9pt;mso-position-horizontal-relative:column;mso-position-vertical-relative:paragraph;z-index:-25537024" id="docshapegroup83" coordorigin="253,-156" coordsize="1137,1138">
                      <v:shape style="position:absolute;left:253;top:-156;width:1137;height:1138" id="docshape84" coordorigin="253,-156" coordsize="1137,1138" path="m337,-156l276,-117,253,-72,257,-62,1291,974,1310,981,1315,979,1322,978,1380,926,1388,907,1390,901,352,-149,347,-152,337,-156xe" filled="true" fillcolor="#c0c0c0" stroked="false">
                        <v:path arrowok="t"/>
                        <v:fill opacity="32896f" type="solid"/>
                      </v:shape>
                      <w10:wrap type="none"/>
                    </v:group>
                  </w:pict>
                </mc:Fallback>
              </mc:AlternateContent>
            </w:r>
            <w:r>
              <w:rPr>
                <w:spacing w:val="-2"/>
                <w:sz w:val="18"/>
              </w:rPr>
              <w:t>LEVERAGE</w:t>
            </w:r>
          </w:p>
        </w:tc>
        <w:tc>
          <w:tcPr>
            <w:tcW w:w="1220" w:type="dxa"/>
            <w:tcBorders>
              <w:bottom w:val="double" w:sz="6" w:space="0" w:color="000000"/>
            </w:tcBorders>
          </w:tcPr>
          <w:p>
            <w:pPr>
              <w:pStyle w:val="TableParagraph"/>
              <w:spacing w:before="6"/>
              <w:ind w:left="302"/>
              <w:rPr>
                <w:sz w:val="18"/>
              </w:rPr>
            </w:pPr>
            <w:r>
              <w:rPr>
                <w:spacing w:val="-2"/>
                <w:sz w:val="18"/>
              </w:rPr>
              <w:t>-0.008386</w:t>
            </w:r>
          </w:p>
        </w:tc>
        <w:tc>
          <w:tcPr>
            <w:tcW w:w="1491" w:type="dxa"/>
            <w:tcBorders>
              <w:bottom w:val="double" w:sz="6" w:space="0" w:color="000000"/>
            </w:tcBorders>
          </w:tcPr>
          <w:p>
            <w:pPr>
              <w:pStyle w:val="TableParagraph"/>
              <w:spacing w:before="6"/>
              <w:ind w:left="351"/>
              <w:rPr>
                <w:sz w:val="18"/>
              </w:rPr>
            </w:pPr>
            <w:r>
              <w:rPr>
                <w:spacing w:val="-2"/>
                <w:sz w:val="18"/>
              </w:rPr>
              <w:t>0.003957</w:t>
            </w:r>
          </w:p>
        </w:tc>
        <w:tc>
          <w:tcPr>
            <w:tcW w:w="910" w:type="dxa"/>
            <w:tcBorders>
              <w:bottom w:val="double" w:sz="6" w:space="0" w:color="000000"/>
            </w:tcBorders>
          </w:tcPr>
          <w:p>
            <w:pPr>
              <w:pStyle w:val="TableParagraph"/>
              <w:spacing w:before="6"/>
              <w:ind w:right="89"/>
              <w:jc w:val="right"/>
              <w:rPr>
                <w:sz w:val="18"/>
              </w:rPr>
            </w:pPr>
            <w:r>
              <w:rPr>
                <w:spacing w:val="-2"/>
                <w:sz w:val="18"/>
              </w:rPr>
              <w:t>-2.118975</w:t>
            </w:r>
          </w:p>
        </w:tc>
        <w:tc>
          <w:tcPr>
            <w:tcW w:w="914" w:type="dxa"/>
            <w:tcBorders>
              <w:bottom w:val="double" w:sz="6" w:space="0" w:color="000000"/>
            </w:tcBorders>
          </w:tcPr>
          <w:p>
            <w:pPr>
              <w:pStyle w:val="TableParagraph"/>
              <w:spacing w:before="6"/>
              <w:ind w:right="5"/>
              <w:jc w:val="right"/>
              <w:rPr>
                <w:sz w:val="18"/>
              </w:rPr>
            </w:pPr>
            <w:r>
              <w:rPr>
                <w:spacing w:val="-2"/>
                <w:sz w:val="18"/>
              </w:rPr>
              <w:t>0.0354</w:t>
            </w:r>
          </w:p>
        </w:tc>
      </w:tr>
      <w:tr>
        <w:trPr>
          <w:trHeight w:val="325" w:hRule="atLeast"/>
        </w:trPr>
        <w:tc>
          <w:tcPr>
            <w:tcW w:w="1995" w:type="dxa"/>
            <w:tcBorders>
              <w:top w:val="double" w:sz="6" w:space="0" w:color="000000"/>
            </w:tcBorders>
          </w:tcPr>
          <w:p>
            <w:pPr>
              <w:pStyle w:val="TableParagraph"/>
              <w:spacing w:line="199" w:lineRule="exact" w:before="106"/>
              <w:rPr>
                <w:sz w:val="18"/>
              </w:rPr>
            </w:pPr>
            <w:r>
              <w:rPr>
                <w:spacing w:val="-2"/>
                <w:sz w:val="18"/>
              </w:rPr>
              <w:t>R-squared</w:t>
            </w:r>
          </w:p>
        </w:tc>
        <w:tc>
          <w:tcPr>
            <w:tcW w:w="1220" w:type="dxa"/>
            <w:tcBorders>
              <w:top w:val="double" w:sz="6" w:space="0" w:color="000000"/>
            </w:tcBorders>
          </w:tcPr>
          <w:p>
            <w:pPr>
              <w:pStyle w:val="TableParagraph"/>
              <w:spacing w:line="199" w:lineRule="exact" w:before="106"/>
              <w:ind w:left="362"/>
              <w:rPr>
                <w:sz w:val="18"/>
              </w:rPr>
            </w:pPr>
            <w:r>
              <w:rPr>
                <w:spacing w:val="-2"/>
                <w:sz w:val="18"/>
              </w:rPr>
              <w:t>0.245812</w:t>
            </w:r>
          </w:p>
        </w:tc>
        <w:tc>
          <w:tcPr>
            <w:tcW w:w="2401" w:type="dxa"/>
            <w:gridSpan w:val="2"/>
            <w:tcBorders>
              <w:top w:val="double" w:sz="6" w:space="0" w:color="000000"/>
            </w:tcBorders>
          </w:tcPr>
          <w:p>
            <w:pPr>
              <w:pStyle w:val="TableParagraph"/>
              <w:spacing w:line="199" w:lineRule="exact" w:before="106"/>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6"/>
              <w:ind w:right="5"/>
              <w:jc w:val="right"/>
              <w:rPr>
                <w:sz w:val="18"/>
              </w:rPr>
            </w:pPr>
            <w:r>
              <w:rPr>
                <w:spacing w:val="-2"/>
                <w:sz w:val="18"/>
              </w:rPr>
              <w:t>0.589536</w:t>
            </w:r>
          </w:p>
        </w:tc>
      </w:tr>
      <w:tr>
        <w:trPr>
          <w:trHeight w:val="225" w:hRule="atLeast"/>
        </w:trPr>
        <w:tc>
          <w:tcPr>
            <w:tcW w:w="199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20" w:type="dxa"/>
          </w:tcPr>
          <w:p>
            <w:pPr>
              <w:pStyle w:val="TableParagraph"/>
              <w:spacing w:line="199" w:lineRule="exact" w:before="6"/>
              <w:ind w:left="362"/>
              <w:rPr>
                <w:sz w:val="18"/>
              </w:rPr>
            </w:pPr>
            <w:r>
              <w:rPr>
                <w:spacing w:val="-2"/>
                <w:sz w:val="18"/>
              </w:rPr>
              <w:t>0.229934</w:t>
            </w:r>
          </w:p>
        </w:tc>
        <w:tc>
          <w:tcPr>
            <w:tcW w:w="240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5"/>
              <w:jc w:val="right"/>
              <w:rPr>
                <w:sz w:val="18"/>
              </w:rPr>
            </w:pPr>
            <w:r>
              <w:rPr>
                <w:spacing w:val="-2"/>
                <w:sz w:val="18"/>
              </w:rPr>
              <w:t>0.063313</w:t>
            </w:r>
          </w:p>
        </w:tc>
      </w:tr>
      <w:tr>
        <w:trPr>
          <w:trHeight w:val="225" w:hRule="atLeast"/>
        </w:trPr>
        <w:tc>
          <w:tcPr>
            <w:tcW w:w="1995" w:type="dxa"/>
          </w:tcPr>
          <w:p>
            <w:pPr>
              <w:pStyle w:val="TableParagraph"/>
              <w:spacing w:line="199" w:lineRule="exact" w:before="6"/>
              <w:rPr>
                <w:sz w:val="18"/>
              </w:rPr>
            </w:pPr>
            <w:r>
              <w:rPr>
                <w:sz w:val="18"/>
              </w:rPr>
              <w:t>S.E.</w:t>
            </w:r>
            <w:r>
              <w:rPr>
                <w:spacing w:val="-2"/>
                <w:sz w:val="18"/>
              </w:rPr>
              <w:t> </w:t>
            </w:r>
            <w:r>
              <w:rPr>
                <w:sz w:val="18"/>
              </w:rPr>
              <w:t>of </w:t>
            </w:r>
            <w:r>
              <w:rPr>
                <w:spacing w:val="-2"/>
                <w:sz w:val="18"/>
              </w:rPr>
              <w:t>regression</w:t>
            </w:r>
          </w:p>
        </w:tc>
        <w:tc>
          <w:tcPr>
            <w:tcW w:w="1220" w:type="dxa"/>
          </w:tcPr>
          <w:p>
            <w:pPr>
              <w:pStyle w:val="TableParagraph"/>
              <w:spacing w:line="199" w:lineRule="exact" w:before="6"/>
              <w:ind w:left="362"/>
              <w:rPr>
                <w:sz w:val="18"/>
              </w:rPr>
            </w:pPr>
            <w:r>
              <w:rPr>
                <w:spacing w:val="-2"/>
                <w:sz w:val="18"/>
              </w:rPr>
              <w:t>0.055560</w:t>
            </w:r>
          </w:p>
        </w:tc>
        <w:tc>
          <w:tcPr>
            <w:tcW w:w="2401" w:type="dxa"/>
            <w:gridSpan w:val="2"/>
          </w:tcPr>
          <w:p>
            <w:pPr>
              <w:pStyle w:val="TableParagraph"/>
              <w:spacing w:line="199" w:lineRule="exact" w:before="6"/>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9" w:lineRule="exact" w:before="6"/>
              <w:ind w:right="5"/>
              <w:jc w:val="right"/>
              <w:rPr>
                <w:sz w:val="18"/>
              </w:rPr>
            </w:pPr>
            <w:r>
              <w:rPr>
                <w:spacing w:val="-2"/>
                <w:sz w:val="18"/>
              </w:rPr>
              <w:t>-2.917409</w:t>
            </w:r>
          </w:p>
        </w:tc>
      </w:tr>
      <w:tr>
        <w:trPr>
          <w:trHeight w:val="224" w:hRule="atLeast"/>
        </w:trPr>
        <w:tc>
          <w:tcPr>
            <w:tcW w:w="1995" w:type="dxa"/>
          </w:tcPr>
          <w:p>
            <w:pPr>
              <w:pStyle w:val="TableParagraph"/>
              <w:spacing w:line="198"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20" w:type="dxa"/>
          </w:tcPr>
          <w:p>
            <w:pPr>
              <w:pStyle w:val="TableParagraph"/>
              <w:spacing w:line="198" w:lineRule="exact" w:before="6"/>
              <w:ind w:left="362"/>
              <w:rPr>
                <w:sz w:val="18"/>
              </w:rPr>
            </w:pPr>
            <w:r>
              <w:rPr>
                <w:spacing w:val="-2"/>
                <w:sz w:val="18"/>
              </w:rPr>
              <w:t>0.586508</w:t>
            </w:r>
          </w:p>
        </w:tc>
        <w:tc>
          <w:tcPr>
            <w:tcW w:w="1491" w:type="dxa"/>
          </w:tcPr>
          <w:p>
            <w:pPr>
              <w:pStyle w:val="TableParagraph"/>
              <w:spacing w:line="198" w:lineRule="exact" w:before="6"/>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8" w:lineRule="exact" w:before="6"/>
              <w:ind w:right="5"/>
              <w:jc w:val="right"/>
              <w:rPr>
                <w:sz w:val="18"/>
              </w:rPr>
            </w:pPr>
            <w:r>
              <w:rPr>
                <w:spacing w:val="-2"/>
                <w:sz w:val="18"/>
              </w:rPr>
              <w:t>-2.833486</w:t>
            </w:r>
          </w:p>
        </w:tc>
      </w:tr>
      <w:tr>
        <w:trPr>
          <w:trHeight w:val="224" w:hRule="atLeast"/>
        </w:trPr>
        <w:tc>
          <w:tcPr>
            <w:tcW w:w="1995" w:type="dxa"/>
          </w:tcPr>
          <w:p>
            <w:pPr>
              <w:pStyle w:val="TableParagraph"/>
              <w:spacing w:line="199" w:lineRule="exact" w:before="5"/>
              <w:rPr>
                <w:sz w:val="18"/>
              </w:rPr>
            </w:pPr>
            <w:r>
              <w:rPr>
                <w:sz w:val="18"/>
              </w:rPr>
              <w:t>Log</w:t>
            </w:r>
            <w:r>
              <w:rPr>
                <w:spacing w:val="-3"/>
                <w:sz w:val="18"/>
              </w:rPr>
              <w:t> </w:t>
            </w:r>
            <w:r>
              <w:rPr>
                <w:spacing w:val="-2"/>
                <w:sz w:val="18"/>
              </w:rPr>
              <w:t>likelihood</w:t>
            </w:r>
          </w:p>
        </w:tc>
        <w:tc>
          <w:tcPr>
            <w:tcW w:w="1220" w:type="dxa"/>
          </w:tcPr>
          <w:p>
            <w:pPr>
              <w:pStyle w:val="TableParagraph"/>
              <w:spacing w:line="199" w:lineRule="exact" w:before="5"/>
              <w:ind w:left="362"/>
              <w:rPr>
                <w:sz w:val="18"/>
              </w:rPr>
            </w:pPr>
            <w:r>
              <w:rPr>
                <w:spacing w:val="-2"/>
                <w:sz w:val="18"/>
              </w:rPr>
              <w:t>289.4474</w:t>
            </w:r>
          </w:p>
        </w:tc>
        <w:tc>
          <w:tcPr>
            <w:tcW w:w="2401" w:type="dxa"/>
            <w:gridSpan w:val="2"/>
          </w:tcPr>
          <w:p>
            <w:pPr>
              <w:pStyle w:val="TableParagraph"/>
              <w:spacing w:line="199" w:lineRule="exact" w:before="5"/>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5"/>
              <w:ind w:right="5"/>
              <w:jc w:val="right"/>
              <w:rPr>
                <w:sz w:val="18"/>
              </w:rPr>
            </w:pPr>
            <w:r>
              <w:rPr>
                <w:spacing w:val="-2"/>
                <w:sz w:val="18"/>
              </w:rPr>
              <w:t>-2.883430</w:t>
            </w:r>
          </w:p>
        </w:tc>
      </w:tr>
      <w:tr>
        <w:trPr>
          <w:trHeight w:val="225" w:hRule="atLeast"/>
        </w:trPr>
        <w:tc>
          <w:tcPr>
            <w:tcW w:w="1995" w:type="dxa"/>
          </w:tcPr>
          <w:p>
            <w:pPr>
              <w:pStyle w:val="TableParagraph"/>
              <w:spacing w:line="199" w:lineRule="exact" w:before="6"/>
              <w:rPr>
                <w:sz w:val="18"/>
              </w:rPr>
            </w:pPr>
            <w:r>
              <w:rPr>
                <w:spacing w:val="-2"/>
                <w:sz w:val="18"/>
              </w:rPr>
              <w:t>F-statistic</w:t>
            </w:r>
          </w:p>
        </w:tc>
        <w:tc>
          <w:tcPr>
            <w:tcW w:w="1220" w:type="dxa"/>
          </w:tcPr>
          <w:p>
            <w:pPr>
              <w:pStyle w:val="TableParagraph"/>
              <w:spacing w:line="199" w:lineRule="exact" w:before="6"/>
              <w:ind w:left="362"/>
              <w:rPr>
                <w:sz w:val="18"/>
              </w:rPr>
            </w:pPr>
            <w:r>
              <w:rPr>
                <w:spacing w:val="-2"/>
                <w:sz w:val="18"/>
              </w:rPr>
              <w:t>15.48163</w:t>
            </w:r>
          </w:p>
        </w:tc>
        <w:tc>
          <w:tcPr>
            <w:tcW w:w="240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5"/>
              <w:jc w:val="right"/>
              <w:rPr>
                <w:sz w:val="18"/>
              </w:rPr>
            </w:pPr>
            <w:r>
              <w:rPr>
                <w:spacing w:val="-2"/>
                <w:sz w:val="18"/>
              </w:rPr>
              <w:t>0.771196</w:t>
            </w:r>
          </w:p>
        </w:tc>
      </w:tr>
      <w:tr>
        <w:trPr>
          <w:trHeight w:val="225" w:hRule="atLeast"/>
        </w:trPr>
        <w:tc>
          <w:tcPr>
            <w:tcW w:w="1995" w:type="dxa"/>
          </w:tcPr>
          <w:p>
            <w:pPr>
              <w:pStyle w:val="TableParagraph"/>
              <w:spacing w:line="199" w:lineRule="exact" w:before="6"/>
              <w:rPr>
                <w:sz w:val="18"/>
              </w:rPr>
            </w:pPr>
            <w:r>
              <w:rPr>
                <w:spacing w:val="-2"/>
                <w:sz w:val="18"/>
              </w:rPr>
              <w:t>Prob(F-statistic)</w:t>
            </w:r>
          </w:p>
        </w:tc>
        <w:tc>
          <w:tcPr>
            <w:tcW w:w="1220" w:type="dxa"/>
          </w:tcPr>
          <w:p>
            <w:pPr>
              <w:pStyle w:val="TableParagraph"/>
              <w:spacing w:line="199" w:lineRule="exact" w:before="6"/>
              <w:ind w:left="362"/>
              <w:rPr>
                <w:sz w:val="18"/>
              </w:rPr>
            </w:pPr>
            <w:r>
              <w:rPr>
                <w:spacing w:val="-2"/>
                <w:sz w:val="18"/>
              </w:rPr>
              <w:t>0.000000</w:t>
            </w:r>
          </w:p>
        </w:tc>
        <w:tc>
          <w:tcPr>
            <w:tcW w:w="1491" w:type="dxa"/>
          </w:tcPr>
          <w:p>
            <w:pPr>
              <w:pStyle w:val="TableParagraph"/>
              <w:spacing w:line="199" w:lineRule="exact" w:before="6"/>
              <w:ind w:left="107"/>
              <w:rPr>
                <w:sz w:val="18"/>
              </w:rPr>
            </w:pPr>
            <w:r>
              <w:rPr>
                <w:sz w:val="18"/>
              </w:rPr>
              <w:t>Wald</w:t>
            </w:r>
            <w:r>
              <w:rPr>
                <w:spacing w:val="-5"/>
                <w:sz w:val="18"/>
              </w:rPr>
              <w:t> </w:t>
            </w:r>
            <w:r>
              <w:rPr>
                <w:sz w:val="18"/>
              </w:rPr>
              <w:t>F-</w:t>
            </w:r>
            <w:r>
              <w:rPr>
                <w:spacing w:val="-2"/>
                <w:sz w:val="18"/>
              </w:rPr>
              <w:t>statistic</w:t>
            </w:r>
          </w:p>
        </w:tc>
        <w:tc>
          <w:tcPr>
            <w:tcW w:w="910" w:type="dxa"/>
          </w:tcPr>
          <w:p>
            <w:pPr>
              <w:pStyle w:val="TableParagraph"/>
              <w:rPr>
                <w:rFonts w:ascii="Times New Roman"/>
                <w:sz w:val="16"/>
              </w:rPr>
            </w:pPr>
          </w:p>
        </w:tc>
        <w:tc>
          <w:tcPr>
            <w:tcW w:w="914" w:type="dxa"/>
          </w:tcPr>
          <w:p>
            <w:pPr>
              <w:pStyle w:val="TableParagraph"/>
              <w:spacing w:line="199" w:lineRule="exact" w:before="6"/>
              <w:ind w:right="5"/>
              <w:jc w:val="right"/>
              <w:rPr>
                <w:sz w:val="18"/>
              </w:rPr>
            </w:pPr>
            <w:r>
              <w:rPr>
                <w:spacing w:val="-2"/>
                <w:sz w:val="18"/>
              </w:rPr>
              <w:t>30.30447</w:t>
            </w:r>
          </w:p>
        </w:tc>
      </w:tr>
      <w:tr>
        <w:trPr>
          <w:trHeight w:val="213" w:hRule="atLeast"/>
        </w:trPr>
        <w:tc>
          <w:tcPr>
            <w:tcW w:w="1995" w:type="dxa"/>
          </w:tcPr>
          <w:p>
            <w:pPr>
              <w:pStyle w:val="TableParagraph"/>
              <w:spacing w:line="187" w:lineRule="exact" w:before="6"/>
              <w:rPr>
                <w:sz w:val="18"/>
              </w:rPr>
            </w:pPr>
            <w:r>
              <w:rPr>
                <w:sz w:val="18"/>
              </w:rPr>
              <w:t>Prob(Wald</w:t>
            </w:r>
            <w:r>
              <w:rPr>
                <w:spacing w:val="-7"/>
                <w:sz w:val="18"/>
              </w:rPr>
              <w:t> </w:t>
            </w:r>
            <w:r>
              <w:rPr>
                <w:sz w:val="18"/>
              </w:rPr>
              <w:t>F-</w:t>
            </w:r>
            <w:r>
              <w:rPr>
                <w:spacing w:val="-2"/>
                <w:sz w:val="18"/>
              </w:rPr>
              <w:t>statistic)</w:t>
            </w:r>
          </w:p>
        </w:tc>
        <w:tc>
          <w:tcPr>
            <w:tcW w:w="1220" w:type="dxa"/>
          </w:tcPr>
          <w:p>
            <w:pPr>
              <w:pStyle w:val="TableParagraph"/>
              <w:spacing w:line="187" w:lineRule="exact" w:before="6"/>
              <w:ind w:left="362"/>
              <w:rPr>
                <w:sz w:val="18"/>
              </w:rPr>
            </w:pPr>
            <w:r>
              <w:rPr>
                <w:spacing w:val="-2"/>
                <w:sz w:val="18"/>
              </w:rPr>
              <w:t>0.000000</w:t>
            </w:r>
          </w:p>
        </w:tc>
        <w:tc>
          <w:tcPr>
            <w:tcW w:w="1491" w:type="dxa"/>
          </w:tcPr>
          <w:p>
            <w:pPr>
              <w:pStyle w:val="TableParagraph"/>
              <w:rPr>
                <w:rFonts w:ascii="Times New Roman"/>
                <w:sz w:val="14"/>
              </w:rPr>
            </w:pPr>
          </w:p>
        </w:tc>
        <w:tc>
          <w:tcPr>
            <w:tcW w:w="910" w:type="dxa"/>
          </w:tcPr>
          <w:p>
            <w:pPr>
              <w:pStyle w:val="TableParagraph"/>
              <w:rPr>
                <w:rFonts w:ascii="Times New Roman"/>
                <w:sz w:val="14"/>
              </w:rPr>
            </w:pPr>
          </w:p>
        </w:tc>
        <w:tc>
          <w:tcPr>
            <w:tcW w:w="914" w:type="dxa"/>
          </w:tcPr>
          <w:p>
            <w:pPr>
              <w:pStyle w:val="TableParagraph"/>
              <w:rPr>
                <w:rFonts w:ascii="Times New Roman"/>
                <w:sz w:val="14"/>
              </w:rPr>
            </w:pPr>
          </w:p>
        </w:tc>
      </w:tr>
    </w:tbl>
    <w:p>
      <w:pPr>
        <w:spacing w:after="0"/>
        <w:rPr>
          <w:rFonts w:ascii="Times New Roman"/>
          <w:sz w:val="14"/>
        </w:rPr>
        <w:sectPr>
          <w:pgSz w:w="11910" w:h="16840"/>
          <w:pgMar w:header="0" w:footer="971" w:top="1380" w:bottom="1160" w:left="500" w:right="0"/>
        </w:sectPr>
      </w:pPr>
    </w:p>
    <w:p>
      <w:pPr>
        <w:spacing w:before="41"/>
        <w:ind w:left="940" w:right="0" w:firstLine="0"/>
        <w:jc w:val="left"/>
        <w:rPr>
          <w:rFonts w:ascii="Calibri"/>
          <w:b/>
          <w:sz w:val="22"/>
        </w:rPr>
      </w:pPr>
      <w:r>
        <w:rPr/>
        <mc:AlternateContent>
          <mc:Choice Requires="wps">
            <w:drawing>
              <wp:anchor distT="0" distB="0" distL="0" distR="0" allowOverlap="1" layoutInCell="1" locked="0" behindDoc="1" simplePos="0" relativeHeight="477780480">
                <wp:simplePos x="0" y="0"/>
                <wp:positionH relativeFrom="page">
                  <wp:posOffset>1095451</wp:posOffset>
                </wp:positionH>
                <wp:positionV relativeFrom="page">
                  <wp:posOffset>7242047</wp:posOffset>
                </wp:positionV>
                <wp:extent cx="721995" cy="722630"/>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36000" id="docshape85"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80992">
                <wp:simplePos x="0" y="0"/>
                <wp:positionH relativeFrom="page">
                  <wp:posOffset>1269060</wp:posOffset>
                </wp:positionH>
                <wp:positionV relativeFrom="page">
                  <wp:posOffset>2726054</wp:posOffset>
                </wp:positionV>
                <wp:extent cx="4933315" cy="497649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4933315" cy="4976495"/>
                          <a:chExt cx="4933315" cy="4976495"/>
                        </a:xfrm>
                      </wpg:grpSpPr>
                      <wps:wsp>
                        <wps:cNvPr id="280" name="Graphic 280"/>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81" name="Image 281"/>
                          <pic:cNvPicPr/>
                        </pic:nvPicPr>
                        <pic:blipFill>
                          <a:blip r:embed="rId9" cstate="print"/>
                          <a:stretch>
                            <a:fillRect/>
                          </a:stretch>
                        </pic:blipFill>
                        <pic:spPr>
                          <a:xfrm>
                            <a:off x="1248333" y="3743197"/>
                            <a:ext cx="221995" cy="221614"/>
                          </a:xfrm>
                          <a:prstGeom prst="rect">
                            <a:avLst/>
                          </a:prstGeom>
                        </pic:spPr>
                      </pic:pic>
                      <wps:wsp>
                        <wps:cNvPr id="282" name="Graphic 282"/>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35488" id="docshapegroup86" coordorigin="1999,4293" coordsize="7769,7837">
                <v:shape style="position:absolute;left:1998;top:10112;width:2142;height:2018" id="docshape87"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88" stroked="false">
                  <v:imagedata r:id="rId9" o:title=""/>
                </v:shape>
                <v:shape style="position:absolute;left:3758;top:4293;width:6009;height:6216" id="docshape89"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rFonts w:ascii="Calibri"/>
          <w:b/>
          <w:sz w:val="22"/>
        </w:rPr>
        <w:t>APPENDIX</w:t>
      </w:r>
      <w:r>
        <w:rPr>
          <w:rFonts w:ascii="Calibri"/>
          <w:b/>
          <w:spacing w:val="-6"/>
          <w:sz w:val="22"/>
        </w:rPr>
        <w:t> </w:t>
      </w:r>
      <w:r>
        <w:rPr>
          <w:rFonts w:ascii="Calibri"/>
          <w:b/>
          <w:sz w:val="22"/>
        </w:rPr>
        <w:t>6</w:t>
      </w:r>
      <w:r>
        <w:rPr>
          <w:rFonts w:ascii="Calibri"/>
          <w:b/>
          <w:spacing w:val="-6"/>
          <w:sz w:val="22"/>
        </w:rPr>
        <w:t> </w:t>
      </w:r>
      <w:r>
        <w:rPr>
          <w:rFonts w:ascii="Calibri"/>
          <w:b/>
          <w:sz w:val="22"/>
        </w:rPr>
        <w:t>(TABLE</w:t>
      </w:r>
      <w:r>
        <w:rPr>
          <w:rFonts w:ascii="Calibri"/>
          <w:b/>
          <w:spacing w:val="-6"/>
          <w:sz w:val="22"/>
        </w:rPr>
        <w:t> </w:t>
      </w:r>
      <w:r>
        <w:rPr>
          <w:rFonts w:ascii="Calibri"/>
          <w:b/>
          <w:sz w:val="22"/>
        </w:rPr>
        <w:t>4.5,</w:t>
      </w:r>
      <w:r>
        <w:rPr>
          <w:rFonts w:ascii="Calibri"/>
          <w:b/>
          <w:spacing w:val="-3"/>
          <w:sz w:val="22"/>
        </w:rPr>
        <w:t> </w:t>
      </w:r>
      <w:r>
        <w:rPr>
          <w:rFonts w:ascii="Calibri"/>
          <w:b/>
          <w:sz w:val="22"/>
        </w:rPr>
        <w:t>Dependent</w:t>
      </w:r>
      <w:r>
        <w:rPr>
          <w:rFonts w:ascii="Calibri"/>
          <w:b/>
          <w:spacing w:val="-4"/>
          <w:sz w:val="22"/>
        </w:rPr>
        <w:t> </w:t>
      </w:r>
      <w:r>
        <w:rPr>
          <w:rFonts w:ascii="Calibri"/>
          <w:b/>
          <w:sz w:val="22"/>
        </w:rPr>
        <w:t>variable</w:t>
      </w:r>
      <w:r>
        <w:rPr>
          <w:rFonts w:ascii="Calibri"/>
          <w:b/>
          <w:spacing w:val="-5"/>
          <w:sz w:val="22"/>
        </w:rPr>
        <w:t> </w:t>
      </w:r>
      <w:r>
        <w:rPr>
          <w:rFonts w:ascii="Calibri"/>
          <w:b/>
          <w:sz w:val="22"/>
        </w:rPr>
        <w:t>=</w:t>
      </w:r>
      <w:r>
        <w:rPr>
          <w:rFonts w:ascii="Calibri"/>
          <w:b/>
          <w:spacing w:val="-3"/>
          <w:sz w:val="22"/>
        </w:rPr>
        <w:t> </w:t>
      </w:r>
      <w:r>
        <w:rPr>
          <w:rFonts w:ascii="Calibri"/>
          <w:b/>
          <w:spacing w:val="-4"/>
          <w:sz w:val="22"/>
        </w:rPr>
        <w:t>FRQ)</w:t>
      </w:r>
    </w:p>
    <w:p>
      <w:pPr>
        <w:pStyle w:val="BodyText"/>
        <w:rPr>
          <w:rFonts w:ascii="Calibri"/>
          <w:b/>
          <w:sz w:val="20"/>
        </w:rPr>
      </w:pPr>
    </w:p>
    <w:p>
      <w:pPr>
        <w:pStyle w:val="BodyText"/>
        <w:spacing w:before="5"/>
        <w:rPr>
          <w:rFonts w:ascii="Calibri"/>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220"/>
        <w:gridCol w:w="1491"/>
        <w:gridCol w:w="910"/>
        <w:gridCol w:w="914"/>
      </w:tblGrid>
      <w:tr>
        <w:trPr>
          <w:trHeight w:val="212" w:hRule="atLeast"/>
        </w:trPr>
        <w:tc>
          <w:tcPr>
            <w:tcW w:w="6530" w:type="dxa"/>
            <w:gridSpan w:val="5"/>
          </w:tcPr>
          <w:p>
            <w:pPr>
              <w:pStyle w:val="TableParagraph"/>
              <w:spacing w:line="192"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4" w:hRule="atLeast"/>
        </w:trPr>
        <w:tc>
          <w:tcPr>
            <w:tcW w:w="1995" w:type="dxa"/>
          </w:tcPr>
          <w:p>
            <w:pPr>
              <w:pStyle w:val="TableParagraph"/>
              <w:spacing w:line="199" w:lineRule="exact" w:before="5"/>
              <w:rPr>
                <w:sz w:val="18"/>
              </w:rPr>
            </w:pPr>
            <w:r>
              <w:rPr>
                <w:sz w:val="18"/>
              </w:rPr>
              <w:t>Method:</w:t>
            </w:r>
            <w:r>
              <w:rPr>
                <w:spacing w:val="-9"/>
                <w:sz w:val="18"/>
              </w:rPr>
              <w:t> </w:t>
            </w:r>
            <w:r>
              <w:rPr>
                <w:sz w:val="18"/>
              </w:rPr>
              <w:t>Least</w:t>
            </w:r>
            <w:r>
              <w:rPr>
                <w:spacing w:val="-6"/>
                <w:sz w:val="18"/>
              </w:rPr>
              <w:t> </w:t>
            </w:r>
            <w:r>
              <w:rPr>
                <w:spacing w:val="-2"/>
                <w:sz w:val="18"/>
              </w:rPr>
              <w:t>Squares</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05/06/21</w:t>
            </w:r>
            <w:r>
              <w:rPr>
                <w:spacing w:val="65"/>
                <w:w w:val="150"/>
                <w:sz w:val="18"/>
              </w:rPr>
              <w:t> </w:t>
            </w:r>
            <w:r>
              <w:rPr>
                <w:sz w:val="18"/>
              </w:rPr>
              <w:t>Time:</w:t>
            </w:r>
            <w:r>
              <w:rPr>
                <w:spacing w:val="-2"/>
                <w:sz w:val="18"/>
              </w:rPr>
              <w:t> </w:t>
            </w:r>
            <w:r>
              <w:rPr>
                <w:spacing w:val="-4"/>
                <w:sz w:val="18"/>
              </w:rPr>
              <w:t>09:12</w:t>
            </w:r>
          </w:p>
        </w:tc>
      </w:tr>
      <w:tr>
        <w:trPr>
          <w:trHeight w:val="225" w:hRule="atLeast"/>
        </w:trPr>
        <w:tc>
          <w:tcPr>
            <w:tcW w:w="199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8"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9" w:lineRule="exact" w:before="5"/>
              <w:rPr>
                <w:sz w:val="18"/>
              </w:rPr>
            </w:pPr>
            <w:r>
              <w:rPr>
                <w:sz w:val="18"/>
              </w:rPr>
              <w:t>White-Hinkley</w:t>
            </w:r>
            <w:r>
              <w:rPr>
                <w:spacing w:val="-8"/>
                <w:sz w:val="18"/>
              </w:rPr>
              <w:t> </w:t>
            </w:r>
            <w:r>
              <w:rPr>
                <w:sz w:val="18"/>
              </w:rPr>
              <w:t>(HC1)</w:t>
            </w:r>
            <w:r>
              <w:rPr>
                <w:spacing w:val="-5"/>
                <w:sz w:val="18"/>
              </w:rPr>
              <w:t> </w:t>
            </w:r>
            <w:r>
              <w:rPr>
                <w:sz w:val="18"/>
              </w:rPr>
              <w:t>heteroskedasticity</w:t>
            </w:r>
            <w:r>
              <w:rPr>
                <w:spacing w:val="-7"/>
                <w:sz w:val="18"/>
              </w:rPr>
              <w:t> </w:t>
            </w:r>
            <w:r>
              <w:rPr>
                <w:sz w:val="18"/>
              </w:rPr>
              <w:t>consistent</w:t>
            </w:r>
            <w:r>
              <w:rPr>
                <w:spacing w:val="-6"/>
                <w:sz w:val="18"/>
              </w:rPr>
              <w:t> </w:t>
            </w:r>
            <w:r>
              <w:rPr>
                <w:sz w:val="18"/>
              </w:rPr>
              <w:t>standard</w:t>
            </w:r>
            <w:r>
              <w:rPr>
                <w:spacing w:val="-8"/>
                <w:sz w:val="18"/>
              </w:rPr>
              <w:t> </w:t>
            </w:r>
            <w:r>
              <w:rPr>
                <w:sz w:val="18"/>
              </w:rPr>
              <w:t>errors</w:t>
            </w:r>
            <w:r>
              <w:rPr>
                <w:spacing w:val="-7"/>
                <w:sz w:val="18"/>
              </w:rPr>
              <w:t> </w:t>
            </w:r>
            <w:r>
              <w:rPr>
                <w:spacing w:val="-5"/>
                <w:sz w:val="18"/>
              </w:rPr>
              <w:t>and</w:t>
            </w:r>
          </w:p>
        </w:tc>
      </w:tr>
      <w:tr>
        <w:trPr>
          <w:trHeight w:val="303" w:hRule="atLeast"/>
        </w:trPr>
        <w:tc>
          <w:tcPr>
            <w:tcW w:w="1995" w:type="dxa"/>
            <w:tcBorders>
              <w:bottom w:val="double" w:sz="6" w:space="0" w:color="000000"/>
            </w:tcBorders>
          </w:tcPr>
          <w:p>
            <w:pPr>
              <w:pStyle w:val="TableParagraph"/>
              <w:spacing w:before="6"/>
              <w:ind w:left="400"/>
              <w:rPr>
                <w:sz w:val="18"/>
              </w:rPr>
            </w:pPr>
            <w:r>
              <w:rPr>
                <w:spacing w:val="-2"/>
                <w:sz w:val="18"/>
              </w:rPr>
              <w:t>covariance</w:t>
            </w:r>
          </w:p>
        </w:tc>
        <w:tc>
          <w:tcPr>
            <w:tcW w:w="1220" w:type="dxa"/>
            <w:tcBorders>
              <w:bottom w:val="double" w:sz="6" w:space="0" w:color="000000"/>
            </w:tcBorders>
          </w:tcPr>
          <w:p>
            <w:pPr>
              <w:pStyle w:val="TableParagraph"/>
              <w:rPr>
                <w:rFonts w:ascii="Times New Roman"/>
                <w:sz w:val="18"/>
              </w:rPr>
            </w:pP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3" w:hRule="atLeast"/>
        </w:trPr>
        <w:tc>
          <w:tcPr>
            <w:tcW w:w="199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20"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7" w:hRule="atLeast"/>
        </w:trPr>
        <w:tc>
          <w:tcPr>
            <w:tcW w:w="1995" w:type="dxa"/>
            <w:tcBorders>
              <w:top w:val="double" w:sz="6" w:space="0" w:color="000000"/>
            </w:tcBorders>
          </w:tcPr>
          <w:p>
            <w:pPr>
              <w:pStyle w:val="TableParagraph"/>
              <w:spacing w:line="199" w:lineRule="exact" w:before="108"/>
              <w:ind w:left="22" w:right="1"/>
              <w:jc w:val="center"/>
              <w:rPr>
                <w:sz w:val="18"/>
              </w:rPr>
            </w:pPr>
            <w:r>
              <w:rPr>
                <w:spacing w:val="-10"/>
                <w:sz w:val="18"/>
              </w:rPr>
              <w:t>C</w:t>
            </w:r>
          </w:p>
        </w:tc>
        <w:tc>
          <w:tcPr>
            <w:tcW w:w="1220" w:type="dxa"/>
            <w:tcBorders>
              <w:top w:val="double" w:sz="6" w:space="0" w:color="000000"/>
            </w:tcBorders>
          </w:tcPr>
          <w:p>
            <w:pPr>
              <w:pStyle w:val="TableParagraph"/>
              <w:spacing w:line="199" w:lineRule="exact" w:before="108"/>
              <w:ind w:right="103"/>
              <w:jc w:val="right"/>
              <w:rPr>
                <w:sz w:val="18"/>
              </w:rPr>
            </w:pPr>
            <w:r>
              <w:rPr>
                <w:spacing w:val="-2"/>
                <w:sz w:val="18"/>
              </w:rPr>
              <w:t>0.065954</w:t>
            </w:r>
          </w:p>
        </w:tc>
        <w:tc>
          <w:tcPr>
            <w:tcW w:w="1491" w:type="dxa"/>
            <w:tcBorders>
              <w:top w:val="double" w:sz="6" w:space="0" w:color="000000"/>
            </w:tcBorders>
          </w:tcPr>
          <w:p>
            <w:pPr>
              <w:pStyle w:val="TableParagraph"/>
              <w:spacing w:line="199" w:lineRule="exact" w:before="108"/>
              <w:ind w:left="351"/>
              <w:rPr>
                <w:sz w:val="18"/>
              </w:rPr>
            </w:pPr>
            <w:r>
              <w:rPr>
                <w:spacing w:val="-2"/>
                <w:sz w:val="18"/>
              </w:rPr>
              <w:t>0.066702</w:t>
            </w:r>
          </w:p>
        </w:tc>
        <w:tc>
          <w:tcPr>
            <w:tcW w:w="910" w:type="dxa"/>
            <w:tcBorders>
              <w:top w:val="double" w:sz="6" w:space="0" w:color="000000"/>
            </w:tcBorders>
          </w:tcPr>
          <w:p>
            <w:pPr>
              <w:pStyle w:val="TableParagraph"/>
              <w:spacing w:line="199" w:lineRule="exact" w:before="108"/>
              <w:ind w:right="89"/>
              <w:jc w:val="right"/>
              <w:rPr>
                <w:sz w:val="18"/>
              </w:rPr>
            </w:pPr>
            <w:r>
              <w:rPr>
                <w:spacing w:val="-2"/>
                <w:sz w:val="18"/>
              </w:rPr>
              <w:t>0.988779</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0.3240</w:t>
            </w:r>
          </w:p>
        </w:tc>
      </w:tr>
      <w:tr>
        <w:trPr>
          <w:trHeight w:val="225" w:hRule="atLeast"/>
        </w:trPr>
        <w:tc>
          <w:tcPr>
            <w:tcW w:w="1995" w:type="dxa"/>
          </w:tcPr>
          <w:p>
            <w:pPr>
              <w:pStyle w:val="TableParagraph"/>
              <w:spacing w:line="200" w:lineRule="exact" w:before="6"/>
              <w:ind w:left="643"/>
              <w:rPr>
                <w:sz w:val="18"/>
              </w:rPr>
            </w:pPr>
            <w:r>
              <w:rPr>
                <w:spacing w:val="-2"/>
                <w:sz w:val="18"/>
              </w:rPr>
              <w:t>IFRS*TG</w:t>
            </w:r>
          </w:p>
        </w:tc>
        <w:tc>
          <w:tcPr>
            <w:tcW w:w="1220" w:type="dxa"/>
          </w:tcPr>
          <w:p>
            <w:pPr>
              <w:pStyle w:val="TableParagraph"/>
              <w:spacing w:line="200" w:lineRule="exact" w:before="6"/>
              <w:ind w:right="103"/>
              <w:jc w:val="right"/>
              <w:rPr>
                <w:sz w:val="18"/>
              </w:rPr>
            </w:pPr>
            <w:r>
              <w:rPr>
                <w:spacing w:val="-2"/>
                <w:sz w:val="18"/>
              </w:rPr>
              <w:t>0.055000</w:t>
            </w:r>
          </w:p>
        </w:tc>
        <w:tc>
          <w:tcPr>
            <w:tcW w:w="1491" w:type="dxa"/>
          </w:tcPr>
          <w:p>
            <w:pPr>
              <w:pStyle w:val="TableParagraph"/>
              <w:spacing w:line="200" w:lineRule="exact" w:before="6"/>
              <w:ind w:left="351"/>
              <w:rPr>
                <w:sz w:val="18"/>
              </w:rPr>
            </w:pPr>
            <w:r>
              <w:rPr>
                <w:spacing w:val="-2"/>
                <w:sz w:val="18"/>
              </w:rPr>
              <w:t>0.010953</w:t>
            </w:r>
          </w:p>
        </w:tc>
        <w:tc>
          <w:tcPr>
            <w:tcW w:w="910" w:type="dxa"/>
          </w:tcPr>
          <w:p>
            <w:pPr>
              <w:pStyle w:val="TableParagraph"/>
              <w:spacing w:line="200" w:lineRule="exact" w:before="6"/>
              <w:ind w:right="89"/>
              <w:jc w:val="right"/>
              <w:rPr>
                <w:sz w:val="18"/>
              </w:rPr>
            </w:pPr>
            <w:r>
              <w:rPr>
                <w:spacing w:val="-2"/>
                <w:sz w:val="18"/>
              </w:rPr>
              <w:t>5.021380</w:t>
            </w:r>
          </w:p>
        </w:tc>
        <w:tc>
          <w:tcPr>
            <w:tcW w:w="914" w:type="dxa"/>
          </w:tcPr>
          <w:p>
            <w:pPr>
              <w:pStyle w:val="TableParagraph"/>
              <w:spacing w:line="200" w:lineRule="exact" w:before="6"/>
              <w:ind w:right="5"/>
              <w:jc w:val="right"/>
              <w:rPr>
                <w:sz w:val="18"/>
              </w:rPr>
            </w:pPr>
            <w:r>
              <w:rPr>
                <w:spacing w:val="-2"/>
                <w:sz w:val="18"/>
              </w:rPr>
              <w:t>0.0000</w:t>
            </w:r>
          </w:p>
        </w:tc>
      </w:tr>
      <w:tr>
        <w:trPr>
          <w:trHeight w:val="224" w:hRule="atLeast"/>
        </w:trPr>
        <w:tc>
          <w:tcPr>
            <w:tcW w:w="1995" w:type="dxa"/>
          </w:tcPr>
          <w:p>
            <w:pPr>
              <w:pStyle w:val="TableParagraph"/>
              <w:spacing w:line="198" w:lineRule="exact" w:before="6"/>
              <w:ind w:left="22" w:right="1"/>
              <w:jc w:val="center"/>
              <w:rPr>
                <w:sz w:val="18"/>
              </w:rPr>
            </w:pPr>
            <w:r>
              <w:rPr>
                <w:spacing w:val="-4"/>
                <w:sz w:val="18"/>
              </w:rPr>
              <w:t>FAGE</w:t>
            </w:r>
          </w:p>
        </w:tc>
        <w:tc>
          <w:tcPr>
            <w:tcW w:w="1220" w:type="dxa"/>
          </w:tcPr>
          <w:p>
            <w:pPr>
              <w:pStyle w:val="TableParagraph"/>
              <w:spacing w:line="198" w:lineRule="exact" w:before="6"/>
              <w:ind w:right="103"/>
              <w:jc w:val="right"/>
              <w:rPr>
                <w:sz w:val="18"/>
              </w:rPr>
            </w:pPr>
            <w:r>
              <w:rPr>
                <w:spacing w:val="-2"/>
                <w:sz w:val="18"/>
              </w:rPr>
              <w:t>0.000450</w:t>
            </w:r>
          </w:p>
        </w:tc>
        <w:tc>
          <w:tcPr>
            <w:tcW w:w="1491" w:type="dxa"/>
          </w:tcPr>
          <w:p>
            <w:pPr>
              <w:pStyle w:val="TableParagraph"/>
              <w:spacing w:line="198" w:lineRule="exact" w:before="6"/>
              <w:ind w:left="351"/>
              <w:rPr>
                <w:sz w:val="18"/>
              </w:rPr>
            </w:pPr>
            <w:r>
              <w:rPr>
                <w:spacing w:val="-2"/>
                <w:sz w:val="18"/>
              </w:rPr>
              <w:t>0.000366</w:t>
            </w:r>
          </w:p>
        </w:tc>
        <w:tc>
          <w:tcPr>
            <w:tcW w:w="910" w:type="dxa"/>
          </w:tcPr>
          <w:p>
            <w:pPr>
              <w:pStyle w:val="TableParagraph"/>
              <w:spacing w:line="198" w:lineRule="exact" w:before="6"/>
              <w:ind w:right="89"/>
              <w:jc w:val="right"/>
              <w:rPr>
                <w:sz w:val="18"/>
              </w:rPr>
            </w:pPr>
            <w:r>
              <w:rPr>
                <w:spacing w:val="-2"/>
                <w:sz w:val="18"/>
              </w:rPr>
              <w:t>1.226830</w:t>
            </w:r>
          </w:p>
        </w:tc>
        <w:tc>
          <w:tcPr>
            <w:tcW w:w="914" w:type="dxa"/>
          </w:tcPr>
          <w:p>
            <w:pPr>
              <w:pStyle w:val="TableParagraph"/>
              <w:spacing w:line="198" w:lineRule="exact" w:before="6"/>
              <w:ind w:right="5"/>
              <w:jc w:val="right"/>
              <w:rPr>
                <w:sz w:val="18"/>
              </w:rPr>
            </w:pPr>
            <w:r>
              <w:rPr>
                <w:spacing w:val="-2"/>
                <w:sz w:val="18"/>
              </w:rPr>
              <w:t>0.2214</w:t>
            </w:r>
          </w:p>
        </w:tc>
      </w:tr>
      <w:tr>
        <w:trPr>
          <w:trHeight w:val="224" w:hRule="atLeast"/>
        </w:trPr>
        <w:tc>
          <w:tcPr>
            <w:tcW w:w="1995" w:type="dxa"/>
          </w:tcPr>
          <w:p>
            <w:pPr>
              <w:pStyle w:val="TableParagraph"/>
              <w:spacing w:line="199" w:lineRule="exact" w:before="5"/>
              <w:ind w:left="22" w:right="5"/>
              <w:jc w:val="center"/>
              <w:rPr>
                <w:sz w:val="18"/>
              </w:rPr>
            </w:pPr>
            <w:r>
              <w:rPr>
                <w:spacing w:val="-2"/>
                <w:sz w:val="18"/>
              </w:rPr>
              <w:t>FSIZE</w:t>
            </w:r>
          </w:p>
        </w:tc>
        <w:tc>
          <w:tcPr>
            <w:tcW w:w="1220" w:type="dxa"/>
          </w:tcPr>
          <w:p>
            <w:pPr>
              <w:pStyle w:val="TableParagraph"/>
              <w:spacing w:line="199" w:lineRule="exact" w:before="5"/>
              <w:ind w:right="103"/>
              <w:jc w:val="right"/>
              <w:rPr>
                <w:sz w:val="18"/>
              </w:rPr>
            </w:pPr>
            <w:r>
              <w:rPr>
                <w:spacing w:val="-2"/>
                <w:sz w:val="18"/>
              </w:rPr>
              <w:t>0.057919</w:t>
            </w:r>
          </w:p>
        </w:tc>
        <w:tc>
          <w:tcPr>
            <w:tcW w:w="1491" w:type="dxa"/>
          </w:tcPr>
          <w:p>
            <w:pPr>
              <w:pStyle w:val="TableParagraph"/>
              <w:spacing w:line="199" w:lineRule="exact" w:before="5"/>
              <w:ind w:left="351"/>
              <w:rPr>
                <w:sz w:val="18"/>
              </w:rPr>
            </w:pPr>
            <w:r>
              <w:rPr>
                <w:spacing w:val="-2"/>
                <w:sz w:val="18"/>
              </w:rPr>
              <w:t>0.008021</w:t>
            </w:r>
          </w:p>
        </w:tc>
        <w:tc>
          <w:tcPr>
            <w:tcW w:w="910" w:type="dxa"/>
          </w:tcPr>
          <w:p>
            <w:pPr>
              <w:pStyle w:val="TableParagraph"/>
              <w:spacing w:line="199" w:lineRule="exact" w:before="5"/>
              <w:ind w:right="89"/>
              <w:jc w:val="right"/>
              <w:rPr>
                <w:sz w:val="18"/>
              </w:rPr>
            </w:pPr>
            <w:r>
              <w:rPr>
                <w:spacing w:val="-2"/>
                <w:sz w:val="18"/>
              </w:rPr>
              <w:t>7.220971</w:t>
            </w:r>
          </w:p>
        </w:tc>
        <w:tc>
          <w:tcPr>
            <w:tcW w:w="914" w:type="dxa"/>
          </w:tcPr>
          <w:p>
            <w:pPr>
              <w:pStyle w:val="TableParagraph"/>
              <w:spacing w:line="199" w:lineRule="exact" w:before="5"/>
              <w:ind w:right="5"/>
              <w:jc w:val="right"/>
              <w:rPr>
                <w:sz w:val="18"/>
              </w:rPr>
            </w:pPr>
            <w:r>
              <w:rPr>
                <w:spacing w:val="-2"/>
                <w:sz w:val="18"/>
              </w:rPr>
              <w:t>0.0000</w:t>
            </w:r>
          </w:p>
        </w:tc>
      </w:tr>
      <w:tr>
        <w:trPr>
          <w:trHeight w:val="303" w:hRule="atLeast"/>
        </w:trPr>
        <w:tc>
          <w:tcPr>
            <w:tcW w:w="1995" w:type="dxa"/>
            <w:tcBorders>
              <w:bottom w:val="double" w:sz="6" w:space="0" w:color="000000"/>
            </w:tcBorders>
          </w:tcPr>
          <w:p>
            <w:pPr>
              <w:pStyle w:val="TableParagraph"/>
              <w:spacing w:before="6"/>
              <w:ind w:left="523"/>
              <w:rPr>
                <w:sz w:val="18"/>
              </w:rPr>
            </w:pPr>
            <w:r>
              <w:rPr>
                <w:spacing w:val="-2"/>
                <w:sz w:val="18"/>
              </w:rPr>
              <w:t>LEVERAGE</w:t>
            </w:r>
          </w:p>
        </w:tc>
        <w:tc>
          <w:tcPr>
            <w:tcW w:w="1220" w:type="dxa"/>
            <w:tcBorders>
              <w:bottom w:val="double" w:sz="6" w:space="0" w:color="000000"/>
            </w:tcBorders>
          </w:tcPr>
          <w:p>
            <w:pPr>
              <w:pStyle w:val="TableParagraph"/>
              <w:spacing w:before="6"/>
              <w:ind w:right="103"/>
              <w:jc w:val="right"/>
              <w:rPr>
                <w:sz w:val="18"/>
              </w:rPr>
            </w:pPr>
            <w:r>
              <w:rPr>
                <w:spacing w:val="-2"/>
                <w:sz w:val="18"/>
              </w:rPr>
              <w:t>-0.008386</w:t>
            </w:r>
          </w:p>
        </w:tc>
        <w:tc>
          <w:tcPr>
            <w:tcW w:w="1491" w:type="dxa"/>
            <w:tcBorders>
              <w:bottom w:val="double" w:sz="6" w:space="0" w:color="000000"/>
            </w:tcBorders>
          </w:tcPr>
          <w:p>
            <w:pPr>
              <w:pStyle w:val="TableParagraph"/>
              <w:spacing w:before="6"/>
              <w:ind w:left="351"/>
              <w:rPr>
                <w:sz w:val="18"/>
              </w:rPr>
            </w:pPr>
            <w:r>
              <w:rPr>
                <w:spacing w:val="-2"/>
                <w:sz w:val="18"/>
              </w:rPr>
              <w:t>0.003957</w:t>
            </w:r>
          </w:p>
        </w:tc>
        <w:tc>
          <w:tcPr>
            <w:tcW w:w="910" w:type="dxa"/>
            <w:tcBorders>
              <w:bottom w:val="double" w:sz="6" w:space="0" w:color="000000"/>
            </w:tcBorders>
          </w:tcPr>
          <w:p>
            <w:pPr>
              <w:pStyle w:val="TableParagraph"/>
              <w:spacing w:before="6"/>
              <w:ind w:right="89"/>
              <w:jc w:val="right"/>
              <w:rPr>
                <w:sz w:val="18"/>
              </w:rPr>
            </w:pPr>
            <w:r>
              <w:rPr>
                <w:spacing w:val="-2"/>
                <w:sz w:val="18"/>
              </w:rPr>
              <w:t>-2.118975</w:t>
            </w:r>
          </w:p>
        </w:tc>
        <w:tc>
          <w:tcPr>
            <w:tcW w:w="914" w:type="dxa"/>
            <w:tcBorders>
              <w:bottom w:val="double" w:sz="6" w:space="0" w:color="000000"/>
            </w:tcBorders>
          </w:tcPr>
          <w:p>
            <w:pPr>
              <w:pStyle w:val="TableParagraph"/>
              <w:spacing w:before="6"/>
              <w:ind w:right="5"/>
              <w:jc w:val="right"/>
              <w:rPr>
                <w:sz w:val="18"/>
              </w:rPr>
            </w:pPr>
            <w:r>
              <w:rPr>
                <w:spacing w:val="-2"/>
                <w:sz w:val="18"/>
              </w:rPr>
              <w:t>0.0354</w:t>
            </w:r>
          </w:p>
        </w:tc>
      </w:tr>
      <w:tr>
        <w:trPr>
          <w:trHeight w:val="326" w:hRule="atLeast"/>
        </w:trPr>
        <w:tc>
          <w:tcPr>
            <w:tcW w:w="1995" w:type="dxa"/>
            <w:tcBorders>
              <w:top w:val="double" w:sz="6" w:space="0" w:color="000000"/>
            </w:tcBorders>
          </w:tcPr>
          <w:p>
            <w:pPr>
              <w:pStyle w:val="TableParagraph"/>
              <w:spacing w:line="198" w:lineRule="exact" w:before="108"/>
              <w:rPr>
                <w:sz w:val="18"/>
              </w:rPr>
            </w:pPr>
            <w:r>
              <w:rPr>
                <w:spacing w:val="-2"/>
                <w:sz w:val="18"/>
              </w:rPr>
              <w:t>R-squared</w:t>
            </w:r>
          </w:p>
        </w:tc>
        <w:tc>
          <w:tcPr>
            <w:tcW w:w="1220" w:type="dxa"/>
            <w:tcBorders>
              <w:top w:val="double" w:sz="6" w:space="0" w:color="000000"/>
            </w:tcBorders>
          </w:tcPr>
          <w:p>
            <w:pPr>
              <w:pStyle w:val="TableParagraph"/>
              <w:spacing w:line="198" w:lineRule="exact" w:before="108"/>
              <w:ind w:right="103"/>
              <w:jc w:val="right"/>
              <w:rPr>
                <w:sz w:val="18"/>
              </w:rPr>
            </w:pPr>
            <w:r>
              <w:rPr>
                <w:spacing w:val="-2"/>
                <w:sz w:val="18"/>
              </w:rPr>
              <w:t>0.245812</w:t>
            </w:r>
          </w:p>
        </w:tc>
        <w:tc>
          <w:tcPr>
            <w:tcW w:w="2401" w:type="dxa"/>
            <w:gridSpan w:val="2"/>
            <w:tcBorders>
              <w:top w:val="double" w:sz="6" w:space="0" w:color="000000"/>
            </w:tcBorders>
          </w:tcPr>
          <w:p>
            <w:pPr>
              <w:pStyle w:val="TableParagraph"/>
              <w:spacing w:line="198"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8"/>
              <w:ind w:right="5"/>
              <w:jc w:val="right"/>
              <w:rPr>
                <w:sz w:val="18"/>
              </w:rPr>
            </w:pPr>
            <w:r>
              <w:rPr>
                <w:spacing w:val="-2"/>
                <w:sz w:val="18"/>
              </w:rPr>
              <w:t>0.589536</w:t>
            </w:r>
          </w:p>
        </w:tc>
      </w:tr>
      <w:tr>
        <w:trPr>
          <w:trHeight w:val="224" w:hRule="atLeast"/>
        </w:trPr>
        <w:tc>
          <w:tcPr>
            <w:tcW w:w="1995" w:type="dxa"/>
          </w:tcPr>
          <w:p>
            <w:pPr>
              <w:pStyle w:val="TableParagraph"/>
              <w:spacing w:line="199" w:lineRule="exact" w:before="5"/>
              <w:rPr>
                <w:sz w:val="18"/>
              </w:rPr>
            </w:pPr>
            <w:r>
              <w:rPr>
                <w:sz w:val="18"/>
              </w:rPr>
              <w:t>Adjusted</w:t>
            </w:r>
            <w:r>
              <w:rPr>
                <w:spacing w:val="-9"/>
                <w:sz w:val="18"/>
              </w:rPr>
              <w:t> </w:t>
            </w:r>
            <w:r>
              <w:rPr>
                <w:sz w:val="18"/>
              </w:rPr>
              <w:t>R-</w:t>
            </w:r>
            <w:r>
              <w:rPr>
                <w:spacing w:val="-2"/>
                <w:sz w:val="18"/>
              </w:rPr>
              <w:t>squared</w:t>
            </w:r>
          </w:p>
        </w:tc>
        <w:tc>
          <w:tcPr>
            <w:tcW w:w="1220" w:type="dxa"/>
          </w:tcPr>
          <w:p>
            <w:pPr>
              <w:pStyle w:val="TableParagraph"/>
              <w:spacing w:line="199" w:lineRule="exact" w:before="5"/>
              <w:ind w:right="103"/>
              <w:jc w:val="right"/>
              <w:rPr>
                <w:sz w:val="18"/>
              </w:rPr>
            </w:pPr>
            <w:r>
              <w:rPr>
                <w:spacing w:val="-2"/>
                <w:sz w:val="18"/>
              </w:rPr>
              <w:t>0.229934</w:t>
            </w:r>
          </w:p>
        </w:tc>
        <w:tc>
          <w:tcPr>
            <w:tcW w:w="2401" w:type="dxa"/>
            <w:gridSpan w:val="2"/>
          </w:tcPr>
          <w:p>
            <w:pPr>
              <w:pStyle w:val="TableParagraph"/>
              <w:spacing w:line="199" w:lineRule="exact" w:before="5"/>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5"/>
              <w:ind w:right="5"/>
              <w:jc w:val="right"/>
              <w:rPr>
                <w:sz w:val="18"/>
              </w:rPr>
            </w:pPr>
            <w:r>
              <w:rPr>
                <w:spacing w:val="-2"/>
                <w:sz w:val="18"/>
              </w:rPr>
              <w:t>0.063313</w:t>
            </w:r>
          </w:p>
        </w:tc>
      </w:tr>
      <w:tr>
        <w:trPr>
          <w:trHeight w:val="225" w:hRule="atLeast"/>
        </w:trPr>
        <w:tc>
          <w:tcPr>
            <w:tcW w:w="1995" w:type="dxa"/>
          </w:tcPr>
          <w:p>
            <w:pPr>
              <w:pStyle w:val="TableParagraph"/>
              <w:spacing w:line="199" w:lineRule="exact" w:before="6"/>
              <w:rPr>
                <w:sz w:val="18"/>
              </w:rPr>
            </w:pPr>
            <w:r>
              <w:rPr>
                <w:sz w:val="18"/>
              </w:rPr>
              <w:t>S.E.</w:t>
            </w:r>
            <w:r>
              <w:rPr>
                <w:spacing w:val="-2"/>
                <w:sz w:val="18"/>
              </w:rPr>
              <w:t> </w:t>
            </w:r>
            <w:r>
              <w:rPr>
                <w:sz w:val="18"/>
              </w:rPr>
              <w:t>of</w:t>
            </w:r>
            <w:r>
              <w:rPr>
                <w:spacing w:val="1"/>
                <w:sz w:val="18"/>
              </w:rPr>
              <w:t> </w:t>
            </w:r>
            <w:r>
              <w:rPr>
                <w:spacing w:val="-2"/>
                <w:sz w:val="18"/>
              </w:rPr>
              <w:t>regression</w:t>
            </w:r>
          </w:p>
        </w:tc>
        <w:tc>
          <w:tcPr>
            <w:tcW w:w="1220" w:type="dxa"/>
          </w:tcPr>
          <w:p>
            <w:pPr>
              <w:pStyle w:val="TableParagraph"/>
              <w:spacing w:line="199" w:lineRule="exact" w:before="6"/>
              <w:ind w:right="103"/>
              <w:jc w:val="right"/>
              <w:rPr>
                <w:sz w:val="18"/>
              </w:rPr>
            </w:pPr>
            <w:r>
              <w:rPr>
                <w:spacing w:val="-2"/>
                <w:sz w:val="18"/>
              </w:rPr>
              <w:t>0.055560</w:t>
            </w:r>
          </w:p>
        </w:tc>
        <w:tc>
          <w:tcPr>
            <w:tcW w:w="2401" w:type="dxa"/>
            <w:gridSpan w:val="2"/>
          </w:tcPr>
          <w:p>
            <w:pPr>
              <w:pStyle w:val="TableParagraph"/>
              <w:spacing w:line="199" w:lineRule="exact" w:before="6"/>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9" w:lineRule="exact" w:before="6"/>
              <w:ind w:right="5"/>
              <w:jc w:val="right"/>
              <w:rPr>
                <w:sz w:val="18"/>
              </w:rPr>
            </w:pPr>
            <w:r>
              <w:rPr>
                <w:spacing w:val="-2"/>
                <w:sz w:val="18"/>
              </w:rPr>
              <w:t>-2.917409</w:t>
            </w:r>
          </w:p>
        </w:tc>
      </w:tr>
      <w:tr>
        <w:trPr>
          <w:trHeight w:val="225" w:hRule="atLeast"/>
        </w:trPr>
        <w:tc>
          <w:tcPr>
            <w:tcW w:w="1995" w:type="dxa"/>
          </w:tcPr>
          <w:p>
            <w:pPr>
              <w:pStyle w:val="TableParagraph"/>
              <w:spacing w:line="199"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20" w:type="dxa"/>
          </w:tcPr>
          <w:p>
            <w:pPr>
              <w:pStyle w:val="TableParagraph"/>
              <w:spacing w:line="199" w:lineRule="exact" w:before="6"/>
              <w:ind w:right="103"/>
              <w:jc w:val="right"/>
              <w:rPr>
                <w:sz w:val="18"/>
              </w:rPr>
            </w:pPr>
            <w:r>
              <w:rPr>
                <w:spacing w:val="-2"/>
                <w:sz w:val="18"/>
              </w:rPr>
              <w:t>0.586508</w:t>
            </w:r>
          </w:p>
        </w:tc>
        <w:tc>
          <w:tcPr>
            <w:tcW w:w="1491" w:type="dxa"/>
          </w:tcPr>
          <w:p>
            <w:pPr>
              <w:pStyle w:val="TableParagraph"/>
              <w:spacing w:line="199" w:lineRule="exact" w:before="6"/>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6"/>
              <w:ind w:right="5"/>
              <w:jc w:val="right"/>
              <w:rPr>
                <w:sz w:val="18"/>
              </w:rPr>
            </w:pPr>
            <w:r>
              <w:rPr>
                <w:spacing w:val="-2"/>
                <w:sz w:val="18"/>
              </w:rPr>
              <w:t>-2.833486</w:t>
            </w:r>
          </w:p>
        </w:tc>
      </w:tr>
      <w:tr>
        <w:trPr>
          <w:trHeight w:val="224" w:hRule="atLeast"/>
        </w:trPr>
        <w:tc>
          <w:tcPr>
            <w:tcW w:w="1995" w:type="dxa"/>
          </w:tcPr>
          <w:p>
            <w:pPr>
              <w:pStyle w:val="TableParagraph"/>
              <w:spacing w:line="198" w:lineRule="exact" w:before="6"/>
              <w:rPr>
                <w:sz w:val="18"/>
              </w:rPr>
            </w:pPr>
            <w:r>
              <w:rPr>
                <w:sz w:val="18"/>
              </w:rPr>
              <w:t>Log</w:t>
            </w:r>
            <w:r>
              <w:rPr>
                <w:spacing w:val="-3"/>
                <w:sz w:val="18"/>
              </w:rPr>
              <w:t> </w:t>
            </w:r>
            <w:r>
              <w:rPr>
                <w:spacing w:val="-2"/>
                <w:sz w:val="18"/>
              </w:rPr>
              <w:t>likelihood</w:t>
            </w:r>
          </w:p>
        </w:tc>
        <w:tc>
          <w:tcPr>
            <w:tcW w:w="1220" w:type="dxa"/>
          </w:tcPr>
          <w:p>
            <w:pPr>
              <w:pStyle w:val="TableParagraph"/>
              <w:spacing w:line="198" w:lineRule="exact" w:before="6"/>
              <w:ind w:right="103"/>
              <w:jc w:val="right"/>
              <w:rPr>
                <w:sz w:val="18"/>
              </w:rPr>
            </w:pPr>
            <w:r>
              <w:rPr>
                <w:spacing w:val="-2"/>
                <w:sz w:val="18"/>
              </w:rPr>
              <w:t>289.4474</w:t>
            </w:r>
          </w:p>
        </w:tc>
        <w:tc>
          <w:tcPr>
            <w:tcW w:w="2401" w:type="dxa"/>
            <w:gridSpan w:val="2"/>
          </w:tcPr>
          <w:p>
            <w:pPr>
              <w:pStyle w:val="TableParagraph"/>
              <w:spacing w:line="198"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8" w:lineRule="exact" w:before="6"/>
              <w:ind w:right="5"/>
              <w:jc w:val="right"/>
              <w:rPr>
                <w:sz w:val="18"/>
              </w:rPr>
            </w:pPr>
            <w:r>
              <w:rPr>
                <w:spacing w:val="-2"/>
                <w:sz w:val="18"/>
              </w:rPr>
              <w:t>-2.883430</w:t>
            </w:r>
          </w:p>
        </w:tc>
      </w:tr>
      <w:tr>
        <w:trPr>
          <w:trHeight w:val="224" w:hRule="atLeast"/>
        </w:trPr>
        <w:tc>
          <w:tcPr>
            <w:tcW w:w="1995" w:type="dxa"/>
          </w:tcPr>
          <w:p>
            <w:pPr>
              <w:pStyle w:val="TableParagraph"/>
              <w:spacing w:line="199" w:lineRule="exact" w:before="5"/>
              <w:rPr>
                <w:sz w:val="18"/>
              </w:rPr>
            </w:pPr>
            <w:r>
              <w:rPr>
                <w:spacing w:val="-2"/>
                <w:sz w:val="18"/>
              </w:rPr>
              <w:t>F-statistic</w:t>
            </w:r>
          </w:p>
        </w:tc>
        <w:tc>
          <w:tcPr>
            <w:tcW w:w="1220" w:type="dxa"/>
          </w:tcPr>
          <w:p>
            <w:pPr>
              <w:pStyle w:val="TableParagraph"/>
              <w:spacing w:line="199" w:lineRule="exact" w:before="5"/>
              <w:ind w:right="103"/>
              <w:jc w:val="right"/>
              <w:rPr>
                <w:sz w:val="18"/>
              </w:rPr>
            </w:pPr>
            <w:r>
              <w:rPr>
                <w:spacing w:val="-2"/>
                <w:sz w:val="18"/>
              </w:rPr>
              <w:t>15.48163</w:t>
            </w:r>
          </w:p>
        </w:tc>
        <w:tc>
          <w:tcPr>
            <w:tcW w:w="2401" w:type="dxa"/>
            <w:gridSpan w:val="2"/>
          </w:tcPr>
          <w:p>
            <w:pPr>
              <w:pStyle w:val="TableParagraph"/>
              <w:spacing w:line="199" w:lineRule="exact" w:before="5"/>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5"/>
              <w:ind w:right="5"/>
              <w:jc w:val="right"/>
              <w:rPr>
                <w:sz w:val="18"/>
              </w:rPr>
            </w:pPr>
            <w:r>
              <w:rPr>
                <w:spacing w:val="-2"/>
                <w:sz w:val="18"/>
              </w:rPr>
              <w:t>0.771196</w:t>
            </w:r>
          </w:p>
        </w:tc>
      </w:tr>
      <w:tr>
        <w:trPr>
          <w:trHeight w:val="225" w:hRule="atLeast"/>
        </w:trPr>
        <w:tc>
          <w:tcPr>
            <w:tcW w:w="1995" w:type="dxa"/>
          </w:tcPr>
          <w:p>
            <w:pPr>
              <w:pStyle w:val="TableParagraph"/>
              <w:spacing w:line="199" w:lineRule="exact" w:before="6"/>
              <w:rPr>
                <w:sz w:val="18"/>
              </w:rPr>
            </w:pPr>
            <w:r>
              <w:rPr>
                <w:spacing w:val="-2"/>
                <w:sz w:val="18"/>
              </w:rPr>
              <w:t>Prob(F-statistic)</w:t>
            </w:r>
          </w:p>
        </w:tc>
        <w:tc>
          <w:tcPr>
            <w:tcW w:w="1220" w:type="dxa"/>
          </w:tcPr>
          <w:p>
            <w:pPr>
              <w:pStyle w:val="TableParagraph"/>
              <w:spacing w:line="199" w:lineRule="exact" w:before="6"/>
              <w:ind w:right="103"/>
              <w:jc w:val="right"/>
              <w:rPr>
                <w:sz w:val="18"/>
              </w:rPr>
            </w:pPr>
            <w:r>
              <w:rPr>
                <w:spacing w:val="-2"/>
                <w:sz w:val="18"/>
              </w:rPr>
              <w:t>0.000000</w:t>
            </w:r>
          </w:p>
        </w:tc>
        <w:tc>
          <w:tcPr>
            <w:tcW w:w="1491" w:type="dxa"/>
          </w:tcPr>
          <w:p>
            <w:pPr>
              <w:pStyle w:val="TableParagraph"/>
              <w:spacing w:line="199" w:lineRule="exact" w:before="6"/>
              <w:ind w:left="107"/>
              <w:rPr>
                <w:sz w:val="18"/>
              </w:rPr>
            </w:pPr>
            <w:r>
              <w:rPr>
                <w:sz w:val="18"/>
              </w:rPr>
              <w:t>Wald</w:t>
            </w:r>
            <w:r>
              <w:rPr>
                <w:spacing w:val="-5"/>
                <w:sz w:val="18"/>
              </w:rPr>
              <w:t> </w:t>
            </w:r>
            <w:r>
              <w:rPr>
                <w:sz w:val="18"/>
              </w:rPr>
              <w:t>F-</w:t>
            </w:r>
            <w:r>
              <w:rPr>
                <w:spacing w:val="-2"/>
                <w:sz w:val="18"/>
              </w:rPr>
              <w:t>statistic</w:t>
            </w:r>
          </w:p>
        </w:tc>
        <w:tc>
          <w:tcPr>
            <w:tcW w:w="910" w:type="dxa"/>
          </w:tcPr>
          <w:p>
            <w:pPr>
              <w:pStyle w:val="TableParagraph"/>
              <w:rPr>
                <w:rFonts w:ascii="Times New Roman"/>
                <w:sz w:val="16"/>
              </w:rPr>
            </w:pPr>
          </w:p>
        </w:tc>
        <w:tc>
          <w:tcPr>
            <w:tcW w:w="914" w:type="dxa"/>
          </w:tcPr>
          <w:p>
            <w:pPr>
              <w:pStyle w:val="TableParagraph"/>
              <w:spacing w:line="199" w:lineRule="exact" w:before="6"/>
              <w:ind w:right="5"/>
              <w:jc w:val="right"/>
              <w:rPr>
                <w:sz w:val="18"/>
              </w:rPr>
            </w:pPr>
            <w:r>
              <w:rPr>
                <w:spacing w:val="-2"/>
                <w:sz w:val="18"/>
              </w:rPr>
              <w:t>30.30447</w:t>
            </w:r>
          </w:p>
        </w:tc>
      </w:tr>
      <w:tr>
        <w:trPr>
          <w:trHeight w:val="213" w:hRule="atLeast"/>
        </w:trPr>
        <w:tc>
          <w:tcPr>
            <w:tcW w:w="1995" w:type="dxa"/>
          </w:tcPr>
          <w:p>
            <w:pPr>
              <w:pStyle w:val="TableParagraph"/>
              <w:spacing w:line="187" w:lineRule="exact" w:before="6"/>
              <w:rPr>
                <w:sz w:val="18"/>
              </w:rPr>
            </w:pPr>
            <w:r>
              <w:rPr>
                <w:sz w:val="18"/>
              </w:rPr>
              <w:t>Prob(Wald</w:t>
            </w:r>
            <w:r>
              <w:rPr>
                <w:spacing w:val="-7"/>
                <w:sz w:val="18"/>
              </w:rPr>
              <w:t> </w:t>
            </w:r>
            <w:r>
              <w:rPr>
                <w:sz w:val="18"/>
              </w:rPr>
              <w:t>F-</w:t>
            </w:r>
            <w:r>
              <w:rPr>
                <w:spacing w:val="-2"/>
                <w:sz w:val="18"/>
              </w:rPr>
              <w:t>statistic)</w:t>
            </w:r>
          </w:p>
        </w:tc>
        <w:tc>
          <w:tcPr>
            <w:tcW w:w="1220" w:type="dxa"/>
          </w:tcPr>
          <w:p>
            <w:pPr>
              <w:pStyle w:val="TableParagraph"/>
              <w:spacing w:line="187" w:lineRule="exact" w:before="6"/>
              <w:ind w:right="103"/>
              <w:jc w:val="right"/>
              <w:rPr>
                <w:sz w:val="18"/>
              </w:rPr>
            </w:pPr>
            <w:r>
              <w:rPr>
                <w:spacing w:val="-2"/>
                <w:sz w:val="18"/>
              </w:rPr>
              <w:t>0.000000</w:t>
            </w:r>
          </w:p>
        </w:tc>
        <w:tc>
          <w:tcPr>
            <w:tcW w:w="1491" w:type="dxa"/>
          </w:tcPr>
          <w:p>
            <w:pPr>
              <w:pStyle w:val="TableParagraph"/>
              <w:rPr>
                <w:rFonts w:ascii="Times New Roman"/>
                <w:sz w:val="14"/>
              </w:rPr>
            </w:pPr>
          </w:p>
        </w:tc>
        <w:tc>
          <w:tcPr>
            <w:tcW w:w="910" w:type="dxa"/>
          </w:tcPr>
          <w:p>
            <w:pPr>
              <w:pStyle w:val="TableParagraph"/>
              <w:rPr>
                <w:rFonts w:ascii="Times New Roman"/>
                <w:sz w:val="14"/>
              </w:rPr>
            </w:pPr>
          </w:p>
        </w:tc>
        <w:tc>
          <w:tcPr>
            <w:tcW w:w="914" w:type="dxa"/>
          </w:tcPr>
          <w:p>
            <w:pPr>
              <w:pStyle w:val="TableParagraph"/>
              <w:rPr>
                <w:rFonts w:ascii="Times New Roman"/>
                <w:sz w:val="14"/>
              </w:rPr>
            </w:pPr>
          </w:p>
        </w:tc>
      </w:tr>
    </w:tbl>
    <w:p>
      <w:pPr>
        <w:spacing w:after="0"/>
        <w:rPr>
          <w:rFonts w:ascii="Times New Roman"/>
          <w:sz w:val="14"/>
        </w:rPr>
        <w:sectPr>
          <w:pgSz w:w="11910" w:h="16840"/>
          <w:pgMar w:header="0" w:footer="971" w:top="1380" w:bottom="1160" w:left="500" w:right="0"/>
        </w:sectPr>
      </w:pPr>
    </w:p>
    <w:p>
      <w:pPr>
        <w:spacing w:before="41"/>
        <w:ind w:left="940" w:right="0" w:firstLine="0"/>
        <w:jc w:val="left"/>
        <w:rPr>
          <w:rFonts w:ascii="Calibri"/>
          <w:b/>
          <w:sz w:val="22"/>
        </w:rPr>
      </w:pPr>
      <w:r>
        <w:rPr>
          <w:rFonts w:ascii="Calibri"/>
          <w:b/>
          <w:sz w:val="22"/>
        </w:rPr>
        <w:t>APPENDIX</w:t>
      </w:r>
      <w:r>
        <w:rPr>
          <w:rFonts w:ascii="Calibri"/>
          <w:b/>
          <w:spacing w:val="-6"/>
          <w:sz w:val="22"/>
        </w:rPr>
        <w:t> </w:t>
      </w:r>
      <w:r>
        <w:rPr>
          <w:rFonts w:ascii="Calibri"/>
          <w:b/>
          <w:sz w:val="22"/>
        </w:rPr>
        <w:t>7</w:t>
      </w:r>
      <w:r>
        <w:rPr>
          <w:rFonts w:ascii="Calibri"/>
          <w:b/>
          <w:spacing w:val="-6"/>
          <w:sz w:val="22"/>
        </w:rPr>
        <w:t> </w:t>
      </w:r>
      <w:r>
        <w:rPr>
          <w:rFonts w:ascii="Calibri"/>
          <w:b/>
          <w:sz w:val="22"/>
        </w:rPr>
        <w:t>(TABLE</w:t>
      </w:r>
      <w:r>
        <w:rPr>
          <w:rFonts w:ascii="Calibri"/>
          <w:b/>
          <w:spacing w:val="-6"/>
          <w:sz w:val="22"/>
        </w:rPr>
        <w:t> </w:t>
      </w:r>
      <w:r>
        <w:rPr>
          <w:rFonts w:ascii="Calibri"/>
          <w:b/>
          <w:sz w:val="22"/>
        </w:rPr>
        <w:t>4.5,</w:t>
      </w:r>
      <w:r>
        <w:rPr>
          <w:rFonts w:ascii="Calibri"/>
          <w:b/>
          <w:spacing w:val="-3"/>
          <w:sz w:val="22"/>
        </w:rPr>
        <w:t> </w:t>
      </w:r>
      <w:r>
        <w:rPr>
          <w:rFonts w:ascii="Calibri"/>
          <w:b/>
          <w:sz w:val="22"/>
        </w:rPr>
        <w:t>Dependent</w:t>
      </w:r>
      <w:r>
        <w:rPr>
          <w:rFonts w:ascii="Calibri"/>
          <w:b/>
          <w:spacing w:val="-4"/>
          <w:sz w:val="22"/>
        </w:rPr>
        <w:t> </w:t>
      </w:r>
      <w:r>
        <w:rPr>
          <w:rFonts w:ascii="Calibri"/>
          <w:b/>
          <w:sz w:val="22"/>
        </w:rPr>
        <w:t>variable</w:t>
      </w:r>
      <w:r>
        <w:rPr>
          <w:rFonts w:ascii="Calibri"/>
          <w:b/>
          <w:spacing w:val="-5"/>
          <w:sz w:val="22"/>
        </w:rPr>
        <w:t> </w:t>
      </w:r>
      <w:r>
        <w:rPr>
          <w:rFonts w:ascii="Calibri"/>
          <w:b/>
          <w:sz w:val="22"/>
        </w:rPr>
        <w:t>=</w:t>
      </w:r>
      <w:r>
        <w:rPr>
          <w:rFonts w:ascii="Calibri"/>
          <w:b/>
          <w:spacing w:val="-3"/>
          <w:sz w:val="22"/>
        </w:rPr>
        <w:t> </w:t>
      </w:r>
      <w:r>
        <w:rPr>
          <w:rFonts w:ascii="Calibri"/>
          <w:b/>
          <w:spacing w:val="-2"/>
          <w:sz w:val="22"/>
        </w:rPr>
        <w:t>VREL)</w:t>
      </w:r>
    </w:p>
    <w:p>
      <w:pPr>
        <w:pStyle w:val="BodyText"/>
        <w:rPr>
          <w:rFonts w:ascii="Calibri"/>
          <w:b/>
          <w:sz w:val="20"/>
        </w:rPr>
      </w:pPr>
    </w:p>
    <w:p>
      <w:pPr>
        <w:pStyle w:val="BodyText"/>
        <w:spacing w:before="204"/>
        <w:rPr>
          <w:rFonts w:ascii="Calibri"/>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220"/>
        <w:gridCol w:w="1491"/>
        <w:gridCol w:w="910"/>
        <w:gridCol w:w="91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4" w:hRule="atLeast"/>
        </w:trPr>
        <w:tc>
          <w:tcPr>
            <w:tcW w:w="1995" w:type="dxa"/>
          </w:tcPr>
          <w:p>
            <w:pPr>
              <w:pStyle w:val="TableParagraph"/>
              <w:spacing w:line="198" w:lineRule="exact" w:before="6"/>
              <w:rPr>
                <w:sz w:val="18"/>
              </w:rPr>
            </w:pPr>
            <w:r>
              <w:rPr>
                <w:sz w:val="18"/>
              </w:rPr>
              <w:t>Method:</w:t>
            </w:r>
            <w:r>
              <w:rPr>
                <w:spacing w:val="-9"/>
                <w:sz w:val="18"/>
              </w:rPr>
              <w:t> </w:t>
            </w:r>
            <w:r>
              <w:rPr>
                <w:sz w:val="18"/>
              </w:rPr>
              <w:t>Least</w:t>
            </w:r>
            <w:r>
              <w:rPr>
                <w:spacing w:val="-6"/>
                <w:sz w:val="18"/>
              </w:rPr>
              <w:t> </w:t>
            </w:r>
            <w:r>
              <w:rPr>
                <w:spacing w:val="-2"/>
                <w:sz w:val="18"/>
              </w:rPr>
              <w:t>Squares</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9" w:lineRule="exact" w:before="5"/>
              <w:rPr>
                <w:sz w:val="18"/>
              </w:rPr>
            </w:pPr>
            <w:r>
              <w:rPr>
                <w:sz w:val="18"/>
              </w:rPr>
              <w:t>Date:</w:t>
            </w:r>
            <w:r>
              <w:rPr>
                <w:spacing w:val="-3"/>
                <w:sz w:val="18"/>
              </w:rPr>
              <w:t> </w:t>
            </w:r>
            <w:r>
              <w:rPr>
                <w:sz w:val="18"/>
              </w:rPr>
              <w:t>05/06/21</w:t>
            </w:r>
            <w:r>
              <w:rPr>
                <w:spacing w:val="65"/>
                <w:w w:val="150"/>
                <w:sz w:val="18"/>
              </w:rPr>
              <w:t> </w:t>
            </w:r>
            <w:r>
              <w:rPr>
                <w:sz w:val="18"/>
              </w:rPr>
              <w:t>Time:</w:t>
            </w:r>
            <w:r>
              <w:rPr>
                <w:spacing w:val="-2"/>
                <w:sz w:val="18"/>
              </w:rPr>
              <w:t> </w:t>
            </w:r>
            <w:r>
              <w:rPr>
                <w:spacing w:val="-4"/>
                <w:sz w:val="18"/>
              </w:rPr>
              <w:t>09:13</w:t>
            </w:r>
          </w:p>
        </w:tc>
      </w:tr>
      <w:tr>
        <w:trPr>
          <w:trHeight w:val="225" w:hRule="atLeast"/>
        </w:trPr>
        <w:tc>
          <w:tcPr>
            <w:tcW w:w="199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8" w:lineRule="exact" w:before="6"/>
              <w:rPr>
                <w:sz w:val="18"/>
              </w:rPr>
            </w:pPr>
            <w:r>
              <w:rPr>
                <w:sz w:val="18"/>
              </w:rPr>
              <w:t>White-Hinkley</w:t>
            </w:r>
            <w:r>
              <w:rPr>
                <w:spacing w:val="-8"/>
                <w:sz w:val="18"/>
              </w:rPr>
              <w:t> </w:t>
            </w:r>
            <w:r>
              <w:rPr>
                <w:sz w:val="18"/>
              </w:rPr>
              <w:t>(HC1)</w:t>
            </w:r>
            <w:r>
              <w:rPr>
                <w:spacing w:val="-6"/>
                <w:sz w:val="18"/>
              </w:rPr>
              <w:t> </w:t>
            </w:r>
            <w:r>
              <w:rPr>
                <w:sz w:val="18"/>
              </w:rPr>
              <w:t>heteroskedasticity</w:t>
            </w:r>
            <w:r>
              <w:rPr>
                <w:spacing w:val="-7"/>
                <w:sz w:val="18"/>
              </w:rPr>
              <w:t> </w:t>
            </w:r>
            <w:r>
              <w:rPr>
                <w:sz w:val="18"/>
              </w:rPr>
              <w:t>consistent</w:t>
            </w:r>
            <w:r>
              <w:rPr>
                <w:spacing w:val="-6"/>
                <w:sz w:val="18"/>
              </w:rPr>
              <w:t> </w:t>
            </w:r>
            <w:r>
              <w:rPr>
                <w:sz w:val="18"/>
              </w:rPr>
              <w:t>standard</w:t>
            </w:r>
            <w:r>
              <w:rPr>
                <w:spacing w:val="-8"/>
                <w:sz w:val="18"/>
              </w:rPr>
              <w:t> </w:t>
            </w:r>
            <w:r>
              <w:rPr>
                <w:sz w:val="18"/>
              </w:rPr>
              <w:t>errors</w:t>
            </w:r>
            <w:r>
              <w:rPr>
                <w:spacing w:val="-7"/>
                <w:sz w:val="18"/>
              </w:rPr>
              <w:t> </w:t>
            </w:r>
            <w:r>
              <w:rPr>
                <w:spacing w:val="-5"/>
                <w:sz w:val="18"/>
              </w:rPr>
              <w:t>and</w:t>
            </w:r>
          </w:p>
        </w:tc>
      </w:tr>
      <w:tr>
        <w:trPr>
          <w:trHeight w:val="302" w:hRule="atLeast"/>
        </w:trPr>
        <w:tc>
          <w:tcPr>
            <w:tcW w:w="1995" w:type="dxa"/>
            <w:tcBorders>
              <w:bottom w:val="double" w:sz="6" w:space="0" w:color="000000"/>
            </w:tcBorders>
          </w:tcPr>
          <w:p>
            <w:pPr>
              <w:pStyle w:val="TableParagraph"/>
              <w:spacing w:before="5"/>
              <w:ind w:left="400"/>
              <w:rPr>
                <w:sz w:val="18"/>
              </w:rPr>
            </w:pPr>
            <w:r>
              <w:rPr>
                <w:spacing w:val="-2"/>
                <w:sz w:val="18"/>
              </w:rPr>
              <w:t>covariance</w:t>
            </w:r>
          </w:p>
        </w:tc>
        <w:tc>
          <w:tcPr>
            <w:tcW w:w="1220" w:type="dxa"/>
            <w:tcBorders>
              <w:bottom w:val="double" w:sz="6" w:space="0" w:color="000000"/>
            </w:tcBorders>
          </w:tcPr>
          <w:p>
            <w:pPr>
              <w:pStyle w:val="TableParagraph"/>
              <w:rPr>
                <w:rFonts w:ascii="Times New Roman"/>
                <w:sz w:val="18"/>
              </w:rPr>
            </w:pP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199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20"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5" w:hRule="atLeast"/>
        </w:trPr>
        <w:tc>
          <w:tcPr>
            <w:tcW w:w="1995" w:type="dxa"/>
            <w:tcBorders>
              <w:top w:val="double" w:sz="6" w:space="0" w:color="000000"/>
            </w:tcBorders>
          </w:tcPr>
          <w:p>
            <w:pPr>
              <w:pStyle w:val="TableParagraph"/>
              <w:spacing w:line="200" w:lineRule="exact" w:before="106"/>
              <w:ind w:left="22" w:right="1"/>
              <w:jc w:val="center"/>
              <w:rPr>
                <w:sz w:val="18"/>
              </w:rPr>
            </w:pPr>
            <w:r>
              <w:rPr>
                <w:spacing w:val="-10"/>
                <w:sz w:val="18"/>
              </w:rPr>
              <w:t>C</w:t>
            </w:r>
          </w:p>
        </w:tc>
        <w:tc>
          <w:tcPr>
            <w:tcW w:w="1220" w:type="dxa"/>
            <w:tcBorders>
              <w:top w:val="double" w:sz="6" w:space="0" w:color="000000"/>
            </w:tcBorders>
          </w:tcPr>
          <w:p>
            <w:pPr>
              <w:pStyle w:val="TableParagraph"/>
              <w:spacing w:line="200" w:lineRule="exact" w:before="106"/>
              <w:ind w:right="103"/>
              <w:jc w:val="right"/>
              <w:rPr>
                <w:sz w:val="18"/>
              </w:rPr>
            </w:pPr>
            <w:r>
              <w:rPr>
                <w:spacing w:val="-2"/>
                <w:sz w:val="18"/>
              </w:rPr>
              <w:t>7.780065</w:t>
            </w:r>
          </w:p>
        </w:tc>
        <w:tc>
          <w:tcPr>
            <w:tcW w:w="1491" w:type="dxa"/>
            <w:tcBorders>
              <w:top w:val="double" w:sz="6" w:space="0" w:color="000000"/>
            </w:tcBorders>
          </w:tcPr>
          <w:p>
            <w:pPr>
              <w:pStyle w:val="TableParagraph"/>
              <w:spacing w:line="200" w:lineRule="exact" w:before="106"/>
              <w:ind w:left="351"/>
              <w:rPr>
                <w:sz w:val="18"/>
              </w:rPr>
            </w:pPr>
            <w:r>
              <w:rPr>
                <w:spacing w:val="-2"/>
                <w:sz w:val="18"/>
              </w:rPr>
              <w:t>0.752588</w:t>
            </w:r>
          </w:p>
        </w:tc>
        <w:tc>
          <w:tcPr>
            <w:tcW w:w="910" w:type="dxa"/>
            <w:tcBorders>
              <w:top w:val="double" w:sz="6" w:space="0" w:color="000000"/>
            </w:tcBorders>
          </w:tcPr>
          <w:p>
            <w:pPr>
              <w:pStyle w:val="TableParagraph"/>
              <w:spacing w:line="200" w:lineRule="exact" w:before="106"/>
              <w:ind w:right="89"/>
              <w:jc w:val="right"/>
              <w:rPr>
                <w:sz w:val="18"/>
              </w:rPr>
            </w:pPr>
            <w:r>
              <w:rPr>
                <w:spacing w:val="-2"/>
                <w:sz w:val="18"/>
              </w:rPr>
              <w:t>-0.146445</w:t>
            </w:r>
          </w:p>
        </w:tc>
        <w:tc>
          <w:tcPr>
            <w:tcW w:w="914" w:type="dxa"/>
            <w:tcBorders>
              <w:top w:val="double" w:sz="6" w:space="0" w:color="000000"/>
            </w:tcBorders>
          </w:tcPr>
          <w:p>
            <w:pPr>
              <w:pStyle w:val="TableParagraph"/>
              <w:spacing w:line="200" w:lineRule="exact" w:before="106"/>
              <w:ind w:right="5"/>
              <w:jc w:val="right"/>
              <w:rPr>
                <w:sz w:val="18"/>
              </w:rPr>
            </w:pPr>
            <w:r>
              <w:rPr>
                <w:spacing w:val="-2"/>
                <w:sz w:val="18"/>
              </w:rPr>
              <w:t>0.5826</w:t>
            </w:r>
          </w:p>
        </w:tc>
      </w:tr>
      <w:tr>
        <w:trPr>
          <w:trHeight w:val="225" w:hRule="atLeast"/>
        </w:trPr>
        <w:tc>
          <w:tcPr>
            <w:tcW w:w="1995" w:type="dxa"/>
          </w:tcPr>
          <w:p>
            <w:pPr>
              <w:pStyle w:val="TableParagraph"/>
              <w:spacing w:line="199" w:lineRule="exact" w:before="6"/>
              <w:ind w:left="643"/>
              <w:rPr>
                <w:sz w:val="18"/>
              </w:rPr>
            </w:pPr>
            <w:r>
              <w:rPr>
                <w:spacing w:val="-2"/>
                <w:sz w:val="18"/>
              </w:rPr>
              <w:t>IFRS*TG</w:t>
            </w:r>
          </w:p>
        </w:tc>
        <w:tc>
          <w:tcPr>
            <w:tcW w:w="1220" w:type="dxa"/>
          </w:tcPr>
          <w:p>
            <w:pPr>
              <w:pStyle w:val="TableParagraph"/>
              <w:spacing w:line="199" w:lineRule="exact" w:before="6"/>
              <w:ind w:right="103"/>
              <w:jc w:val="right"/>
              <w:rPr>
                <w:sz w:val="18"/>
              </w:rPr>
            </w:pPr>
            <w:r>
              <w:rPr>
                <w:spacing w:val="-2"/>
                <w:sz w:val="18"/>
              </w:rPr>
              <w:t>8.541621</w:t>
            </w:r>
          </w:p>
        </w:tc>
        <w:tc>
          <w:tcPr>
            <w:tcW w:w="1491" w:type="dxa"/>
          </w:tcPr>
          <w:p>
            <w:pPr>
              <w:pStyle w:val="TableParagraph"/>
              <w:spacing w:line="199" w:lineRule="exact" w:before="6"/>
              <w:ind w:left="351"/>
              <w:rPr>
                <w:sz w:val="18"/>
              </w:rPr>
            </w:pPr>
            <w:r>
              <w:rPr>
                <w:spacing w:val="-2"/>
                <w:sz w:val="18"/>
              </w:rPr>
              <w:t>8.941386</w:t>
            </w:r>
          </w:p>
        </w:tc>
        <w:tc>
          <w:tcPr>
            <w:tcW w:w="910" w:type="dxa"/>
          </w:tcPr>
          <w:p>
            <w:pPr>
              <w:pStyle w:val="TableParagraph"/>
              <w:spacing w:line="199" w:lineRule="exact" w:before="6"/>
              <w:ind w:right="89"/>
              <w:jc w:val="right"/>
              <w:rPr>
                <w:sz w:val="18"/>
              </w:rPr>
            </w:pPr>
            <w:r>
              <w:rPr>
                <w:spacing w:val="-2"/>
                <w:sz w:val="18"/>
              </w:rPr>
              <w:t>1.214695</w:t>
            </w:r>
          </w:p>
        </w:tc>
        <w:tc>
          <w:tcPr>
            <w:tcW w:w="914" w:type="dxa"/>
          </w:tcPr>
          <w:p>
            <w:pPr>
              <w:pStyle w:val="TableParagraph"/>
              <w:spacing w:line="199" w:lineRule="exact" w:before="6"/>
              <w:ind w:right="5"/>
              <w:jc w:val="right"/>
              <w:rPr>
                <w:sz w:val="18"/>
              </w:rPr>
            </w:pPr>
            <w:r>
              <w:rPr>
                <w:spacing w:val="-2"/>
                <w:sz w:val="18"/>
              </w:rPr>
              <w:t>0.3407</w:t>
            </w:r>
          </w:p>
        </w:tc>
      </w:tr>
      <w:tr>
        <w:trPr>
          <w:trHeight w:val="225" w:hRule="atLeast"/>
        </w:trPr>
        <w:tc>
          <w:tcPr>
            <w:tcW w:w="1995" w:type="dxa"/>
          </w:tcPr>
          <w:p>
            <w:pPr>
              <w:pStyle w:val="TableParagraph"/>
              <w:spacing w:line="199" w:lineRule="exact" w:before="6"/>
              <w:ind w:left="22" w:right="1"/>
              <w:jc w:val="center"/>
              <w:rPr>
                <w:sz w:val="18"/>
              </w:rPr>
            </w:pPr>
            <w:r>
              <w:rPr>
                <w:spacing w:val="-4"/>
                <w:sz w:val="18"/>
              </w:rPr>
              <w:t>FAGE</w:t>
            </w:r>
          </w:p>
        </w:tc>
        <w:tc>
          <w:tcPr>
            <w:tcW w:w="1220" w:type="dxa"/>
          </w:tcPr>
          <w:p>
            <w:pPr>
              <w:pStyle w:val="TableParagraph"/>
              <w:spacing w:line="199" w:lineRule="exact" w:before="6"/>
              <w:ind w:right="103"/>
              <w:jc w:val="right"/>
              <w:rPr>
                <w:sz w:val="18"/>
              </w:rPr>
            </w:pPr>
            <w:r>
              <w:rPr>
                <w:spacing w:val="-2"/>
                <w:sz w:val="18"/>
              </w:rPr>
              <w:t>0.016509</w:t>
            </w:r>
          </w:p>
        </w:tc>
        <w:tc>
          <w:tcPr>
            <w:tcW w:w="1491" w:type="dxa"/>
          </w:tcPr>
          <w:p>
            <w:pPr>
              <w:pStyle w:val="TableParagraph"/>
              <w:spacing w:line="199" w:lineRule="exact" w:before="6"/>
              <w:ind w:left="351"/>
              <w:rPr>
                <w:sz w:val="18"/>
              </w:rPr>
            </w:pPr>
            <w:r>
              <w:rPr>
                <w:spacing w:val="-2"/>
                <w:sz w:val="18"/>
              </w:rPr>
              <w:t>0.128131</w:t>
            </w:r>
          </w:p>
        </w:tc>
        <w:tc>
          <w:tcPr>
            <w:tcW w:w="910" w:type="dxa"/>
          </w:tcPr>
          <w:p>
            <w:pPr>
              <w:pStyle w:val="TableParagraph"/>
              <w:spacing w:line="199" w:lineRule="exact" w:before="6"/>
              <w:ind w:right="89"/>
              <w:jc w:val="right"/>
              <w:rPr>
                <w:sz w:val="18"/>
              </w:rPr>
            </w:pPr>
            <w:r>
              <w:rPr>
                <w:spacing w:val="-2"/>
                <w:sz w:val="18"/>
              </w:rPr>
              <w:t>-0.840826</w:t>
            </w:r>
          </w:p>
        </w:tc>
        <w:tc>
          <w:tcPr>
            <w:tcW w:w="914" w:type="dxa"/>
          </w:tcPr>
          <w:p>
            <w:pPr>
              <w:pStyle w:val="TableParagraph"/>
              <w:spacing w:line="199" w:lineRule="exact" w:before="6"/>
              <w:ind w:right="5"/>
              <w:jc w:val="right"/>
              <w:rPr>
                <w:sz w:val="18"/>
              </w:rPr>
            </w:pPr>
            <w:r>
              <w:rPr>
                <w:spacing w:val="-2"/>
                <w:sz w:val="18"/>
              </w:rPr>
              <w:t>0.8972</w:t>
            </w:r>
          </w:p>
        </w:tc>
      </w:tr>
      <w:tr>
        <w:trPr>
          <w:trHeight w:val="224" w:hRule="atLeast"/>
        </w:trPr>
        <w:tc>
          <w:tcPr>
            <w:tcW w:w="1995" w:type="dxa"/>
          </w:tcPr>
          <w:p>
            <w:pPr>
              <w:pStyle w:val="TableParagraph"/>
              <w:spacing w:line="198" w:lineRule="exact" w:before="6"/>
              <w:ind w:left="22" w:right="5"/>
              <w:jc w:val="center"/>
              <w:rPr>
                <w:sz w:val="18"/>
              </w:rPr>
            </w:pPr>
            <w:r>
              <w:rPr>
                <w:spacing w:val="-2"/>
                <w:sz w:val="18"/>
              </w:rPr>
              <w:t>FSIZE</w:t>
            </w:r>
          </w:p>
        </w:tc>
        <w:tc>
          <w:tcPr>
            <w:tcW w:w="1220" w:type="dxa"/>
          </w:tcPr>
          <w:p>
            <w:pPr>
              <w:pStyle w:val="TableParagraph"/>
              <w:spacing w:line="198" w:lineRule="exact" w:before="6"/>
              <w:ind w:right="103"/>
              <w:jc w:val="right"/>
              <w:rPr>
                <w:sz w:val="18"/>
              </w:rPr>
            </w:pPr>
            <w:r>
              <w:rPr>
                <w:spacing w:val="-2"/>
                <w:sz w:val="18"/>
              </w:rPr>
              <w:t>0.116684</w:t>
            </w:r>
          </w:p>
        </w:tc>
        <w:tc>
          <w:tcPr>
            <w:tcW w:w="1491" w:type="dxa"/>
          </w:tcPr>
          <w:p>
            <w:pPr>
              <w:pStyle w:val="TableParagraph"/>
              <w:spacing w:line="198" w:lineRule="exact" w:before="6"/>
              <w:ind w:left="351"/>
              <w:rPr>
                <w:sz w:val="18"/>
              </w:rPr>
            </w:pPr>
            <w:r>
              <w:rPr>
                <w:spacing w:val="-2"/>
                <w:sz w:val="18"/>
              </w:rPr>
              <w:t>1.714479</w:t>
            </w:r>
          </w:p>
        </w:tc>
        <w:tc>
          <w:tcPr>
            <w:tcW w:w="910" w:type="dxa"/>
          </w:tcPr>
          <w:p>
            <w:pPr>
              <w:pStyle w:val="TableParagraph"/>
              <w:spacing w:line="198" w:lineRule="exact" w:before="6"/>
              <w:ind w:right="89"/>
              <w:jc w:val="right"/>
              <w:rPr>
                <w:sz w:val="18"/>
              </w:rPr>
            </w:pPr>
            <w:r>
              <w:rPr>
                <w:spacing w:val="-2"/>
                <w:sz w:val="18"/>
              </w:rPr>
              <w:t>0.098488</w:t>
            </w:r>
          </w:p>
        </w:tc>
        <w:tc>
          <w:tcPr>
            <w:tcW w:w="914" w:type="dxa"/>
          </w:tcPr>
          <w:p>
            <w:pPr>
              <w:pStyle w:val="TableParagraph"/>
              <w:spacing w:line="198" w:lineRule="exact" w:before="6"/>
              <w:ind w:right="5"/>
              <w:jc w:val="right"/>
              <w:rPr>
                <w:sz w:val="18"/>
              </w:rPr>
            </w:pPr>
            <w:r>
              <w:rPr>
                <w:spacing w:val="-2"/>
                <w:sz w:val="18"/>
              </w:rPr>
              <w:t>0.9459</w:t>
            </w:r>
          </w:p>
        </w:tc>
      </w:tr>
      <w:tr>
        <w:trPr>
          <w:trHeight w:val="302" w:hRule="atLeast"/>
        </w:trPr>
        <w:tc>
          <w:tcPr>
            <w:tcW w:w="1995" w:type="dxa"/>
            <w:tcBorders>
              <w:bottom w:val="double" w:sz="6" w:space="0" w:color="000000"/>
            </w:tcBorders>
          </w:tcPr>
          <w:p>
            <w:pPr>
              <w:pStyle w:val="TableParagraph"/>
              <w:spacing w:before="5"/>
              <w:ind w:left="523"/>
              <w:rPr>
                <w:sz w:val="18"/>
              </w:rPr>
            </w:pPr>
            <w:r>
              <w:rPr>
                <w:spacing w:val="-2"/>
                <w:sz w:val="18"/>
              </w:rPr>
              <w:t>LEVERAGE</w:t>
            </w:r>
          </w:p>
        </w:tc>
        <w:tc>
          <w:tcPr>
            <w:tcW w:w="1220" w:type="dxa"/>
            <w:tcBorders>
              <w:bottom w:val="double" w:sz="6" w:space="0" w:color="000000"/>
            </w:tcBorders>
          </w:tcPr>
          <w:p>
            <w:pPr>
              <w:pStyle w:val="TableParagraph"/>
              <w:spacing w:before="5"/>
              <w:ind w:right="103"/>
              <w:jc w:val="right"/>
              <w:rPr>
                <w:sz w:val="18"/>
              </w:rPr>
            </w:pPr>
            <w:r>
              <w:rPr>
                <w:spacing w:val="-2"/>
                <w:sz w:val="18"/>
              </w:rPr>
              <w:t>0.449401</w:t>
            </w:r>
          </w:p>
        </w:tc>
        <w:tc>
          <w:tcPr>
            <w:tcW w:w="1491" w:type="dxa"/>
            <w:tcBorders>
              <w:bottom w:val="double" w:sz="6" w:space="0" w:color="000000"/>
            </w:tcBorders>
          </w:tcPr>
          <w:p>
            <w:pPr>
              <w:pStyle w:val="TableParagraph"/>
              <w:spacing w:before="5"/>
              <w:ind w:left="351"/>
              <w:rPr>
                <w:sz w:val="18"/>
              </w:rPr>
            </w:pPr>
            <w:r>
              <w:rPr>
                <w:spacing w:val="-2"/>
                <w:sz w:val="18"/>
              </w:rPr>
              <w:t>0.449445</w:t>
            </w:r>
          </w:p>
        </w:tc>
        <w:tc>
          <w:tcPr>
            <w:tcW w:w="910" w:type="dxa"/>
            <w:tcBorders>
              <w:bottom w:val="double" w:sz="6" w:space="0" w:color="000000"/>
            </w:tcBorders>
          </w:tcPr>
          <w:p>
            <w:pPr>
              <w:pStyle w:val="TableParagraph"/>
              <w:spacing w:before="5"/>
              <w:ind w:right="89"/>
              <w:jc w:val="right"/>
              <w:rPr>
                <w:sz w:val="18"/>
              </w:rPr>
            </w:pPr>
            <w:r>
              <w:rPr>
                <w:spacing w:val="-2"/>
                <w:sz w:val="18"/>
              </w:rPr>
              <w:t>-0.341928</w:t>
            </w:r>
          </w:p>
        </w:tc>
        <w:tc>
          <w:tcPr>
            <w:tcW w:w="914" w:type="dxa"/>
            <w:tcBorders>
              <w:bottom w:val="double" w:sz="6" w:space="0" w:color="000000"/>
            </w:tcBorders>
          </w:tcPr>
          <w:p>
            <w:pPr>
              <w:pStyle w:val="TableParagraph"/>
              <w:spacing w:before="5"/>
              <w:ind w:right="5"/>
              <w:jc w:val="right"/>
              <w:rPr>
                <w:sz w:val="18"/>
              </w:rPr>
            </w:pPr>
            <w:r>
              <w:rPr>
                <w:spacing w:val="-2"/>
                <w:sz w:val="18"/>
              </w:rPr>
              <w:t>0.7304</w:t>
            </w:r>
          </w:p>
        </w:tc>
      </w:tr>
      <w:tr>
        <w:trPr>
          <w:trHeight w:val="327" w:hRule="atLeast"/>
        </w:trPr>
        <w:tc>
          <w:tcPr>
            <w:tcW w:w="1995" w:type="dxa"/>
            <w:tcBorders>
              <w:top w:val="double" w:sz="6" w:space="0" w:color="000000"/>
            </w:tcBorders>
          </w:tcPr>
          <w:p>
            <w:pPr>
              <w:pStyle w:val="TableParagraph"/>
              <w:spacing w:line="199" w:lineRule="exact" w:before="108"/>
              <w:rPr>
                <w:sz w:val="18"/>
              </w:rPr>
            </w:pPr>
            <w:r>
              <w:rPr>
                <w:spacing w:val="-2"/>
                <w:sz w:val="18"/>
              </w:rPr>
              <w:t>R-squared</w:t>
            </w:r>
          </w:p>
        </w:tc>
        <w:tc>
          <w:tcPr>
            <w:tcW w:w="1220" w:type="dxa"/>
            <w:tcBorders>
              <w:top w:val="double" w:sz="6" w:space="0" w:color="000000"/>
            </w:tcBorders>
          </w:tcPr>
          <w:p>
            <w:pPr>
              <w:pStyle w:val="TableParagraph"/>
              <w:spacing w:line="199" w:lineRule="exact" w:before="108"/>
              <w:ind w:right="103"/>
              <w:jc w:val="right"/>
              <w:rPr>
                <w:sz w:val="18"/>
              </w:rPr>
            </w:pPr>
            <w:r>
              <w:rPr>
                <w:spacing w:val="-2"/>
                <w:sz w:val="18"/>
              </w:rPr>
              <w:t>0.495927</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-0.117725</w:t>
            </w:r>
          </w:p>
        </w:tc>
      </w:tr>
      <w:tr>
        <w:trPr>
          <w:trHeight w:val="224" w:hRule="atLeast"/>
        </w:trPr>
        <w:tc>
          <w:tcPr>
            <w:tcW w:w="1995" w:type="dxa"/>
          </w:tcPr>
          <w:p>
            <w:pPr>
              <w:pStyle w:val="TableParagraph"/>
              <w:spacing w:line="198" w:lineRule="exact" w:before="6"/>
              <w:rPr>
                <w:sz w:val="18"/>
              </w:rPr>
            </w:pPr>
            <w:r>
              <w:rPr>
                <w:sz w:val="18"/>
              </w:rPr>
              <w:t>Adjusted</w:t>
            </w:r>
            <w:r>
              <w:rPr>
                <w:spacing w:val="-9"/>
                <w:sz w:val="18"/>
              </w:rPr>
              <w:t> </w:t>
            </w:r>
            <w:r>
              <w:rPr>
                <w:sz w:val="18"/>
              </w:rPr>
              <w:t>R-</w:t>
            </w:r>
            <w:r>
              <w:rPr>
                <w:spacing w:val="-2"/>
                <w:sz w:val="18"/>
              </w:rPr>
              <w:t>squared</w:t>
            </w:r>
          </w:p>
        </w:tc>
        <w:tc>
          <w:tcPr>
            <w:tcW w:w="1220" w:type="dxa"/>
          </w:tcPr>
          <w:p>
            <w:pPr>
              <w:pStyle w:val="TableParagraph"/>
              <w:spacing w:line="198" w:lineRule="exact" w:before="6"/>
              <w:ind w:right="103"/>
              <w:jc w:val="right"/>
              <w:rPr>
                <w:sz w:val="18"/>
              </w:rPr>
            </w:pPr>
            <w:r>
              <w:rPr>
                <w:spacing w:val="-2"/>
                <w:sz w:val="18"/>
              </w:rPr>
              <w:t>0.480780</w:t>
            </w:r>
          </w:p>
        </w:tc>
        <w:tc>
          <w:tcPr>
            <w:tcW w:w="2401" w:type="dxa"/>
            <w:gridSpan w:val="2"/>
          </w:tcPr>
          <w:p>
            <w:pPr>
              <w:pStyle w:val="TableParagraph"/>
              <w:spacing w:line="198"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8" w:lineRule="exact" w:before="6"/>
              <w:ind w:right="5"/>
              <w:jc w:val="right"/>
              <w:rPr>
                <w:sz w:val="18"/>
              </w:rPr>
            </w:pPr>
            <w:r>
              <w:rPr>
                <w:spacing w:val="-2"/>
                <w:sz w:val="18"/>
              </w:rPr>
              <w:t>0.590621</w:t>
            </w:r>
          </w:p>
        </w:tc>
      </w:tr>
      <w:tr>
        <w:trPr>
          <w:trHeight w:val="224" w:hRule="atLeast"/>
        </w:trPr>
        <w:tc>
          <w:tcPr>
            <w:tcW w:w="1995" w:type="dxa"/>
          </w:tcPr>
          <w:p>
            <w:pPr>
              <w:pStyle w:val="TableParagraph"/>
              <w:spacing w:line="199" w:lineRule="exact" w:before="5"/>
              <w:rPr>
                <w:sz w:val="18"/>
              </w:rPr>
            </w:pPr>
            <w:r>
              <w:rPr>
                <w:sz w:val="18"/>
              </w:rPr>
              <w:t>S.E.</w:t>
            </w:r>
            <w:r>
              <w:rPr>
                <w:spacing w:val="-2"/>
                <w:sz w:val="18"/>
              </w:rPr>
              <w:t> </w:t>
            </w:r>
            <w:r>
              <w:rPr>
                <w:sz w:val="18"/>
              </w:rPr>
              <w:t>of </w:t>
            </w:r>
            <w:r>
              <w:rPr>
                <w:spacing w:val="-2"/>
                <w:sz w:val="18"/>
              </w:rPr>
              <w:t>regression</w:t>
            </w:r>
          </w:p>
        </w:tc>
        <w:tc>
          <w:tcPr>
            <w:tcW w:w="1220" w:type="dxa"/>
          </w:tcPr>
          <w:p>
            <w:pPr>
              <w:pStyle w:val="TableParagraph"/>
              <w:spacing w:line="199" w:lineRule="exact" w:before="5"/>
              <w:ind w:right="103"/>
              <w:jc w:val="right"/>
              <w:rPr>
                <w:sz w:val="18"/>
              </w:rPr>
            </w:pPr>
            <w:r>
              <w:rPr>
                <w:spacing w:val="-2"/>
                <w:sz w:val="18"/>
              </w:rPr>
              <w:t>0.581826</w:t>
            </w:r>
          </w:p>
        </w:tc>
        <w:tc>
          <w:tcPr>
            <w:tcW w:w="2401" w:type="dxa"/>
            <w:gridSpan w:val="2"/>
          </w:tcPr>
          <w:p>
            <w:pPr>
              <w:pStyle w:val="TableParagraph"/>
              <w:spacing w:line="199" w:lineRule="exact" w:before="5"/>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9" w:lineRule="exact" w:before="5"/>
              <w:ind w:right="5"/>
              <w:jc w:val="right"/>
              <w:rPr>
                <w:sz w:val="18"/>
              </w:rPr>
            </w:pPr>
            <w:r>
              <w:rPr>
                <w:spacing w:val="-2"/>
                <w:sz w:val="18"/>
              </w:rPr>
              <w:t>1.780015</w:t>
            </w:r>
          </w:p>
        </w:tc>
      </w:tr>
      <w:tr>
        <w:trPr>
          <w:trHeight w:val="225" w:hRule="atLeast"/>
        </w:trPr>
        <w:tc>
          <w:tcPr>
            <w:tcW w:w="1995" w:type="dxa"/>
          </w:tcPr>
          <w:p>
            <w:pPr>
              <w:pStyle w:val="TableParagraph"/>
              <w:spacing w:line="199"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20" w:type="dxa"/>
          </w:tcPr>
          <w:p>
            <w:pPr>
              <w:pStyle w:val="TableParagraph"/>
              <w:spacing w:line="199" w:lineRule="exact" w:before="6"/>
              <w:ind w:right="103"/>
              <w:jc w:val="right"/>
              <w:rPr>
                <w:sz w:val="18"/>
              </w:rPr>
            </w:pPr>
            <w:r>
              <w:rPr>
                <w:spacing w:val="-2"/>
                <w:sz w:val="18"/>
              </w:rPr>
              <w:t>64.31900</w:t>
            </w:r>
          </w:p>
        </w:tc>
        <w:tc>
          <w:tcPr>
            <w:tcW w:w="1491" w:type="dxa"/>
          </w:tcPr>
          <w:p>
            <w:pPr>
              <w:pStyle w:val="TableParagraph"/>
              <w:spacing w:line="199" w:lineRule="exact" w:before="6"/>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6"/>
              <w:ind w:right="5"/>
              <w:jc w:val="right"/>
              <w:rPr>
                <w:sz w:val="18"/>
              </w:rPr>
            </w:pPr>
            <w:r>
              <w:rPr>
                <w:spacing w:val="-2"/>
                <w:sz w:val="18"/>
              </w:rPr>
              <w:t>1.863938</w:t>
            </w:r>
          </w:p>
        </w:tc>
      </w:tr>
      <w:tr>
        <w:trPr>
          <w:trHeight w:val="225" w:hRule="atLeast"/>
        </w:trPr>
        <w:tc>
          <w:tcPr>
            <w:tcW w:w="199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20" w:type="dxa"/>
          </w:tcPr>
          <w:p>
            <w:pPr>
              <w:pStyle w:val="TableParagraph"/>
              <w:spacing w:line="199" w:lineRule="exact" w:before="6"/>
              <w:ind w:right="103"/>
              <w:jc w:val="right"/>
              <w:rPr>
                <w:sz w:val="18"/>
              </w:rPr>
            </w:pPr>
            <w:r>
              <w:rPr>
                <w:spacing w:val="-2"/>
                <w:sz w:val="18"/>
              </w:rPr>
              <w:t>-168.5514</w:t>
            </w:r>
          </w:p>
        </w:tc>
        <w:tc>
          <w:tcPr>
            <w:tcW w:w="240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6"/>
              <w:ind w:right="5"/>
              <w:jc w:val="right"/>
              <w:rPr>
                <w:sz w:val="18"/>
              </w:rPr>
            </w:pPr>
            <w:r>
              <w:rPr>
                <w:spacing w:val="-2"/>
                <w:sz w:val="18"/>
              </w:rPr>
              <w:t>1.813994</w:t>
            </w:r>
          </w:p>
        </w:tc>
      </w:tr>
      <w:tr>
        <w:trPr>
          <w:trHeight w:val="224" w:hRule="atLeast"/>
        </w:trPr>
        <w:tc>
          <w:tcPr>
            <w:tcW w:w="1995" w:type="dxa"/>
          </w:tcPr>
          <w:p>
            <w:pPr>
              <w:pStyle w:val="TableParagraph"/>
              <w:spacing w:line="198" w:lineRule="exact" w:before="6"/>
              <w:rPr>
                <w:sz w:val="18"/>
              </w:rPr>
            </w:pPr>
            <w:r>
              <w:rPr>
                <w:spacing w:val="-2"/>
                <w:sz w:val="18"/>
              </w:rPr>
              <w:t>F-statistic</w:t>
            </w:r>
          </w:p>
        </w:tc>
        <w:tc>
          <w:tcPr>
            <w:tcW w:w="1220" w:type="dxa"/>
          </w:tcPr>
          <w:p>
            <w:pPr>
              <w:pStyle w:val="TableParagraph"/>
              <w:spacing w:line="198" w:lineRule="exact" w:before="6"/>
              <w:ind w:right="103"/>
              <w:jc w:val="right"/>
              <w:rPr>
                <w:sz w:val="18"/>
              </w:rPr>
            </w:pPr>
            <w:r>
              <w:rPr>
                <w:spacing w:val="-2"/>
                <w:sz w:val="18"/>
              </w:rPr>
              <w:t>18.83248</w:t>
            </w:r>
          </w:p>
        </w:tc>
        <w:tc>
          <w:tcPr>
            <w:tcW w:w="2401" w:type="dxa"/>
            <w:gridSpan w:val="2"/>
          </w:tcPr>
          <w:p>
            <w:pPr>
              <w:pStyle w:val="TableParagraph"/>
              <w:spacing w:line="198"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8" w:lineRule="exact" w:before="6"/>
              <w:ind w:right="5"/>
              <w:jc w:val="right"/>
              <w:rPr>
                <w:sz w:val="18"/>
              </w:rPr>
            </w:pPr>
            <w:r>
              <w:rPr>
                <w:spacing w:val="-2"/>
                <w:sz w:val="18"/>
              </w:rPr>
              <w:t>1.477607</w:t>
            </w:r>
          </w:p>
        </w:tc>
      </w:tr>
      <w:tr>
        <w:trPr>
          <w:trHeight w:val="224" w:hRule="atLeast"/>
        </w:trPr>
        <w:tc>
          <w:tcPr>
            <w:tcW w:w="1995" w:type="dxa"/>
          </w:tcPr>
          <w:p>
            <w:pPr>
              <w:pStyle w:val="TableParagraph"/>
              <w:spacing w:line="199" w:lineRule="exact" w:before="5"/>
              <w:rPr>
                <w:sz w:val="18"/>
              </w:rPr>
            </w:pPr>
            <w:r>
              <w:rPr>
                <w:spacing w:val="-2"/>
                <w:sz w:val="18"/>
              </w:rPr>
              <w:t>Prob(F-statistic)</w:t>
            </w:r>
          </w:p>
        </w:tc>
        <w:tc>
          <w:tcPr>
            <w:tcW w:w="1220" w:type="dxa"/>
          </w:tcPr>
          <w:p>
            <w:pPr>
              <w:pStyle w:val="TableParagraph"/>
              <w:spacing w:line="199" w:lineRule="exact" w:before="5"/>
              <w:ind w:right="103"/>
              <w:jc w:val="right"/>
              <w:rPr>
                <w:sz w:val="18"/>
              </w:rPr>
            </w:pPr>
            <w:r>
              <w:rPr>
                <w:spacing w:val="-2"/>
                <w:sz w:val="18"/>
              </w:rPr>
              <w:t>30.78509</w:t>
            </w:r>
          </w:p>
        </w:tc>
        <w:tc>
          <w:tcPr>
            <w:tcW w:w="1491" w:type="dxa"/>
          </w:tcPr>
          <w:p>
            <w:pPr>
              <w:pStyle w:val="TableParagraph"/>
              <w:spacing w:line="199" w:lineRule="exact" w:before="5"/>
              <w:ind w:left="107"/>
              <w:rPr>
                <w:sz w:val="18"/>
              </w:rPr>
            </w:pPr>
            <w:r>
              <w:rPr>
                <w:sz w:val="18"/>
              </w:rPr>
              <w:t>Wald</w:t>
            </w:r>
            <w:r>
              <w:rPr>
                <w:spacing w:val="-5"/>
                <w:sz w:val="18"/>
              </w:rPr>
              <w:t> </w:t>
            </w:r>
            <w:r>
              <w:rPr>
                <w:sz w:val="18"/>
              </w:rPr>
              <w:t>F-</w:t>
            </w:r>
            <w:r>
              <w:rPr>
                <w:spacing w:val="-2"/>
                <w:sz w:val="18"/>
              </w:rPr>
              <w:t>statistic</w:t>
            </w:r>
          </w:p>
        </w:tc>
        <w:tc>
          <w:tcPr>
            <w:tcW w:w="910" w:type="dxa"/>
          </w:tcPr>
          <w:p>
            <w:pPr>
              <w:pStyle w:val="TableParagraph"/>
              <w:rPr>
                <w:rFonts w:ascii="Times New Roman"/>
                <w:sz w:val="16"/>
              </w:rPr>
            </w:pPr>
          </w:p>
        </w:tc>
        <w:tc>
          <w:tcPr>
            <w:tcW w:w="914" w:type="dxa"/>
          </w:tcPr>
          <w:p>
            <w:pPr>
              <w:pStyle w:val="TableParagraph"/>
              <w:spacing w:line="199" w:lineRule="exact" w:before="5"/>
              <w:ind w:right="5"/>
              <w:jc w:val="right"/>
              <w:rPr>
                <w:sz w:val="18"/>
              </w:rPr>
            </w:pPr>
            <w:r>
              <w:rPr>
                <w:spacing w:val="-2"/>
                <w:sz w:val="18"/>
              </w:rPr>
              <w:t>1.560060</w:t>
            </w:r>
          </w:p>
        </w:tc>
      </w:tr>
      <w:tr>
        <w:trPr>
          <w:trHeight w:val="303" w:hRule="atLeast"/>
        </w:trPr>
        <w:tc>
          <w:tcPr>
            <w:tcW w:w="1995" w:type="dxa"/>
            <w:tcBorders>
              <w:bottom w:val="double" w:sz="6" w:space="0" w:color="000000"/>
            </w:tcBorders>
          </w:tcPr>
          <w:p>
            <w:pPr>
              <w:pStyle w:val="TableParagraph"/>
              <w:spacing w:before="6"/>
              <w:rPr>
                <w:sz w:val="18"/>
              </w:rPr>
            </w:pPr>
            <w:r>
              <w:rPr>
                <w:sz w:val="18"/>
              </w:rPr>
              <w:t>Prob(Wald</w:t>
            </w:r>
            <w:r>
              <w:rPr>
                <w:spacing w:val="-7"/>
                <w:sz w:val="18"/>
              </w:rPr>
              <w:t> </w:t>
            </w:r>
            <w:r>
              <w:rPr>
                <w:sz w:val="18"/>
              </w:rPr>
              <w:t>F-</w:t>
            </w:r>
            <w:r>
              <w:rPr>
                <w:spacing w:val="-2"/>
                <w:sz w:val="18"/>
              </w:rPr>
              <w:t>statistic)</w:t>
            </w:r>
          </w:p>
        </w:tc>
        <w:tc>
          <w:tcPr>
            <w:tcW w:w="1220" w:type="dxa"/>
            <w:tcBorders>
              <w:bottom w:val="double" w:sz="6" w:space="0" w:color="000000"/>
            </w:tcBorders>
          </w:tcPr>
          <w:p>
            <w:pPr>
              <w:pStyle w:val="TableParagraph"/>
              <w:spacing w:before="6"/>
              <w:ind w:right="103"/>
              <w:jc w:val="right"/>
              <w:rPr>
                <w:sz w:val="18"/>
              </w:rPr>
            </w:pPr>
            <w:r>
              <w:rPr>
                <w:spacing w:val="-2"/>
                <w:sz w:val="18"/>
              </w:rPr>
              <w:t>0.186659</w:t>
            </w: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bl>
    <w:p>
      <w:pPr>
        <w:pStyle w:val="BodyText"/>
        <w:rPr>
          <w:rFonts w:ascii="Calibri"/>
          <w:b/>
        </w:rPr>
      </w:pPr>
    </w:p>
    <w:p>
      <w:pPr>
        <w:pStyle w:val="BodyText"/>
        <w:rPr>
          <w:rFonts w:ascii="Calibri"/>
          <w:b/>
        </w:rPr>
      </w:pPr>
    </w:p>
    <w:p>
      <w:pPr>
        <w:pStyle w:val="BodyText"/>
        <w:rPr>
          <w:rFonts w:ascii="Calibri"/>
          <w:b/>
        </w:rPr>
      </w:pPr>
    </w:p>
    <w:p>
      <w:pPr>
        <w:pStyle w:val="BodyText"/>
        <w:spacing w:before="285"/>
        <w:rPr>
          <w:rFonts w:ascii="Calibri"/>
          <w:b/>
        </w:rPr>
      </w:pPr>
    </w:p>
    <w:p>
      <w:pPr>
        <w:spacing w:before="0"/>
        <w:ind w:left="940" w:right="1436" w:firstLine="0"/>
        <w:jc w:val="left"/>
        <w:rPr>
          <w:b/>
          <w:i/>
          <w:sz w:val="24"/>
        </w:rPr>
      </w:pPr>
      <w:r>
        <w:rPr/>
        <mc:AlternateContent>
          <mc:Choice Requires="wps">
            <w:drawing>
              <wp:anchor distT="0" distB="0" distL="0" distR="0" allowOverlap="1" layoutInCell="1" locked="0" behindDoc="1" simplePos="0" relativeHeight="477782016">
                <wp:simplePos x="0" y="0"/>
                <wp:positionH relativeFrom="page">
                  <wp:posOffset>1269060</wp:posOffset>
                </wp:positionH>
                <wp:positionV relativeFrom="paragraph">
                  <wp:posOffset>-3215973</wp:posOffset>
                </wp:positionV>
                <wp:extent cx="4933315" cy="4976495"/>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4933315" cy="4976495"/>
                          <a:chExt cx="4933315" cy="4976495"/>
                        </a:xfrm>
                      </wpg:grpSpPr>
                      <wps:wsp>
                        <wps:cNvPr id="284" name="Graphic 284"/>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85" name="Image 285"/>
                          <pic:cNvPicPr/>
                        </pic:nvPicPr>
                        <pic:blipFill>
                          <a:blip r:embed="rId9" cstate="print"/>
                          <a:stretch>
                            <a:fillRect/>
                          </a:stretch>
                        </pic:blipFill>
                        <pic:spPr>
                          <a:xfrm>
                            <a:off x="1248333" y="3743197"/>
                            <a:ext cx="221995" cy="221614"/>
                          </a:xfrm>
                          <a:prstGeom prst="rect">
                            <a:avLst/>
                          </a:prstGeom>
                        </pic:spPr>
                      </pic:pic>
                      <wps:wsp>
                        <wps:cNvPr id="286" name="Graphic 286"/>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53.226288pt;width:388.45pt;height:391.85pt;mso-position-horizontal-relative:page;mso-position-vertical-relative:paragraph;z-index:-25534464" id="docshapegroup90" coordorigin="1999,-5065" coordsize="7769,7837">
                <v:shape style="position:absolute;left:1998;top:754;width:2142;height:2018" id="docshape91" coordorigin="1999,755" coordsize="2142,2018" path="m3420,2464l3419,2423,3412,2380,3400,2336,3383,2291,3362,2245,3335,2198,3304,2151,3268,2103,3227,2055,3181,2007,2526,1352,2521,1349,2511,1345,2501,1346,2495,1348,2489,1351,2482,1355,2475,1360,2467,1367,2449,1384,2438,1399,2434,1406,2431,1413,2429,1418,2427,1424,2428,1429,2431,1439,2435,1443,3090,2099,3124,2134,3154,2169,3181,2203,3204,2235,3223,2267,3239,2299,3252,2329,3261,2358,3266,2386,3268,2414,3267,2440,3262,2465,3254,2490,3243,2512,3227,2534,3209,2555,3189,2573,3167,2587,3144,2598,3120,2606,3095,2610,3068,2612,3040,2610,3012,2604,2982,2595,2951,2583,2919,2567,2886,2547,2852,2523,2817,2495,2782,2464,2745,2429,2097,1781,2092,1777,2083,1774,2078,1774,2072,1774,2067,1776,2060,1780,2053,1784,2038,1795,2020,1813,2014,1821,2009,1828,2002,1841,2000,1847,1999,1853,1999,1858,2002,1867,2006,1872,2671,2537,2720,2584,2768,2625,2815,2661,2862,2692,2908,2718,2953,2739,2996,2754,3038,2765,3080,2771,3119,2772,3157,2768,3195,2760,3230,2748,3263,2730,3295,2708,3324,2682,3353,2650,3377,2616,3395,2580,3408,2543,3417,2504,3420,2464xm4140,1692l4134,1638,4120,1583,4100,1526,4073,1469,4041,1409,4002,1348,3983,1322,3983,1670,3983,1708,3977,1745,3963,1780,3943,1813,3916,1844,3885,1871,3852,1892,3819,1906,3783,1913,3747,1915,3709,1912,3670,1903,3630,1889,3589,1870,3547,1847,3504,1819,3460,1786,3415,1750,3370,1711,3324,1669,3277,1624,3236,1581,3197,1538,3160,1494,3126,1451,3095,1407,3068,1365,3046,1322,3028,1280,3013,1239,3004,1199,3000,1161,3001,1122,3007,1086,3020,1051,3040,1018,3067,987,3097,961,3130,940,3163,927,3199,919,3236,918,3274,921,3313,930,3353,943,3394,962,3436,985,3479,1012,3523,1043,3567,1079,3612,1117,3657,1158,3702,1202,3744,1246,3783,1289,3820,1333,3855,1377,3887,1421,3914,1464,3936,1507,3955,1548,3970,1590,3979,1631,3983,1670,3983,1322,3957,1286,3907,1223,3851,1160,3789,1095,3725,1033,3662,978,3601,928,3588,918,3541,884,3483,846,3426,815,3371,790,3317,772,3265,760,3215,755,3167,756,3120,763,3075,777,3032,798,2991,826,2952,860,2916,901,2887,944,2866,990,2852,1037,2846,1088,2845,1139,2852,1193,2865,1247,2885,1304,2911,1362,2943,1421,2981,1482,3025,1543,3075,1605,3130,1668,3190,1730,3255,1793,3319,1850,3381,1901,3441,1945,3500,1984,3557,2015,3613,2041,3666,2060,3718,2072,3768,2078,3817,2077,3864,2069,3910,2056,3953,2035,3995,2007,4035,1971,4071,1931,4081,1915,4099,1887,4120,1842,4133,1794,4140,1744,4140,1692xe" filled="true" fillcolor="#c0c0c0" stroked="false">
                  <v:path arrowok="t"/>
                  <v:fill opacity="32896f" type="solid"/>
                </v:shape>
                <v:shape style="position:absolute;left:3964;top:830;width:350;height:349" type="#_x0000_t75" id="docshape92" stroked="false">
                  <v:imagedata r:id="rId9" o:title=""/>
                </v:shape>
                <v:shape style="position:absolute;left:3758;top:-5065;width:6009;height:6216" id="docshape93" coordorigin="3759,-5065" coordsize="6009,6216" path="m4895,1071l4895,1066,4892,1057,4888,1052,4884,1048,3857,21,3852,17,3843,14,3838,14,3832,15,3826,17,3821,20,3813,24,3806,29,3798,35,3781,53,3770,67,3762,81,3760,86,3759,93,3759,98,3762,107,3765,113,4796,1144,4801,1147,4811,1151,4815,1151,4821,1149,4827,1148,4833,1144,4841,1140,4848,1135,4856,1128,4873,1111,4880,1103,4885,1096,4889,1088,4892,1083,4893,1076,4895,1071xm5170,791l5169,786,5167,781,5163,777,5159,772,4775,389,4854,310,4883,278,4887,273,4907,245,4926,211,4939,175,4948,140,4952,104,4952,66,4947,27,4938,-11,4925,-51,4908,-90,4886,-131,4861,-171,4831,-211,4800,-248,4800,59,4799,82,4795,104,4787,126,4776,148,4761,169,4742,190,4659,273,4232,-155,4317,-239,4329,-251,4342,-262,4356,-272,4371,-282,4387,-290,4405,-297,4425,-301,4446,-303,4469,-302,4494,-297,4521,-289,4550,-277,4580,-261,4610,-240,4642,-214,4674,-184,4697,-160,4718,-135,4736,-111,4753,-86,4767,-61,4779,-36,4788,-12,4795,12,4799,36,4800,59,4800,-248,4797,-252,4759,-292,4748,-303,4729,-321,4699,-347,4669,-370,4638,-392,4608,-409,4578,-424,4549,-437,4520,-447,4491,-455,4462,-460,4434,-462,4406,-462,4380,-460,4356,-455,4334,-449,4314,-441,4296,-431,4280,-422,4266,-413,4253,-405,4241,-395,4230,-385,4218,-375,4207,-364,4059,-216,4054,-208,4050,-199,4048,-189,4048,-177,4052,-164,4059,-150,4069,-135,4084,-119,5067,864,5071,868,5076,872,5081,874,5086,875,5091,876,5096,874,5102,872,5109,869,5116,865,5123,860,5131,854,5149,836,5155,827,5160,821,5165,813,5167,807,5168,801,5170,796,5170,791xm5863,103l5863,98,5860,88,5856,84,4928,-844,5125,-1041,5127,-1044,5127,-1050,5126,-1054,5125,-1060,5122,-1066,5119,-1072,5114,-1080,5092,-1105,5081,-1116,5070,-1126,5061,-1135,5044,-1150,5036,-1155,5023,-1162,5018,-1163,5008,-1163,5005,-1161,4519,-676,4517,-672,4518,-668,4517,-663,4519,-658,4526,-645,4531,-637,4538,-629,4545,-620,4554,-610,4575,-589,4585,-580,4593,-574,4601,-567,4609,-562,4621,-556,4626,-554,4631,-554,4636,-554,4639,-556,4836,-753,5764,175,5769,179,5779,182,5783,183,5789,181,5795,180,5809,172,5824,161,5842,143,5848,135,5853,128,5857,120,5860,114,5861,108,5863,103xm6396,-429l6395,-434,6392,-444,6388,-449,5460,-1377,5657,-1573,5659,-1577,5659,-1582,5658,-1592,5652,-1604,5646,-1612,5639,-1620,5624,-1637,5613,-1648,5603,-1659,5576,-1682,5569,-1687,5556,-1694,5550,-1695,5545,-1696,5540,-1695,5537,-1693,5052,-1208,5050,-1205,5050,-1200,5050,-1195,5052,-1190,5058,-1177,5064,-1169,5071,-1161,5078,-1152,5086,-1142,5108,-1121,5117,-1113,5126,-1106,5134,-1099,5141,-1094,5154,-1088,5158,-1086,5164,-1086,5168,-1086,5172,-1088,5369,-1285,6297,-357,6301,-353,6311,-350,6316,-349,6321,-352,6327,-353,6341,-360,6348,-365,6356,-372,6374,-389,6386,-404,6392,-418,6394,-424,6396,-429xm7102,-1270l7095,-1324,7081,-1379,7061,-1435,7035,-1493,7003,-1553,6964,-1614,6945,-1639,6945,-1292,6945,-1253,6938,-1216,6925,-1181,6905,-1148,6878,-1117,6847,-1090,6814,-1070,6780,-1056,6745,-1049,6708,-1047,6671,-1050,6632,-1059,6591,-1073,6551,-1092,6509,-1115,6466,-1143,6422,-1175,6377,-1211,6332,-1250,6285,-1293,6239,-1338,6198,-1381,6159,-1424,6122,-1467,6087,-1511,6056,-1554,6030,-1597,6008,-1640,5989,-1682,5975,-1722,5966,-1762,5962,-1801,5963,-1839,5969,-1876,5982,-1911,6002,-1943,6028,-1974,6059,-2001,6091,-2021,6125,-2035,6161,-2042,6198,-2044,6236,-2041,6275,-2032,6315,-2018,6356,-1999,6398,-1976,6441,-1950,6484,-1918,6529,-1883,6573,-1844,6618,-1803,6663,-1759,6705,-1716,6745,-1672,6782,-1629,6817,-1585,6848,-1541,6875,-1498,6898,-1455,6917,-1413,6932,-1372,6941,-1331,6945,-1292,6945,-1639,6919,-1676,6869,-1738,6812,-1802,6751,-1866,6687,-1928,6624,-1984,6563,-2034,6549,-2044,6503,-2078,6444,-2116,6388,-2147,6332,-2171,6279,-2190,6227,-2202,6177,-2207,6129,-2206,6081,-2199,6036,-2185,5993,-2164,5952,-2136,5913,-2101,5877,-2060,5849,-2017,5828,-1972,5814,-1924,5807,-1874,5807,-1822,5813,-1769,5826,-1715,5846,-1658,5872,-1600,5904,-1540,5942,-1480,5987,-1418,6036,-1356,6091,-1294,6152,-1231,6217,-1168,6280,-1111,6342,-1061,6403,-1016,6462,-978,6519,-946,6574,-921,6628,-902,6680,-890,6730,-884,6778,-885,6826,-892,6871,-906,6915,-927,6957,-955,6996,-990,7032,-1031,7042,-1047,7061,-1074,7082,-1120,7095,-1168,7102,-1218,7102,-1270xm8054,-2197l8054,-2225,8054,-2236,8052,-2244,8050,-2253,8048,-2260,8043,-2271,8040,-2276,8036,-2282,8014,-2308,7998,-2325,7980,-2342,7957,-2363,7943,-2372,7938,-2375,7933,-2377,7927,-2377,7924,-2376,7916,-2368,7913,-2355,7915,-2335,7916,-2320,7916,-2303,7915,-2285,7914,-2266,7912,-2245,7909,-2223,7903,-2201,7897,-2178,7887,-2154,7875,-2132,7859,-2110,7840,-2090,7815,-2068,7787,-2050,7757,-2037,7726,-2030,7692,-2025,7657,-2026,7620,-2032,7582,-2044,7542,-2059,7500,-2079,7456,-2103,7411,-2133,7364,-2167,7317,-2206,7268,-2249,7218,-2297,7169,-2348,7125,-2398,7086,-2446,7051,-2494,7021,-2540,6995,-2585,6974,-2628,6958,-2670,6945,-2710,6938,-2748,6936,-2784,6938,-2818,6945,-2850,6957,-2879,6973,-2906,6995,-2930,7016,-2950,7038,-2966,7060,-2978,7083,-2987,7106,-2994,7128,-2998,7149,-3002,7170,-3004,7189,-3004,7224,-3003,7239,-3002,7259,-3001,7272,-3002,7279,-3009,7280,-3014,7280,-3018,7279,-3022,7277,-3027,7270,-3041,7258,-3057,7242,-3076,7213,-3104,7197,-3118,7190,-3123,7184,-3128,7173,-3135,7161,-3140,7153,-3143,7141,-3146,7130,-3147,7118,-3148,7087,-3148,7069,-3146,7050,-3144,7032,-3140,7013,-3135,6995,-3130,6976,-3123,6957,-3114,6939,-3105,6921,-3095,6904,-3083,6888,-3070,6872,-3056,6841,-3020,6817,-2981,6799,-2939,6787,-2894,6782,-2846,6782,-2796,6788,-2743,6801,-2689,6820,-2632,6846,-2573,6877,-2513,6915,-2451,6959,-2387,7010,-2323,7066,-2258,7129,-2192,7193,-2131,7256,-2076,7318,-2027,7378,-1985,7437,-1948,7494,-1918,7550,-1894,7604,-1876,7655,-1864,7705,-1859,7753,-1860,7798,-1867,7841,-1879,7881,-1897,7919,-1922,7954,-1953,7972,-1973,7989,-1993,8003,-2014,8015,-2036,8025,-2058,8033,-2080,8040,-2101,8045,-2122,8049,-2142,8052,-2161,8054,-2179,8054,-2197xm8654,-2822l8648,-2876,8634,-2931,8614,-2988,8588,-3046,8555,-3105,8517,-3166,8498,-3192,8498,-2844,8497,-2806,8491,-2769,8477,-2734,8457,-2701,8430,-2670,8399,-2643,8367,-2622,8333,-2608,8297,-2601,8261,-2599,8223,-2603,8184,-2611,8144,-2626,8103,-2645,8061,-2668,8018,-2695,7974,-2728,7930,-2764,7884,-2803,7838,-2845,7791,-2891,7750,-2933,7711,-2976,7675,-3020,7640,-3064,7609,-3107,7583,-3150,7560,-3192,7542,-3234,7528,-3275,7519,-3315,7515,-3354,7515,-3392,7521,-3429,7534,-3463,7554,-3496,7581,-3527,7612,-3554,7644,-3574,7678,-3588,7713,-3595,7750,-3596,7788,-3593,7827,-3585,7867,-3571,7909,-3552,7951,-3529,7993,-3502,8037,-3471,8081,-3435,8126,-3397,8171,-3356,8216,-3312,8258,-3269,8297,-3225,8334,-3181,8369,-3138,8401,-3094,8428,-3050,8451,-3008,8469,-2966,8484,-2924,8493,-2884,8498,-2844,8498,-3192,8472,-3228,8421,-3291,8365,-3355,8303,-3419,8239,-3481,8176,-3537,8115,-3587,8102,-3596,8055,-3631,7997,-3668,7940,-3699,7885,-3724,7831,-3743,7780,-3755,7730,-3760,7681,-3758,7634,-3751,7589,-3737,7546,-3716,7505,-3688,7466,-3654,7430,-3613,7401,-3570,7380,-3525,7366,-3477,7360,-3427,7360,-3375,7366,-3322,7379,-3267,7399,-3210,7425,-3152,7457,-3093,7495,-3033,7539,-2971,7589,-2909,7644,-2847,7704,-2784,7769,-2721,7833,-2664,7895,-2613,7955,-2569,8014,-2531,8072,-2499,8127,-2474,8181,-2455,8232,-2442,8282,-2437,8331,-2438,8378,-2445,8424,-2458,8468,-2479,8509,-2507,8549,-2543,8585,-2584,8595,-2599,8613,-2627,8634,-2673,8647,-2721,8654,-2771,8654,-2822xm9075,-3114l9073,-3118,9071,-3123,9068,-3128,8680,-3516,8758,-3594,8788,-3627,8792,-3632,8812,-3660,8831,-3694,8844,-3729,8852,-3765,8857,-3800,8857,-3839,8852,-3877,8843,-3916,8830,-3955,8813,-3995,8791,-4035,8765,-4076,8736,-4116,8705,-4152,8705,-3845,8704,-3822,8699,-3800,8692,-3778,8681,-3757,8665,-3736,8647,-3715,8564,-3632,8136,-4059,8221,-4144,8233,-4156,8247,-4167,8261,-4177,8276,-4187,8292,-4195,8310,-4201,8330,-4206,8351,-4208,8374,-4207,8399,-4202,8426,-4194,8455,-4182,8484,-4165,8515,-4144,8547,-4119,8579,-4088,8602,-4064,8623,-4040,8641,-4015,8658,-3991,8672,-3965,8684,-3941,8693,-3916,8699,-3892,8704,-3869,8705,-3845,8705,-4152,8702,-4156,8664,-4196,8652,-4208,8634,-4225,8604,-4251,8573,-4275,8543,-4296,8513,-4314,8483,-4329,8453,-4341,8424,-4352,8395,-4360,8367,-4365,8339,-4367,8311,-4367,8284,-4364,8260,-4360,8238,-4353,8218,-4345,8201,-4336,8185,-4326,8170,-4318,8158,-4309,8146,-4300,8135,-4290,8123,-4279,8112,-4269,7964,-4121,7958,-4113,7955,-4104,7953,-4093,7953,-4082,7956,-4069,7963,-4055,7974,-4040,7989,-4024,8972,-3040,8976,-3036,8981,-3033,8990,-3029,8995,-3029,9001,-3031,9007,-3032,9021,-3040,9028,-3045,9035,-3051,9053,-3069,9060,-3077,9065,-3084,9069,-3092,9072,-3097,9073,-3104,9075,-3108,9075,-3114xm9767,-3801l9767,-3806,9764,-3816,9760,-3820,9363,-4217,9289,-4362,9068,-4797,8957,-5014,8941,-5043,8936,-5050,8929,-5058,8923,-5062,8910,-5065,8902,-5062,8893,-5056,8886,-5051,8870,-5037,8852,-5019,8845,-5010,8835,-4996,8832,-4990,8830,-4985,8829,-4979,8829,-4974,8831,-4968,8833,-4962,8836,-4956,8840,-4949,8876,-4882,8981,-4680,9052,-4545,9151,-4367,9186,-4308,9185,-4307,8944,-4442,8877,-4477,8542,-4652,8534,-4657,8528,-4658,8523,-4661,8517,-4662,8505,-4660,8500,-4658,8493,-4654,8469,-4635,8446,-4613,8438,-4603,8426,-4587,8423,-4580,8426,-4566,8430,-4560,8445,-4549,8454,-4543,8475,-4531,8620,-4457,9055,-4237,9272,-4126,9668,-3729,9673,-3725,9678,-3723,9682,-3721,9687,-3721,9693,-3723,9699,-3725,9713,-3732,9720,-3737,9727,-3743,9745,-3761,9752,-3769,9757,-3776,9761,-3783,9764,-3790,9765,-3796,9767,-3801xe" filled="true" fillcolor="#c0c0c0" stroked="false">
                  <v:path arrowok="t"/>
                  <v:fill opacity="32896f" type="solid"/>
                </v:shape>
                <w10:wrap type="none"/>
              </v:group>
            </w:pict>
          </mc:Fallback>
        </mc:AlternateContent>
      </w:r>
      <w:r>
        <w:rPr>
          <w:b/>
          <w:sz w:val="24"/>
        </w:rPr>
        <w:t>Appendix</w:t>
      </w:r>
      <w:r>
        <w:rPr>
          <w:b/>
          <w:spacing w:val="33"/>
          <w:sz w:val="24"/>
        </w:rPr>
        <w:t> </w:t>
      </w:r>
      <w:r>
        <w:rPr>
          <w:b/>
          <w:sz w:val="24"/>
        </w:rPr>
        <w:t>8:</w:t>
      </w:r>
      <w:r>
        <w:rPr>
          <w:b/>
          <w:spacing w:val="32"/>
          <w:sz w:val="24"/>
        </w:rPr>
        <w:t> </w:t>
      </w:r>
      <w:r>
        <w:rPr>
          <w:b/>
          <w:sz w:val="24"/>
        </w:rPr>
        <w:t>Table</w:t>
      </w:r>
      <w:r>
        <w:rPr>
          <w:b/>
          <w:spacing w:val="32"/>
          <w:sz w:val="24"/>
        </w:rPr>
        <w:t> </w:t>
      </w:r>
      <w:r>
        <w:rPr>
          <w:b/>
          <w:sz w:val="24"/>
        </w:rPr>
        <w:t>4.6:</w:t>
      </w:r>
      <w:r>
        <w:rPr>
          <w:b/>
          <w:spacing w:val="80"/>
          <w:sz w:val="24"/>
        </w:rPr>
        <w:t> </w:t>
      </w:r>
      <w:r>
        <w:rPr>
          <w:b/>
          <w:sz w:val="24"/>
        </w:rPr>
        <w:t>QUA-FRQ</w:t>
      </w:r>
      <w:r>
        <w:rPr>
          <w:b/>
          <w:spacing w:val="33"/>
          <w:sz w:val="24"/>
        </w:rPr>
        <w:t> </w:t>
      </w:r>
      <w:r>
        <w:rPr>
          <w:b/>
          <w:sz w:val="24"/>
        </w:rPr>
        <w:t>and</w:t>
      </w:r>
      <w:r>
        <w:rPr>
          <w:b/>
          <w:spacing w:val="33"/>
          <w:sz w:val="24"/>
        </w:rPr>
        <w:t> </w:t>
      </w:r>
      <w:r>
        <w:rPr>
          <w:b/>
          <w:sz w:val="24"/>
        </w:rPr>
        <w:t>Board</w:t>
      </w:r>
      <w:r>
        <w:rPr>
          <w:b/>
          <w:spacing w:val="33"/>
          <w:sz w:val="24"/>
        </w:rPr>
        <w:t> </w:t>
      </w:r>
      <w:r>
        <w:rPr>
          <w:b/>
          <w:sz w:val="24"/>
        </w:rPr>
        <w:t>Structure</w:t>
      </w:r>
      <w:r>
        <w:rPr>
          <w:b/>
          <w:spacing w:val="31"/>
          <w:sz w:val="24"/>
        </w:rPr>
        <w:t> </w:t>
      </w:r>
      <w:r>
        <w:rPr>
          <w:b/>
          <w:sz w:val="24"/>
        </w:rPr>
        <w:t>Regression</w:t>
      </w:r>
      <w:r>
        <w:rPr>
          <w:b/>
          <w:spacing w:val="40"/>
          <w:sz w:val="24"/>
        </w:rPr>
        <w:t> </w:t>
      </w:r>
      <w:r>
        <w:rPr>
          <w:b/>
          <w:i/>
          <w:sz w:val="24"/>
        </w:rPr>
        <w:t>Result</w:t>
      </w:r>
      <w:r>
        <w:rPr>
          <w:b/>
          <w:i/>
          <w:spacing w:val="33"/>
          <w:sz w:val="24"/>
        </w:rPr>
        <w:t> </w:t>
      </w:r>
      <w:r>
        <w:rPr>
          <w:b/>
          <w:i/>
          <w:sz w:val="24"/>
        </w:rPr>
        <w:t>(Random </w:t>
      </w:r>
      <w:r>
        <w:rPr>
          <w:b/>
          <w:i/>
          <w:spacing w:val="-2"/>
          <w:sz w:val="24"/>
        </w:rPr>
        <w:t>effects)</w:t>
      </w:r>
    </w:p>
    <w:p>
      <w:pPr>
        <w:pStyle w:val="BodyText"/>
        <w:spacing w:before="62"/>
        <w:rPr>
          <w:b/>
          <w:i/>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1"/>
        <w:gridCol w:w="1427"/>
        <w:gridCol w:w="1187"/>
        <w:gridCol w:w="1232"/>
        <w:gridCol w:w="783"/>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5" w:hRule="atLeast"/>
        </w:trPr>
        <w:tc>
          <w:tcPr>
            <w:tcW w:w="6530" w:type="dxa"/>
            <w:gridSpan w:val="5"/>
          </w:tcPr>
          <w:p>
            <w:pPr>
              <w:pStyle w:val="TableParagraph"/>
              <w:spacing w:line="199" w:lineRule="exact" w:before="6"/>
              <w:rPr>
                <w:sz w:val="18"/>
              </w:rPr>
            </w:pPr>
            <w:r>
              <w:rPr>
                <w:sz w:val="18"/>
              </w:rPr>
              <w:t>Method:</w:t>
            </w:r>
            <w:r>
              <w:rPr>
                <w:spacing w:val="-7"/>
                <w:sz w:val="18"/>
              </w:rPr>
              <w:t> </w:t>
            </w:r>
            <w:r>
              <w:rPr>
                <w:sz w:val="18"/>
              </w:rPr>
              <w:t>Panel</w:t>
            </w:r>
            <w:r>
              <w:rPr>
                <w:spacing w:val="-4"/>
                <w:sz w:val="18"/>
              </w:rPr>
              <w:t> </w:t>
            </w:r>
            <w:r>
              <w:rPr>
                <w:sz w:val="18"/>
              </w:rPr>
              <w:t>EGLS</w:t>
            </w:r>
            <w:r>
              <w:rPr>
                <w:spacing w:val="-8"/>
                <w:sz w:val="18"/>
              </w:rPr>
              <w:t> </w:t>
            </w:r>
            <w:r>
              <w:rPr>
                <w:sz w:val="18"/>
              </w:rPr>
              <w:t>(Period</w:t>
            </w:r>
            <w:r>
              <w:rPr>
                <w:spacing w:val="-4"/>
                <w:sz w:val="18"/>
              </w:rPr>
              <w:t> </w:t>
            </w:r>
            <w:r>
              <w:rPr>
                <w:sz w:val="18"/>
              </w:rPr>
              <w:t>random</w:t>
            </w:r>
            <w:r>
              <w:rPr>
                <w:spacing w:val="-3"/>
                <w:sz w:val="18"/>
              </w:rPr>
              <w:t> </w:t>
            </w:r>
            <w:r>
              <w:rPr>
                <w:spacing w:val="-2"/>
                <w:sz w:val="18"/>
              </w:rPr>
              <w:t>effects)</w:t>
            </w:r>
          </w:p>
        </w:tc>
      </w:tr>
      <w:tr>
        <w:trPr>
          <w:trHeight w:val="224" w:hRule="atLeast"/>
        </w:trPr>
        <w:tc>
          <w:tcPr>
            <w:tcW w:w="6530" w:type="dxa"/>
            <w:gridSpan w:val="5"/>
          </w:tcPr>
          <w:p>
            <w:pPr>
              <w:pStyle w:val="TableParagraph"/>
              <w:spacing w:line="198" w:lineRule="exact" w:before="6"/>
              <w:rPr>
                <w:sz w:val="18"/>
              </w:rPr>
            </w:pPr>
            <w:r>
              <w:rPr>
                <w:sz w:val="18"/>
              </w:rPr>
              <w:t>Date:</w:t>
            </w:r>
            <w:r>
              <w:rPr>
                <w:spacing w:val="-3"/>
                <w:sz w:val="18"/>
              </w:rPr>
              <w:t> </w:t>
            </w:r>
            <w:r>
              <w:rPr>
                <w:sz w:val="18"/>
              </w:rPr>
              <w:t>04/22/21</w:t>
            </w:r>
            <w:r>
              <w:rPr>
                <w:spacing w:val="65"/>
                <w:w w:val="150"/>
                <w:sz w:val="18"/>
              </w:rPr>
              <w:t> </w:t>
            </w:r>
            <w:r>
              <w:rPr>
                <w:sz w:val="18"/>
              </w:rPr>
              <w:t>Time:</w:t>
            </w:r>
            <w:r>
              <w:rPr>
                <w:spacing w:val="-2"/>
                <w:sz w:val="18"/>
              </w:rPr>
              <w:t> </w:t>
            </w:r>
            <w:r>
              <w:rPr>
                <w:spacing w:val="-4"/>
                <w:sz w:val="18"/>
              </w:rPr>
              <w:t>08:15</w:t>
            </w:r>
          </w:p>
        </w:tc>
      </w:tr>
      <w:tr>
        <w:trPr>
          <w:trHeight w:val="224" w:hRule="atLeast"/>
        </w:trPr>
        <w:tc>
          <w:tcPr>
            <w:tcW w:w="1901" w:type="dxa"/>
          </w:tcPr>
          <w:p>
            <w:pPr>
              <w:pStyle w:val="TableParagraph"/>
              <w:spacing w:line="199" w:lineRule="exact" w:before="5"/>
              <w:rPr>
                <w:sz w:val="18"/>
              </w:rPr>
            </w:pPr>
            <w:r>
              <w:rPr>
                <w:sz w:val="18"/>
              </w:rPr>
              <w:t>Sample:</w:t>
            </w:r>
            <w:r>
              <w:rPr>
                <w:spacing w:val="-7"/>
                <w:sz w:val="18"/>
              </w:rPr>
              <w:t> </w:t>
            </w:r>
            <w:r>
              <w:rPr>
                <w:sz w:val="18"/>
              </w:rPr>
              <w:t>2005</w:t>
            </w:r>
            <w:r>
              <w:rPr>
                <w:spacing w:val="-5"/>
                <w:sz w:val="18"/>
              </w:rPr>
              <w:t> </w:t>
            </w:r>
            <w:r>
              <w:rPr>
                <w:spacing w:val="-4"/>
                <w:sz w:val="18"/>
              </w:rPr>
              <w:t>2019</w:t>
            </w:r>
          </w:p>
        </w:tc>
        <w:tc>
          <w:tcPr>
            <w:tcW w:w="1427" w:type="dxa"/>
          </w:tcPr>
          <w:p>
            <w:pPr>
              <w:pStyle w:val="TableParagraph"/>
              <w:rPr>
                <w:rFonts w:ascii="Times New Roman"/>
                <w:sz w:val="16"/>
              </w:rPr>
            </w:pPr>
          </w:p>
        </w:tc>
        <w:tc>
          <w:tcPr>
            <w:tcW w:w="1187" w:type="dxa"/>
          </w:tcPr>
          <w:p>
            <w:pPr>
              <w:pStyle w:val="TableParagraph"/>
              <w:rPr>
                <w:rFonts w:ascii="Times New Roman"/>
                <w:sz w:val="16"/>
              </w:rPr>
            </w:pPr>
          </w:p>
        </w:tc>
        <w:tc>
          <w:tcPr>
            <w:tcW w:w="1232" w:type="dxa"/>
          </w:tcPr>
          <w:p>
            <w:pPr>
              <w:pStyle w:val="TableParagraph"/>
              <w:rPr>
                <w:rFonts w:ascii="Times New Roman"/>
                <w:sz w:val="16"/>
              </w:rPr>
            </w:pPr>
          </w:p>
        </w:tc>
        <w:tc>
          <w:tcPr>
            <w:tcW w:w="783" w:type="dxa"/>
          </w:tcPr>
          <w:p>
            <w:pPr>
              <w:pStyle w:val="TableParagraph"/>
              <w:rPr>
                <w:rFonts w:ascii="Times New Roman"/>
                <w:sz w:val="16"/>
              </w:rPr>
            </w:pPr>
          </w:p>
        </w:tc>
      </w:tr>
      <w:tr>
        <w:trPr>
          <w:trHeight w:val="225" w:hRule="atLeast"/>
        </w:trPr>
        <w:tc>
          <w:tcPr>
            <w:tcW w:w="1901"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427" w:type="dxa"/>
          </w:tcPr>
          <w:p>
            <w:pPr>
              <w:pStyle w:val="TableParagraph"/>
              <w:rPr>
                <w:rFonts w:ascii="Times New Roman"/>
                <w:sz w:val="16"/>
              </w:rPr>
            </w:pPr>
          </w:p>
        </w:tc>
        <w:tc>
          <w:tcPr>
            <w:tcW w:w="1187" w:type="dxa"/>
          </w:tcPr>
          <w:p>
            <w:pPr>
              <w:pStyle w:val="TableParagraph"/>
              <w:rPr>
                <w:rFonts w:ascii="Times New Roman"/>
                <w:sz w:val="16"/>
              </w:rPr>
            </w:pPr>
          </w:p>
        </w:tc>
        <w:tc>
          <w:tcPr>
            <w:tcW w:w="1232" w:type="dxa"/>
          </w:tcPr>
          <w:p>
            <w:pPr>
              <w:pStyle w:val="TableParagraph"/>
              <w:rPr>
                <w:rFonts w:ascii="Times New Roman"/>
                <w:sz w:val="16"/>
              </w:rPr>
            </w:pPr>
          </w:p>
        </w:tc>
        <w:tc>
          <w:tcPr>
            <w:tcW w:w="783" w:type="dxa"/>
          </w:tcPr>
          <w:p>
            <w:pPr>
              <w:pStyle w:val="TableParagraph"/>
              <w:rPr>
                <w:rFonts w:ascii="Times New Roman"/>
                <w:sz w:val="16"/>
              </w:rPr>
            </w:pPr>
          </w:p>
        </w:tc>
      </w:tr>
      <w:tr>
        <w:trPr>
          <w:trHeight w:val="225" w:hRule="atLeast"/>
        </w:trPr>
        <w:tc>
          <w:tcPr>
            <w:tcW w:w="6530" w:type="dxa"/>
            <w:gridSpan w:val="5"/>
          </w:tcPr>
          <w:p>
            <w:pPr>
              <w:pStyle w:val="TableParagraph"/>
              <w:spacing w:line="200" w:lineRule="exact" w:before="6"/>
              <w:rPr>
                <w:sz w:val="18"/>
              </w:rPr>
            </w:pPr>
            <w:r>
              <w:rPr/>
              <mc:AlternateContent>
                <mc:Choice Requires="wps">
                  <w:drawing>
                    <wp:anchor distT="0" distB="0" distL="0" distR="0" allowOverlap="1" layoutInCell="1" locked="0" behindDoc="1" simplePos="0" relativeHeight="477781504">
                      <wp:simplePos x="0" y="0"/>
                      <wp:positionH relativeFrom="column">
                        <wp:posOffset>160934</wp:posOffset>
                      </wp:positionH>
                      <wp:positionV relativeFrom="paragraph">
                        <wp:posOffset>52220</wp:posOffset>
                      </wp:positionV>
                      <wp:extent cx="721995" cy="722630"/>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721995" cy="722630"/>
                                <a:chExt cx="721995" cy="722630"/>
                              </a:xfrm>
                            </wpg:grpSpPr>
                            <wps:wsp>
                              <wps:cNvPr id="288" name="Graphic 288"/>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72pt;margin-top:4.111882pt;width:56.85pt;height:56.9pt;mso-position-horizontal-relative:column;mso-position-vertical-relative:paragraph;z-index:-25534976" id="docshapegroup94" coordorigin="253,82" coordsize="1137,1138">
                      <v:shape style="position:absolute;left:253;top:82;width:1137;height:1138" id="docshape95" coordorigin="253,82" coordsize="1137,1138" path="m337,82l276,121,253,166,257,176,1291,1212,1310,1219,1315,1217,1322,1216,1380,1165,1388,1145,1390,1139,352,90,347,86,337,82xe" filled="true" fillcolor="#c0c0c0" stroked="false">
                        <v:path arrowok="t"/>
                        <v:fill opacity="32896f" type="solid"/>
                      </v:shape>
                      <w10:wrap type="none"/>
                    </v:group>
                  </w:pict>
                </mc:Fallback>
              </mc:AlternateContent>
            </w: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0" w:type="dxa"/>
            <w:gridSpan w:val="5"/>
          </w:tcPr>
          <w:p>
            <w:pPr>
              <w:pStyle w:val="TableParagraph"/>
              <w:spacing w:line="198"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302" w:hRule="atLeast"/>
        </w:trPr>
        <w:tc>
          <w:tcPr>
            <w:tcW w:w="6530" w:type="dxa"/>
            <w:gridSpan w:val="5"/>
            <w:tcBorders>
              <w:bottom w:val="double" w:sz="6" w:space="0" w:color="000000"/>
            </w:tcBorders>
          </w:tcPr>
          <w:p>
            <w:pPr>
              <w:pStyle w:val="TableParagraph"/>
              <w:spacing w:before="5"/>
              <w:rPr>
                <w:sz w:val="18"/>
              </w:rPr>
            </w:pPr>
            <w:r>
              <w:rPr>
                <w:sz w:val="18"/>
              </w:rPr>
              <w:t>Wansbeek</w:t>
            </w:r>
            <w:r>
              <w:rPr>
                <w:spacing w:val="-3"/>
                <w:sz w:val="18"/>
              </w:rPr>
              <w:t> </w:t>
            </w:r>
            <w:r>
              <w:rPr>
                <w:sz w:val="18"/>
              </w:rPr>
              <w:t>and</w:t>
            </w:r>
            <w:r>
              <w:rPr>
                <w:spacing w:val="-4"/>
                <w:sz w:val="18"/>
              </w:rPr>
              <w:t> </w:t>
            </w:r>
            <w:r>
              <w:rPr>
                <w:sz w:val="18"/>
              </w:rPr>
              <w:t>Kapteyn</w:t>
            </w:r>
            <w:r>
              <w:rPr>
                <w:spacing w:val="-3"/>
                <w:sz w:val="18"/>
              </w:rPr>
              <w:t> </w:t>
            </w:r>
            <w:r>
              <w:rPr>
                <w:sz w:val="18"/>
              </w:rPr>
              <w:t>estimator</w:t>
            </w:r>
            <w:r>
              <w:rPr>
                <w:spacing w:val="-4"/>
                <w:sz w:val="18"/>
              </w:rPr>
              <w:t> </w:t>
            </w:r>
            <w:r>
              <w:rPr>
                <w:sz w:val="18"/>
              </w:rPr>
              <w:t>of</w:t>
            </w:r>
            <w:r>
              <w:rPr>
                <w:spacing w:val="-5"/>
                <w:sz w:val="18"/>
              </w:rPr>
              <w:t> </w:t>
            </w:r>
            <w:r>
              <w:rPr>
                <w:sz w:val="18"/>
              </w:rPr>
              <w:t>component</w:t>
            </w:r>
            <w:r>
              <w:rPr>
                <w:spacing w:val="-5"/>
                <w:sz w:val="18"/>
              </w:rPr>
              <w:t> </w:t>
            </w:r>
            <w:r>
              <w:rPr>
                <w:spacing w:val="-2"/>
                <w:sz w:val="18"/>
              </w:rPr>
              <w:t>variances</w:t>
            </w:r>
          </w:p>
        </w:tc>
      </w:tr>
      <w:tr>
        <w:trPr>
          <w:trHeight w:val="406" w:hRule="atLeast"/>
        </w:trPr>
        <w:tc>
          <w:tcPr>
            <w:tcW w:w="1901"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427" w:type="dxa"/>
            <w:tcBorders>
              <w:top w:val="double" w:sz="6" w:space="0" w:color="000000"/>
              <w:bottom w:val="double" w:sz="6" w:space="0" w:color="000000"/>
            </w:tcBorders>
          </w:tcPr>
          <w:p>
            <w:pPr>
              <w:pStyle w:val="TableParagraph"/>
              <w:spacing w:before="108"/>
              <w:ind w:right="216"/>
              <w:jc w:val="right"/>
              <w:rPr>
                <w:sz w:val="18"/>
              </w:rPr>
            </w:pPr>
            <w:r>
              <w:rPr>
                <w:spacing w:val="-2"/>
                <w:sz w:val="18"/>
              </w:rPr>
              <w:t>Coefficient</w:t>
            </w:r>
          </w:p>
        </w:tc>
        <w:tc>
          <w:tcPr>
            <w:tcW w:w="1187" w:type="dxa"/>
            <w:tcBorders>
              <w:top w:val="double" w:sz="6" w:space="0" w:color="000000"/>
              <w:bottom w:val="double" w:sz="6" w:space="0" w:color="000000"/>
            </w:tcBorders>
          </w:tcPr>
          <w:p>
            <w:pPr>
              <w:pStyle w:val="TableParagraph"/>
              <w:spacing w:before="108"/>
              <w:ind w:left="42" w:right="18"/>
              <w:jc w:val="center"/>
              <w:rPr>
                <w:sz w:val="18"/>
              </w:rPr>
            </w:pPr>
            <w:r>
              <w:rPr>
                <w:sz w:val="18"/>
              </w:rPr>
              <w:t>Std.</w:t>
            </w:r>
            <w:r>
              <w:rPr>
                <w:spacing w:val="-2"/>
                <w:sz w:val="18"/>
              </w:rPr>
              <w:t> Error</w:t>
            </w:r>
          </w:p>
        </w:tc>
        <w:tc>
          <w:tcPr>
            <w:tcW w:w="1232" w:type="dxa"/>
            <w:tcBorders>
              <w:top w:val="double" w:sz="6" w:space="0" w:color="000000"/>
              <w:bottom w:val="double" w:sz="6" w:space="0" w:color="000000"/>
            </w:tcBorders>
          </w:tcPr>
          <w:p>
            <w:pPr>
              <w:pStyle w:val="TableParagraph"/>
              <w:spacing w:before="108"/>
              <w:ind w:left="69" w:right="23"/>
              <w:jc w:val="center"/>
              <w:rPr>
                <w:sz w:val="18"/>
              </w:rPr>
            </w:pPr>
            <w:r>
              <w:rPr>
                <w:sz w:val="18"/>
              </w:rPr>
              <w:t>t-</w:t>
            </w:r>
            <w:r>
              <w:rPr>
                <w:spacing w:val="-2"/>
                <w:sz w:val="18"/>
              </w:rPr>
              <w:t>Statistic</w:t>
            </w:r>
          </w:p>
        </w:tc>
        <w:tc>
          <w:tcPr>
            <w:tcW w:w="783" w:type="dxa"/>
            <w:tcBorders>
              <w:top w:val="double" w:sz="6" w:space="0" w:color="000000"/>
              <w:bottom w:val="double" w:sz="6" w:space="0" w:color="000000"/>
            </w:tcBorders>
          </w:tcPr>
          <w:p>
            <w:pPr>
              <w:pStyle w:val="TableParagraph"/>
              <w:spacing w:before="108"/>
              <w:ind w:left="244"/>
              <w:rPr>
                <w:sz w:val="18"/>
              </w:rPr>
            </w:pPr>
            <w:r>
              <w:rPr>
                <w:spacing w:val="-2"/>
                <w:sz w:val="18"/>
              </w:rPr>
              <w:t>Prob.</w:t>
            </w:r>
          </w:p>
        </w:tc>
      </w:tr>
      <w:tr>
        <w:trPr>
          <w:trHeight w:val="325" w:hRule="atLeast"/>
        </w:trPr>
        <w:tc>
          <w:tcPr>
            <w:tcW w:w="1901" w:type="dxa"/>
            <w:tcBorders>
              <w:top w:val="double" w:sz="6" w:space="0" w:color="000000"/>
            </w:tcBorders>
          </w:tcPr>
          <w:p>
            <w:pPr>
              <w:pStyle w:val="TableParagraph"/>
              <w:spacing w:line="199" w:lineRule="exact" w:before="106"/>
              <w:ind w:left="159" w:right="44"/>
              <w:jc w:val="center"/>
              <w:rPr>
                <w:sz w:val="18"/>
              </w:rPr>
            </w:pPr>
            <w:r>
              <w:rPr>
                <w:spacing w:val="-10"/>
                <w:sz w:val="18"/>
              </w:rPr>
              <w:t>C</w:t>
            </w:r>
          </w:p>
        </w:tc>
        <w:tc>
          <w:tcPr>
            <w:tcW w:w="1427" w:type="dxa"/>
            <w:tcBorders>
              <w:top w:val="double" w:sz="6" w:space="0" w:color="000000"/>
            </w:tcBorders>
          </w:tcPr>
          <w:p>
            <w:pPr>
              <w:pStyle w:val="TableParagraph"/>
              <w:spacing w:line="199" w:lineRule="exact" w:before="106"/>
              <w:ind w:right="216"/>
              <w:jc w:val="right"/>
              <w:rPr>
                <w:sz w:val="18"/>
              </w:rPr>
            </w:pPr>
            <w:r>
              <w:rPr>
                <w:spacing w:val="-2"/>
                <w:sz w:val="18"/>
              </w:rPr>
              <w:t>0.445106</w:t>
            </w:r>
          </w:p>
        </w:tc>
        <w:tc>
          <w:tcPr>
            <w:tcW w:w="1187" w:type="dxa"/>
            <w:tcBorders>
              <w:top w:val="double" w:sz="6" w:space="0" w:color="000000"/>
            </w:tcBorders>
          </w:tcPr>
          <w:p>
            <w:pPr>
              <w:pStyle w:val="TableParagraph"/>
              <w:spacing w:line="199" w:lineRule="exact" w:before="106"/>
              <w:ind w:left="42"/>
              <w:jc w:val="center"/>
              <w:rPr>
                <w:sz w:val="18"/>
              </w:rPr>
            </w:pPr>
            <w:r>
              <w:rPr>
                <w:spacing w:val="-2"/>
                <w:sz w:val="18"/>
              </w:rPr>
              <w:t>0.073217</w:t>
            </w:r>
          </w:p>
        </w:tc>
        <w:tc>
          <w:tcPr>
            <w:tcW w:w="1232" w:type="dxa"/>
            <w:tcBorders>
              <w:top w:val="double" w:sz="6" w:space="0" w:color="000000"/>
            </w:tcBorders>
          </w:tcPr>
          <w:p>
            <w:pPr>
              <w:pStyle w:val="TableParagraph"/>
              <w:spacing w:line="199" w:lineRule="exact" w:before="106"/>
              <w:ind w:left="57" w:right="23"/>
              <w:jc w:val="center"/>
              <w:rPr>
                <w:sz w:val="18"/>
              </w:rPr>
            </w:pPr>
            <w:r>
              <w:rPr>
                <w:spacing w:val="-2"/>
                <w:sz w:val="18"/>
              </w:rPr>
              <w:t>6.079305</w:t>
            </w:r>
          </w:p>
        </w:tc>
        <w:tc>
          <w:tcPr>
            <w:tcW w:w="783" w:type="dxa"/>
            <w:tcBorders>
              <w:top w:val="double" w:sz="6" w:space="0" w:color="000000"/>
            </w:tcBorders>
          </w:tcPr>
          <w:p>
            <w:pPr>
              <w:pStyle w:val="TableParagraph"/>
              <w:spacing w:line="199" w:lineRule="exact" w:before="106"/>
              <w:ind w:left="225"/>
              <w:rPr>
                <w:sz w:val="18"/>
              </w:rPr>
            </w:pPr>
            <w:r>
              <w:rPr>
                <w:spacing w:val="-2"/>
                <w:sz w:val="18"/>
              </w:rPr>
              <w:t>0.0000</w:t>
            </w:r>
          </w:p>
        </w:tc>
      </w:tr>
      <w:tr>
        <w:trPr>
          <w:trHeight w:val="225" w:hRule="atLeast"/>
        </w:trPr>
        <w:tc>
          <w:tcPr>
            <w:tcW w:w="1901" w:type="dxa"/>
          </w:tcPr>
          <w:p>
            <w:pPr>
              <w:pStyle w:val="TableParagraph"/>
              <w:spacing w:line="199" w:lineRule="exact" w:before="6"/>
              <w:ind w:left="159" w:right="44"/>
              <w:jc w:val="center"/>
              <w:rPr>
                <w:sz w:val="18"/>
              </w:rPr>
            </w:pPr>
            <w:r>
              <w:rPr>
                <w:spacing w:val="-5"/>
                <w:sz w:val="18"/>
              </w:rPr>
              <w:t>BDS</w:t>
            </w:r>
          </w:p>
        </w:tc>
        <w:tc>
          <w:tcPr>
            <w:tcW w:w="1427" w:type="dxa"/>
          </w:tcPr>
          <w:p>
            <w:pPr>
              <w:pStyle w:val="TableParagraph"/>
              <w:spacing w:line="199" w:lineRule="exact" w:before="6"/>
              <w:ind w:right="216"/>
              <w:jc w:val="right"/>
              <w:rPr>
                <w:sz w:val="18"/>
              </w:rPr>
            </w:pPr>
            <w:r>
              <w:rPr>
                <w:spacing w:val="-2"/>
                <w:sz w:val="18"/>
              </w:rPr>
              <w:t>0.001599</w:t>
            </w:r>
          </w:p>
        </w:tc>
        <w:tc>
          <w:tcPr>
            <w:tcW w:w="1187" w:type="dxa"/>
          </w:tcPr>
          <w:p>
            <w:pPr>
              <w:pStyle w:val="TableParagraph"/>
              <w:spacing w:line="199" w:lineRule="exact" w:before="6"/>
              <w:ind w:left="42"/>
              <w:jc w:val="center"/>
              <w:rPr>
                <w:sz w:val="18"/>
              </w:rPr>
            </w:pPr>
            <w:r>
              <w:rPr>
                <w:spacing w:val="-2"/>
                <w:sz w:val="18"/>
              </w:rPr>
              <w:t>0.001470</w:t>
            </w:r>
          </w:p>
        </w:tc>
        <w:tc>
          <w:tcPr>
            <w:tcW w:w="1232" w:type="dxa"/>
          </w:tcPr>
          <w:p>
            <w:pPr>
              <w:pStyle w:val="TableParagraph"/>
              <w:spacing w:line="199" w:lineRule="exact" w:before="6"/>
              <w:ind w:left="57" w:right="23"/>
              <w:jc w:val="center"/>
              <w:rPr>
                <w:sz w:val="18"/>
              </w:rPr>
            </w:pPr>
            <w:r>
              <w:rPr>
                <w:spacing w:val="-2"/>
                <w:sz w:val="18"/>
              </w:rPr>
              <w:t>1.087462</w:t>
            </w:r>
          </w:p>
        </w:tc>
        <w:tc>
          <w:tcPr>
            <w:tcW w:w="783" w:type="dxa"/>
          </w:tcPr>
          <w:p>
            <w:pPr>
              <w:pStyle w:val="TableParagraph"/>
              <w:spacing w:line="199" w:lineRule="exact" w:before="6"/>
              <w:ind w:left="225"/>
              <w:rPr>
                <w:sz w:val="18"/>
              </w:rPr>
            </w:pPr>
            <w:r>
              <w:rPr>
                <w:spacing w:val="-2"/>
                <w:sz w:val="18"/>
              </w:rPr>
              <w:t>0.2783</w:t>
            </w:r>
          </w:p>
        </w:tc>
      </w:tr>
      <w:tr>
        <w:trPr>
          <w:trHeight w:val="225" w:hRule="atLeast"/>
        </w:trPr>
        <w:tc>
          <w:tcPr>
            <w:tcW w:w="1901" w:type="dxa"/>
          </w:tcPr>
          <w:p>
            <w:pPr>
              <w:pStyle w:val="TableParagraph"/>
              <w:spacing w:line="199" w:lineRule="exact" w:before="6"/>
              <w:ind w:left="727"/>
              <w:rPr>
                <w:sz w:val="18"/>
              </w:rPr>
            </w:pPr>
            <w:r>
              <w:rPr>
                <w:spacing w:val="-2"/>
                <w:sz w:val="18"/>
              </w:rPr>
              <w:t>BDIND</w:t>
            </w:r>
          </w:p>
        </w:tc>
        <w:tc>
          <w:tcPr>
            <w:tcW w:w="1427" w:type="dxa"/>
          </w:tcPr>
          <w:p>
            <w:pPr>
              <w:pStyle w:val="TableParagraph"/>
              <w:spacing w:line="199" w:lineRule="exact" w:before="6"/>
              <w:ind w:right="216"/>
              <w:jc w:val="right"/>
              <w:rPr>
                <w:sz w:val="18"/>
              </w:rPr>
            </w:pPr>
            <w:r>
              <w:rPr>
                <w:spacing w:val="-2"/>
                <w:sz w:val="18"/>
              </w:rPr>
              <w:t>-0.174275</w:t>
            </w:r>
          </w:p>
        </w:tc>
        <w:tc>
          <w:tcPr>
            <w:tcW w:w="1187" w:type="dxa"/>
          </w:tcPr>
          <w:p>
            <w:pPr>
              <w:pStyle w:val="TableParagraph"/>
              <w:spacing w:line="199" w:lineRule="exact" w:before="6"/>
              <w:ind w:left="42"/>
              <w:jc w:val="center"/>
              <w:rPr>
                <w:sz w:val="18"/>
              </w:rPr>
            </w:pPr>
            <w:r>
              <w:rPr>
                <w:spacing w:val="-2"/>
                <w:sz w:val="18"/>
              </w:rPr>
              <w:t>0.040789</w:t>
            </w:r>
          </w:p>
        </w:tc>
        <w:tc>
          <w:tcPr>
            <w:tcW w:w="1232" w:type="dxa"/>
          </w:tcPr>
          <w:p>
            <w:pPr>
              <w:pStyle w:val="TableParagraph"/>
              <w:spacing w:line="199" w:lineRule="exact" w:before="6"/>
              <w:ind w:left="46" w:right="69"/>
              <w:jc w:val="center"/>
              <w:rPr>
                <w:sz w:val="18"/>
              </w:rPr>
            </w:pPr>
            <w:r>
              <w:rPr>
                <w:spacing w:val="-2"/>
                <w:sz w:val="18"/>
              </w:rPr>
              <w:t>-4.272560</w:t>
            </w:r>
          </w:p>
        </w:tc>
        <w:tc>
          <w:tcPr>
            <w:tcW w:w="783" w:type="dxa"/>
          </w:tcPr>
          <w:p>
            <w:pPr>
              <w:pStyle w:val="TableParagraph"/>
              <w:spacing w:line="199" w:lineRule="exact" w:before="6"/>
              <w:ind w:left="225"/>
              <w:rPr>
                <w:sz w:val="18"/>
              </w:rPr>
            </w:pPr>
            <w:r>
              <w:rPr>
                <w:spacing w:val="-2"/>
                <w:sz w:val="18"/>
              </w:rPr>
              <w:t>0.0000</w:t>
            </w:r>
          </w:p>
        </w:tc>
      </w:tr>
      <w:tr>
        <w:trPr>
          <w:trHeight w:val="224" w:hRule="atLeast"/>
        </w:trPr>
        <w:tc>
          <w:tcPr>
            <w:tcW w:w="1901" w:type="dxa"/>
          </w:tcPr>
          <w:p>
            <w:pPr>
              <w:pStyle w:val="TableParagraph"/>
              <w:spacing w:line="198" w:lineRule="exact" w:before="6"/>
              <w:ind w:left="712"/>
              <w:rPr>
                <w:sz w:val="18"/>
              </w:rPr>
            </w:pPr>
            <w:r>
              <w:rPr>
                <w:spacing w:val="-2"/>
                <w:sz w:val="18"/>
              </w:rPr>
              <w:t>BFEXP</w:t>
            </w:r>
          </w:p>
        </w:tc>
        <w:tc>
          <w:tcPr>
            <w:tcW w:w="1427" w:type="dxa"/>
          </w:tcPr>
          <w:p>
            <w:pPr>
              <w:pStyle w:val="TableParagraph"/>
              <w:spacing w:line="198" w:lineRule="exact" w:before="6"/>
              <w:ind w:right="216"/>
              <w:jc w:val="right"/>
              <w:rPr>
                <w:sz w:val="18"/>
              </w:rPr>
            </w:pPr>
            <w:r>
              <w:rPr>
                <w:spacing w:val="-2"/>
                <w:sz w:val="18"/>
              </w:rPr>
              <w:t>0.011012</w:t>
            </w:r>
          </w:p>
        </w:tc>
        <w:tc>
          <w:tcPr>
            <w:tcW w:w="1187" w:type="dxa"/>
          </w:tcPr>
          <w:p>
            <w:pPr>
              <w:pStyle w:val="TableParagraph"/>
              <w:spacing w:line="198" w:lineRule="exact" w:before="6"/>
              <w:ind w:left="42"/>
              <w:jc w:val="center"/>
              <w:rPr>
                <w:sz w:val="18"/>
              </w:rPr>
            </w:pPr>
            <w:r>
              <w:rPr>
                <w:spacing w:val="-2"/>
                <w:sz w:val="18"/>
              </w:rPr>
              <w:t>0.036288</w:t>
            </w:r>
          </w:p>
        </w:tc>
        <w:tc>
          <w:tcPr>
            <w:tcW w:w="1232" w:type="dxa"/>
          </w:tcPr>
          <w:p>
            <w:pPr>
              <w:pStyle w:val="TableParagraph"/>
              <w:spacing w:line="198" w:lineRule="exact" w:before="6"/>
              <w:ind w:left="57" w:right="23"/>
              <w:jc w:val="center"/>
              <w:rPr>
                <w:sz w:val="18"/>
              </w:rPr>
            </w:pPr>
            <w:r>
              <w:rPr>
                <w:spacing w:val="-2"/>
                <w:sz w:val="18"/>
              </w:rPr>
              <w:t>0.303449</w:t>
            </w:r>
          </w:p>
        </w:tc>
        <w:tc>
          <w:tcPr>
            <w:tcW w:w="783" w:type="dxa"/>
          </w:tcPr>
          <w:p>
            <w:pPr>
              <w:pStyle w:val="TableParagraph"/>
              <w:spacing w:line="198" w:lineRule="exact" w:before="6"/>
              <w:ind w:left="225"/>
              <w:rPr>
                <w:sz w:val="18"/>
              </w:rPr>
            </w:pPr>
            <w:r>
              <w:rPr>
                <w:spacing w:val="-2"/>
                <w:sz w:val="18"/>
              </w:rPr>
              <w:t>0.7619</w:t>
            </w:r>
          </w:p>
        </w:tc>
      </w:tr>
      <w:tr>
        <w:trPr>
          <w:trHeight w:val="224" w:hRule="atLeast"/>
        </w:trPr>
        <w:tc>
          <w:tcPr>
            <w:tcW w:w="1901" w:type="dxa"/>
          </w:tcPr>
          <w:p>
            <w:pPr>
              <w:pStyle w:val="TableParagraph"/>
              <w:spacing w:line="199" w:lineRule="exact" w:before="5"/>
              <w:ind w:left="159" w:right="44"/>
              <w:jc w:val="center"/>
              <w:rPr>
                <w:sz w:val="18"/>
              </w:rPr>
            </w:pPr>
            <w:r>
              <w:rPr>
                <w:spacing w:val="-4"/>
                <w:sz w:val="18"/>
              </w:rPr>
              <w:t>FAGE</w:t>
            </w:r>
          </w:p>
        </w:tc>
        <w:tc>
          <w:tcPr>
            <w:tcW w:w="1427" w:type="dxa"/>
          </w:tcPr>
          <w:p>
            <w:pPr>
              <w:pStyle w:val="TableParagraph"/>
              <w:spacing w:line="199" w:lineRule="exact" w:before="5"/>
              <w:ind w:right="217"/>
              <w:jc w:val="right"/>
              <w:rPr>
                <w:sz w:val="18"/>
              </w:rPr>
            </w:pPr>
            <w:r>
              <w:rPr>
                <w:spacing w:val="-2"/>
                <w:sz w:val="18"/>
              </w:rPr>
              <w:t>-3.98E-</w:t>
            </w:r>
            <w:r>
              <w:rPr>
                <w:spacing w:val="-5"/>
                <w:sz w:val="18"/>
              </w:rPr>
              <w:t>05</w:t>
            </w:r>
          </w:p>
        </w:tc>
        <w:tc>
          <w:tcPr>
            <w:tcW w:w="1187" w:type="dxa"/>
          </w:tcPr>
          <w:p>
            <w:pPr>
              <w:pStyle w:val="TableParagraph"/>
              <w:spacing w:line="199" w:lineRule="exact" w:before="5"/>
              <w:ind w:left="42"/>
              <w:jc w:val="center"/>
              <w:rPr>
                <w:sz w:val="18"/>
              </w:rPr>
            </w:pPr>
            <w:r>
              <w:rPr>
                <w:spacing w:val="-2"/>
                <w:sz w:val="18"/>
              </w:rPr>
              <w:t>0.000308</w:t>
            </w:r>
          </w:p>
        </w:tc>
        <w:tc>
          <w:tcPr>
            <w:tcW w:w="1232" w:type="dxa"/>
          </w:tcPr>
          <w:p>
            <w:pPr>
              <w:pStyle w:val="TableParagraph"/>
              <w:spacing w:line="199" w:lineRule="exact" w:before="5"/>
              <w:ind w:left="46" w:right="69"/>
              <w:jc w:val="center"/>
              <w:rPr>
                <w:sz w:val="18"/>
              </w:rPr>
            </w:pPr>
            <w:r>
              <w:rPr>
                <w:spacing w:val="-2"/>
                <w:sz w:val="18"/>
              </w:rPr>
              <w:t>-0.129065</w:t>
            </w:r>
          </w:p>
        </w:tc>
        <w:tc>
          <w:tcPr>
            <w:tcW w:w="783" w:type="dxa"/>
          </w:tcPr>
          <w:p>
            <w:pPr>
              <w:pStyle w:val="TableParagraph"/>
              <w:spacing w:line="199" w:lineRule="exact" w:before="5"/>
              <w:ind w:left="225"/>
              <w:rPr>
                <w:sz w:val="18"/>
              </w:rPr>
            </w:pPr>
            <w:r>
              <w:rPr>
                <w:spacing w:val="-2"/>
                <w:sz w:val="18"/>
              </w:rPr>
              <w:t>0.8974</w:t>
            </w:r>
          </w:p>
        </w:tc>
      </w:tr>
      <w:tr>
        <w:trPr>
          <w:trHeight w:val="225" w:hRule="atLeast"/>
        </w:trPr>
        <w:tc>
          <w:tcPr>
            <w:tcW w:w="1901" w:type="dxa"/>
          </w:tcPr>
          <w:p>
            <w:pPr>
              <w:pStyle w:val="TableParagraph"/>
              <w:spacing w:line="199" w:lineRule="exact" w:before="6"/>
              <w:ind w:left="159" w:right="48"/>
              <w:jc w:val="center"/>
              <w:rPr>
                <w:sz w:val="18"/>
              </w:rPr>
            </w:pPr>
            <w:r>
              <w:rPr>
                <w:spacing w:val="-2"/>
                <w:sz w:val="18"/>
              </w:rPr>
              <w:t>FSIZE</w:t>
            </w:r>
          </w:p>
        </w:tc>
        <w:tc>
          <w:tcPr>
            <w:tcW w:w="1427" w:type="dxa"/>
          </w:tcPr>
          <w:p>
            <w:pPr>
              <w:pStyle w:val="TableParagraph"/>
              <w:spacing w:line="199" w:lineRule="exact" w:before="6"/>
              <w:ind w:right="216"/>
              <w:jc w:val="right"/>
              <w:rPr>
                <w:sz w:val="18"/>
              </w:rPr>
            </w:pPr>
            <w:r>
              <w:rPr>
                <w:spacing w:val="-2"/>
                <w:sz w:val="18"/>
              </w:rPr>
              <w:t>0.022112</w:t>
            </w:r>
          </w:p>
        </w:tc>
        <w:tc>
          <w:tcPr>
            <w:tcW w:w="1187" w:type="dxa"/>
          </w:tcPr>
          <w:p>
            <w:pPr>
              <w:pStyle w:val="TableParagraph"/>
              <w:spacing w:line="199" w:lineRule="exact" w:before="6"/>
              <w:ind w:left="42"/>
              <w:jc w:val="center"/>
              <w:rPr>
                <w:sz w:val="18"/>
              </w:rPr>
            </w:pPr>
            <w:r>
              <w:rPr>
                <w:spacing w:val="-2"/>
                <w:sz w:val="18"/>
              </w:rPr>
              <w:t>0.007356</w:t>
            </w:r>
          </w:p>
        </w:tc>
        <w:tc>
          <w:tcPr>
            <w:tcW w:w="1232" w:type="dxa"/>
          </w:tcPr>
          <w:p>
            <w:pPr>
              <w:pStyle w:val="TableParagraph"/>
              <w:spacing w:line="199" w:lineRule="exact" w:before="6"/>
              <w:ind w:left="57" w:right="23"/>
              <w:jc w:val="center"/>
              <w:rPr>
                <w:sz w:val="18"/>
              </w:rPr>
            </w:pPr>
            <w:r>
              <w:rPr>
                <w:spacing w:val="-2"/>
                <w:sz w:val="18"/>
              </w:rPr>
              <w:t>3.005972</w:t>
            </w:r>
          </w:p>
        </w:tc>
        <w:tc>
          <w:tcPr>
            <w:tcW w:w="783" w:type="dxa"/>
          </w:tcPr>
          <w:p>
            <w:pPr>
              <w:pStyle w:val="TableParagraph"/>
              <w:spacing w:line="199" w:lineRule="exact" w:before="6"/>
              <w:ind w:left="225"/>
              <w:rPr>
                <w:sz w:val="18"/>
              </w:rPr>
            </w:pPr>
            <w:r>
              <w:rPr>
                <w:spacing w:val="-2"/>
                <w:sz w:val="18"/>
              </w:rPr>
              <w:t>0.0030</w:t>
            </w:r>
          </w:p>
        </w:tc>
      </w:tr>
      <w:tr>
        <w:trPr>
          <w:trHeight w:val="225" w:hRule="atLeast"/>
        </w:trPr>
        <w:tc>
          <w:tcPr>
            <w:tcW w:w="1901" w:type="dxa"/>
          </w:tcPr>
          <w:p>
            <w:pPr>
              <w:pStyle w:val="TableParagraph"/>
              <w:spacing w:line="199" w:lineRule="exact" w:before="6"/>
              <w:ind w:left="523"/>
              <w:rPr>
                <w:sz w:val="18"/>
              </w:rPr>
            </w:pPr>
            <w:r>
              <w:rPr>
                <w:spacing w:val="-2"/>
                <w:sz w:val="18"/>
              </w:rPr>
              <w:t>LEVERAGE</w:t>
            </w:r>
          </w:p>
        </w:tc>
        <w:tc>
          <w:tcPr>
            <w:tcW w:w="1427" w:type="dxa"/>
          </w:tcPr>
          <w:p>
            <w:pPr>
              <w:pStyle w:val="TableParagraph"/>
              <w:spacing w:line="199" w:lineRule="exact" w:before="6"/>
              <w:ind w:right="216"/>
              <w:jc w:val="right"/>
              <w:rPr>
                <w:sz w:val="18"/>
              </w:rPr>
            </w:pPr>
            <w:r>
              <w:rPr>
                <w:spacing w:val="-2"/>
                <w:sz w:val="18"/>
              </w:rPr>
              <w:t>-0.012120</w:t>
            </w:r>
          </w:p>
        </w:tc>
        <w:tc>
          <w:tcPr>
            <w:tcW w:w="1187" w:type="dxa"/>
          </w:tcPr>
          <w:p>
            <w:pPr>
              <w:pStyle w:val="TableParagraph"/>
              <w:spacing w:line="199" w:lineRule="exact" w:before="6"/>
              <w:ind w:left="42"/>
              <w:jc w:val="center"/>
              <w:rPr>
                <w:sz w:val="18"/>
              </w:rPr>
            </w:pPr>
            <w:r>
              <w:rPr>
                <w:spacing w:val="-2"/>
                <w:sz w:val="18"/>
              </w:rPr>
              <w:t>0.004072</w:t>
            </w:r>
          </w:p>
        </w:tc>
        <w:tc>
          <w:tcPr>
            <w:tcW w:w="1232" w:type="dxa"/>
          </w:tcPr>
          <w:p>
            <w:pPr>
              <w:pStyle w:val="TableParagraph"/>
              <w:spacing w:line="199" w:lineRule="exact" w:before="6"/>
              <w:ind w:left="46" w:right="69"/>
              <w:jc w:val="center"/>
              <w:rPr>
                <w:sz w:val="18"/>
              </w:rPr>
            </w:pPr>
            <w:r>
              <w:rPr>
                <w:spacing w:val="-2"/>
                <w:sz w:val="18"/>
              </w:rPr>
              <w:t>-2.976352</w:t>
            </w:r>
          </w:p>
        </w:tc>
        <w:tc>
          <w:tcPr>
            <w:tcW w:w="783" w:type="dxa"/>
          </w:tcPr>
          <w:p>
            <w:pPr>
              <w:pStyle w:val="TableParagraph"/>
              <w:spacing w:line="199" w:lineRule="exact" w:before="6"/>
              <w:ind w:left="225"/>
              <w:rPr>
                <w:sz w:val="18"/>
              </w:rPr>
            </w:pPr>
            <w:r>
              <w:rPr>
                <w:spacing w:val="-2"/>
                <w:sz w:val="18"/>
              </w:rPr>
              <w:t>0.0033</w:t>
            </w:r>
          </w:p>
        </w:tc>
      </w:tr>
      <w:tr>
        <w:trPr>
          <w:trHeight w:val="224" w:hRule="atLeast"/>
        </w:trPr>
        <w:tc>
          <w:tcPr>
            <w:tcW w:w="1901" w:type="dxa"/>
          </w:tcPr>
          <w:p>
            <w:pPr>
              <w:pStyle w:val="TableParagraph"/>
              <w:spacing w:line="198" w:lineRule="exact" w:before="6"/>
              <w:ind w:left="159" w:right="47"/>
              <w:jc w:val="center"/>
              <w:rPr>
                <w:sz w:val="18"/>
              </w:rPr>
            </w:pPr>
            <w:r>
              <w:rPr>
                <w:spacing w:val="-4"/>
                <w:sz w:val="18"/>
              </w:rPr>
              <w:t>IFRS</w:t>
            </w:r>
          </w:p>
        </w:tc>
        <w:tc>
          <w:tcPr>
            <w:tcW w:w="1427" w:type="dxa"/>
          </w:tcPr>
          <w:p>
            <w:pPr>
              <w:pStyle w:val="TableParagraph"/>
              <w:spacing w:line="198" w:lineRule="exact" w:before="6"/>
              <w:ind w:right="216"/>
              <w:jc w:val="right"/>
              <w:rPr>
                <w:sz w:val="18"/>
              </w:rPr>
            </w:pPr>
            <w:r>
              <w:rPr>
                <w:spacing w:val="-2"/>
                <w:sz w:val="18"/>
              </w:rPr>
              <w:t>0.045862</w:t>
            </w:r>
          </w:p>
        </w:tc>
        <w:tc>
          <w:tcPr>
            <w:tcW w:w="1187" w:type="dxa"/>
          </w:tcPr>
          <w:p>
            <w:pPr>
              <w:pStyle w:val="TableParagraph"/>
              <w:spacing w:line="198" w:lineRule="exact" w:before="6"/>
              <w:ind w:left="42"/>
              <w:jc w:val="center"/>
              <w:rPr>
                <w:sz w:val="18"/>
              </w:rPr>
            </w:pPr>
            <w:r>
              <w:rPr>
                <w:spacing w:val="-2"/>
                <w:sz w:val="18"/>
              </w:rPr>
              <w:t>0.059906</w:t>
            </w:r>
          </w:p>
        </w:tc>
        <w:tc>
          <w:tcPr>
            <w:tcW w:w="1232" w:type="dxa"/>
          </w:tcPr>
          <w:p>
            <w:pPr>
              <w:pStyle w:val="TableParagraph"/>
              <w:spacing w:line="198" w:lineRule="exact" w:before="6"/>
              <w:ind w:left="57" w:right="23"/>
              <w:jc w:val="center"/>
              <w:rPr>
                <w:sz w:val="18"/>
              </w:rPr>
            </w:pPr>
            <w:r>
              <w:rPr>
                <w:spacing w:val="-2"/>
                <w:sz w:val="18"/>
              </w:rPr>
              <w:t>0.765563</w:t>
            </w:r>
          </w:p>
        </w:tc>
        <w:tc>
          <w:tcPr>
            <w:tcW w:w="783" w:type="dxa"/>
          </w:tcPr>
          <w:p>
            <w:pPr>
              <w:pStyle w:val="TableParagraph"/>
              <w:spacing w:line="198" w:lineRule="exact" w:before="6"/>
              <w:ind w:left="225"/>
              <w:rPr>
                <w:sz w:val="18"/>
              </w:rPr>
            </w:pPr>
            <w:r>
              <w:rPr>
                <w:spacing w:val="-2"/>
                <w:sz w:val="18"/>
              </w:rPr>
              <w:t>0.4449</w:t>
            </w:r>
          </w:p>
        </w:tc>
      </w:tr>
      <w:tr>
        <w:trPr>
          <w:trHeight w:val="224" w:hRule="atLeast"/>
        </w:trPr>
        <w:tc>
          <w:tcPr>
            <w:tcW w:w="1901" w:type="dxa"/>
          </w:tcPr>
          <w:p>
            <w:pPr>
              <w:pStyle w:val="TableParagraph"/>
              <w:spacing w:line="199" w:lineRule="exact" w:before="5"/>
              <w:ind w:left="583"/>
              <w:rPr>
                <w:sz w:val="18"/>
              </w:rPr>
            </w:pPr>
            <w:r>
              <w:rPr>
                <w:spacing w:val="-2"/>
                <w:sz w:val="18"/>
              </w:rPr>
              <w:t>BDS*IFRS</w:t>
            </w:r>
          </w:p>
        </w:tc>
        <w:tc>
          <w:tcPr>
            <w:tcW w:w="1427" w:type="dxa"/>
          </w:tcPr>
          <w:p>
            <w:pPr>
              <w:pStyle w:val="TableParagraph"/>
              <w:spacing w:line="199" w:lineRule="exact" w:before="5"/>
              <w:ind w:right="216"/>
              <w:jc w:val="right"/>
              <w:rPr>
                <w:sz w:val="18"/>
              </w:rPr>
            </w:pPr>
            <w:r>
              <w:rPr>
                <w:spacing w:val="-2"/>
                <w:sz w:val="18"/>
              </w:rPr>
              <w:t>-0.007215</w:t>
            </w:r>
          </w:p>
        </w:tc>
        <w:tc>
          <w:tcPr>
            <w:tcW w:w="1187" w:type="dxa"/>
          </w:tcPr>
          <w:p>
            <w:pPr>
              <w:pStyle w:val="TableParagraph"/>
              <w:spacing w:line="199" w:lineRule="exact" w:before="5"/>
              <w:ind w:left="42"/>
              <w:jc w:val="center"/>
              <w:rPr>
                <w:sz w:val="18"/>
              </w:rPr>
            </w:pPr>
            <w:r>
              <w:rPr>
                <w:spacing w:val="-2"/>
                <w:sz w:val="18"/>
              </w:rPr>
              <w:t>0.002147</w:t>
            </w:r>
          </w:p>
        </w:tc>
        <w:tc>
          <w:tcPr>
            <w:tcW w:w="1232" w:type="dxa"/>
          </w:tcPr>
          <w:p>
            <w:pPr>
              <w:pStyle w:val="TableParagraph"/>
              <w:spacing w:line="199" w:lineRule="exact" w:before="5"/>
              <w:ind w:left="46" w:right="69"/>
              <w:jc w:val="center"/>
              <w:rPr>
                <w:sz w:val="18"/>
              </w:rPr>
            </w:pPr>
            <w:r>
              <w:rPr>
                <w:spacing w:val="-2"/>
                <w:sz w:val="18"/>
              </w:rPr>
              <w:t>-3.360536</w:t>
            </w:r>
          </w:p>
        </w:tc>
        <w:tc>
          <w:tcPr>
            <w:tcW w:w="783" w:type="dxa"/>
          </w:tcPr>
          <w:p>
            <w:pPr>
              <w:pStyle w:val="TableParagraph"/>
              <w:spacing w:line="199" w:lineRule="exact" w:before="5"/>
              <w:ind w:left="225"/>
              <w:rPr>
                <w:sz w:val="18"/>
              </w:rPr>
            </w:pPr>
            <w:r>
              <w:rPr>
                <w:spacing w:val="-2"/>
                <w:sz w:val="18"/>
              </w:rPr>
              <w:t>0.0009</w:t>
            </w:r>
          </w:p>
        </w:tc>
      </w:tr>
      <w:tr>
        <w:trPr>
          <w:trHeight w:val="225" w:hRule="atLeast"/>
        </w:trPr>
        <w:tc>
          <w:tcPr>
            <w:tcW w:w="1901" w:type="dxa"/>
          </w:tcPr>
          <w:p>
            <w:pPr>
              <w:pStyle w:val="TableParagraph"/>
              <w:spacing w:line="199" w:lineRule="exact" w:before="6"/>
              <w:ind w:left="487"/>
              <w:rPr>
                <w:sz w:val="18"/>
              </w:rPr>
            </w:pPr>
            <w:r>
              <w:rPr>
                <w:spacing w:val="-2"/>
                <w:sz w:val="18"/>
              </w:rPr>
              <w:t>BDIND*IFRS</w:t>
            </w:r>
          </w:p>
        </w:tc>
        <w:tc>
          <w:tcPr>
            <w:tcW w:w="1427" w:type="dxa"/>
          </w:tcPr>
          <w:p>
            <w:pPr>
              <w:pStyle w:val="TableParagraph"/>
              <w:spacing w:line="199" w:lineRule="exact" w:before="6"/>
              <w:ind w:right="216"/>
              <w:jc w:val="right"/>
              <w:rPr>
                <w:sz w:val="18"/>
              </w:rPr>
            </w:pPr>
            <w:r>
              <w:rPr>
                <w:spacing w:val="-2"/>
                <w:sz w:val="18"/>
              </w:rPr>
              <w:t>0.126581</w:t>
            </w:r>
          </w:p>
        </w:tc>
        <w:tc>
          <w:tcPr>
            <w:tcW w:w="1187" w:type="dxa"/>
          </w:tcPr>
          <w:p>
            <w:pPr>
              <w:pStyle w:val="TableParagraph"/>
              <w:spacing w:line="199" w:lineRule="exact" w:before="6"/>
              <w:ind w:left="42"/>
              <w:jc w:val="center"/>
              <w:rPr>
                <w:sz w:val="18"/>
              </w:rPr>
            </w:pPr>
            <w:r>
              <w:rPr>
                <w:spacing w:val="-2"/>
                <w:sz w:val="18"/>
              </w:rPr>
              <w:t>0.058803</w:t>
            </w:r>
          </w:p>
        </w:tc>
        <w:tc>
          <w:tcPr>
            <w:tcW w:w="1232" w:type="dxa"/>
          </w:tcPr>
          <w:p>
            <w:pPr>
              <w:pStyle w:val="TableParagraph"/>
              <w:spacing w:line="199" w:lineRule="exact" w:before="6"/>
              <w:ind w:left="57" w:right="23"/>
              <w:jc w:val="center"/>
              <w:rPr>
                <w:sz w:val="18"/>
              </w:rPr>
            </w:pPr>
            <w:r>
              <w:rPr>
                <w:spacing w:val="-2"/>
                <w:sz w:val="18"/>
              </w:rPr>
              <w:t>2.152616</w:t>
            </w:r>
          </w:p>
        </w:tc>
        <w:tc>
          <w:tcPr>
            <w:tcW w:w="783" w:type="dxa"/>
          </w:tcPr>
          <w:p>
            <w:pPr>
              <w:pStyle w:val="TableParagraph"/>
              <w:spacing w:line="199" w:lineRule="exact" w:before="6"/>
              <w:ind w:left="225"/>
              <w:rPr>
                <w:sz w:val="18"/>
              </w:rPr>
            </w:pPr>
            <w:r>
              <w:rPr>
                <w:spacing w:val="-2"/>
                <w:sz w:val="18"/>
              </w:rPr>
              <w:t>0.0327</w:t>
            </w:r>
          </w:p>
        </w:tc>
      </w:tr>
      <w:tr>
        <w:trPr>
          <w:trHeight w:val="304" w:hRule="atLeast"/>
        </w:trPr>
        <w:tc>
          <w:tcPr>
            <w:tcW w:w="1901" w:type="dxa"/>
            <w:tcBorders>
              <w:bottom w:val="double" w:sz="6" w:space="0" w:color="000000"/>
            </w:tcBorders>
          </w:tcPr>
          <w:p>
            <w:pPr>
              <w:pStyle w:val="TableParagraph"/>
              <w:spacing w:before="6"/>
              <w:ind w:left="472"/>
              <w:rPr>
                <w:sz w:val="18"/>
              </w:rPr>
            </w:pPr>
            <w:r>
              <w:rPr>
                <w:spacing w:val="-2"/>
                <w:sz w:val="18"/>
              </w:rPr>
              <w:t>BFEXP*IFRS</w:t>
            </w:r>
          </w:p>
        </w:tc>
        <w:tc>
          <w:tcPr>
            <w:tcW w:w="1427" w:type="dxa"/>
            <w:tcBorders>
              <w:bottom w:val="double" w:sz="6" w:space="0" w:color="000000"/>
            </w:tcBorders>
          </w:tcPr>
          <w:p>
            <w:pPr>
              <w:pStyle w:val="TableParagraph"/>
              <w:spacing w:before="6"/>
              <w:ind w:right="216"/>
              <w:jc w:val="right"/>
              <w:rPr>
                <w:sz w:val="18"/>
              </w:rPr>
            </w:pPr>
            <w:r>
              <w:rPr>
                <w:spacing w:val="-2"/>
                <w:sz w:val="18"/>
              </w:rPr>
              <w:t>0.082866</w:t>
            </w:r>
          </w:p>
        </w:tc>
        <w:tc>
          <w:tcPr>
            <w:tcW w:w="1187" w:type="dxa"/>
            <w:tcBorders>
              <w:bottom w:val="double" w:sz="6" w:space="0" w:color="000000"/>
            </w:tcBorders>
          </w:tcPr>
          <w:p>
            <w:pPr>
              <w:pStyle w:val="TableParagraph"/>
              <w:spacing w:before="6"/>
              <w:ind w:left="42"/>
              <w:jc w:val="center"/>
              <w:rPr>
                <w:sz w:val="18"/>
              </w:rPr>
            </w:pPr>
            <w:r>
              <w:rPr>
                <w:spacing w:val="-2"/>
                <w:sz w:val="18"/>
              </w:rPr>
              <w:t>0.063102</w:t>
            </w:r>
          </w:p>
        </w:tc>
        <w:tc>
          <w:tcPr>
            <w:tcW w:w="1232" w:type="dxa"/>
            <w:tcBorders>
              <w:bottom w:val="double" w:sz="6" w:space="0" w:color="000000"/>
            </w:tcBorders>
          </w:tcPr>
          <w:p>
            <w:pPr>
              <w:pStyle w:val="TableParagraph"/>
              <w:spacing w:before="6"/>
              <w:ind w:left="57" w:right="23"/>
              <w:jc w:val="center"/>
              <w:rPr>
                <w:sz w:val="18"/>
              </w:rPr>
            </w:pPr>
            <w:r>
              <w:rPr>
                <w:spacing w:val="-2"/>
                <w:sz w:val="18"/>
              </w:rPr>
              <w:t>1.313209</w:t>
            </w:r>
          </w:p>
        </w:tc>
        <w:tc>
          <w:tcPr>
            <w:tcW w:w="783" w:type="dxa"/>
            <w:tcBorders>
              <w:bottom w:val="double" w:sz="6" w:space="0" w:color="000000"/>
            </w:tcBorders>
          </w:tcPr>
          <w:p>
            <w:pPr>
              <w:pStyle w:val="TableParagraph"/>
              <w:spacing w:before="6"/>
              <w:ind w:left="225"/>
              <w:rPr>
                <w:sz w:val="18"/>
              </w:rPr>
            </w:pPr>
            <w:r>
              <w:rPr>
                <w:spacing w:val="-2"/>
                <w:sz w:val="18"/>
              </w:rPr>
              <w:t>0.1907</w:t>
            </w:r>
          </w:p>
        </w:tc>
      </w:tr>
    </w:tbl>
    <w:p>
      <w:pPr>
        <w:spacing w:after="0"/>
        <w:rPr>
          <w:sz w:val="18"/>
        </w:rPr>
        <w:sectPr>
          <w:pgSz w:w="11910" w:h="16840"/>
          <w:pgMar w:header="0" w:footer="971" w:top="1380" w:bottom="1497" w:left="500" w:right="0"/>
        </w:sect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9"/>
        <w:gridCol w:w="1207"/>
        <w:gridCol w:w="2432"/>
        <w:gridCol w:w="884"/>
      </w:tblGrid>
      <w:tr>
        <w:trPr>
          <w:trHeight w:val="212" w:hRule="atLeast"/>
        </w:trPr>
        <w:tc>
          <w:tcPr>
            <w:tcW w:w="6532" w:type="dxa"/>
            <w:gridSpan w:val="4"/>
          </w:tcPr>
          <w:p>
            <w:pPr>
              <w:pStyle w:val="TableParagraph"/>
              <w:spacing w:line="192" w:lineRule="exact"/>
              <w:ind w:left="3" w:right="188"/>
              <w:jc w:val="center"/>
              <w:rPr>
                <w:sz w:val="18"/>
              </w:rPr>
            </w:pPr>
            <w:r>
              <w:rPr>
                <w:sz w:val="18"/>
              </w:rPr>
              <w:t>Effects </w:t>
            </w:r>
            <w:r>
              <w:rPr>
                <w:spacing w:val="-2"/>
                <w:sz w:val="18"/>
              </w:rPr>
              <w:t>Specification</w:t>
            </w:r>
          </w:p>
        </w:tc>
      </w:tr>
      <w:tr>
        <w:trPr>
          <w:trHeight w:val="302" w:hRule="atLeast"/>
        </w:trPr>
        <w:tc>
          <w:tcPr>
            <w:tcW w:w="2009" w:type="dxa"/>
            <w:tcBorders>
              <w:bottom w:val="double" w:sz="6" w:space="0" w:color="000000"/>
            </w:tcBorders>
          </w:tcPr>
          <w:p>
            <w:pPr>
              <w:pStyle w:val="TableParagraph"/>
              <w:rPr>
                <w:rFonts w:ascii="Times New Roman"/>
                <w:sz w:val="18"/>
              </w:rPr>
            </w:pPr>
          </w:p>
        </w:tc>
        <w:tc>
          <w:tcPr>
            <w:tcW w:w="1207" w:type="dxa"/>
            <w:tcBorders>
              <w:bottom w:val="double" w:sz="6" w:space="0" w:color="000000"/>
            </w:tcBorders>
          </w:tcPr>
          <w:p>
            <w:pPr>
              <w:pStyle w:val="TableParagraph"/>
              <w:rPr>
                <w:rFonts w:ascii="Times New Roman"/>
                <w:sz w:val="18"/>
              </w:rPr>
            </w:pPr>
          </w:p>
        </w:tc>
        <w:tc>
          <w:tcPr>
            <w:tcW w:w="2432" w:type="dxa"/>
            <w:tcBorders>
              <w:bottom w:val="double" w:sz="6" w:space="0" w:color="000000"/>
            </w:tcBorders>
          </w:tcPr>
          <w:p>
            <w:pPr>
              <w:pStyle w:val="TableParagraph"/>
              <w:spacing w:before="5"/>
              <w:ind w:right="223"/>
              <w:jc w:val="right"/>
              <w:rPr>
                <w:sz w:val="18"/>
              </w:rPr>
            </w:pPr>
            <w:r>
              <w:rPr>
                <w:spacing w:val="-4"/>
                <w:sz w:val="18"/>
              </w:rPr>
              <w:t>S.D.</w:t>
            </w:r>
          </w:p>
        </w:tc>
        <w:tc>
          <w:tcPr>
            <w:tcW w:w="884" w:type="dxa"/>
            <w:tcBorders>
              <w:bottom w:val="double" w:sz="6" w:space="0" w:color="000000"/>
            </w:tcBorders>
          </w:tcPr>
          <w:p>
            <w:pPr>
              <w:pStyle w:val="TableParagraph"/>
              <w:spacing w:before="5"/>
              <w:ind w:right="107"/>
              <w:jc w:val="right"/>
              <w:rPr>
                <w:sz w:val="18"/>
              </w:rPr>
            </w:pPr>
            <w:r>
              <w:rPr>
                <w:spacing w:val="-5"/>
                <w:sz w:val="18"/>
              </w:rPr>
              <w:t>Rho</w:t>
            </w:r>
          </w:p>
        </w:tc>
      </w:tr>
      <w:tr>
        <w:trPr>
          <w:trHeight w:val="327" w:hRule="atLeast"/>
        </w:trPr>
        <w:tc>
          <w:tcPr>
            <w:tcW w:w="2009" w:type="dxa"/>
            <w:tcBorders>
              <w:top w:val="double" w:sz="6" w:space="0" w:color="000000"/>
            </w:tcBorders>
          </w:tcPr>
          <w:p>
            <w:pPr>
              <w:pStyle w:val="TableParagraph"/>
              <w:spacing w:line="199" w:lineRule="exact" w:before="108"/>
              <w:rPr>
                <w:sz w:val="18"/>
              </w:rPr>
            </w:pPr>
            <w:r>
              <w:rPr>
                <w:sz w:val="18"/>
              </w:rPr>
              <w:t>Period</w:t>
            </w:r>
            <w:r>
              <w:rPr>
                <w:spacing w:val="-2"/>
                <w:sz w:val="18"/>
              </w:rPr>
              <w:t> random</w:t>
            </w:r>
          </w:p>
        </w:tc>
        <w:tc>
          <w:tcPr>
            <w:tcW w:w="1207" w:type="dxa"/>
            <w:tcBorders>
              <w:top w:val="double" w:sz="6" w:space="0" w:color="000000"/>
            </w:tcBorders>
          </w:tcPr>
          <w:p>
            <w:pPr>
              <w:pStyle w:val="TableParagraph"/>
              <w:rPr>
                <w:rFonts w:ascii="Times New Roman"/>
                <w:sz w:val="18"/>
              </w:rPr>
            </w:pPr>
          </w:p>
        </w:tc>
        <w:tc>
          <w:tcPr>
            <w:tcW w:w="2432" w:type="dxa"/>
            <w:tcBorders>
              <w:top w:val="double" w:sz="6" w:space="0" w:color="000000"/>
            </w:tcBorders>
          </w:tcPr>
          <w:p>
            <w:pPr>
              <w:pStyle w:val="TableParagraph"/>
              <w:spacing w:line="199" w:lineRule="exact" w:before="108"/>
              <w:ind w:right="121"/>
              <w:jc w:val="right"/>
              <w:rPr>
                <w:sz w:val="18"/>
              </w:rPr>
            </w:pPr>
            <w:r>
              <w:rPr>
                <w:spacing w:val="-2"/>
                <w:sz w:val="18"/>
              </w:rPr>
              <w:t>0.000000</w:t>
            </w:r>
          </w:p>
        </w:tc>
        <w:tc>
          <w:tcPr>
            <w:tcW w:w="884" w:type="dxa"/>
            <w:tcBorders>
              <w:top w:val="double" w:sz="6" w:space="0" w:color="000000"/>
            </w:tcBorders>
          </w:tcPr>
          <w:p>
            <w:pPr>
              <w:pStyle w:val="TableParagraph"/>
              <w:spacing w:line="199" w:lineRule="exact" w:before="108"/>
              <w:ind w:right="7"/>
              <w:jc w:val="right"/>
              <w:rPr>
                <w:sz w:val="18"/>
              </w:rPr>
            </w:pPr>
            <w:r>
              <w:rPr>
                <w:spacing w:val="-2"/>
                <w:sz w:val="18"/>
              </w:rPr>
              <w:t>0.0000</w:t>
            </w:r>
          </w:p>
        </w:tc>
      </w:tr>
      <w:tr>
        <w:trPr>
          <w:trHeight w:val="301" w:hRule="atLeast"/>
        </w:trPr>
        <w:tc>
          <w:tcPr>
            <w:tcW w:w="2009" w:type="dxa"/>
            <w:tcBorders>
              <w:bottom w:val="double" w:sz="6" w:space="0" w:color="000000"/>
            </w:tcBorders>
          </w:tcPr>
          <w:p>
            <w:pPr>
              <w:pStyle w:val="TableParagraph"/>
              <w:spacing w:before="6"/>
              <w:rPr>
                <w:sz w:val="18"/>
              </w:rPr>
            </w:pPr>
            <w:r>
              <w:rPr>
                <w:sz w:val="18"/>
              </w:rPr>
              <w:t>Idiosyncratic</w:t>
            </w:r>
            <w:r>
              <w:rPr>
                <w:spacing w:val="-4"/>
                <w:sz w:val="18"/>
              </w:rPr>
              <w:t> </w:t>
            </w:r>
            <w:r>
              <w:rPr>
                <w:spacing w:val="-2"/>
                <w:sz w:val="18"/>
              </w:rPr>
              <w:t>random</w:t>
            </w:r>
          </w:p>
        </w:tc>
        <w:tc>
          <w:tcPr>
            <w:tcW w:w="1207" w:type="dxa"/>
            <w:tcBorders>
              <w:bottom w:val="double" w:sz="6" w:space="0" w:color="000000"/>
            </w:tcBorders>
          </w:tcPr>
          <w:p>
            <w:pPr>
              <w:pStyle w:val="TableParagraph"/>
              <w:rPr>
                <w:rFonts w:ascii="Times New Roman"/>
                <w:sz w:val="18"/>
              </w:rPr>
            </w:pPr>
          </w:p>
        </w:tc>
        <w:tc>
          <w:tcPr>
            <w:tcW w:w="2432" w:type="dxa"/>
            <w:tcBorders>
              <w:bottom w:val="double" w:sz="6" w:space="0" w:color="000000"/>
            </w:tcBorders>
          </w:tcPr>
          <w:p>
            <w:pPr>
              <w:pStyle w:val="TableParagraph"/>
              <w:spacing w:before="6"/>
              <w:ind w:right="121"/>
              <w:jc w:val="right"/>
              <w:rPr>
                <w:sz w:val="18"/>
              </w:rPr>
            </w:pPr>
            <w:r>
              <w:rPr>
                <w:spacing w:val="-2"/>
                <w:sz w:val="18"/>
              </w:rPr>
              <w:t>0.041022</w:t>
            </w:r>
          </w:p>
        </w:tc>
        <w:tc>
          <w:tcPr>
            <w:tcW w:w="884" w:type="dxa"/>
            <w:tcBorders>
              <w:bottom w:val="double" w:sz="6" w:space="0" w:color="000000"/>
            </w:tcBorders>
          </w:tcPr>
          <w:p>
            <w:pPr>
              <w:pStyle w:val="TableParagraph"/>
              <w:spacing w:before="6"/>
              <w:ind w:right="7"/>
              <w:jc w:val="right"/>
              <w:rPr>
                <w:sz w:val="18"/>
              </w:rPr>
            </w:pPr>
            <w:r>
              <w:rPr>
                <w:spacing w:val="-2"/>
                <w:sz w:val="18"/>
              </w:rPr>
              <w:t>1.0000</w:t>
            </w:r>
          </w:p>
        </w:tc>
      </w:tr>
      <w:tr>
        <w:trPr>
          <w:trHeight w:val="406" w:hRule="atLeast"/>
        </w:trPr>
        <w:tc>
          <w:tcPr>
            <w:tcW w:w="6532" w:type="dxa"/>
            <w:gridSpan w:val="4"/>
            <w:tcBorders>
              <w:top w:val="double" w:sz="6" w:space="0" w:color="000000"/>
              <w:bottom w:val="double" w:sz="6" w:space="0" w:color="000000"/>
            </w:tcBorders>
          </w:tcPr>
          <w:p>
            <w:pPr>
              <w:pStyle w:val="TableParagraph"/>
              <w:spacing w:before="108"/>
              <w:ind w:right="188"/>
              <w:jc w:val="center"/>
              <w:rPr>
                <w:sz w:val="18"/>
              </w:rPr>
            </w:pPr>
            <w:r>
              <w:rPr>
                <w:sz w:val="18"/>
              </w:rPr>
              <w:t>Weighted</w:t>
            </w:r>
            <w:r>
              <w:rPr>
                <w:spacing w:val="-3"/>
                <w:sz w:val="18"/>
              </w:rPr>
              <w:t> </w:t>
            </w:r>
            <w:r>
              <w:rPr>
                <w:spacing w:val="-2"/>
                <w:sz w:val="18"/>
              </w:rPr>
              <w:t>Statistics</w:t>
            </w:r>
          </w:p>
        </w:tc>
      </w:tr>
      <w:tr>
        <w:trPr>
          <w:trHeight w:val="326" w:hRule="atLeast"/>
        </w:trPr>
        <w:tc>
          <w:tcPr>
            <w:tcW w:w="2009" w:type="dxa"/>
            <w:tcBorders>
              <w:top w:val="double" w:sz="6" w:space="0" w:color="000000"/>
            </w:tcBorders>
          </w:tcPr>
          <w:p>
            <w:pPr>
              <w:pStyle w:val="TableParagraph"/>
              <w:spacing w:line="198" w:lineRule="exact" w:before="108"/>
              <w:rPr>
                <w:sz w:val="18"/>
              </w:rPr>
            </w:pPr>
            <w:r>
              <w:rPr>
                <w:spacing w:val="-2"/>
                <w:sz w:val="18"/>
              </w:rPr>
              <w:t>R-squared</w:t>
            </w:r>
          </w:p>
        </w:tc>
        <w:tc>
          <w:tcPr>
            <w:tcW w:w="1207" w:type="dxa"/>
            <w:tcBorders>
              <w:top w:val="double" w:sz="6" w:space="0" w:color="000000"/>
            </w:tcBorders>
          </w:tcPr>
          <w:p>
            <w:pPr>
              <w:pStyle w:val="TableParagraph"/>
              <w:spacing w:line="198" w:lineRule="exact" w:before="108"/>
              <w:ind w:right="104"/>
              <w:jc w:val="right"/>
              <w:rPr>
                <w:sz w:val="18"/>
              </w:rPr>
            </w:pPr>
            <w:r>
              <w:rPr>
                <w:spacing w:val="-2"/>
                <w:sz w:val="18"/>
              </w:rPr>
              <w:t>0.505813</w:t>
            </w:r>
          </w:p>
        </w:tc>
        <w:tc>
          <w:tcPr>
            <w:tcW w:w="2432" w:type="dxa"/>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7"/>
              <w:jc w:val="right"/>
              <w:rPr>
                <w:sz w:val="18"/>
              </w:rPr>
            </w:pPr>
            <w:r>
              <w:rPr>
                <w:spacing w:val="-2"/>
                <w:sz w:val="18"/>
              </w:rPr>
              <w:t>0.589946</w:t>
            </w:r>
          </w:p>
        </w:tc>
      </w:tr>
      <w:tr>
        <w:trPr>
          <w:trHeight w:val="224" w:hRule="atLeast"/>
        </w:trPr>
        <w:tc>
          <w:tcPr>
            <w:tcW w:w="2009" w:type="dxa"/>
          </w:tcPr>
          <w:p>
            <w:pPr>
              <w:pStyle w:val="TableParagraph"/>
              <w:spacing w:line="199" w:lineRule="exact" w:before="5"/>
              <w:rPr>
                <w:sz w:val="18"/>
              </w:rPr>
            </w:pPr>
            <w:r>
              <w:rPr>
                <w:sz w:val="18"/>
              </w:rPr>
              <w:t>Adjusted</w:t>
            </w:r>
            <w:r>
              <w:rPr>
                <w:spacing w:val="-9"/>
                <w:sz w:val="18"/>
              </w:rPr>
              <w:t> </w:t>
            </w:r>
            <w:r>
              <w:rPr>
                <w:sz w:val="18"/>
              </w:rPr>
              <w:t>R-</w:t>
            </w:r>
            <w:r>
              <w:rPr>
                <w:spacing w:val="-2"/>
                <w:sz w:val="18"/>
              </w:rPr>
              <w:t>squared</w:t>
            </w:r>
          </w:p>
        </w:tc>
        <w:tc>
          <w:tcPr>
            <w:tcW w:w="1207" w:type="dxa"/>
          </w:tcPr>
          <w:p>
            <w:pPr>
              <w:pStyle w:val="TableParagraph"/>
              <w:spacing w:line="199" w:lineRule="exact" w:before="5"/>
              <w:ind w:right="104"/>
              <w:jc w:val="right"/>
              <w:rPr>
                <w:sz w:val="18"/>
              </w:rPr>
            </w:pPr>
            <w:r>
              <w:rPr>
                <w:spacing w:val="-2"/>
                <w:sz w:val="18"/>
              </w:rPr>
              <w:t>0.478955</w:t>
            </w:r>
          </w:p>
        </w:tc>
        <w:tc>
          <w:tcPr>
            <w:tcW w:w="2432" w:type="dxa"/>
          </w:tcPr>
          <w:p>
            <w:pPr>
              <w:pStyle w:val="TableParagraph"/>
              <w:spacing w:line="199" w:lineRule="exact"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5"/>
              <w:ind w:right="7"/>
              <w:jc w:val="right"/>
              <w:rPr>
                <w:sz w:val="18"/>
              </w:rPr>
            </w:pPr>
            <w:r>
              <w:rPr>
                <w:spacing w:val="-2"/>
                <w:sz w:val="18"/>
              </w:rPr>
              <w:t>0.063317</w:t>
            </w:r>
          </w:p>
        </w:tc>
      </w:tr>
      <w:tr>
        <w:trPr>
          <w:trHeight w:val="225" w:hRule="atLeast"/>
        </w:trPr>
        <w:tc>
          <w:tcPr>
            <w:tcW w:w="2009" w:type="dxa"/>
          </w:tcPr>
          <w:p>
            <w:pPr>
              <w:pStyle w:val="TableParagraph"/>
              <w:spacing w:line="199" w:lineRule="exact" w:before="6"/>
              <w:rPr>
                <w:sz w:val="18"/>
              </w:rPr>
            </w:pPr>
            <w:r>
              <w:rPr>
                <w:sz w:val="18"/>
              </w:rPr>
              <w:t>S.E.</w:t>
            </w:r>
            <w:r>
              <w:rPr>
                <w:spacing w:val="-2"/>
                <w:sz w:val="18"/>
              </w:rPr>
              <w:t> </w:t>
            </w:r>
            <w:r>
              <w:rPr>
                <w:sz w:val="18"/>
              </w:rPr>
              <w:t>of </w:t>
            </w:r>
            <w:r>
              <w:rPr>
                <w:spacing w:val="-2"/>
                <w:sz w:val="18"/>
              </w:rPr>
              <w:t>regression</w:t>
            </w:r>
          </w:p>
        </w:tc>
        <w:tc>
          <w:tcPr>
            <w:tcW w:w="1207" w:type="dxa"/>
          </w:tcPr>
          <w:p>
            <w:pPr>
              <w:pStyle w:val="TableParagraph"/>
              <w:spacing w:line="199" w:lineRule="exact" w:before="6"/>
              <w:ind w:right="104"/>
              <w:jc w:val="right"/>
              <w:rPr>
                <w:sz w:val="18"/>
              </w:rPr>
            </w:pPr>
            <w:r>
              <w:rPr>
                <w:spacing w:val="-2"/>
                <w:sz w:val="18"/>
              </w:rPr>
              <w:t>0.045704</w:t>
            </w:r>
          </w:p>
        </w:tc>
        <w:tc>
          <w:tcPr>
            <w:tcW w:w="2432" w:type="dxa"/>
          </w:tcPr>
          <w:p>
            <w:pPr>
              <w:pStyle w:val="TableParagraph"/>
              <w:spacing w:line="199" w:lineRule="exact" w:before="6"/>
              <w:ind w:left="106"/>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9" w:lineRule="exact" w:before="6"/>
              <w:ind w:right="7"/>
              <w:jc w:val="right"/>
              <w:rPr>
                <w:sz w:val="18"/>
              </w:rPr>
            </w:pPr>
            <w:r>
              <w:rPr>
                <w:spacing w:val="-2"/>
                <w:sz w:val="18"/>
              </w:rPr>
              <w:t>0.384356</w:t>
            </w:r>
          </w:p>
        </w:tc>
      </w:tr>
      <w:tr>
        <w:trPr>
          <w:trHeight w:val="225" w:hRule="atLeast"/>
        </w:trPr>
        <w:tc>
          <w:tcPr>
            <w:tcW w:w="2009" w:type="dxa"/>
          </w:tcPr>
          <w:p>
            <w:pPr>
              <w:pStyle w:val="TableParagraph"/>
              <w:spacing w:line="199" w:lineRule="exact" w:before="6"/>
              <w:rPr>
                <w:sz w:val="18"/>
              </w:rPr>
            </w:pPr>
            <w:r>
              <w:rPr>
                <w:spacing w:val="-2"/>
                <w:sz w:val="18"/>
              </w:rPr>
              <w:t>F-statistic</w:t>
            </w:r>
          </w:p>
        </w:tc>
        <w:tc>
          <w:tcPr>
            <w:tcW w:w="1207" w:type="dxa"/>
          </w:tcPr>
          <w:p>
            <w:pPr>
              <w:pStyle w:val="TableParagraph"/>
              <w:spacing w:line="199" w:lineRule="exact" w:before="6"/>
              <w:ind w:right="104"/>
              <w:jc w:val="right"/>
              <w:rPr>
                <w:sz w:val="18"/>
              </w:rPr>
            </w:pPr>
            <w:r>
              <w:rPr>
                <w:spacing w:val="-2"/>
                <w:sz w:val="18"/>
              </w:rPr>
              <w:t>18.83285</w:t>
            </w:r>
          </w:p>
        </w:tc>
        <w:tc>
          <w:tcPr>
            <w:tcW w:w="2432" w:type="dxa"/>
          </w:tcPr>
          <w:p>
            <w:pPr>
              <w:pStyle w:val="TableParagraph"/>
              <w:spacing w:line="199" w:lineRule="exact" w:before="6"/>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6"/>
              <w:ind w:right="7"/>
              <w:jc w:val="right"/>
              <w:rPr>
                <w:sz w:val="18"/>
              </w:rPr>
            </w:pPr>
            <w:r>
              <w:rPr>
                <w:spacing w:val="-2"/>
                <w:sz w:val="18"/>
              </w:rPr>
              <w:t>0.698544</w:t>
            </w:r>
          </w:p>
        </w:tc>
      </w:tr>
      <w:tr>
        <w:trPr>
          <w:trHeight w:val="301" w:hRule="atLeast"/>
        </w:trPr>
        <w:tc>
          <w:tcPr>
            <w:tcW w:w="2009" w:type="dxa"/>
            <w:tcBorders>
              <w:bottom w:val="double" w:sz="6" w:space="0" w:color="000000"/>
            </w:tcBorders>
          </w:tcPr>
          <w:p>
            <w:pPr>
              <w:pStyle w:val="TableParagraph"/>
              <w:spacing w:before="6"/>
              <w:rPr>
                <w:sz w:val="18"/>
              </w:rPr>
            </w:pPr>
            <w:r>
              <w:rPr>
                <w:spacing w:val="-2"/>
                <w:sz w:val="18"/>
              </w:rPr>
              <w:t>Prob(F-statistic)</w:t>
            </w:r>
          </w:p>
        </w:tc>
        <w:tc>
          <w:tcPr>
            <w:tcW w:w="1207" w:type="dxa"/>
            <w:tcBorders>
              <w:bottom w:val="double" w:sz="6" w:space="0" w:color="000000"/>
            </w:tcBorders>
          </w:tcPr>
          <w:p>
            <w:pPr>
              <w:pStyle w:val="TableParagraph"/>
              <w:spacing w:before="6"/>
              <w:ind w:right="104"/>
              <w:jc w:val="right"/>
              <w:rPr>
                <w:sz w:val="18"/>
              </w:rPr>
            </w:pPr>
            <w:r>
              <w:rPr>
                <w:spacing w:val="-2"/>
                <w:sz w:val="18"/>
              </w:rPr>
              <w:t>0.000000</w:t>
            </w:r>
          </w:p>
        </w:tc>
        <w:tc>
          <w:tcPr>
            <w:tcW w:w="2432"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6" w:hRule="atLeast"/>
        </w:trPr>
        <w:tc>
          <w:tcPr>
            <w:tcW w:w="6532" w:type="dxa"/>
            <w:gridSpan w:val="4"/>
            <w:tcBorders>
              <w:top w:val="double" w:sz="6" w:space="0" w:color="000000"/>
              <w:bottom w:val="double" w:sz="6" w:space="0" w:color="000000"/>
            </w:tcBorders>
          </w:tcPr>
          <w:p>
            <w:pPr>
              <w:pStyle w:val="TableParagraph"/>
              <w:spacing w:before="108"/>
              <w:ind w:left="2" w:right="188"/>
              <w:jc w:val="center"/>
              <w:rPr>
                <w:sz w:val="18"/>
              </w:rPr>
            </w:pPr>
            <w:r>
              <w:rPr>
                <w:spacing w:val="-2"/>
                <w:sz w:val="18"/>
              </w:rPr>
              <w:t>Unweighted</w:t>
            </w:r>
            <w:r>
              <w:rPr>
                <w:spacing w:val="3"/>
                <w:sz w:val="18"/>
              </w:rPr>
              <w:t> </w:t>
            </w:r>
            <w:r>
              <w:rPr>
                <w:spacing w:val="-2"/>
                <w:sz w:val="18"/>
              </w:rPr>
              <w:t>Statistics</w:t>
            </w:r>
          </w:p>
        </w:tc>
      </w:tr>
      <w:tr>
        <w:trPr>
          <w:trHeight w:val="326" w:hRule="atLeast"/>
        </w:trPr>
        <w:tc>
          <w:tcPr>
            <w:tcW w:w="2009" w:type="dxa"/>
            <w:tcBorders>
              <w:top w:val="double" w:sz="6" w:space="0" w:color="000000"/>
            </w:tcBorders>
          </w:tcPr>
          <w:p>
            <w:pPr>
              <w:pStyle w:val="TableParagraph"/>
              <w:spacing w:line="198" w:lineRule="exact" w:before="109"/>
              <w:rPr>
                <w:sz w:val="18"/>
              </w:rPr>
            </w:pPr>
            <w:r>
              <w:rPr>
                <w:spacing w:val="-2"/>
                <w:sz w:val="18"/>
              </w:rPr>
              <w:t>R-squared</w:t>
            </w:r>
          </w:p>
        </w:tc>
        <w:tc>
          <w:tcPr>
            <w:tcW w:w="1207" w:type="dxa"/>
            <w:tcBorders>
              <w:top w:val="double" w:sz="6" w:space="0" w:color="000000"/>
            </w:tcBorders>
          </w:tcPr>
          <w:p>
            <w:pPr>
              <w:pStyle w:val="TableParagraph"/>
              <w:spacing w:line="198" w:lineRule="exact" w:before="109"/>
              <w:ind w:right="104"/>
              <w:jc w:val="right"/>
              <w:rPr>
                <w:sz w:val="18"/>
              </w:rPr>
            </w:pPr>
            <w:r>
              <w:rPr>
                <w:spacing w:val="-2"/>
                <w:sz w:val="18"/>
              </w:rPr>
              <w:t>0.505813</w:t>
            </w:r>
          </w:p>
        </w:tc>
        <w:tc>
          <w:tcPr>
            <w:tcW w:w="2432" w:type="dxa"/>
            <w:tcBorders>
              <w:top w:val="double" w:sz="6" w:space="0" w:color="000000"/>
            </w:tcBorders>
          </w:tcPr>
          <w:p>
            <w:pPr>
              <w:pStyle w:val="TableParagraph"/>
              <w:spacing w:line="198" w:lineRule="exact" w:before="109"/>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9"/>
              <w:ind w:right="7"/>
              <w:jc w:val="right"/>
              <w:rPr>
                <w:sz w:val="18"/>
              </w:rPr>
            </w:pPr>
            <w:r>
              <w:rPr>
                <w:spacing w:val="-2"/>
                <w:sz w:val="18"/>
              </w:rPr>
              <w:t>0.589946</w:t>
            </w:r>
          </w:p>
        </w:tc>
      </w:tr>
      <w:tr>
        <w:trPr>
          <w:trHeight w:val="302" w:hRule="atLeast"/>
        </w:trPr>
        <w:tc>
          <w:tcPr>
            <w:tcW w:w="2009" w:type="dxa"/>
            <w:tcBorders>
              <w:bottom w:val="double" w:sz="6" w:space="0" w:color="000000"/>
            </w:tcBorders>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07" w:type="dxa"/>
            <w:tcBorders>
              <w:bottom w:val="double" w:sz="6" w:space="0" w:color="000000"/>
            </w:tcBorders>
          </w:tcPr>
          <w:p>
            <w:pPr>
              <w:pStyle w:val="TableParagraph"/>
              <w:spacing w:before="5"/>
              <w:ind w:right="104"/>
              <w:jc w:val="right"/>
              <w:rPr>
                <w:sz w:val="18"/>
              </w:rPr>
            </w:pPr>
            <w:r>
              <w:rPr>
                <w:spacing w:val="-2"/>
                <w:sz w:val="18"/>
              </w:rPr>
              <w:t>0.384356</w:t>
            </w:r>
          </w:p>
        </w:tc>
        <w:tc>
          <w:tcPr>
            <w:tcW w:w="2432" w:type="dxa"/>
            <w:tcBorders>
              <w:bottom w:val="double" w:sz="6" w:space="0" w:color="000000"/>
            </w:tcBorders>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5"/>
              <w:ind w:right="7"/>
              <w:jc w:val="right"/>
              <w:rPr>
                <w:sz w:val="18"/>
              </w:rPr>
            </w:pPr>
            <w:r>
              <w:rPr>
                <w:spacing w:val="-2"/>
                <w:sz w:val="18"/>
              </w:rPr>
              <w:t>0.698544</w:t>
            </w:r>
          </w:p>
        </w:tc>
      </w:tr>
    </w:tbl>
    <w:p>
      <w:pPr>
        <w:pStyle w:val="BodyText"/>
        <w:rPr>
          <w:b/>
          <w:i/>
        </w:rPr>
      </w:pPr>
    </w:p>
    <w:p>
      <w:pPr>
        <w:pStyle w:val="BodyText"/>
        <w:rPr>
          <w:b/>
          <w:i/>
        </w:rPr>
      </w:pPr>
    </w:p>
    <w:p>
      <w:pPr>
        <w:pStyle w:val="BodyText"/>
        <w:spacing w:before="41"/>
        <w:rPr>
          <w:b/>
          <w:i/>
        </w:rPr>
      </w:pPr>
    </w:p>
    <w:p>
      <w:pPr>
        <w:spacing w:before="0"/>
        <w:ind w:left="940" w:right="0" w:firstLine="0"/>
        <w:jc w:val="left"/>
        <w:rPr>
          <w:b/>
          <w:i/>
          <w:sz w:val="24"/>
        </w:rPr>
      </w:pPr>
      <w:r>
        <w:rPr/>
        <mc:AlternateContent>
          <mc:Choice Requires="wps">
            <w:drawing>
              <wp:anchor distT="0" distB="0" distL="0" distR="0" allowOverlap="1" layoutInCell="1" locked="0" behindDoc="1" simplePos="0" relativeHeight="477783040">
                <wp:simplePos x="0" y="0"/>
                <wp:positionH relativeFrom="page">
                  <wp:posOffset>1269060</wp:posOffset>
                </wp:positionH>
                <wp:positionV relativeFrom="paragraph">
                  <wp:posOffset>-1376254</wp:posOffset>
                </wp:positionV>
                <wp:extent cx="4933315" cy="4976495"/>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4933315" cy="4976495"/>
                          <a:chExt cx="4933315" cy="4976495"/>
                        </a:xfrm>
                      </wpg:grpSpPr>
                      <wps:wsp>
                        <wps:cNvPr id="290" name="Graphic 290"/>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91" name="Image 291"/>
                          <pic:cNvPicPr/>
                        </pic:nvPicPr>
                        <pic:blipFill>
                          <a:blip r:embed="rId9" cstate="print"/>
                          <a:stretch>
                            <a:fillRect/>
                          </a:stretch>
                        </pic:blipFill>
                        <pic:spPr>
                          <a:xfrm>
                            <a:off x="1248333" y="3743197"/>
                            <a:ext cx="221995" cy="221614"/>
                          </a:xfrm>
                          <a:prstGeom prst="rect">
                            <a:avLst/>
                          </a:prstGeom>
                        </pic:spPr>
                      </pic:pic>
                      <wps:wsp>
                        <wps:cNvPr id="292" name="Graphic 292"/>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108.366486pt;width:388.45pt;height:391.85pt;mso-position-horizontal-relative:page;mso-position-vertical-relative:paragraph;z-index:-25533440" id="docshapegroup96" coordorigin="1999,-2167" coordsize="7769,7837">
                <v:shape style="position:absolute;left:1998;top:3651;width:2142;height:2018" id="docshape97" coordorigin="1999,3652" coordsize="2142,2018" path="m3420,5362l3419,5320,3412,5277,3400,5233,3383,5188,3362,5142,3335,5095,3304,5048,3268,5001,3227,4953,3181,4904,2526,4249,2521,4246,2511,4242,2501,4243,2495,4245,2489,4248,2482,4252,2475,4257,2467,4264,2449,4281,2438,4296,2434,4303,2431,4310,2429,4315,2427,4321,2428,4326,2431,4336,2435,4341,3090,4996,3124,5032,3154,5066,3181,5100,3204,5132,3223,5165,3239,5196,3252,5226,3261,5255,3266,5283,3268,5311,3267,5337,3262,5362,3254,5387,3243,5410,3227,5431,3209,5452,3189,5470,3167,5484,3144,5495,3120,5503,3095,5508,3068,5509,3040,5507,3012,5501,2982,5492,2951,5480,2919,5464,2886,5444,2852,5420,2817,5393,2782,5361,2745,5326,2097,4678,2092,4675,2083,4671,2078,4671,2072,4672,2067,4674,2060,4677,2053,4681,2038,4693,2020,4710,2014,4718,2009,4725,2002,4739,2000,4744,1999,4750,1999,4755,2002,4765,2006,4769,2671,5435,2720,5481,2768,5522,2815,5558,2862,5590,2908,5616,2953,5636,2996,5652,3038,5662,3080,5668,3119,5669,3157,5666,3195,5657,3230,5645,3263,5627,3295,5605,3324,5579,3353,5547,3377,5513,3395,5478,3408,5440,3417,5402,3420,5362xm4140,4589l4134,4535,4120,4480,4100,4424,4073,4366,4041,4306,4002,4245,3983,4219,3983,4567,3983,4606,3977,4643,3963,4678,3943,4711,3916,4741,3885,4769,3852,4789,3819,4803,3783,4810,3747,4812,3709,4809,3670,4800,3630,4786,3589,4767,3547,4744,3504,4716,3460,4683,3415,4648,3370,4608,3324,4566,3277,4521,3236,4478,3197,4435,3160,4392,3126,4348,3095,4305,3068,4262,3046,4219,3028,4177,3013,4137,3004,4097,3000,4058,3001,4020,3007,3983,3020,3948,3040,3916,3067,3885,3097,3858,3130,3838,3163,3824,3199,3816,3236,3815,3274,3818,3313,3827,3353,3840,3394,3860,3436,3882,3479,3909,3523,3941,3567,3976,3612,4014,3657,4056,3702,4099,3744,4143,3783,4186,3820,4230,3855,4274,3887,4318,3914,4361,3936,4404,3955,4446,3970,4487,3979,4528,3983,4567,3983,4219,3957,4183,3907,4120,3851,4057,3789,3992,3725,3931,3662,3875,3601,3825,3588,3815,3541,3781,3483,3743,3426,3712,3371,3687,3317,3669,3265,3657,3215,3652,3167,3653,3120,3660,3075,3674,3032,3695,2991,3723,2952,3758,2916,3799,2887,3842,2866,3887,2852,3935,2846,3985,2845,4037,2852,4090,2865,4144,2885,4201,2911,4259,2943,4319,2981,4379,3025,4440,3075,4502,3130,4565,3190,4628,3255,4691,3319,4747,3381,4798,3441,4843,3500,4881,3557,4913,3613,4938,3666,4957,3718,4969,3768,4975,3817,4974,3864,4967,3910,4953,3953,4932,3995,4904,4035,4869,4071,4828,4081,4812,4099,4785,4120,4739,4133,4691,4140,4641,4140,4589xe" filled="true" fillcolor="#c0c0c0" stroked="false">
                  <v:path arrowok="t"/>
                  <v:fill opacity="32896f" type="solid"/>
                </v:shape>
                <v:shape style="position:absolute;left:3964;top:3727;width:350;height:349" type="#_x0000_t75" id="docshape98" stroked="false">
                  <v:imagedata r:id="rId9" o:title=""/>
                </v:shape>
                <v:shape style="position:absolute;left:3758;top:-2168;width:6009;height:6216" id="docshape99" coordorigin="3759,-2167" coordsize="6009,6216" path="m4895,3968l4895,3963,4892,3954,4888,3949,4884,3945,3857,2918,3852,2915,3843,2911,3838,2911,3832,2912,3826,2914,3821,2917,3813,2921,3806,2926,3798,2933,3781,2950,3770,2964,3762,2978,3760,2983,3759,2990,3759,2995,3762,3005,3765,3010,4796,4041,4801,4044,4811,4048,4815,4048,4821,4046,4827,4045,4833,4042,4841,4037,4848,4032,4856,4026,4873,4008,4880,4000,4885,3993,4889,3986,4892,3980,4893,3973,4895,3968xm5170,3688l5169,3683,5167,3678,5163,3674,5159,3670,4775,3286,4854,3208,4883,3175,4887,3170,4907,3142,4926,3108,4939,3073,4948,3037,4952,3001,4952,2963,4947,2925,4938,2886,4925,2847,4908,2807,4886,2766,4861,2726,4831,2686,4800,2649,4800,2957,4799,2979,4795,3001,4787,3023,4776,3045,4761,3066,4742,3087,4659,3170,4232,2742,4317,2658,4329,2646,4342,2635,4356,2625,4371,2615,4387,2607,4405,2600,4425,2596,4446,2594,4469,2595,4494,2600,4521,2608,4550,2620,4580,2637,4610,2658,4642,2683,4674,2713,4697,2738,4718,2762,4736,2786,4753,2811,4767,2836,4779,2861,4788,2886,4795,2909,4799,2933,4800,2957,4800,2649,4797,2646,4759,2605,4748,2594,4729,2577,4699,2551,4669,2527,4638,2506,4608,2488,4578,2473,4549,2460,4520,2450,4491,2442,4462,2437,4434,2435,4406,2435,4380,2437,4356,2442,4334,2448,4314,2456,4296,2466,4280,2475,4266,2484,4253,2493,4241,2502,4230,2512,4218,2522,4207,2533,4059,2681,4054,2689,4050,2698,4048,2708,4048,2720,4052,2733,4059,2747,4069,2762,4084,2778,5067,3761,5071,3766,5076,3769,5081,3771,5086,3772,5091,3773,5096,3771,5102,3770,5109,3766,5116,3762,5123,3757,5131,3751,5149,3733,5155,3725,5160,3718,5165,3710,5167,3705,5168,3698,5170,3693,5170,3688xm5863,3000l5863,2995,5860,2986,5856,2981,4928,2053,5125,1856,5127,1853,5127,1848,5126,1843,5125,1837,5122,1831,5119,1825,5114,1818,5092,1792,5081,1781,5070,1771,5061,1762,5044,1748,5036,1742,5023,1735,5018,1734,5008,1734,5005,1736,4519,2221,4517,2225,4518,2229,4517,2235,4519,2239,4526,2252,4531,2260,4538,2268,4545,2277,4554,2287,4575,2308,4585,2317,4593,2323,4601,2330,4609,2336,4621,2341,4626,2343,4631,2343,4636,2343,4639,2341,4836,2145,5764,3073,5769,3076,5779,3080,5783,3080,5789,3078,5795,3077,5809,3069,5824,3058,5842,3040,5848,3032,5853,3025,5857,3018,5860,3012,5861,3005,5863,3000xm6396,2468l6395,2463,6392,2453,6388,2449,5460,1521,5657,1324,5659,1320,5659,1315,5658,1305,5652,1293,5646,1285,5639,1277,5624,1260,5613,1249,5603,1238,5576,1215,5569,1210,5556,1203,5550,1202,5545,1202,5540,1202,5537,1204,5052,1689,5050,1693,5050,1697,5050,1702,5052,1707,5058,1720,5064,1728,5071,1736,5078,1745,5086,1755,5108,1776,5117,1785,5126,1791,5134,1798,5141,1803,5154,1809,5158,1811,5164,1811,5168,1811,5172,1809,5369,1612,6297,2540,6301,2544,6311,2547,6316,2548,6321,2546,6327,2545,6341,2537,6348,2532,6356,2525,6374,2508,6386,2493,6392,2479,6394,2473,6396,2468xm7102,1627l7095,1574,7081,1518,7061,1462,7035,1404,7003,1345,6964,1284,6945,1258,6945,1606,6945,1644,6938,1681,6925,1716,6905,1749,6878,1780,6847,1807,6814,1828,6780,1841,6745,1848,6708,1851,6671,1847,6632,1839,6591,1824,6551,1805,6509,1782,6466,1754,6422,1722,6377,1686,6332,1647,6285,1604,6239,1559,6198,1516,6159,1473,6122,1430,6087,1386,6056,1343,6030,1300,6008,1258,5989,1216,5975,1175,5966,1135,5962,1096,5963,1058,5969,1021,5982,986,6002,954,6028,923,6059,896,6091,876,6125,862,6161,855,6198,853,6236,857,6275,865,6315,879,6356,898,6398,921,6441,948,6484,979,6529,1014,6573,1053,6618,1094,6663,1138,6705,1181,6745,1225,6782,1268,6817,1312,6848,1356,6875,1399,6898,1442,6917,1484,6932,1525,6941,1566,6945,1606,6945,1258,6919,1222,6869,1159,6812,1095,6751,1031,6687,969,6624,913,6563,863,6549,853,6503,819,6444,782,6388,751,6332,726,6279,707,6227,695,6177,690,6129,691,6081,699,6036,712,5993,733,5952,761,5913,796,5877,837,5849,880,5828,925,5814,973,5807,1023,5807,1075,5813,1128,5826,1183,5846,1239,5872,1297,5904,1357,5942,1417,5987,1479,6036,1541,6091,1603,6152,1666,6217,1729,6280,1786,6342,1836,6403,1881,6462,1919,6519,1951,6574,1976,6628,1995,6680,2008,6730,2013,6778,2012,6826,2005,6871,1992,6915,1971,6957,1942,6996,1907,7032,1866,7042,1851,7061,1823,7082,1777,7095,1729,7102,1679,7102,1627xm8054,700l8054,672,8054,662,8052,653,8050,644,8048,637,8043,626,8040,621,8036,615,8014,589,7998,572,7980,556,7957,534,7943,525,7938,522,7933,520,7927,520,7924,521,7916,529,7913,542,7915,562,7916,577,7916,594,7915,612,7914,632,7912,653,7909,674,7903,697,7897,720,7887,743,7875,765,7859,787,7840,807,7815,830,7787,847,7757,860,7726,868,7692,872,7657,871,7620,865,7582,854,7542,838,7500,819,7456,794,7411,764,7364,730,7317,691,7268,648,7218,600,7169,549,7125,500,7086,451,7051,403,7021,357,6995,312,6974,269,6958,228,6945,188,6938,149,6936,113,6938,79,6945,47,6957,18,6973,-9,6995,-33,7016,-53,7038,-69,7060,-81,7083,-90,7106,-96,7128,-101,7149,-104,7170,-107,7189,-107,7224,-106,7239,-105,7259,-103,7272,-105,7279,-112,7280,-116,7280,-121,7279,-125,7277,-130,7270,-144,7258,-160,7242,-178,7213,-207,7197,-221,7190,-226,7184,-231,7173,-238,7161,-243,7153,-246,7141,-249,7130,-250,7118,-251,7087,-250,7069,-249,7050,-247,7032,-243,7013,-238,6995,-232,6976,-225,6957,-217,6939,-208,6921,-198,6904,-186,6888,-173,6872,-158,6841,-123,6817,-84,6799,-42,6787,3,6782,51,6782,101,6788,154,6801,208,6820,265,6846,324,6877,385,6915,446,6959,510,7010,574,7066,639,7129,705,7193,767,7256,822,7318,870,7378,912,7437,949,7494,979,7550,1003,7604,1021,7655,1033,7705,1038,7753,1037,7798,1031,7841,1018,7881,1000,7919,975,7954,944,7972,925,7989,904,8003,883,8015,862,8025,839,8033,818,8040,796,8045,775,8049,755,8052,736,8054,718,8054,700xm8654,75l8648,21,8634,-34,8614,-91,8588,-149,8555,-208,8517,-269,8498,-295,8498,53,8497,91,8491,128,8477,163,8457,196,8430,227,8399,254,8367,275,8333,289,8297,296,8261,298,8223,295,8184,286,8144,271,8103,253,8061,229,8018,202,7974,169,7930,133,7884,94,7838,52,7791,6,7750,-36,7711,-79,7675,-123,7640,-166,7609,-210,7583,-253,7560,-295,7542,-337,7528,-378,7519,-418,7515,-457,7515,-495,7521,-531,7534,-566,7554,-599,7581,-630,7612,-656,7644,-677,7678,-690,7713,-698,7750,-699,7788,-696,7827,-688,7867,-674,7909,-655,7951,-632,7993,-605,8037,-574,8081,-538,8126,-500,8171,-459,8216,-415,8258,-371,8297,-328,8334,-284,8369,-240,8401,-197,8428,-153,8451,-110,8469,-69,8484,-27,8493,13,8498,53,8498,-295,8472,-331,8421,-394,8365,-457,8303,-522,8239,-584,8176,-639,8115,-689,8102,-699,8055,-733,7997,-771,7940,-802,7885,-827,7831,-845,7780,-857,7730,-862,7681,-861,7634,-854,7589,-840,7546,-819,7505,-791,7466,-757,7430,-716,7401,-673,7380,-627,7366,-580,7360,-529,7360,-478,7366,-424,7379,-370,7399,-313,7425,-255,7457,-196,7495,-135,7539,-74,7589,-12,7644,51,7704,113,7769,176,7833,233,7895,284,7955,328,8014,367,8072,398,8127,424,8181,442,8232,455,8282,461,8331,460,8378,452,8424,439,8468,418,8509,390,8549,354,8585,314,8595,298,8613,270,8634,225,8647,176,8654,127,8654,75xm9075,-216l9073,-221,9071,-226,9068,-231,8680,-619,8758,-697,8788,-729,8792,-735,8812,-763,8831,-797,8844,-832,8852,-868,8857,-903,8857,-942,8852,-980,8843,-1019,8830,-1058,8813,-1098,8791,-1138,8765,-1178,8736,-1219,8705,-1255,8705,-948,8704,-925,8699,-903,8692,-881,8681,-860,8665,-838,8647,-818,8564,-735,8136,-1162,8221,-1247,8233,-1258,8247,-1269,8261,-1280,8276,-1290,8292,-1298,8310,-1304,8330,-1308,8351,-1311,8374,-1310,8399,-1305,8426,-1296,8455,-1284,8484,-1268,8515,-1247,8547,-1221,8579,-1191,8602,-1167,8623,-1143,8641,-1118,8658,-1093,8672,-1068,8684,-1043,8693,-1019,8699,-995,8704,-971,8705,-948,8705,-1255,8702,-1259,8664,-1299,8652,-1311,8634,-1328,8604,-1354,8573,-1378,8543,-1399,8513,-1417,8483,-1432,8453,-1444,8424,-1455,8395,-1463,8367,-1467,8339,-1470,8311,-1470,8284,-1467,8260,-1463,8238,-1456,8218,-1448,8201,-1439,8185,-1429,8170,-1420,8158,-1412,8146,-1403,8135,-1393,8123,-1382,8112,-1371,7964,-1224,7958,-1216,7955,-1207,7953,-1196,7953,-1184,7956,-1171,7963,-1157,7974,-1142,7989,-1126,8972,-143,8976,-139,8981,-136,8990,-132,8995,-132,9001,-134,9007,-135,9021,-142,9028,-147,9035,-154,9053,-172,9060,-180,9065,-187,9069,-194,9072,-200,9073,-206,9075,-211,9075,-216xm9767,-904l9767,-909,9764,-918,9760,-923,9363,-1320,9289,-1465,9068,-1899,8957,-2116,8941,-2146,8936,-2153,8929,-2161,8923,-2164,8910,-2167,8902,-2164,8893,-2159,8886,-2154,8870,-2139,8852,-2121,8845,-2113,8835,-2099,8832,-2093,8830,-2088,8829,-2082,8829,-2077,8831,-2071,8833,-2065,8836,-2059,8840,-2052,8876,-1985,8981,-1782,9052,-1648,9151,-1470,9186,-1411,9185,-1410,8944,-1544,8877,-1580,8542,-1755,8534,-1759,8528,-1761,8523,-1764,8517,-1765,8505,-1763,8500,-1761,8493,-1757,8469,-1738,8446,-1716,8438,-1706,8426,-1690,8423,-1683,8426,-1669,8430,-1663,8445,-1652,8454,-1646,8475,-1634,8620,-1560,9055,-1339,9272,-1228,9668,-831,9673,-828,9678,-826,9682,-824,9687,-824,9693,-826,9699,-827,9713,-835,9720,-840,9727,-846,9745,-863,9752,-872,9757,-879,9761,-886,9764,-892,9765,-899,9767,-904xe" filled="true" fillcolor="#c0c0c0" stroked="false">
                  <v:path arrowok="t"/>
                  <v:fill opacity="32896f" type="solid"/>
                </v:shape>
                <w10:wrap type="none"/>
              </v:group>
            </w:pict>
          </mc:Fallback>
        </mc:AlternateContent>
      </w:r>
      <w:r>
        <w:rPr>
          <w:b/>
          <w:sz w:val="24"/>
        </w:rPr>
        <w:t>Appendix</w:t>
      </w:r>
      <w:r>
        <w:rPr>
          <w:b/>
          <w:spacing w:val="-6"/>
          <w:sz w:val="24"/>
        </w:rPr>
        <w:t> </w:t>
      </w:r>
      <w:r>
        <w:rPr>
          <w:b/>
          <w:sz w:val="24"/>
        </w:rPr>
        <w:t>9:</w:t>
      </w:r>
      <w:r>
        <w:rPr>
          <w:b/>
          <w:spacing w:val="-4"/>
          <w:sz w:val="24"/>
        </w:rPr>
        <w:t> </w:t>
      </w:r>
      <w:r>
        <w:rPr>
          <w:b/>
          <w:sz w:val="24"/>
        </w:rPr>
        <w:t>Table</w:t>
      </w:r>
      <w:r>
        <w:rPr>
          <w:b/>
          <w:spacing w:val="-4"/>
          <w:sz w:val="24"/>
        </w:rPr>
        <w:t> </w:t>
      </w:r>
      <w:r>
        <w:rPr>
          <w:b/>
          <w:sz w:val="24"/>
        </w:rPr>
        <w:t>4.6:</w:t>
      </w:r>
      <w:r>
        <w:rPr>
          <w:b/>
          <w:spacing w:val="49"/>
          <w:sz w:val="24"/>
        </w:rPr>
        <w:t> </w:t>
      </w:r>
      <w:r>
        <w:rPr>
          <w:b/>
          <w:sz w:val="24"/>
        </w:rPr>
        <w:t>QUA-FRQ</w:t>
      </w:r>
      <w:r>
        <w:rPr>
          <w:b/>
          <w:spacing w:val="-3"/>
          <w:sz w:val="24"/>
        </w:rPr>
        <w:t> </w:t>
      </w:r>
      <w:r>
        <w:rPr>
          <w:b/>
          <w:sz w:val="24"/>
        </w:rPr>
        <w:t>and</w:t>
      </w:r>
      <w:r>
        <w:rPr>
          <w:b/>
          <w:spacing w:val="-3"/>
          <w:sz w:val="24"/>
        </w:rPr>
        <w:t> </w:t>
      </w:r>
      <w:r>
        <w:rPr>
          <w:b/>
          <w:sz w:val="24"/>
        </w:rPr>
        <w:t>Board</w:t>
      </w:r>
      <w:r>
        <w:rPr>
          <w:b/>
          <w:spacing w:val="-3"/>
          <w:sz w:val="24"/>
        </w:rPr>
        <w:t> </w:t>
      </w:r>
      <w:r>
        <w:rPr>
          <w:b/>
          <w:sz w:val="24"/>
        </w:rPr>
        <w:t>Structure</w:t>
      </w:r>
      <w:r>
        <w:rPr>
          <w:b/>
          <w:spacing w:val="-6"/>
          <w:sz w:val="24"/>
        </w:rPr>
        <w:t> </w:t>
      </w:r>
      <w:r>
        <w:rPr>
          <w:b/>
          <w:sz w:val="24"/>
        </w:rPr>
        <w:t>Regression </w:t>
      </w:r>
      <w:r>
        <w:rPr>
          <w:b/>
          <w:i/>
          <w:sz w:val="24"/>
        </w:rPr>
        <w:t>Result</w:t>
      </w:r>
      <w:r>
        <w:rPr>
          <w:b/>
          <w:i/>
          <w:spacing w:val="-3"/>
          <w:sz w:val="24"/>
        </w:rPr>
        <w:t> </w:t>
      </w:r>
      <w:r>
        <w:rPr>
          <w:b/>
          <w:i/>
          <w:sz w:val="24"/>
        </w:rPr>
        <w:t>(fixed</w:t>
      </w:r>
      <w:r>
        <w:rPr>
          <w:b/>
          <w:i/>
          <w:spacing w:val="-4"/>
          <w:sz w:val="24"/>
        </w:rPr>
        <w:t> </w:t>
      </w:r>
      <w:r>
        <w:rPr>
          <w:b/>
          <w:i/>
          <w:spacing w:val="-2"/>
          <w:sz w:val="24"/>
        </w:rPr>
        <w:t>effects)</w:t>
      </w:r>
    </w:p>
    <w:p>
      <w:pPr>
        <w:pStyle w:val="BodyText"/>
        <w:spacing w:before="2"/>
        <w:rPr>
          <w:b/>
          <w:i/>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300"/>
        <w:gridCol w:w="1131"/>
        <w:gridCol w:w="88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5" w:hRule="atLeast"/>
        </w:trPr>
        <w:tc>
          <w:tcPr>
            <w:tcW w:w="6530" w:type="dxa"/>
            <w:gridSpan w:val="5"/>
          </w:tcPr>
          <w:p>
            <w:pPr>
              <w:pStyle w:val="TableParagraph"/>
              <w:spacing w:line="199" w:lineRule="exact" w:before="6"/>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4" w:hRule="atLeast"/>
        </w:trPr>
        <w:tc>
          <w:tcPr>
            <w:tcW w:w="6530" w:type="dxa"/>
            <w:gridSpan w:val="5"/>
          </w:tcPr>
          <w:p>
            <w:pPr>
              <w:pStyle w:val="TableParagraph"/>
              <w:spacing w:line="198" w:lineRule="exact" w:before="6"/>
              <w:rPr>
                <w:sz w:val="18"/>
              </w:rPr>
            </w:pPr>
            <w:r>
              <w:rPr>
                <w:sz w:val="18"/>
              </w:rPr>
              <w:t>Date:</w:t>
            </w:r>
            <w:r>
              <w:rPr>
                <w:spacing w:val="-3"/>
                <w:sz w:val="18"/>
              </w:rPr>
              <w:t> </w:t>
            </w:r>
            <w:r>
              <w:rPr>
                <w:sz w:val="18"/>
              </w:rPr>
              <w:t>04/22/21</w:t>
            </w:r>
            <w:r>
              <w:rPr>
                <w:spacing w:val="65"/>
                <w:w w:val="150"/>
                <w:sz w:val="18"/>
              </w:rPr>
              <w:t> </w:t>
            </w:r>
            <w:r>
              <w:rPr>
                <w:sz w:val="18"/>
              </w:rPr>
              <w:t>Time:</w:t>
            </w:r>
            <w:r>
              <w:rPr>
                <w:spacing w:val="-2"/>
                <w:sz w:val="18"/>
              </w:rPr>
              <w:t> </w:t>
            </w:r>
            <w:r>
              <w:rPr>
                <w:spacing w:val="-4"/>
                <w:sz w:val="18"/>
              </w:rPr>
              <w:t>08:12</w:t>
            </w:r>
          </w:p>
        </w:tc>
      </w:tr>
      <w:tr>
        <w:trPr>
          <w:trHeight w:val="224" w:hRule="atLeast"/>
        </w:trPr>
        <w:tc>
          <w:tcPr>
            <w:tcW w:w="6530" w:type="dxa"/>
            <w:gridSpan w:val="5"/>
          </w:tcPr>
          <w:p>
            <w:pPr>
              <w:pStyle w:val="TableParagraph"/>
              <w:spacing w:line="199" w:lineRule="exact" w:before="5"/>
              <w:rPr>
                <w:sz w:val="18"/>
              </w:rPr>
            </w:pPr>
            <w:r>
              <w:rPr>
                <w:sz w:val="18"/>
              </w:rPr>
              <w:t>Sample</w:t>
            </w:r>
            <w:r>
              <w:rPr>
                <w:spacing w:val="-7"/>
                <w:sz w:val="18"/>
              </w:rPr>
              <w:t> </w:t>
            </w:r>
            <w:r>
              <w:rPr>
                <w:sz w:val="18"/>
              </w:rPr>
              <w:t>(adjusted):</w:t>
            </w:r>
            <w:r>
              <w:rPr>
                <w:spacing w:val="-6"/>
                <w:sz w:val="18"/>
              </w:rPr>
              <w:t> </w:t>
            </w:r>
            <w:r>
              <w:rPr>
                <w:sz w:val="18"/>
              </w:rPr>
              <w:t>2007</w:t>
            </w:r>
            <w:r>
              <w:rPr>
                <w:spacing w:val="-4"/>
                <w:sz w:val="18"/>
              </w:rPr>
              <w:t> 2019</w:t>
            </w:r>
          </w:p>
        </w:tc>
      </w:tr>
      <w:tr>
        <w:trPr>
          <w:trHeight w:val="225" w:hRule="atLeast"/>
        </w:trPr>
        <w:tc>
          <w:tcPr>
            <w:tcW w:w="1925"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13</w:t>
            </w:r>
          </w:p>
        </w:tc>
        <w:tc>
          <w:tcPr>
            <w:tcW w:w="129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0" w:type="dxa"/>
            <w:gridSpan w:val="5"/>
          </w:tcPr>
          <w:p>
            <w:pPr>
              <w:pStyle w:val="TableParagraph"/>
              <w:spacing w:line="198"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169</w:t>
            </w:r>
          </w:p>
        </w:tc>
      </w:tr>
      <w:tr>
        <w:trPr>
          <w:trHeight w:val="224" w:hRule="atLeast"/>
        </w:trPr>
        <w:tc>
          <w:tcPr>
            <w:tcW w:w="6530" w:type="dxa"/>
            <w:gridSpan w:val="5"/>
          </w:tcPr>
          <w:p>
            <w:pPr>
              <w:pStyle w:val="TableParagraph"/>
              <w:spacing w:line="199" w:lineRule="exact" w:before="5"/>
              <w:rPr>
                <w:sz w:val="18"/>
              </w:rPr>
            </w:pPr>
            <w:r>
              <w:rPr>
                <w:sz w:val="18"/>
              </w:rPr>
              <w:t>Iterate</w:t>
            </w:r>
            <w:r>
              <w:rPr>
                <w:spacing w:val="-5"/>
                <w:sz w:val="18"/>
              </w:rPr>
              <w:t> </w:t>
            </w:r>
            <w:r>
              <w:rPr>
                <w:sz w:val="18"/>
              </w:rPr>
              <w:t>coefficients</w:t>
            </w:r>
            <w:r>
              <w:rPr>
                <w:spacing w:val="-4"/>
                <w:sz w:val="18"/>
              </w:rPr>
              <w:t> </w:t>
            </w:r>
            <w:r>
              <w:rPr>
                <w:sz w:val="18"/>
              </w:rPr>
              <w:t>after</w:t>
            </w:r>
            <w:r>
              <w:rPr>
                <w:spacing w:val="-5"/>
                <w:sz w:val="18"/>
              </w:rPr>
              <w:t> </w:t>
            </w:r>
            <w:r>
              <w:rPr>
                <w:sz w:val="18"/>
              </w:rPr>
              <w:t>one-step</w:t>
            </w:r>
            <w:r>
              <w:rPr>
                <w:spacing w:val="-3"/>
                <w:sz w:val="18"/>
              </w:rPr>
              <w:t> </w:t>
            </w:r>
            <w:r>
              <w:rPr>
                <w:sz w:val="18"/>
              </w:rPr>
              <w:t>weighting</w:t>
            </w:r>
            <w:r>
              <w:rPr>
                <w:spacing w:val="-4"/>
                <w:sz w:val="18"/>
              </w:rPr>
              <w:t> </w:t>
            </w:r>
            <w:r>
              <w:rPr>
                <w:spacing w:val="-2"/>
                <w:sz w:val="18"/>
              </w:rPr>
              <w:t>matrix</w:t>
            </w:r>
          </w:p>
        </w:tc>
      </w:tr>
      <w:tr>
        <w:trPr>
          <w:trHeight w:val="225" w:hRule="atLeast"/>
        </w:trPr>
        <w:tc>
          <w:tcPr>
            <w:tcW w:w="6530" w:type="dxa"/>
            <w:gridSpan w:val="5"/>
          </w:tcPr>
          <w:p>
            <w:pPr>
              <w:pStyle w:val="TableParagraph"/>
              <w:spacing w:line="199" w:lineRule="exact" w:before="6"/>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225" w:hRule="atLeast"/>
        </w:trPr>
        <w:tc>
          <w:tcPr>
            <w:tcW w:w="6530" w:type="dxa"/>
            <w:gridSpan w:val="5"/>
          </w:tcPr>
          <w:p>
            <w:pPr>
              <w:pStyle w:val="TableParagraph"/>
              <w:spacing w:line="199" w:lineRule="exact" w:before="6"/>
              <w:rPr>
                <w:sz w:val="18"/>
              </w:rPr>
            </w:pPr>
            <w:r>
              <w:rPr>
                <w:sz w:val="18"/>
              </w:rPr>
              <w:t>Convergence</w:t>
            </w:r>
            <w:r>
              <w:rPr>
                <w:spacing w:val="-8"/>
                <w:sz w:val="18"/>
              </w:rPr>
              <w:t> </w:t>
            </w:r>
            <w:r>
              <w:rPr>
                <w:sz w:val="18"/>
              </w:rPr>
              <w:t>achieved</w:t>
            </w:r>
            <w:r>
              <w:rPr>
                <w:spacing w:val="-7"/>
                <w:sz w:val="18"/>
              </w:rPr>
              <w:t> </w:t>
            </w:r>
            <w:r>
              <w:rPr>
                <w:sz w:val="18"/>
              </w:rPr>
              <w:t>after</w:t>
            </w:r>
            <w:r>
              <w:rPr>
                <w:spacing w:val="-8"/>
                <w:sz w:val="18"/>
              </w:rPr>
              <w:t> </w:t>
            </w:r>
            <w:r>
              <w:rPr>
                <w:sz w:val="18"/>
              </w:rPr>
              <w:t>18</w:t>
            </w:r>
            <w:r>
              <w:rPr>
                <w:spacing w:val="-7"/>
                <w:sz w:val="18"/>
              </w:rPr>
              <w:t> </w:t>
            </w:r>
            <w:r>
              <w:rPr>
                <w:sz w:val="18"/>
              </w:rPr>
              <w:t>total</w:t>
            </w:r>
            <w:r>
              <w:rPr>
                <w:spacing w:val="-7"/>
                <w:sz w:val="18"/>
              </w:rPr>
              <w:t> </w:t>
            </w:r>
            <w:r>
              <w:rPr>
                <w:sz w:val="18"/>
              </w:rPr>
              <w:t>coef</w:t>
            </w:r>
            <w:r>
              <w:rPr>
                <w:spacing w:val="-9"/>
                <w:sz w:val="18"/>
              </w:rPr>
              <w:t> </w:t>
            </w:r>
            <w:r>
              <w:rPr>
                <w:spacing w:val="-2"/>
                <w:sz w:val="18"/>
              </w:rPr>
              <w:t>iterations</w:t>
            </w:r>
          </w:p>
        </w:tc>
      </w:tr>
      <w:tr>
        <w:trPr>
          <w:trHeight w:val="301" w:hRule="atLeast"/>
        </w:trPr>
        <w:tc>
          <w:tcPr>
            <w:tcW w:w="6530" w:type="dxa"/>
            <w:gridSpan w:val="5"/>
            <w:tcBorders>
              <w:bottom w:val="double" w:sz="6" w:space="0" w:color="000000"/>
            </w:tcBorders>
          </w:tcPr>
          <w:p>
            <w:pPr>
              <w:pStyle w:val="TableParagraph"/>
              <w:spacing w:before="6"/>
              <w:rPr>
                <w:sz w:val="18"/>
              </w:rPr>
            </w:pPr>
            <w:r>
              <w:rPr>
                <w:sz w:val="18"/>
              </w:rPr>
              <w:t>WARNING:</w:t>
            </w:r>
            <w:r>
              <w:rPr>
                <w:spacing w:val="-3"/>
                <w:sz w:val="18"/>
              </w:rPr>
              <w:t> </w:t>
            </w:r>
            <w:r>
              <w:rPr>
                <w:sz w:val="18"/>
              </w:rPr>
              <w:t>estimated</w:t>
            </w:r>
            <w:r>
              <w:rPr>
                <w:spacing w:val="-3"/>
                <w:sz w:val="18"/>
              </w:rPr>
              <w:t> </w:t>
            </w:r>
            <w:r>
              <w:rPr>
                <w:sz w:val="18"/>
              </w:rPr>
              <w:t>coefficient</w:t>
            </w:r>
            <w:r>
              <w:rPr>
                <w:spacing w:val="-2"/>
                <w:sz w:val="18"/>
              </w:rPr>
              <w:t> </w:t>
            </w:r>
            <w:r>
              <w:rPr>
                <w:sz w:val="18"/>
              </w:rPr>
              <w:t>covariance</w:t>
            </w:r>
            <w:r>
              <w:rPr>
                <w:spacing w:val="-5"/>
                <w:sz w:val="18"/>
              </w:rPr>
              <w:t> </w:t>
            </w:r>
            <w:r>
              <w:rPr>
                <w:sz w:val="18"/>
              </w:rPr>
              <w:t>matrix</w:t>
            </w:r>
            <w:r>
              <w:rPr>
                <w:spacing w:val="-3"/>
                <w:sz w:val="18"/>
              </w:rPr>
              <w:t> </w:t>
            </w:r>
            <w:r>
              <w:rPr>
                <w:sz w:val="18"/>
              </w:rPr>
              <w:t>is</w:t>
            </w:r>
            <w:r>
              <w:rPr>
                <w:spacing w:val="-4"/>
                <w:sz w:val="18"/>
              </w:rPr>
              <w:t> </w:t>
            </w:r>
            <w:r>
              <w:rPr>
                <w:sz w:val="18"/>
              </w:rPr>
              <w:t>of</w:t>
            </w:r>
            <w:r>
              <w:rPr>
                <w:spacing w:val="-2"/>
                <w:sz w:val="18"/>
              </w:rPr>
              <w:t> </w:t>
            </w:r>
            <w:r>
              <w:rPr>
                <w:sz w:val="18"/>
              </w:rPr>
              <w:t>reduced</w:t>
            </w:r>
            <w:r>
              <w:rPr>
                <w:spacing w:val="-4"/>
                <w:sz w:val="18"/>
              </w:rPr>
              <w:t> rank</w:t>
            </w:r>
          </w:p>
        </w:tc>
      </w:tr>
      <w:tr>
        <w:trPr>
          <w:trHeight w:val="406"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18"/>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left="147"/>
              <w:jc w:val="center"/>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5"/>
              <w:rPr>
                <w:sz w:val="18"/>
              </w:rPr>
            </w:pPr>
            <w:r>
              <w:rPr>
                <w:spacing w:val="-2"/>
                <w:sz w:val="18"/>
              </w:rPr>
              <w:t>Prob.</w:t>
            </w:r>
          </w:p>
        </w:tc>
      </w:tr>
      <w:tr>
        <w:trPr>
          <w:trHeight w:val="326" w:hRule="atLeast"/>
        </w:trPr>
        <w:tc>
          <w:tcPr>
            <w:tcW w:w="1925" w:type="dxa"/>
            <w:tcBorders>
              <w:top w:val="double" w:sz="6" w:space="0" w:color="000000"/>
            </w:tcBorders>
          </w:tcPr>
          <w:p>
            <w:pPr>
              <w:pStyle w:val="TableParagraph"/>
              <w:spacing w:line="198" w:lineRule="exact" w:before="108"/>
              <w:ind w:left="92" w:right="1"/>
              <w:jc w:val="center"/>
              <w:rPr>
                <w:sz w:val="18"/>
              </w:rPr>
            </w:pPr>
            <w:r>
              <w:rPr>
                <w:spacing w:val="-10"/>
                <w:sz w:val="18"/>
              </w:rPr>
              <w:t>C</w:t>
            </w:r>
          </w:p>
        </w:tc>
        <w:tc>
          <w:tcPr>
            <w:tcW w:w="1290" w:type="dxa"/>
            <w:tcBorders>
              <w:top w:val="double" w:sz="6" w:space="0" w:color="000000"/>
            </w:tcBorders>
          </w:tcPr>
          <w:p>
            <w:pPr>
              <w:pStyle w:val="TableParagraph"/>
              <w:spacing w:line="198" w:lineRule="exact" w:before="108"/>
              <w:ind w:right="103"/>
              <w:jc w:val="right"/>
              <w:rPr>
                <w:sz w:val="18"/>
              </w:rPr>
            </w:pPr>
            <w:r>
              <w:rPr>
                <w:spacing w:val="-2"/>
                <w:sz w:val="18"/>
              </w:rPr>
              <w:t>0.328497</w:t>
            </w:r>
          </w:p>
        </w:tc>
        <w:tc>
          <w:tcPr>
            <w:tcW w:w="1300" w:type="dxa"/>
            <w:tcBorders>
              <w:top w:val="double" w:sz="6" w:space="0" w:color="000000"/>
            </w:tcBorders>
          </w:tcPr>
          <w:p>
            <w:pPr>
              <w:pStyle w:val="TableParagraph"/>
              <w:spacing w:line="198" w:lineRule="exact" w:before="108"/>
              <w:ind w:left="155"/>
              <w:jc w:val="center"/>
              <w:rPr>
                <w:sz w:val="18"/>
              </w:rPr>
            </w:pPr>
            <w:r>
              <w:rPr>
                <w:spacing w:val="-2"/>
                <w:sz w:val="18"/>
              </w:rPr>
              <w:t>0.088242</w:t>
            </w:r>
          </w:p>
        </w:tc>
        <w:tc>
          <w:tcPr>
            <w:tcW w:w="1131" w:type="dxa"/>
            <w:tcBorders>
              <w:top w:val="double" w:sz="6" w:space="0" w:color="000000"/>
            </w:tcBorders>
          </w:tcPr>
          <w:p>
            <w:pPr>
              <w:pStyle w:val="TableParagraph"/>
              <w:spacing w:line="198" w:lineRule="exact" w:before="108"/>
              <w:ind w:left="147" w:right="12"/>
              <w:jc w:val="center"/>
              <w:rPr>
                <w:sz w:val="18"/>
              </w:rPr>
            </w:pPr>
            <w:r>
              <w:rPr>
                <w:spacing w:val="-2"/>
                <w:sz w:val="18"/>
              </w:rPr>
              <w:t>3.722695</w:t>
            </w:r>
          </w:p>
        </w:tc>
        <w:tc>
          <w:tcPr>
            <w:tcW w:w="884" w:type="dxa"/>
            <w:tcBorders>
              <w:top w:val="double" w:sz="6" w:space="0" w:color="000000"/>
            </w:tcBorders>
          </w:tcPr>
          <w:p>
            <w:pPr>
              <w:pStyle w:val="TableParagraph"/>
              <w:spacing w:line="198" w:lineRule="exact" w:before="108"/>
              <w:ind w:right="5"/>
              <w:jc w:val="right"/>
              <w:rPr>
                <w:sz w:val="18"/>
              </w:rPr>
            </w:pPr>
            <w:r>
              <w:rPr>
                <w:spacing w:val="-2"/>
                <w:sz w:val="18"/>
              </w:rPr>
              <w:t>0.0003</w:t>
            </w:r>
          </w:p>
        </w:tc>
      </w:tr>
      <w:tr>
        <w:trPr>
          <w:trHeight w:val="224" w:hRule="atLeast"/>
        </w:trPr>
        <w:tc>
          <w:tcPr>
            <w:tcW w:w="1925" w:type="dxa"/>
          </w:tcPr>
          <w:p>
            <w:pPr>
              <w:pStyle w:val="TableParagraph"/>
              <w:spacing w:line="199" w:lineRule="exact" w:before="5"/>
              <w:ind w:left="92" w:right="1"/>
              <w:jc w:val="center"/>
              <w:rPr>
                <w:sz w:val="18"/>
              </w:rPr>
            </w:pPr>
            <w:r>
              <w:rPr>
                <w:spacing w:val="-5"/>
                <w:sz w:val="18"/>
              </w:rPr>
              <w:t>BDS</w:t>
            </w:r>
          </w:p>
        </w:tc>
        <w:tc>
          <w:tcPr>
            <w:tcW w:w="1290" w:type="dxa"/>
          </w:tcPr>
          <w:p>
            <w:pPr>
              <w:pStyle w:val="TableParagraph"/>
              <w:spacing w:line="199" w:lineRule="exact" w:before="5"/>
              <w:ind w:right="103"/>
              <w:jc w:val="right"/>
              <w:rPr>
                <w:sz w:val="18"/>
              </w:rPr>
            </w:pPr>
            <w:r>
              <w:rPr>
                <w:spacing w:val="-2"/>
                <w:sz w:val="18"/>
              </w:rPr>
              <w:t>-0.000859</w:t>
            </w:r>
          </w:p>
        </w:tc>
        <w:tc>
          <w:tcPr>
            <w:tcW w:w="1300" w:type="dxa"/>
          </w:tcPr>
          <w:p>
            <w:pPr>
              <w:pStyle w:val="TableParagraph"/>
              <w:spacing w:line="199" w:lineRule="exact" w:before="5"/>
              <w:ind w:left="155"/>
              <w:jc w:val="center"/>
              <w:rPr>
                <w:sz w:val="18"/>
              </w:rPr>
            </w:pPr>
            <w:r>
              <w:rPr>
                <w:spacing w:val="-2"/>
                <w:sz w:val="18"/>
              </w:rPr>
              <w:t>0.001320</w:t>
            </w:r>
          </w:p>
        </w:tc>
        <w:tc>
          <w:tcPr>
            <w:tcW w:w="1131" w:type="dxa"/>
          </w:tcPr>
          <w:p>
            <w:pPr>
              <w:pStyle w:val="TableParagraph"/>
              <w:spacing w:line="199" w:lineRule="exact" w:before="5"/>
              <w:ind w:left="147" w:right="72"/>
              <w:jc w:val="center"/>
              <w:rPr>
                <w:sz w:val="18"/>
              </w:rPr>
            </w:pPr>
            <w:r>
              <w:rPr>
                <w:spacing w:val="-2"/>
                <w:sz w:val="18"/>
              </w:rPr>
              <w:t>-0.650736</w:t>
            </w:r>
          </w:p>
        </w:tc>
        <w:tc>
          <w:tcPr>
            <w:tcW w:w="884" w:type="dxa"/>
          </w:tcPr>
          <w:p>
            <w:pPr>
              <w:pStyle w:val="TableParagraph"/>
              <w:spacing w:line="199" w:lineRule="exact" w:before="5"/>
              <w:ind w:right="5"/>
              <w:jc w:val="right"/>
              <w:rPr>
                <w:sz w:val="18"/>
              </w:rPr>
            </w:pPr>
            <w:r>
              <w:rPr>
                <w:spacing w:val="-2"/>
                <w:sz w:val="18"/>
              </w:rPr>
              <w:t>0.5163</w:t>
            </w:r>
          </w:p>
        </w:tc>
      </w:tr>
      <w:tr>
        <w:trPr>
          <w:trHeight w:val="225" w:hRule="atLeast"/>
        </w:trPr>
        <w:tc>
          <w:tcPr>
            <w:tcW w:w="1925" w:type="dxa"/>
          </w:tcPr>
          <w:p>
            <w:pPr>
              <w:pStyle w:val="TableParagraph"/>
              <w:spacing w:line="199" w:lineRule="exact" w:before="6"/>
              <w:ind w:left="727"/>
              <w:rPr>
                <w:sz w:val="18"/>
              </w:rPr>
            </w:pPr>
            <w:r>
              <w:rPr>
                <w:spacing w:val="-2"/>
                <w:sz w:val="18"/>
              </w:rPr>
              <w:t>BDIND</w:t>
            </w:r>
          </w:p>
        </w:tc>
        <w:tc>
          <w:tcPr>
            <w:tcW w:w="1290" w:type="dxa"/>
          </w:tcPr>
          <w:p>
            <w:pPr>
              <w:pStyle w:val="TableParagraph"/>
              <w:spacing w:line="199" w:lineRule="exact" w:before="6"/>
              <w:ind w:right="103"/>
              <w:jc w:val="right"/>
              <w:rPr>
                <w:sz w:val="18"/>
              </w:rPr>
            </w:pPr>
            <w:r>
              <w:rPr>
                <w:spacing w:val="-2"/>
                <w:sz w:val="18"/>
              </w:rPr>
              <w:t>-0.064609</w:t>
            </w:r>
          </w:p>
        </w:tc>
        <w:tc>
          <w:tcPr>
            <w:tcW w:w="1300" w:type="dxa"/>
          </w:tcPr>
          <w:p>
            <w:pPr>
              <w:pStyle w:val="TableParagraph"/>
              <w:spacing w:line="199" w:lineRule="exact" w:before="6"/>
              <w:ind w:left="155"/>
              <w:jc w:val="center"/>
              <w:rPr>
                <w:sz w:val="18"/>
              </w:rPr>
            </w:pPr>
            <w:r>
              <w:rPr>
                <w:spacing w:val="-2"/>
                <w:sz w:val="18"/>
              </w:rPr>
              <w:t>0.053940</w:t>
            </w:r>
          </w:p>
        </w:tc>
        <w:tc>
          <w:tcPr>
            <w:tcW w:w="1131" w:type="dxa"/>
          </w:tcPr>
          <w:p>
            <w:pPr>
              <w:pStyle w:val="TableParagraph"/>
              <w:spacing w:line="199" w:lineRule="exact" w:before="6"/>
              <w:ind w:left="147" w:right="72"/>
              <w:jc w:val="center"/>
              <w:rPr>
                <w:sz w:val="18"/>
              </w:rPr>
            </w:pPr>
            <w:r>
              <w:rPr>
                <w:spacing w:val="-2"/>
                <w:sz w:val="18"/>
              </w:rPr>
              <w:t>-1.197802</w:t>
            </w:r>
          </w:p>
        </w:tc>
        <w:tc>
          <w:tcPr>
            <w:tcW w:w="884" w:type="dxa"/>
          </w:tcPr>
          <w:p>
            <w:pPr>
              <w:pStyle w:val="TableParagraph"/>
              <w:spacing w:line="199" w:lineRule="exact" w:before="6"/>
              <w:ind w:right="5"/>
              <w:jc w:val="right"/>
              <w:rPr>
                <w:sz w:val="18"/>
              </w:rPr>
            </w:pPr>
            <w:r>
              <w:rPr>
                <w:spacing w:val="-2"/>
                <w:sz w:val="18"/>
              </w:rPr>
              <w:t>0.2330</w:t>
            </w:r>
          </w:p>
        </w:tc>
      </w:tr>
      <w:tr>
        <w:trPr>
          <w:trHeight w:val="225" w:hRule="atLeast"/>
        </w:trPr>
        <w:tc>
          <w:tcPr>
            <w:tcW w:w="1925" w:type="dxa"/>
          </w:tcPr>
          <w:p>
            <w:pPr>
              <w:pStyle w:val="TableParagraph"/>
              <w:spacing w:line="199" w:lineRule="exact" w:before="6"/>
              <w:ind w:left="712"/>
              <w:rPr>
                <w:sz w:val="18"/>
              </w:rPr>
            </w:pPr>
            <w:r>
              <w:rPr>
                <w:spacing w:val="-2"/>
                <w:sz w:val="18"/>
              </w:rPr>
              <w:t>BFEXP</w:t>
            </w:r>
          </w:p>
        </w:tc>
        <w:tc>
          <w:tcPr>
            <w:tcW w:w="1290" w:type="dxa"/>
          </w:tcPr>
          <w:p>
            <w:pPr>
              <w:pStyle w:val="TableParagraph"/>
              <w:spacing w:line="199" w:lineRule="exact" w:before="6"/>
              <w:ind w:right="103"/>
              <w:jc w:val="right"/>
              <w:rPr>
                <w:sz w:val="18"/>
              </w:rPr>
            </w:pPr>
            <w:r>
              <w:rPr>
                <w:spacing w:val="-2"/>
                <w:sz w:val="18"/>
              </w:rPr>
              <w:t>-0.014577</w:t>
            </w:r>
          </w:p>
        </w:tc>
        <w:tc>
          <w:tcPr>
            <w:tcW w:w="1300" w:type="dxa"/>
          </w:tcPr>
          <w:p>
            <w:pPr>
              <w:pStyle w:val="TableParagraph"/>
              <w:spacing w:line="199" w:lineRule="exact" w:before="6"/>
              <w:ind w:left="155"/>
              <w:jc w:val="center"/>
              <w:rPr>
                <w:sz w:val="18"/>
              </w:rPr>
            </w:pPr>
            <w:r>
              <w:rPr>
                <w:spacing w:val="-2"/>
                <w:sz w:val="18"/>
              </w:rPr>
              <w:t>0.013345</w:t>
            </w:r>
          </w:p>
        </w:tc>
        <w:tc>
          <w:tcPr>
            <w:tcW w:w="1131" w:type="dxa"/>
          </w:tcPr>
          <w:p>
            <w:pPr>
              <w:pStyle w:val="TableParagraph"/>
              <w:spacing w:line="199" w:lineRule="exact" w:before="6"/>
              <w:ind w:left="147" w:right="72"/>
              <w:jc w:val="center"/>
              <w:rPr>
                <w:sz w:val="18"/>
              </w:rPr>
            </w:pPr>
            <w:r>
              <w:rPr>
                <w:spacing w:val="-2"/>
                <w:sz w:val="18"/>
              </w:rPr>
              <w:t>-1.092328</w:t>
            </w:r>
          </w:p>
        </w:tc>
        <w:tc>
          <w:tcPr>
            <w:tcW w:w="884" w:type="dxa"/>
          </w:tcPr>
          <w:p>
            <w:pPr>
              <w:pStyle w:val="TableParagraph"/>
              <w:spacing w:line="199" w:lineRule="exact" w:before="6"/>
              <w:ind w:right="5"/>
              <w:jc w:val="right"/>
              <w:rPr>
                <w:sz w:val="18"/>
              </w:rPr>
            </w:pPr>
            <w:r>
              <w:rPr>
                <w:spacing w:val="-2"/>
                <w:sz w:val="18"/>
              </w:rPr>
              <w:t>0.2765</w:t>
            </w:r>
          </w:p>
        </w:tc>
      </w:tr>
      <w:tr>
        <w:trPr>
          <w:trHeight w:val="224" w:hRule="atLeast"/>
        </w:trPr>
        <w:tc>
          <w:tcPr>
            <w:tcW w:w="1925" w:type="dxa"/>
          </w:tcPr>
          <w:p>
            <w:pPr>
              <w:pStyle w:val="TableParagraph"/>
              <w:spacing w:line="198" w:lineRule="exact" w:before="6"/>
              <w:ind w:left="92" w:right="1"/>
              <w:jc w:val="center"/>
              <w:rPr>
                <w:sz w:val="18"/>
              </w:rPr>
            </w:pPr>
            <w:r>
              <w:rPr>
                <w:spacing w:val="-4"/>
                <w:sz w:val="18"/>
              </w:rPr>
              <w:t>FAGE</w:t>
            </w:r>
          </w:p>
        </w:tc>
        <w:tc>
          <w:tcPr>
            <w:tcW w:w="1290" w:type="dxa"/>
          </w:tcPr>
          <w:p>
            <w:pPr>
              <w:pStyle w:val="TableParagraph"/>
              <w:spacing w:line="198" w:lineRule="exact" w:before="6"/>
              <w:ind w:right="103"/>
              <w:jc w:val="right"/>
              <w:rPr>
                <w:sz w:val="18"/>
              </w:rPr>
            </w:pPr>
            <w:r>
              <w:rPr>
                <w:spacing w:val="-2"/>
                <w:sz w:val="18"/>
              </w:rPr>
              <w:t>0.009455</w:t>
            </w:r>
          </w:p>
        </w:tc>
        <w:tc>
          <w:tcPr>
            <w:tcW w:w="1300" w:type="dxa"/>
          </w:tcPr>
          <w:p>
            <w:pPr>
              <w:pStyle w:val="TableParagraph"/>
              <w:spacing w:line="198" w:lineRule="exact" w:before="6"/>
              <w:ind w:left="155"/>
              <w:jc w:val="center"/>
              <w:rPr>
                <w:sz w:val="18"/>
              </w:rPr>
            </w:pPr>
            <w:r>
              <w:rPr>
                <w:spacing w:val="-2"/>
                <w:sz w:val="18"/>
              </w:rPr>
              <w:t>0.001370</w:t>
            </w:r>
          </w:p>
        </w:tc>
        <w:tc>
          <w:tcPr>
            <w:tcW w:w="1131" w:type="dxa"/>
          </w:tcPr>
          <w:p>
            <w:pPr>
              <w:pStyle w:val="TableParagraph"/>
              <w:spacing w:line="198" w:lineRule="exact" w:before="6"/>
              <w:ind w:left="147" w:right="12"/>
              <w:jc w:val="center"/>
              <w:rPr>
                <w:sz w:val="18"/>
              </w:rPr>
            </w:pPr>
            <w:r>
              <w:rPr>
                <w:spacing w:val="-2"/>
                <w:sz w:val="18"/>
              </w:rPr>
              <w:t>6.903156</w:t>
            </w:r>
          </w:p>
        </w:tc>
        <w:tc>
          <w:tcPr>
            <w:tcW w:w="884" w:type="dxa"/>
          </w:tcPr>
          <w:p>
            <w:pPr>
              <w:pStyle w:val="TableParagraph"/>
              <w:spacing w:line="198" w:lineRule="exact" w:before="6"/>
              <w:ind w:right="5"/>
              <w:jc w:val="right"/>
              <w:rPr>
                <w:sz w:val="18"/>
              </w:rPr>
            </w:pPr>
            <w:r>
              <w:rPr>
                <w:spacing w:val="-2"/>
                <w:sz w:val="18"/>
              </w:rPr>
              <w:t>0.0000</w:t>
            </w:r>
          </w:p>
        </w:tc>
      </w:tr>
      <w:tr>
        <w:trPr>
          <w:trHeight w:val="224" w:hRule="atLeast"/>
        </w:trPr>
        <w:tc>
          <w:tcPr>
            <w:tcW w:w="1925" w:type="dxa"/>
          </w:tcPr>
          <w:p>
            <w:pPr>
              <w:pStyle w:val="TableParagraph"/>
              <w:spacing w:line="199" w:lineRule="exact" w:before="5"/>
              <w:ind w:left="92" w:right="5"/>
              <w:jc w:val="center"/>
              <w:rPr>
                <w:sz w:val="18"/>
              </w:rPr>
            </w:pPr>
            <w:r>
              <w:rPr>
                <w:spacing w:val="-2"/>
                <w:sz w:val="18"/>
              </w:rPr>
              <w:t>FSIZE</w:t>
            </w:r>
          </w:p>
        </w:tc>
        <w:tc>
          <w:tcPr>
            <w:tcW w:w="1290" w:type="dxa"/>
          </w:tcPr>
          <w:p>
            <w:pPr>
              <w:pStyle w:val="TableParagraph"/>
              <w:spacing w:line="199" w:lineRule="exact" w:before="5"/>
              <w:ind w:right="103"/>
              <w:jc w:val="right"/>
              <w:rPr>
                <w:sz w:val="18"/>
              </w:rPr>
            </w:pPr>
            <w:r>
              <w:rPr>
                <w:spacing w:val="-2"/>
                <w:sz w:val="18"/>
              </w:rPr>
              <w:t>0.001328</w:t>
            </w:r>
          </w:p>
        </w:tc>
        <w:tc>
          <w:tcPr>
            <w:tcW w:w="1300" w:type="dxa"/>
          </w:tcPr>
          <w:p>
            <w:pPr>
              <w:pStyle w:val="TableParagraph"/>
              <w:spacing w:line="199" w:lineRule="exact" w:before="5"/>
              <w:ind w:left="155"/>
              <w:jc w:val="center"/>
              <w:rPr>
                <w:sz w:val="18"/>
              </w:rPr>
            </w:pPr>
            <w:r>
              <w:rPr>
                <w:spacing w:val="-2"/>
                <w:sz w:val="18"/>
              </w:rPr>
              <w:t>0.011443</w:t>
            </w:r>
          </w:p>
        </w:tc>
        <w:tc>
          <w:tcPr>
            <w:tcW w:w="1131" w:type="dxa"/>
          </w:tcPr>
          <w:p>
            <w:pPr>
              <w:pStyle w:val="TableParagraph"/>
              <w:spacing w:line="199" w:lineRule="exact" w:before="5"/>
              <w:ind w:left="147" w:right="12"/>
              <w:jc w:val="center"/>
              <w:rPr>
                <w:sz w:val="18"/>
              </w:rPr>
            </w:pPr>
            <w:r>
              <w:rPr>
                <w:spacing w:val="-2"/>
                <w:sz w:val="18"/>
              </w:rPr>
              <w:t>0.116016</w:t>
            </w:r>
          </w:p>
        </w:tc>
        <w:tc>
          <w:tcPr>
            <w:tcW w:w="884" w:type="dxa"/>
          </w:tcPr>
          <w:p>
            <w:pPr>
              <w:pStyle w:val="TableParagraph"/>
              <w:spacing w:line="199" w:lineRule="exact" w:before="5"/>
              <w:ind w:right="5"/>
              <w:jc w:val="right"/>
              <w:rPr>
                <w:sz w:val="18"/>
              </w:rPr>
            </w:pPr>
            <w:r>
              <w:rPr>
                <w:spacing w:val="-2"/>
                <w:sz w:val="18"/>
              </w:rPr>
              <w:t>0.9078</w:t>
            </w:r>
          </w:p>
        </w:tc>
      </w:tr>
      <w:tr>
        <w:trPr>
          <w:trHeight w:val="225" w:hRule="atLeast"/>
        </w:trPr>
        <w:tc>
          <w:tcPr>
            <w:tcW w:w="1925" w:type="dxa"/>
          </w:tcPr>
          <w:p>
            <w:pPr>
              <w:pStyle w:val="TableParagraph"/>
              <w:spacing w:line="200" w:lineRule="exact" w:before="6"/>
              <w:ind w:left="523"/>
              <w:rPr>
                <w:sz w:val="18"/>
              </w:rPr>
            </w:pPr>
            <w:r>
              <w:rPr/>
              <mc:AlternateContent>
                <mc:Choice Requires="wps">
                  <w:drawing>
                    <wp:anchor distT="0" distB="0" distL="0" distR="0" allowOverlap="1" layoutInCell="1" locked="0" behindDoc="1" simplePos="0" relativeHeight="477782528">
                      <wp:simplePos x="0" y="0"/>
                      <wp:positionH relativeFrom="column">
                        <wp:posOffset>160934</wp:posOffset>
                      </wp:positionH>
                      <wp:positionV relativeFrom="paragraph">
                        <wp:posOffset>-33123</wp:posOffset>
                      </wp:positionV>
                      <wp:extent cx="721995" cy="72263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721995" cy="722630"/>
                                <a:chExt cx="721995" cy="722630"/>
                              </a:xfrm>
                            </wpg:grpSpPr>
                            <wps:wsp>
                              <wps:cNvPr id="294" name="Graphic 294"/>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72pt;margin-top:-2.608119pt;width:56.85pt;height:56.9pt;mso-position-horizontal-relative:column;mso-position-vertical-relative:paragraph;z-index:-25533952" id="docshapegroup100" coordorigin="253,-52" coordsize="1137,1138">
                      <v:shape style="position:absolute;left:253;top:-53;width:1137;height:1138" id="docshape101" coordorigin="253,-52" coordsize="1137,1138" path="m337,-52l276,-13,253,32,257,42,1291,1078,1310,1085,1315,1083,1322,1082,1380,1030,1388,1011,1390,1005,352,-45,347,-48,337,-52xe" filled="true" fillcolor="#c0c0c0" stroked="false">
                        <v:path arrowok="t"/>
                        <v:fill opacity="32896f" type="solid"/>
                      </v:shape>
                      <w10:wrap type="none"/>
                    </v:group>
                  </w:pict>
                </mc:Fallback>
              </mc:AlternateContent>
            </w:r>
            <w:r>
              <w:rPr>
                <w:spacing w:val="-2"/>
                <w:sz w:val="18"/>
              </w:rPr>
              <w:t>LEVERAGE</w:t>
            </w:r>
          </w:p>
        </w:tc>
        <w:tc>
          <w:tcPr>
            <w:tcW w:w="1290" w:type="dxa"/>
          </w:tcPr>
          <w:p>
            <w:pPr>
              <w:pStyle w:val="TableParagraph"/>
              <w:spacing w:line="200" w:lineRule="exact" w:before="6"/>
              <w:ind w:right="103"/>
              <w:jc w:val="right"/>
              <w:rPr>
                <w:sz w:val="18"/>
              </w:rPr>
            </w:pPr>
            <w:r>
              <w:rPr>
                <w:spacing w:val="-2"/>
                <w:sz w:val="18"/>
              </w:rPr>
              <w:t>-0.001780</w:t>
            </w:r>
          </w:p>
        </w:tc>
        <w:tc>
          <w:tcPr>
            <w:tcW w:w="1300" w:type="dxa"/>
          </w:tcPr>
          <w:p>
            <w:pPr>
              <w:pStyle w:val="TableParagraph"/>
              <w:spacing w:line="200" w:lineRule="exact" w:before="6"/>
              <w:ind w:left="155"/>
              <w:jc w:val="center"/>
              <w:rPr>
                <w:sz w:val="18"/>
              </w:rPr>
            </w:pPr>
            <w:r>
              <w:rPr>
                <w:spacing w:val="-2"/>
                <w:sz w:val="18"/>
              </w:rPr>
              <w:t>0.003075</w:t>
            </w:r>
          </w:p>
        </w:tc>
        <w:tc>
          <w:tcPr>
            <w:tcW w:w="1131" w:type="dxa"/>
          </w:tcPr>
          <w:p>
            <w:pPr>
              <w:pStyle w:val="TableParagraph"/>
              <w:spacing w:line="200" w:lineRule="exact" w:before="6"/>
              <w:ind w:left="147" w:right="72"/>
              <w:jc w:val="center"/>
              <w:rPr>
                <w:sz w:val="18"/>
              </w:rPr>
            </w:pPr>
            <w:r>
              <w:rPr>
                <w:spacing w:val="-2"/>
                <w:sz w:val="18"/>
              </w:rPr>
              <w:t>-0.578851</w:t>
            </w:r>
          </w:p>
        </w:tc>
        <w:tc>
          <w:tcPr>
            <w:tcW w:w="884" w:type="dxa"/>
          </w:tcPr>
          <w:p>
            <w:pPr>
              <w:pStyle w:val="TableParagraph"/>
              <w:spacing w:line="200" w:lineRule="exact" w:before="6"/>
              <w:ind w:right="5"/>
              <w:jc w:val="right"/>
              <w:rPr>
                <w:sz w:val="18"/>
              </w:rPr>
            </w:pPr>
            <w:r>
              <w:rPr>
                <w:spacing w:val="-2"/>
                <w:sz w:val="18"/>
              </w:rPr>
              <w:t>0.5636</w:t>
            </w:r>
          </w:p>
        </w:tc>
      </w:tr>
      <w:tr>
        <w:trPr>
          <w:trHeight w:val="225" w:hRule="atLeast"/>
        </w:trPr>
        <w:tc>
          <w:tcPr>
            <w:tcW w:w="1925" w:type="dxa"/>
          </w:tcPr>
          <w:p>
            <w:pPr>
              <w:pStyle w:val="TableParagraph"/>
              <w:spacing w:line="199" w:lineRule="exact" w:before="6"/>
              <w:ind w:left="92" w:right="4"/>
              <w:jc w:val="center"/>
              <w:rPr>
                <w:sz w:val="18"/>
              </w:rPr>
            </w:pPr>
            <w:r>
              <w:rPr>
                <w:spacing w:val="-4"/>
                <w:sz w:val="18"/>
              </w:rPr>
              <w:t>IFRS</w:t>
            </w:r>
          </w:p>
        </w:tc>
        <w:tc>
          <w:tcPr>
            <w:tcW w:w="1290" w:type="dxa"/>
          </w:tcPr>
          <w:p>
            <w:pPr>
              <w:pStyle w:val="TableParagraph"/>
              <w:spacing w:line="199" w:lineRule="exact" w:before="6"/>
              <w:ind w:right="103"/>
              <w:jc w:val="right"/>
              <w:rPr>
                <w:sz w:val="18"/>
              </w:rPr>
            </w:pPr>
            <w:r>
              <w:rPr>
                <w:spacing w:val="-2"/>
                <w:sz w:val="18"/>
              </w:rPr>
              <w:t>-0.067215</w:t>
            </w:r>
          </w:p>
        </w:tc>
        <w:tc>
          <w:tcPr>
            <w:tcW w:w="1300" w:type="dxa"/>
          </w:tcPr>
          <w:p>
            <w:pPr>
              <w:pStyle w:val="TableParagraph"/>
              <w:spacing w:line="199" w:lineRule="exact" w:before="6"/>
              <w:ind w:left="155"/>
              <w:jc w:val="center"/>
              <w:rPr>
                <w:sz w:val="18"/>
              </w:rPr>
            </w:pPr>
            <w:r>
              <w:rPr>
                <w:spacing w:val="-2"/>
                <w:sz w:val="18"/>
              </w:rPr>
              <w:t>0.056078</w:t>
            </w:r>
          </w:p>
        </w:tc>
        <w:tc>
          <w:tcPr>
            <w:tcW w:w="1131" w:type="dxa"/>
          </w:tcPr>
          <w:p>
            <w:pPr>
              <w:pStyle w:val="TableParagraph"/>
              <w:spacing w:line="199" w:lineRule="exact" w:before="6"/>
              <w:ind w:left="147" w:right="72"/>
              <w:jc w:val="center"/>
              <w:rPr>
                <w:sz w:val="18"/>
              </w:rPr>
            </w:pPr>
            <w:r>
              <w:rPr>
                <w:spacing w:val="-2"/>
                <w:sz w:val="18"/>
              </w:rPr>
              <w:t>-1.198600</w:t>
            </w:r>
          </w:p>
        </w:tc>
        <w:tc>
          <w:tcPr>
            <w:tcW w:w="884" w:type="dxa"/>
          </w:tcPr>
          <w:p>
            <w:pPr>
              <w:pStyle w:val="TableParagraph"/>
              <w:spacing w:line="199" w:lineRule="exact" w:before="6"/>
              <w:ind w:right="5"/>
              <w:jc w:val="right"/>
              <w:rPr>
                <w:sz w:val="18"/>
              </w:rPr>
            </w:pPr>
            <w:r>
              <w:rPr>
                <w:spacing w:val="-2"/>
                <w:sz w:val="18"/>
              </w:rPr>
              <w:t>0.2327</w:t>
            </w:r>
          </w:p>
        </w:tc>
      </w:tr>
      <w:tr>
        <w:trPr>
          <w:trHeight w:val="224" w:hRule="atLeast"/>
        </w:trPr>
        <w:tc>
          <w:tcPr>
            <w:tcW w:w="1925" w:type="dxa"/>
          </w:tcPr>
          <w:p>
            <w:pPr>
              <w:pStyle w:val="TableParagraph"/>
              <w:spacing w:line="198" w:lineRule="exact" w:before="6"/>
              <w:ind w:left="583"/>
              <w:rPr>
                <w:sz w:val="18"/>
              </w:rPr>
            </w:pPr>
            <w:r>
              <w:rPr>
                <w:spacing w:val="-2"/>
                <w:sz w:val="18"/>
              </w:rPr>
              <w:t>BDS*IFRS</w:t>
            </w:r>
          </w:p>
        </w:tc>
        <w:tc>
          <w:tcPr>
            <w:tcW w:w="1290" w:type="dxa"/>
          </w:tcPr>
          <w:p>
            <w:pPr>
              <w:pStyle w:val="TableParagraph"/>
              <w:spacing w:line="198" w:lineRule="exact" w:before="6"/>
              <w:ind w:right="103"/>
              <w:jc w:val="right"/>
              <w:rPr>
                <w:sz w:val="18"/>
              </w:rPr>
            </w:pPr>
            <w:r>
              <w:rPr>
                <w:spacing w:val="-2"/>
                <w:sz w:val="18"/>
              </w:rPr>
              <w:t>-0.001148</w:t>
            </w:r>
          </w:p>
        </w:tc>
        <w:tc>
          <w:tcPr>
            <w:tcW w:w="1300" w:type="dxa"/>
          </w:tcPr>
          <w:p>
            <w:pPr>
              <w:pStyle w:val="TableParagraph"/>
              <w:spacing w:line="198" w:lineRule="exact" w:before="6"/>
              <w:ind w:left="155"/>
              <w:jc w:val="center"/>
              <w:rPr>
                <w:sz w:val="18"/>
              </w:rPr>
            </w:pPr>
            <w:r>
              <w:rPr>
                <w:spacing w:val="-2"/>
                <w:sz w:val="18"/>
              </w:rPr>
              <w:t>0.002098</w:t>
            </w:r>
          </w:p>
        </w:tc>
        <w:tc>
          <w:tcPr>
            <w:tcW w:w="1131" w:type="dxa"/>
          </w:tcPr>
          <w:p>
            <w:pPr>
              <w:pStyle w:val="TableParagraph"/>
              <w:spacing w:line="198" w:lineRule="exact" w:before="6"/>
              <w:ind w:left="147" w:right="72"/>
              <w:jc w:val="center"/>
              <w:rPr>
                <w:sz w:val="18"/>
              </w:rPr>
            </w:pPr>
            <w:r>
              <w:rPr>
                <w:spacing w:val="-2"/>
                <w:sz w:val="18"/>
              </w:rPr>
              <w:t>-0.547235</w:t>
            </w:r>
          </w:p>
        </w:tc>
        <w:tc>
          <w:tcPr>
            <w:tcW w:w="884" w:type="dxa"/>
          </w:tcPr>
          <w:p>
            <w:pPr>
              <w:pStyle w:val="TableParagraph"/>
              <w:spacing w:line="198" w:lineRule="exact" w:before="6"/>
              <w:ind w:right="5"/>
              <w:jc w:val="right"/>
              <w:rPr>
                <w:sz w:val="18"/>
              </w:rPr>
            </w:pPr>
            <w:r>
              <w:rPr>
                <w:spacing w:val="-2"/>
                <w:sz w:val="18"/>
              </w:rPr>
              <w:t>0.5851</w:t>
            </w:r>
          </w:p>
        </w:tc>
      </w:tr>
      <w:tr>
        <w:trPr>
          <w:trHeight w:val="224" w:hRule="atLeast"/>
        </w:trPr>
        <w:tc>
          <w:tcPr>
            <w:tcW w:w="1925" w:type="dxa"/>
          </w:tcPr>
          <w:p>
            <w:pPr>
              <w:pStyle w:val="TableParagraph"/>
              <w:spacing w:line="199" w:lineRule="exact" w:before="5"/>
              <w:ind w:left="487"/>
              <w:rPr>
                <w:sz w:val="18"/>
              </w:rPr>
            </w:pPr>
            <w:r>
              <w:rPr>
                <w:spacing w:val="-2"/>
                <w:sz w:val="18"/>
              </w:rPr>
              <w:t>BDIND*IFRS</w:t>
            </w:r>
          </w:p>
        </w:tc>
        <w:tc>
          <w:tcPr>
            <w:tcW w:w="1290" w:type="dxa"/>
          </w:tcPr>
          <w:p>
            <w:pPr>
              <w:pStyle w:val="TableParagraph"/>
              <w:spacing w:line="199" w:lineRule="exact" w:before="5"/>
              <w:ind w:right="103"/>
              <w:jc w:val="right"/>
              <w:rPr>
                <w:sz w:val="18"/>
              </w:rPr>
            </w:pPr>
            <w:r>
              <w:rPr>
                <w:spacing w:val="-2"/>
                <w:sz w:val="18"/>
              </w:rPr>
              <w:t>0.106677</w:t>
            </w:r>
          </w:p>
        </w:tc>
        <w:tc>
          <w:tcPr>
            <w:tcW w:w="1300" w:type="dxa"/>
          </w:tcPr>
          <w:p>
            <w:pPr>
              <w:pStyle w:val="TableParagraph"/>
              <w:spacing w:line="199" w:lineRule="exact" w:before="5"/>
              <w:ind w:left="155"/>
              <w:jc w:val="center"/>
              <w:rPr>
                <w:sz w:val="18"/>
              </w:rPr>
            </w:pPr>
            <w:r>
              <w:rPr>
                <w:spacing w:val="-2"/>
                <w:sz w:val="18"/>
              </w:rPr>
              <w:t>0.049648</w:t>
            </w:r>
          </w:p>
        </w:tc>
        <w:tc>
          <w:tcPr>
            <w:tcW w:w="1131" w:type="dxa"/>
          </w:tcPr>
          <w:p>
            <w:pPr>
              <w:pStyle w:val="TableParagraph"/>
              <w:spacing w:line="199" w:lineRule="exact" w:before="5"/>
              <w:ind w:left="147" w:right="12"/>
              <w:jc w:val="center"/>
              <w:rPr>
                <w:sz w:val="18"/>
              </w:rPr>
            </w:pPr>
            <w:r>
              <w:rPr>
                <w:spacing w:val="-2"/>
                <w:sz w:val="18"/>
              </w:rPr>
              <w:t>2.148670</w:t>
            </w:r>
          </w:p>
        </w:tc>
        <w:tc>
          <w:tcPr>
            <w:tcW w:w="884" w:type="dxa"/>
          </w:tcPr>
          <w:p>
            <w:pPr>
              <w:pStyle w:val="TableParagraph"/>
              <w:spacing w:line="199" w:lineRule="exact" w:before="5"/>
              <w:ind w:right="5"/>
              <w:jc w:val="right"/>
              <w:rPr>
                <w:sz w:val="18"/>
              </w:rPr>
            </w:pPr>
            <w:r>
              <w:rPr>
                <w:spacing w:val="-2"/>
                <w:sz w:val="18"/>
              </w:rPr>
              <w:t>0.0333</w:t>
            </w:r>
          </w:p>
        </w:tc>
      </w:tr>
      <w:tr>
        <w:trPr>
          <w:trHeight w:val="225" w:hRule="atLeast"/>
        </w:trPr>
        <w:tc>
          <w:tcPr>
            <w:tcW w:w="1925" w:type="dxa"/>
          </w:tcPr>
          <w:p>
            <w:pPr>
              <w:pStyle w:val="TableParagraph"/>
              <w:spacing w:line="199" w:lineRule="exact" w:before="6"/>
              <w:ind w:left="472"/>
              <w:rPr>
                <w:sz w:val="18"/>
              </w:rPr>
            </w:pPr>
            <w:r>
              <w:rPr>
                <w:spacing w:val="-2"/>
                <w:sz w:val="18"/>
              </w:rPr>
              <w:t>BFEXP*IFRS</w:t>
            </w:r>
          </w:p>
        </w:tc>
        <w:tc>
          <w:tcPr>
            <w:tcW w:w="1290" w:type="dxa"/>
          </w:tcPr>
          <w:p>
            <w:pPr>
              <w:pStyle w:val="TableParagraph"/>
              <w:spacing w:line="199" w:lineRule="exact" w:before="6"/>
              <w:ind w:right="103"/>
              <w:jc w:val="right"/>
              <w:rPr>
                <w:sz w:val="18"/>
              </w:rPr>
            </w:pPr>
            <w:r>
              <w:rPr>
                <w:spacing w:val="-2"/>
                <w:sz w:val="18"/>
              </w:rPr>
              <w:t>0.074750</w:t>
            </w:r>
          </w:p>
        </w:tc>
        <w:tc>
          <w:tcPr>
            <w:tcW w:w="1300" w:type="dxa"/>
          </w:tcPr>
          <w:p>
            <w:pPr>
              <w:pStyle w:val="TableParagraph"/>
              <w:spacing w:line="199" w:lineRule="exact" w:before="6"/>
              <w:ind w:left="155"/>
              <w:jc w:val="center"/>
              <w:rPr>
                <w:sz w:val="18"/>
              </w:rPr>
            </w:pPr>
            <w:r>
              <w:rPr>
                <w:spacing w:val="-2"/>
                <w:sz w:val="18"/>
              </w:rPr>
              <w:t>0.025117</w:t>
            </w:r>
          </w:p>
        </w:tc>
        <w:tc>
          <w:tcPr>
            <w:tcW w:w="1131" w:type="dxa"/>
          </w:tcPr>
          <w:p>
            <w:pPr>
              <w:pStyle w:val="TableParagraph"/>
              <w:spacing w:line="199" w:lineRule="exact" w:before="6"/>
              <w:ind w:left="147" w:right="12"/>
              <w:jc w:val="center"/>
              <w:rPr>
                <w:sz w:val="18"/>
              </w:rPr>
            </w:pPr>
            <w:r>
              <w:rPr>
                <w:spacing w:val="-2"/>
                <w:sz w:val="18"/>
              </w:rPr>
              <w:t>2.976035</w:t>
            </w:r>
          </w:p>
        </w:tc>
        <w:tc>
          <w:tcPr>
            <w:tcW w:w="884" w:type="dxa"/>
          </w:tcPr>
          <w:p>
            <w:pPr>
              <w:pStyle w:val="TableParagraph"/>
              <w:spacing w:line="199" w:lineRule="exact" w:before="6"/>
              <w:ind w:right="5"/>
              <w:jc w:val="right"/>
              <w:rPr>
                <w:sz w:val="18"/>
              </w:rPr>
            </w:pPr>
            <w:r>
              <w:rPr>
                <w:spacing w:val="-2"/>
                <w:sz w:val="18"/>
              </w:rPr>
              <w:t>0.0034</w:t>
            </w:r>
          </w:p>
        </w:tc>
      </w:tr>
      <w:tr>
        <w:trPr>
          <w:trHeight w:val="225" w:hRule="atLeast"/>
        </w:trPr>
        <w:tc>
          <w:tcPr>
            <w:tcW w:w="1925" w:type="dxa"/>
          </w:tcPr>
          <w:p>
            <w:pPr>
              <w:pStyle w:val="TableParagraph"/>
              <w:spacing w:line="199" w:lineRule="exact" w:before="6"/>
              <w:ind w:left="92" w:right="2"/>
              <w:jc w:val="center"/>
              <w:rPr>
                <w:sz w:val="18"/>
              </w:rPr>
            </w:pPr>
            <w:r>
              <w:rPr>
                <w:spacing w:val="-2"/>
                <w:sz w:val="18"/>
              </w:rPr>
              <w:t>AR(2)</w:t>
            </w:r>
          </w:p>
        </w:tc>
        <w:tc>
          <w:tcPr>
            <w:tcW w:w="1290" w:type="dxa"/>
          </w:tcPr>
          <w:p>
            <w:pPr>
              <w:pStyle w:val="TableParagraph"/>
              <w:spacing w:line="199" w:lineRule="exact" w:before="6"/>
              <w:ind w:right="103"/>
              <w:jc w:val="right"/>
              <w:rPr>
                <w:sz w:val="18"/>
              </w:rPr>
            </w:pPr>
            <w:r>
              <w:rPr>
                <w:spacing w:val="-2"/>
                <w:sz w:val="18"/>
              </w:rPr>
              <w:t>-0.046095</w:t>
            </w:r>
          </w:p>
        </w:tc>
        <w:tc>
          <w:tcPr>
            <w:tcW w:w="1300" w:type="dxa"/>
          </w:tcPr>
          <w:p>
            <w:pPr>
              <w:pStyle w:val="TableParagraph"/>
              <w:spacing w:line="199" w:lineRule="exact" w:before="6"/>
              <w:ind w:left="155"/>
              <w:jc w:val="center"/>
              <w:rPr>
                <w:sz w:val="18"/>
              </w:rPr>
            </w:pPr>
            <w:r>
              <w:rPr>
                <w:spacing w:val="-2"/>
                <w:sz w:val="18"/>
              </w:rPr>
              <w:t>0.047481</w:t>
            </w:r>
          </w:p>
        </w:tc>
        <w:tc>
          <w:tcPr>
            <w:tcW w:w="1131" w:type="dxa"/>
          </w:tcPr>
          <w:p>
            <w:pPr>
              <w:pStyle w:val="TableParagraph"/>
              <w:spacing w:line="199" w:lineRule="exact" w:before="6"/>
              <w:ind w:left="147" w:right="72"/>
              <w:jc w:val="center"/>
              <w:rPr>
                <w:sz w:val="18"/>
              </w:rPr>
            </w:pPr>
            <w:r>
              <w:rPr>
                <w:spacing w:val="-2"/>
                <w:sz w:val="18"/>
              </w:rPr>
              <w:t>-0.970825</w:t>
            </w:r>
          </w:p>
        </w:tc>
        <w:tc>
          <w:tcPr>
            <w:tcW w:w="884" w:type="dxa"/>
          </w:tcPr>
          <w:p>
            <w:pPr>
              <w:pStyle w:val="TableParagraph"/>
              <w:spacing w:line="199" w:lineRule="exact" w:before="6"/>
              <w:ind w:right="5"/>
              <w:jc w:val="right"/>
              <w:rPr>
                <w:sz w:val="18"/>
              </w:rPr>
            </w:pPr>
            <w:r>
              <w:rPr>
                <w:spacing w:val="-2"/>
                <w:sz w:val="18"/>
              </w:rPr>
              <w:t>0.3333</w:t>
            </w:r>
          </w:p>
        </w:tc>
      </w:tr>
      <w:tr>
        <w:trPr>
          <w:trHeight w:val="301" w:hRule="atLeast"/>
        </w:trPr>
        <w:tc>
          <w:tcPr>
            <w:tcW w:w="1925" w:type="dxa"/>
            <w:tcBorders>
              <w:bottom w:val="double" w:sz="6" w:space="0" w:color="000000"/>
            </w:tcBorders>
          </w:tcPr>
          <w:p>
            <w:pPr>
              <w:pStyle w:val="TableParagraph"/>
              <w:spacing w:before="6"/>
              <w:ind w:left="92" w:right="2"/>
              <w:jc w:val="center"/>
              <w:rPr>
                <w:sz w:val="18"/>
              </w:rPr>
            </w:pPr>
            <w:r>
              <w:rPr>
                <w:spacing w:val="-2"/>
                <w:sz w:val="18"/>
              </w:rPr>
              <w:t>AR(1)</w:t>
            </w:r>
          </w:p>
        </w:tc>
        <w:tc>
          <w:tcPr>
            <w:tcW w:w="1290" w:type="dxa"/>
            <w:tcBorders>
              <w:bottom w:val="double" w:sz="6" w:space="0" w:color="000000"/>
            </w:tcBorders>
          </w:tcPr>
          <w:p>
            <w:pPr>
              <w:pStyle w:val="TableParagraph"/>
              <w:spacing w:before="6"/>
              <w:ind w:right="103"/>
              <w:jc w:val="right"/>
              <w:rPr>
                <w:sz w:val="18"/>
              </w:rPr>
            </w:pPr>
            <w:r>
              <w:rPr>
                <w:spacing w:val="-2"/>
                <w:sz w:val="18"/>
              </w:rPr>
              <w:t>0.594815</w:t>
            </w:r>
          </w:p>
        </w:tc>
        <w:tc>
          <w:tcPr>
            <w:tcW w:w="1300" w:type="dxa"/>
            <w:tcBorders>
              <w:bottom w:val="double" w:sz="6" w:space="0" w:color="000000"/>
            </w:tcBorders>
          </w:tcPr>
          <w:p>
            <w:pPr>
              <w:pStyle w:val="TableParagraph"/>
              <w:spacing w:before="6"/>
              <w:ind w:left="155"/>
              <w:jc w:val="center"/>
              <w:rPr>
                <w:sz w:val="18"/>
              </w:rPr>
            </w:pPr>
            <w:r>
              <w:rPr>
                <w:spacing w:val="-2"/>
                <w:sz w:val="18"/>
              </w:rPr>
              <w:t>0.100176</w:t>
            </w:r>
          </w:p>
        </w:tc>
        <w:tc>
          <w:tcPr>
            <w:tcW w:w="1131" w:type="dxa"/>
            <w:tcBorders>
              <w:bottom w:val="double" w:sz="6" w:space="0" w:color="000000"/>
            </w:tcBorders>
          </w:tcPr>
          <w:p>
            <w:pPr>
              <w:pStyle w:val="TableParagraph"/>
              <w:spacing w:before="6"/>
              <w:ind w:left="147" w:right="12"/>
              <w:jc w:val="center"/>
              <w:rPr>
                <w:sz w:val="18"/>
              </w:rPr>
            </w:pPr>
            <w:r>
              <w:rPr>
                <w:spacing w:val="-2"/>
                <w:sz w:val="18"/>
              </w:rPr>
              <w:t>5.937679</w:t>
            </w:r>
          </w:p>
        </w:tc>
        <w:tc>
          <w:tcPr>
            <w:tcW w:w="884" w:type="dxa"/>
            <w:tcBorders>
              <w:bottom w:val="double" w:sz="6" w:space="0" w:color="000000"/>
            </w:tcBorders>
          </w:tcPr>
          <w:p>
            <w:pPr>
              <w:pStyle w:val="TableParagraph"/>
              <w:spacing w:before="6"/>
              <w:ind w:right="5"/>
              <w:jc w:val="right"/>
              <w:rPr>
                <w:sz w:val="18"/>
              </w:rPr>
            </w:pPr>
            <w:r>
              <w:rPr>
                <w:spacing w:val="-2"/>
                <w:sz w:val="18"/>
              </w:rPr>
              <w:t>0.0000</w:t>
            </w:r>
          </w:p>
        </w:tc>
      </w:tr>
      <w:tr>
        <w:trPr>
          <w:trHeight w:val="406" w:hRule="atLeast"/>
        </w:trPr>
        <w:tc>
          <w:tcPr>
            <w:tcW w:w="6530" w:type="dxa"/>
            <w:gridSpan w:val="5"/>
            <w:tcBorders>
              <w:top w:val="double" w:sz="6" w:space="0" w:color="000000"/>
              <w:bottom w:val="double" w:sz="6" w:space="0" w:color="000000"/>
            </w:tcBorders>
          </w:tcPr>
          <w:p>
            <w:pPr>
              <w:pStyle w:val="TableParagraph"/>
              <w:spacing w:before="108"/>
              <w:ind w:left="4" w:right="186"/>
              <w:jc w:val="center"/>
              <w:rPr>
                <w:sz w:val="18"/>
              </w:rPr>
            </w:pPr>
            <w:r>
              <w:rPr>
                <w:sz w:val="18"/>
              </w:rPr>
              <w:t>Effects </w:t>
            </w:r>
            <w:r>
              <w:rPr>
                <w:spacing w:val="-2"/>
                <w:sz w:val="18"/>
              </w:rPr>
              <w:t>Specification</w:t>
            </w:r>
          </w:p>
        </w:tc>
      </w:tr>
      <w:tr>
        <w:trPr>
          <w:trHeight w:val="403" w:hRule="atLeast"/>
        </w:trPr>
        <w:tc>
          <w:tcPr>
            <w:tcW w:w="6530" w:type="dxa"/>
            <w:gridSpan w:val="5"/>
            <w:tcBorders>
              <w:top w:val="double" w:sz="6" w:space="0" w:color="000000"/>
              <w:bottom w:val="double" w:sz="6" w:space="0" w:color="000000"/>
            </w:tcBorders>
          </w:tcPr>
          <w:p>
            <w:pPr>
              <w:pStyle w:val="TableParagraph"/>
              <w:spacing w:before="108"/>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6" w:hRule="atLeast"/>
        </w:trPr>
        <w:tc>
          <w:tcPr>
            <w:tcW w:w="6530" w:type="dxa"/>
            <w:gridSpan w:val="5"/>
            <w:tcBorders>
              <w:top w:val="double" w:sz="6" w:space="0" w:color="000000"/>
              <w:bottom w:val="double" w:sz="6" w:space="0" w:color="000000"/>
            </w:tcBorders>
          </w:tcPr>
          <w:p>
            <w:pPr>
              <w:pStyle w:val="TableParagraph"/>
              <w:spacing w:before="108"/>
              <w:ind w:right="186"/>
              <w:jc w:val="center"/>
              <w:rPr>
                <w:sz w:val="18"/>
              </w:rPr>
            </w:pPr>
            <w:r>
              <w:rPr>
                <w:sz w:val="18"/>
              </w:rPr>
              <w:t>Weighted</w:t>
            </w:r>
            <w:r>
              <w:rPr>
                <w:spacing w:val="-3"/>
                <w:sz w:val="18"/>
              </w:rPr>
              <w:t> </w:t>
            </w:r>
            <w:r>
              <w:rPr>
                <w:spacing w:val="-2"/>
                <w:sz w:val="18"/>
              </w:rPr>
              <w:t>Statistics</w:t>
            </w:r>
          </w:p>
        </w:tc>
      </w:tr>
      <w:tr>
        <w:trPr>
          <w:trHeight w:val="326" w:hRule="atLeast"/>
        </w:trPr>
        <w:tc>
          <w:tcPr>
            <w:tcW w:w="1925" w:type="dxa"/>
            <w:tcBorders>
              <w:top w:val="double" w:sz="6" w:space="0" w:color="000000"/>
            </w:tcBorders>
          </w:tcPr>
          <w:p>
            <w:pPr>
              <w:pStyle w:val="TableParagraph"/>
              <w:spacing w:line="198" w:lineRule="exact" w:before="108"/>
              <w:rPr>
                <w:sz w:val="18"/>
              </w:rPr>
            </w:pPr>
            <w:r>
              <w:rPr>
                <w:spacing w:val="-2"/>
                <w:sz w:val="18"/>
              </w:rPr>
              <w:t>R-squared</w:t>
            </w:r>
          </w:p>
        </w:tc>
        <w:tc>
          <w:tcPr>
            <w:tcW w:w="1290" w:type="dxa"/>
            <w:tcBorders>
              <w:top w:val="double" w:sz="6" w:space="0" w:color="000000"/>
            </w:tcBorders>
          </w:tcPr>
          <w:p>
            <w:pPr>
              <w:pStyle w:val="TableParagraph"/>
              <w:spacing w:line="198" w:lineRule="exact" w:before="108"/>
              <w:ind w:right="103"/>
              <w:jc w:val="right"/>
              <w:rPr>
                <w:sz w:val="18"/>
              </w:rPr>
            </w:pPr>
            <w:r>
              <w:rPr>
                <w:spacing w:val="-2"/>
                <w:sz w:val="18"/>
              </w:rPr>
              <w:t>0.903565</w:t>
            </w:r>
          </w:p>
        </w:tc>
        <w:tc>
          <w:tcPr>
            <w:tcW w:w="2431" w:type="dxa"/>
            <w:gridSpan w:val="2"/>
            <w:tcBorders>
              <w:top w:val="double" w:sz="6" w:space="0" w:color="000000"/>
            </w:tcBorders>
          </w:tcPr>
          <w:p>
            <w:pPr>
              <w:pStyle w:val="TableParagraph"/>
              <w:spacing w:line="198"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5"/>
              <w:jc w:val="right"/>
              <w:rPr>
                <w:sz w:val="18"/>
              </w:rPr>
            </w:pPr>
            <w:r>
              <w:rPr>
                <w:spacing w:val="-2"/>
                <w:sz w:val="18"/>
              </w:rPr>
              <w:t>0.718394</w:t>
            </w:r>
          </w:p>
        </w:tc>
      </w:tr>
      <w:tr>
        <w:trPr>
          <w:trHeight w:val="224" w:hRule="atLeast"/>
        </w:trPr>
        <w:tc>
          <w:tcPr>
            <w:tcW w:w="1925" w:type="dxa"/>
          </w:tcPr>
          <w:p>
            <w:pPr>
              <w:pStyle w:val="TableParagraph"/>
              <w:spacing w:line="199" w:lineRule="exact" w:before="5"/>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9" w:lineRule="exact" w:before="5"/>
              <w:ind w:right="103"/>
              <w:jc w:val="right"/>
              <w:rPr>
                <w:sz w:val="18"/>
              </w:rPr>
            </w:pPr>
            <w:r>
              <w:rPr>
                <w:spacing w:val="-2"/>
                <w:sz w:val="18"/>
              </w:rPr>
              <w:t>0.887492</w:t>
            </w:r>
          </w:p>
        </w:tc>
        <w:tc>
          <w:tcPr>
            <w:tcW w:w="2431" w:type="dxa"/>
            <w:gridSpan w:val="2"/>
          </w:tcPr>
          <w:p>
            <w:pPr>
              <w:pStyle w:val="TableParagraph"/>
              <w:spacing w:line="199" w:lineRule="exact" w:before="5"/>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5"/>
              <w:ind w:right="5"/>
              <w:jc w:val="right"/>
              <w:rPr>
                <w:sz w:val="18"/>
              </w:rPr>
            </w:pPr>
            <w:r>
              <w:rPr>
                <w:spacing w:val="-2"/>
                <w:sz w:val="18"/>
              </w:rPr>
              <w:t>0.316142</w:t>
            </w:r>
          </w:p>
        </w:tc>
      </w:tr>
      <w:tr>
        <w:trPr>
          <w:trHeight w:val="213" w:hRule="atLeast"/>
        </w:trPr>
        <w:tc>
          <w:tcPr>
            <w:tcW w:w="1925" w:type="dxa"/>
          </w:tcPr>
          <w:p>
            <w:pPr>
              <w:pStyle w:val="TableParagraph"/>
              <w:spacing w:line="187" w:lineRule="exact" w:before="6"/>
              <w:rPr>
                <w:sz w:val="18"/>
              </w:rPr>
            </w:pPr>
            <w:r>
              <w:rPr>
                <w:sz w:val="18"/>
              </w:rPr>
              <w:t>S.E.</w:t>
            </w:r>
            <w:r>
              <w:rPr>
                <w:spacing w:val="-2"/>
                <w:sz w:val="18"/>
              </w:rPr>
              <w:t> </w:t>
            </w:r>
            <w:r>
              <w:rPr>
                <w:sz w:val="18"/>
              </w:rPr>
              <w:t>of</w:t>
            </w:r>
            <w:r>
              <w:rPr>
                <w:spacing w:val="1"/>
                <w:sz w:val="18"/>
              </w:rPr>
              <w:t> </w:t>
            </w:r>
            <w:r>
              <w:rPr>
                <w:spacing w:val="-2"/>
                <w:sz w:val="18"/>
              </w:rPr>
              <w:t>regression</w:t>
            </w:r>
          </w:p>
        </w:tc>
        <w:tc>
          <w:tcPr>
            <w:tcW w:w="1290" w:type="dxa"/>
          </w:tcPr>
          <w:p>
            <w:pPr>
              <w:pStyle w:val="TableParagraph"/>
              <w:spacing w:line="187" w:lineRule="exact" w:before="6"/>
              <w:ind w:right="103"/>
              <w:jc w:val="right"/>
              <w:rPr>
                <w:sz w:val="18"/>
              </w:rPr>
            </w:pPr>
            <w:r>
              <w:rPr>
                <w:spacing w:val="-2"/>
                <w:sz w:val="18"/>
              </w:rPr>
              <w:t>0.028005</w:t>
            </w:r>
          </w:p>
        </w:tc>
        <w:tc>
          <w:tcPr>
            <w:tcW w:w="2431" w:type="dxa"/>
            <w:gridSpan w:val="2"/>
          </w:tcPr>
          <w:p>
            <w:pPr>
              <w:pStyle w:val="TableParagraph"/>
              <w:spacing w:line="187" w:lineRule="exact" w:before="6"/>
              <w:ind w:left="107"/>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87" w:lineRule="exact" w:before="6"/>
              <w:ind w:right="5"/>
              <w:jc w:val="right"/>
              <w:rPr>
                <w:sz w:val="18"/>
              </w:rPr>
            </w:pPr>
            <w:r>
              <w:rPr>
                <w:spacing w:val="-2"/>
                <w:sz w:val="18"/>
              </w:rPr>
              <w:t>0.112938</w:t>
            </w:r>
          </w:p>
        </w:tc>
      </w:tr>
    </w:tbl>
    <w:p>
      <w:pPr>
        <w:spacing w:after="0" w:line="187" w:lineRule="exact"/>
        <w:jc w:val="right"/>
        <w:rPr>
          <w:sz w:val="18"/>
        </w:rPr>
        <w:sectPr>
          <w:type w:val="continuous"/>
          <w:pgSz w:w="11910" w:h="16840"/>
          <w:pgMar w:header="0" w:footer="971" w:top="1420" w:bottom="1497" w:left="500" w:right="0"/>
        </w:sect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6"/>
        <w:gridCol w:w="1300"/>
        <w:gridCol w:w="2155"/>
        <w:gridCol w:w="1160"/>
      </w:tblGrid>
      <w:tr>
        <w:trPr>
          <w:trHeight w:val="212" w:hRule="atLeast"/>
        </w:trPr>
        <w:tc>
          <w:tcPr>
            <w:tcW w:w="1916" w:type="dxa"/>
          </w:tcPr>
          <w:p>
            <w:pPr>
              <w:pStyle w:val="TableParagraph"/>
              <w:spacing w:line="192" w:lineRule="exact"/>
              <w:rPr>
                <w:sz w:val="18"/>
              </w:rPr>
            </w:pPr>
            <w:r>
              <w:rPr>
                <w:spacing w:val="-2"/>
                <w:sz w:val="18"/>
              </w:rPr>
              <w:t>F-statistic</w:t>
            </w:r>
          </w:p>
        </w:tc>
        <w:tc>
          <w:tcPr>
            <w:tcW w:w="1300" w:type="dxa"/>
          </w:tcPr>
          <w:p>
            <w:pPr>
              <w:pStyle w:val="TableParagraph"/>
              <w:spacing w:line="192" w:lineRule="exact"/>
              <w:ind w:left="441"/>
              <w:rPr>
                <w:sz w:val="18"/>
              </w:rPr>
            </w:pPr>
            <w:r>
              <w:rPr>
                <w:spacing w:val="-2"/>
                <w:sz w:val="18"/>
              </w:rPr>
              <w:t>56.21790</w:t>
            </w:r>
          </w:p>
        </w:tc>
        <w:tc>
          <w:tcPr>
            <w:tcW w:w="2155" w:type="dxa"/>
          </w:tcPr>
          <w:p>
            <w:pPr>
              <w:pStyle w:val="TableParagraph"/>
              <w:spacing w:line="192" w:lineRule="exact"/>
              <w:ind w:left="106"/>
              <w:rPr>
                <w:sz w:val="18"/>
              </w:rPr>
            </w:pPr>
            <w:r>
              <w:rPr>
                <w:spacing w:val="-2"/>
                <w:sz w:val="18"/>
              </w:rPr>
              <w:t>Durbin-Watson</w:t>
            </w:r>
            <w:r>
              <w:rPr>
                <w:spacing w:val="13"/>
                <w:sz w:val="18"/>
              </w:rPr>
              <w:t> </w:t>
            </w:r>
            <w:r>
              <w:rPr>
                <w:spacing w:val="-4"/>
                <w:sz w:val="18"/>
              </w:rPr>
              <w:t>stat</w:t>
            </w:r>
          </w:p>
        </w:tc>
        <w:tc>
          <w:tcPr>
            <w:tcW w:w="1160" w:type="dxa"/>
          </w:tcPr>
          <w:p>
            <w:pPr>
              <w:pStyle w:val="TableParagraph"/>
              <w:spacing w:line="192" w:lineRule="exact"/>
              <w:ind w:right="6"/>
              <w:jc w:val="right"/>
              <w:rPr>
                <w:sz w:val="18"/>
              </w:rPr>
            </w:pPr>
            <w:r>
              <w:rPr>
                <w:spacing w:val="-2"/>
                <w:sz w:val="18"/>
              </w:rPr>
              <w:t>2.070751</w:t>
            </w:r>
          </w:p>
        </w:tc>
      </w:tr>
      <w:tr>
        <w:trPr>
          <w:trHeight w:val="302" w:hRule="atLeast"/>
        </w:trPr>
        <w:tc>
          <w:tcPr>
            <w:tcW w:w="1916" w:type="dxa"/>
            <w:tcBorders>
              <w:bottom w:val="double" w:sz="6" w:space="0" w:color="000000"/>
            </w:tcBorders>
          </w:tcPr>
          <w:p>
            <w:pPr>
              <w:pStyle w:val="TableParagraph"/>
              <w:spacing w:before="5"/>
              <w:rPr>
                <w:sz w:val="18"/>
              </w:rPr>
            </w:pPr>
            <w:r>
              <w:rPr>
                <w:spacing w:val="-2"/>
                <w:sz w:val="18"/>
              </w:rPr>
              <w:t>Prob(F-statistic)</w:t>
            </w:r>
          </w:p>
        </w:tc>
        <w:tc>
          <w:tcPr>
            <w:tcW w:w="1300" w:type="dxa"/>
            <w:tcBorders>
              <w:bottom w:val="double" w:sz="6" w:space="0" w:color="000000"/>
            </w:tcBorders>
          </w:tcPr>
          <w:p>
            <w:pPr>
              <w:pStyle w:val="TableParagraph"/>
              <w:spacing w:before="5"/>
              <w:ind w:left="441"/>
              <w:rPr>
                <w:sz w:val="18"/>
              </w:rPr>
            </w:pPr>
            <w:r>
              <w:rPr>
                <w:spacing w:val="-2"/>
                <w:sz w:val="18"/>
              </w:rPr>
              <w:t>0.000000</w:t>
            </w:r>
          </w:p>
        </w:tc>
        <w:tc>
          <w:tcPr>
            <w:tcW w:w="2155" w:type="dxa"/>
            <w:tcBorders>
              <w:bottom w:val="double" w:sz="6" w:space="0" w:color="000000"/>
            </w:tcBorders>
          </w:tcPr>
          <w:p>
            <w:pPr>
              <w:pStyle w:val="TableParagraph"/>
              <w:rPr>
                <w:rFonts w:ascii="Times New Roman"/>
                <w:sz w:val="18"/>
              </w:rPr>
            </w:pPr>
          </w:p>
        </w:tc>
        <w:tc>
          <w:tcPr>
            <w:tcW w:w="1160" w:type="dxa"/>
            <w:tcBorders>
              <w:bottom w:val="double" w:sz="6" w:space="0" w:color="000000"/>
            </w:tcBorders>
          </w:tcPr>
          <w:p>
            <w:pPr>
              <w:pStyle w:val="TableParagraph"/>
              <w:rPr>
                <w:rFonts w:ascii="Times New Roman"/>
                <w:sz w:val="18"/>
              </w:rPr>
            </w:pPr>
          </w:p>
        </w:tc>
      </w:tr>
      <w:tr>
        <w:trPr>
          <w:trHeight w:val="406" w:hRule="atLeast"/>
        </w:trPr>
        <w:tc>
          <w:tcPr>
            <w:tcW w:w="6531" w:type="dxa"/>
            <w:gridSpan w:val="4"/>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5" w:hRule="atLeast"/>
        </w:trPr>
        <w:tc>
          <w:tcPr>
            <w:tcW w:w="1916" w:type="dxa"/>
            <w:tcBorders>
              <w:top w:val="double" w:sz="6" w:space="0" w:color="000000"/>
            </w:tcBorders>
          </w:tcPr>
          <w:p>
            <w:pPr>
              <w:pStyle w:val="TableParagraph"/>
              <w:spacing w:line="199" w:lineRule="exact" w:before="106"/>
              <w:rPr>
                <w:sz w:val="18"/>
              </w:rPr>
            </w:pPr>
            <w:r>
              <w:rPr>
                <w:spacing w:val="-2"/>
                <w:sz w:val="18"/>
              </w:rPr>
              <w:t>R-squared</w:t>
            </w:r>
          </w:p>
        </w:tc>
        <w:tc>
          <w:tcPr>
            <w:tcW w:w="1300" w:type="dxa"/>
            <w:tcBorders>
              <w:top w:val="double" w:sz="6" w:space="0" w:color="000000"/>
            </w:tcBorders>
          </w:tcPr>
          <w:p>
            <w:pPr>
              <w:pStyle w:val="TableParagraph"/>
              <w:spacing w:line="199" w:lineRule="exact" w:before="106"/>
              <w:ind w:left="441"/>
              <w:rPr>
                <w:sz w:val="18"/>
              </w:rPr>
            </w:pPr>
            <w:r>
              <w:rPr>
                <w:spacing w:val="-2"/>
                <w:sz w:val="18"/>
              </w:rPr>
              <w:t>0.821911</w:t>
            </w:r>
          </w:p>
        </w:tc>
        <w:tc>
          <w:tcPr>
            <w:tcW w:w="2155" w:type="dxa"/>
            <w:tcBorders>
              <w:top w:val="double" w:sz="6" w:space="0" w:color="000000"/>
            </w:tcBorders>
          </w:tcPr>
          <w:p>
            <w:pPr>
              <w:pStyle w:val="TableParagraph"/>
              <w:spacing w:line="199" w:lineRule="exact"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1160" w:type="dxa"/>
            <w:tcBorders>
              <w:top w:val="double" w:sz="6" w:space="0" w:color="000000"/>
            </w:tcBorders>
          </w:tcPr>
          <w:p>
            <w:pPr>
              <w:pStyle w:val="TableParagraph"/>
              <w:spacing w:line="199" w:lineRule="exact" w:before="106"/>
              <w:ind w:right="6"/>
              <w:jc w:val="right"/>
              <w:rPr>
                <w:sz w:val="18"/>
              </w:rPr>
            </w:pPr>
            <w:r>
              <w:rPr>
                <w:spacing w:val="-2"/>
                <w:sz w:val="18"/>
              </w:rPr>
              <w:t>0.594566</w:t>
            </w:r>
          </w:p>
        </w:tc>
      </w:tr>
      <w:tr>
        <w:trPr>
          <w:trHeight w:val="303" w:hRule="atLeast"/>
        </w:trPr>
        <w:tc>
          <w:tcPr>
            <w:tcW w:w="1916" w:type="dxa"/>
            <w:tcBorders>
              <w:bottom w:val="double" w:sz="6" w:space="0" w:color="000000"/>
            </w:tcBorders>
          </w:tcPr>
          <w:p>
            <w:pPr>
              <w:pStyle w:val="TableParagraph"/>
              <w:spacing w:before="6"/>
              <w:rPr>
                <w:sz w:val="18"/>
              </w:rPr>
            </w:pPr>
            <w:r>
              <w:rPr>
                <w:sz w:val="18"/>
              </w:rPr>
              <w:t>Sum</w:t>
            </w:r>
            <w:r>
              <w:rPr>
                <w:spacing w:val="-3"/>
                <w:sz w:val="18"/>
              </w:rPr>
              <w:t> </w:t>
            </w:r>
            <w:r>
              <w:rPr>
                <w:sz w:val="18"/>
              </w:rPr>
              <w:t>squared</w:t>
            </w:r>
            <w:r>
              <w:rPr>
                <w:spacing w:val="-2"/>
                <w:sz w:val="18"/>
              </w:rPr>
              <w:t> resid</w:t>
            </w:r>
          </w:p>
        </w:tc>
        <w:tc>
          <w:tcPr>
            <w:tcW w:w="1300" w:type="dxa"/>
            <w:tcBorders>
              <w:bottom w:val="double" w:sz="6" w:space="0" w:color="000000"/>
            </w:tcBorders>
          </w:tcPr>
          <w:p>
            <w:pPr>
              <w:pStyle w:val="TableParagraph"/>
              <w:spacing w:before="6"/>
              <w:ind w:left="441"/>
              <w:rPr>
                <w:sz w:val="18"/>
              </w:rPr>
            </w:pPr>
            <w:r>
              <w:rPr>
                <w:spacing w:val="-2"/>
                <w:sz w:val="18"/>
              </w:rPr>
              <w:t>0.122297</w:t>
            </w:r>
          </w:p>
        </w:tc>
        <w:tc>
          <w:tcPr>
            <w:tcW w:w="2155" w:type="dxa"/>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1160" w:type="dxa"/>
            <w:tcBorders>
              <w:bottom w:val="double" w:sz="6" w:space="0" w:color="000000"/>
            </w:tcBorders>
          </w:tcPr>
          <w:p>
            <w:pPr>
              <w:pStyle w:val="TableParagraph"/>
              <w:spacing w:before="6"/>
              <w:ind w:right="6"/>
              <w:jc w:val="right"/>
              <w:rPr>
                <w:sz w:val="18"/>
              </w:rPr>
            </w:pPr>
            <w:r>
              <w:rPr>
                <w:spacing w:val="-2"/>
                <w:sz w:val="18"/>
              </w:rPr>
              <w:t>2.039363</w:t>
            </w:r>
          </w:p>
        </w:tc>
      </w:tr>
      <w:tr>
        <w:trPr>
          <w:trHeight w:val="403" w:hRule="atLeast"/>
        </w:trPr>
        <w:tc>
          <w:tcPr>
            <w:tcW w:w="1916" w:type="dxa"/>
            <w:tcBorders>
              <w:top w:val="double" w:sz="6" w:space="0" w:color="000000"/>
              <w:bottom w:val="double" w:sz="6" w:space="0" w:color="000000"/>
            </w:tcBorders>
          </w:tcPr>
          <w:p>
            <w:pPr>
              <w:pStyle w:val="TableParagraph"/>
              <w:spacing w:before="108"/>
              <w:rPr>
                <w:sz w:val="18"/>
              </w:rPr>
            </w:pPr>
            <w:r>
              <w:rPr>
                <w:sz w:val="18"/>
              </w:rPr>
              <w:t>Inverted</w:t>
            </w:r>
            <w:r>
              <w:rPr>
                <w:spacing w:val="-3"/>
                <w:sz w:val="18"/>
              </w:rPr>
              <w:t> </w:t>
            </w:r>
            <w:r>
              <w:rPr>
                <w:sz w:val="18"/>
              </w:rPr>
              <w:t>AR</w:t>
            </w:r>
            <w:r>
              <w:rPr>
                <w:spacing w:val="-2"/>
                <w:sz w:val="18"/>
              </w:rPr>
              <w:t> Roots</w:t>
            </w:r>
          </w:p>
        </w:tc>
        <w:tc>
          <w:tcPr>
            <w:tcW w:w="1300" w:type="dxa"/>
            <w:tcBorders>
              <w:top w:val="double" w:sz="6" w:space="0" w:color="000000"/>
              <w:bottom w:val="double" w:sz="6" w:space="0" w:color="000000"/>
            </w:tcBorders>
          </w:tcPr>
          <w:p>
            <w:pPr>
              <w:pStyle w:val="TableParagraph"/>
              <w:spacing w:before="108"/>
              <w:ind w:left="402"/>
              <w:rPr>
                <w:sz w:val="18"/>
              </w:rPr>
            </w:pPr>
            <w:r>
              <w:rPr>
                <w:spacing w:val="-5"/>
                <w:sz w:val="18"/>
              </w:rPr>
              <w:t>.50</w:t>
            </w:r>
          </w:p>
        </w:tc>
        <w:tc>
          <w:tcPr>
            <w:tcW w:w="2155" w:type="dxa"/>
            <w:tcBorders>
              <w:top w:val="double" w:sz="6" w:space="0" w:color="000000"/>
              <w:bottom w:val="double" w:sz="6" w:space="0" w:color="000000"/>
            </w:tcBorders>
          </w:tcPr>
          <w:p>
            <w:pPr>
              <w:pStyle w:val="TableParagraph"/>
              <w:spacing w:before="108"/>
              <w:ind w:left="406"/>
              <w:rPr>
                <w:sz w:val="18"/>
              </w:rPr>
            </w:pPr>
            <w:r>
              <w:rPr>
                <w:spacing w:val="-5"/>
                <w:sz w:val="18"/>
              </w:rPr>
              <w:t>.09</w:t>
            </w:r>
          </w:p>
        </w:tc>
        <w:tc>
          <w:tcPr>
            <w:tcW w:w="1160" w:type="dxa"/>
            <w:tcBorders>
              <w:top w:val="double" w:sz="6" w:space="0" w:color="000000"/>
              <w:bottom w:val="double" w:sz="6" w:space="0" w:color="000000"/>
            </w:tcBorders>
          </w:tcPr>
          <w:p>
            <w:pPr>
              <w:pStyle w:val="TableParagraph"/>
              <w:rPr>
                <w:rFonts w:ascii="Times New Roman"/>
                <w:sz w:val="18"/>
              </w:rPr>
            </w:pPr>
          </w:p>
        </w:tc>
      </w:tr>
    </w:tbl>
    <w:p>
      <w:pPr>
        <w:pStyle w:val="BodyText"/>
        <w:rPr>
          <w:b/>
          <w:i/>
        </w:rPr>
      </w:pPr>
    </w:p>
    <w:p>
      <w:pPr>
        <w:pStyle w:val="BodyText"/>
        <w:rPr>
          <w:b/>
          <w:i/>
        </w:rPr>
      </w:pPr>
    </w:p>
    <w:p>
      <w:pPr>
        <w:pStyle w:val="BodyText"/>
        <w:spacing w:before="119"/>
        <w:rPr>
          <w:b/>
          <w:i/>
        </w:rPr>
      </w:pPr>
    </w:p>
    <w:p>
      <w:pPr>
        <w:spacing w:before="0" w:after="19"/>
        <w:ind w:left="940" w:right="1436" w:firstLine="0"/>
        <w:jc w:val="left"/>
        <w:rPr>
          <w:b/>
          <w:i/>
          <w:sz w:val="24"/>
        </w:rPr>
      </w:pPr>
      <w:r>
        <w:rPr/>
        <mc:AlternateContent>
          <mc:Choice Requires="wps">
            <w:drawing>
              <wp:anchor distT="0" distB="0" distL="0" distR="0" allowOverlap="1" layoutInCell="1" locked="0" behindDoc="1" simplePos="0" relativeHeight="477784064">
                <wp:simplePos x="0" y="0"/>
                <wp:positionH relativeFrom="page">
                  <wp:posOffset>1269060</wp:posOffset>
                </wp:positionH>
                <wp:positionV relativeFrom="paragraph">
                  <wp:posOffset>-141814</wp:posOffset>
                </wp:positionV>
                <wp:extent cx="4933315" cy="4976495"/>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4933315" cy="4976495"/>
                          <a:chExt cx="4933315" cy="4976495"/>
                        </a:xfrm>
                      </wpg:grpSpPr>
                      <wps:wsp>
                        <wps:cNvPr id="296" name="Graphic 296"/>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297" name="Image 297"/>
                          <pic:cNvPicPr/>
                        </pic:nvPicPr>
                        <pic:blipFill>
                          <a:blip r:embed="rId9" cstate="print"/>
                          <a:stretch>
                            <a:fillRect/>
                          </a:stretch>
                        </pic:blipFill>
                        <pic:spPr>
                          <a:xfrm>
                            <a:off x="1248333" y="3743197"/>
                            <a:ext cx="221995" cy="221614"/>
                          </a:xfrm>
                          <a:prstGeom prst="rect">
                            <a:avLst/>
                          </a:prstGeom>
                        </pic:spPr>
                      </pic:pic>
                      <wps:wsp>
                        <wps:cNvPr id="298" name="Graphic 298"/>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11.166485pt;width:388.45pt;height:391.85pt;mso-position-horizontal-relative:page;mso-position-vertical-relative:paragraph;z-index:-25532416" id="docshapegroup102" coordorigin="1999,-223" coordsize="7769,7837">
                <v:shape style="position:absolute;left:1998;top:5595;width:2142;height:2018" id="docshape103" coordorigin="1999,5596" coordsize="2142,2018" path="m3420,7306l3419,7264,3412,7221,3400,7177,3383,7132,3362,7086,3335,7039,3304,6992,3268,6945,3227,6897,3181,6848,2526,6193,2521,6190,2511,6186,2501,6187,2495,6189,2489,6192,2482,6196,2475,6201,2467,6208,2449,6225,2438,6240,2434,6247,2431,6254,2429,6259,2427,6265,2428,6270,2431,6280,2435,6285,3090,6940,3124,6976,3154,7010,3181,7044,3204,7076,3223,7109,3239,7140,3252,7170,3261,7199,3266,7227,3268,7255,3267,7281,3262,7306,3254,7331,3243,7354,3227,7375,3209,7396,3189,7414,3167,7428,3144,7439,3120,7447,3095,7452,3068,7453,3040,7451,3012,7445,2982,7436,2951,7424,2919,7408,2886,7388,2852,7364,2817,7337,2782,7305,2745,7270,2097,6622,2092,6619,2083,6615,2078,6615,2072,6616,2067,6618,2060,6621,2053,6625,2038,6637,2020,6654,2014,6662,2009,6669,2002,6683,2000,6688,1999,6694,1999,6699,2002,6709,2006,6713,2671,7379,2720,7425,2768,7466,2815,7502,2862,7534,2908,7560,2953,7580,2996,7596,3038,7606,3080,7612,3119,7613,3157,7610,3195,7601,3230,7589,3263,7571,3295,7549,3324,7523,3353,7491,3377,7457,3395,7422,3408,7384,3417,7346,3420,7306xm4140,6533l4134,6479,4120,6424,4100,6368,4073,6310,4041,6250,4002,6189,3983,6163,3983,6511,3983,6550,3977,6587,3963,6622,3943,6655,3916,6685,3885,6713,3852,6733,3819,6747,3783,6754,3747,6756,3709,6753,3670,6744,3630,6730,3589,6711,3547,6688,3504,6660,3460,6627,3415,6592,3370,6552,3324,6510,3277,6465,3236,6422,3197,6379,3160,6336,3126,6292,3095,6249,3068,6206,3046,6163,3028,6121,3013,6081,3004,6041,3000,6002,3001,5964,3007,5927,3020,5892,3040,5860,3067,5829,3097,5802,3130,5782,3163,5768,3199,5760,3236,5759,3274,5762,3313,5771,3353,5784,3394,5804,3436,5826,3479,5853,3523,5885,3567,5920,3612,5958,3657,6000,3702,6043,3744,6087,3783,6130,3820,6174,3855,6218,3887,6262,3914,6305,3936,6348,3955,6390,3970,6431,3979,6472,3983,6511,3983,6163,3957,6127,3907,6064,3851,6001,3789,5936,3725,5875,3662,5819,3601,5769,3588,5759,3541,5725,3483,5687,3426,5656,3371,5631,3317,5613,3265,5601,3215,5596,3167,5597,3120,5604,3075,5618,3032,5639,2991,5667,2952,5702,2916,5743,2887,5786,2866,5831,2852,5879,2846,5929,2845,5981,2852,6034,2865,6088,2885,6145,2911,6203,2943,6263,2981,6323,3025,6384,3075,6446,3130,6509,3190,6572,3255,6635,3319,6691,3381,6742,3441,6787,3500,6825,3557,6857,3613,6882,3666,6901,3718,6913,3768,6919,3817,6918,3864,6911,3910,6897,3953,6876,3995,6848,4035,6813,4071,6772,4081,6756,4099,6729,4120,6683,4133,6635,4140,6585,4140,6533xe" filled="true" fillcolor="#c0c0c0" stroked="false">
                  <v:path arrowok="t"/>
                  <v:fill opacity="32896f" type="solid"/>
                </v:shape>
                <v:shape style="position:absolute;left:3964;top:5671;width:350;height:349" type="#_x0000_t75" id="docshape104" stroked="false">
                  <v:imagedata r:id="rId9" o:title=""/>
                </v:shape>
                <v:shape style="position:absolute;left:3758;top:-224;width:6009;height:6216" id="docshape105" coordorigin="3759,-223" coordsize="6009,6216" path="m4895,5912l4895,5907,4892,5898,4888,5893,4884,5889,3857,4862,3852,4859,3843,4855,3838,4855,3832,4856,3826,4858,3821,4861,3813,4865,3806,4870,3798,4877,3781,4894,3770,4908,3762,4922,3760,4927,3759,4934,3759,4939,3762,4949,3765,4954,4796,5985,4801,5988,4811,5992,4815,5992,4821,5990,4827,5989,4833,5986,4841,5981,4848,5976,4856,5970,4873,5952,4880,5944,4885,5937,4889,5930,4892,5924,4893,5917,4895,5912xm5170,5632l5169,5627,5167,5622,5163,5618,5159,5614,4775,5230,4854,5152,4883,5119,4887,5114,4907,5086,4926,5052,4939,5017,4948,4981,4952,4945,4952,4907,4947,4869,4938,4830,4925,4791,4908,4751,4886,4710,4861,4670,4831,4630,4800,4593,4800,4901,4799,4923,4795,4945,4787,4967,4776,4989,4761,5010,4742,5031,4659,5114,4232,4686,4317,4602,4329,4590,4342,4579,4356,4569,4371,4559,4387,4551,4405,4544,4425,4540,4446,4538,4469,4539,4494,4544,4521,4552,4550,4564,4580,4581,4610,4602,4642,4627,4674,4657,4697,4682,4718,4706,4736,4730,4753,4755,4767,4780,4779,4805,4788,4830,4795,4853,4799,4877,4800,4901,4800,4593,4797,4590,4759,4549,4748,4538,4729,4521,4699,4495,4669,4471,4638,4450,4608,4432,4578,4417,4549,4404,4520,4394,4491,4386,4462,4381,4434,4379,4406,4379,4380,4381,4356,4386,4334,4392,4314,4400,4296,4410,4280,4419,4266,4428,4253,4437,4241,4446,4230,4456,4218,4466,4207,4477,4059,4625,4054,4633,4050,4642,4048,4652,4048,4664,4052,4677,4059,4691,4069,4706,4084,4722,5067,5705,5071,5710,5076,5713,5081,5715,5086,5716,5091,5717,5096,5715,5102,5714,5109,5710,5116,5706,5123,5701,5131,5695,5149,5677,5155,5669,5160,5662,5165,5654,5167,5649,5168,5642,5170,5637,5170,5632xm5863,4944l5863,4939,5860,4930,5856,4925,4928,3997,5125,3800,5127,3797,5127,3792,5126,3787,5125,3781,5122,3775,5119,3769,5114,3762,5092,3736,5081,3725,5070,3715,5061,3706,5044,3692,5036,3686,5023,3679,5018,3678,5008,3678,5005,3680,4519,4165,4517,4169,4518,4173,4517,4179,4519,4183,4526,4196,4531,4204,4538,4212,4545,4221,4554,4231,4575,4252,4585,4261,4593,4267,4601,4274,4609,4280,4621,4285,4626,4287,4631,4287,4636,4287,4639,4285,4836,4089,5764,5017,5769,5020,5779,5024,5783,5024,5789,5022,5795,5021,5809,5013,5824,5002,5842,4984,5848,4976,5853,4969,5857,4962,5860,4956,5861,4949,5863,4944xm6396,4412l6395,4407,6392,4397,6388,4393,5460,3465,5657,3268,5659,3264,5659,3259,5658,3249,5652,3237,5646,3229,5639,3221,5624,3204,5613,3193,5603,3182,5576,3159,5569,3154,5556,3147,5550,3146,5545,3146,5540,3146,5537,3148,5052,3633,5050,3637,5050,3641,5050,3646,5052,3651,5058,3664,5064,3672,5071,3680,5078,3689,5086,3699,5108,3720,5117,3729,5126,3735,5134,3742,5141,3747,5154,3753,5158,3755,5164,3755,5168,3755,5172,3753,5369,3556,6297,4484,6301,4488,6311,4491,6316,4492,6321,4490,6327,4489,6341,4481,6348,4476,6356,4469,6374,4452,6386,4437,6392,4423,6394,4417,6396,4412xm7102,3571l7095,3518,7081,3462,7061,3406,7035,3348,7003,3289,6964,3228,6945,3202,6945,3550,6945,3588,6938,3625,6925,3660,6905,3693,6878,3724,6847,3751,6814,3772,6780,3785,6745,3792,6708,3795,6671,3791,6632,3783,6591,3768,6551,3749,6509,3726,6466,3698,6422,3666,6377,3630,6332,3591,6285,3548,6239,3503,6198,3460,6159,3417,6122,3374,6087,3330,6056,3287,6030,3244,6008,3202,5989,3160,5975,3119,5966,3079,5962,3040,5963,3002,5969,2965,5982,2930,6002,2898,6028,2867,6059,2840,6091,2820,6125,2806,6161,2799,6198,2797,6236,2801,6275,2809,6315,2823,6356,2842,6398,2865,6441,2892,6484,2923,6529,2958,6573,2997,6618,3038,6663,3082,6705,3125,6745,3169,6782,3212,6817,3256,6848,3300,6875,3343,6898,3386,6917,3428,6932,3469,6941,3510,6945,3550,6945,3202,6919,3166,6869,3103,6812,3039,6751,2975,6687,2913,6624,2857,6563,2807,6549,2797,6503,2763,6444,2726,6388,2695,6332,2670,6279,2651,6227,2639,6177,2634,6129,2635,6081,2643,6036,2656,5993,2677,5952,2705,5913,2740,5877,2781,5849,2824,5828,2869,5814,2917,5807,2967,5807,3019,5813,3072,5826,3127,5846,3183,5872,3241,5904,3301,5942,3361,5987,3423,6036,3485,6091,3547,6152,3610,6217,3673,6280,3730,6342,3780,6403,3825,6462,3863,6519,3895,6574,3920,6628,3939,6680,3952,6730,3957,6778,3956,6826,3949,6871,3936,6915,3915,6957,3886,6996,3851,7032,3810,7042,3795,7061,3767,7082,3721,7095,3673,7102,3623,7102,3571xm8054,2644l8054,2616,8054,2606,8052,2597,8050,2588,8048,2581,8043,2570,8040,2565,8036,2559,8014,2533,7998,2516,7980,2500,7957,2478,7943,2469,7938,2466,7933,2464,7927,2464,7924,2465,7916,2473,7913,2486,7915,2506,7916,2521,7916,2538,7915,2556,7914,2576,7912,2597,7909,2618,7903,2641,7897,2664,7887,2687,7875,2709,7859,2731,7840,2751,7815,2774,7787,2791,7757,2804,7726,2812,7692,2816,7657,2815,7620,2809,7582,2798,7542,2782,7500,2763,7456,2738,7411,2708,7364,2674,7317,2635,7268,2592,7218,2544,7169,2493,7125,2444,7086,2395,7051,2347,7021,2301,6995,2256,6974,2213,6958,2172,6945,2132,6938,2093,6936,2057,6938,2023,6945,1991,6957,1962,6973,1935,6995,1911,7016,1891,7038,1875,7060,1863,7083,1854,7106,1848,7128,1843,7149,1840,7170,1837,7189,1837,7224,1838,7239,1839,7259,1841,7272,1839,7279,1832,7280,1828,7280,1823,7279,1819,7277,1814,7270,1800,7258,1784,7242,1766,7213,1737,7197,1723,7190,1718,7184,1713,7173,1706,7161,1701,7153,1698,7141,1695,7130,1694,7118,1693,7087,1694,7069,1695,7050,1697,7032,1701,7013,1706,6995,1712,6976,1719,6957,1727,6939,1736,6921,1746,6904,1758,6888,1771,6872,1786,6841,1821,6817,1860,6799,1902,6787,1947,6782,1995,6782,2045,6788,2098,6801,2152,6820,2209,6846,2268,6877,2329,6915,2390,6959,2454,7010,2518,7066,2583,7129,2649,7193,2711,7256,2766,7318,2814,7378,2856,7437,2893,7494,2923,7550,2947,7604,2965,7655,2977,7705,2982,7753,2981,7798,2975,7841,2962,7881,2944,7919,2919,7954,2888,7972,2869,7989,2848,8003,2827,8015,2806,8025,2783,8033,2762,8040,2740,8045,2719,8049,2699,8052,2680,8054,2662,8054,2644xm8654,2019l8648,1965,8634,1910,8614,1853,8588,1795,8555,1736,8517,1675,8498,1649,8498,1997,8497,2035,8491,2072,8477,2107,8457,2140,8430,2171,8399,2198,8367,2219,8333,2233,8297,2240,8261,2242,8223,2239,8184,2230,8144,2215,8103,2197,8061,2173,8018,2146,7974,2113,7930,2077,7884,2038,7838,1996,7791,1950,7750,1908,7711,1865,7675,1821,7640,1778,7609,1734,7583,1691,7560,1649,7542,1607,7528,1566,7519,1526,7515,1487,7515,1449,7521,1413,7534,1378,7554,1345,7581,1314,7612,1288,7644,1267,7678,1254,7713,1246,7750,1245,7788,1248,7827,1256,7867,1270,7909,1289,7951,1312,7993,1339,8037,1370,8081,1406,8126,1444,8171,1485,8216,1529,8258,1573,8297,1616,8334,1660,8369,1704,8401,1747,8428,1791,8451,1834,8469,1875,8484,1917,8493,1957,8498,1997,8498,1649,8472,1613,8421,1550,8365,1487,8303,1422,8239,1360,8176,1305,8115,1255,8102,1245,8055,1211,7997,1173,7940,1142,7885,1117,7831,1099,7780,1087,7730,1082,7681,1083,7634,1090,7589,1104,7546,1125,7505,1153,7466,1187,7430,1228,7401,1271,7380,1317,7366,1364,7360,1415,7360,1466,7366,1520,7379,1574,7399,1631,7425,1689,7457,1748,7495,1809,7539,1870,7589,1932,7644,1995,7704,2057,7769,2120,7833,2177,7895,2228,7955,2272,8014,2311,8072,2342,8127,2368,8181,2386,8232,2399,8282,2405,8331,2404,8378,2396,8424,2383,8468,2362,8509,2334,8549,2298,8585,2258,8595,2242,8613,2214,8634,2169,8647,2120,8654,2071,8654,2019xm9075,1728l9073,1723,9071,1718,9068,1713,8680,1325,8758,1247,8788,1215,8792,1209,8812,1181,8831,1147,8844,1112,8852,1076,8857,1041,8857,1002,8852,964,8843,925,8830,886,8813,846,8791,806,8765,766,8736,725,8705,689,8705,996,8704,1019,8699,1041,8692,1063,8681,1084,8665,1106,8647,1126,8564,1209,8136,782,8221,697,8233,686,8247,675,8261,664,8276,654,8292,646,8310,640,8330,636,8351,633,8374,634,8399,639,8426,648,8455,660,8484,676,8515,697,8547,723,8579,753,8602,777,8623,801,8641,826,8658,851,8672,876,8684,901,8693,925,8699,949,8704,973,8705,996,8705,689,8702,685,8664,645,8652,633,8634,616,8604,590,8573,566,8543,545,8513,527,8483,512,8453,500,8424,489,8395,481,8367,477,8339,474,8311,474,8284,477,8260,481,8238,488,8218,496,8201,505,8185,515,8170,524,8158,532,8146,541,8135,551,8123,562,8112,573,7964,720,7958,728,7955,737,7953,748,7953,760,7956,773,7963,787,7974,802,7989,818,8972,1801,8976,1805,8981,1808,8990,1812,8995,1812,9001,1810,9007,1809,9021,1802,9028,1797,9035,1790,9053,1772,9060,1764,9065,1757,9069,1750,9072,1744,9073,1738,9075,1733,9075,1728xm9767,1040l9767,1035,9764,1026,9760,1021,9363,624,9289,479,9068,45,8957,-172,8941,-202,8936,-209,8929,-217,8923,-220,8910,-223,8902,-220,8893,-215,8886,-210,8870,-195,8852,-177,8845,-169,8835,-155,8832,-149,8830,-144,8829,-138,8829,-133,8831,-127,8833,-121,8836,-115,8840,-108,8876,-41,8981,162,9052,296,9151,474,9186,533,9185,534,8944,400,8877,364,8542,189,8534,185,8528,183,8523,180,8517,179,8505,181,8500,183,8493,187,8469,206,8446,228,8438,238,8426,254,8423,261,8426,275,8430,281,8445,292,8454,298,8475,310,8620,384,9055,605,9272,716,9668,1113,9673,1116,9678,1118,9682,1120,9687,1120,9693,1118,9699,1117,9713,1109,9720,1104,9727,1098,9745,1081,9752,1072,9757,1065,9761,1058,9764,1052,9765,1045,9767,1040xe" filled="true" fillcolor="#c0c0c0" stroked="false">
                  <v:path arrowok="t"/>
                  <v:fill opacity="32896f" type="solid"/>
                </v:shape>
                <w10:wrap type="none"/>
              </v:group>
            </w:pict>
          </mc:Fallback>
        </mc:AlternateContent>
      </w:r>
      <w:r>
        <w:rPr>
          <w:b/>
          <w:sz w:val="24"/>
        </w:rPr>
        <w:t>Appendix</w:t>
      </w:r>
      <w:r>
        <w:rPr>
          <w:b/>
          <w:spacing w:val="35"/>
          <w:sz w:val="24"/>
        </w:rPr>
        <w:t> </w:t>
      </w:r>
      <w:r>
        <w:rPr>
          <w:b/>
          <w:sz w:val="24"/>
        </w:rPr>
        <w:t>10:</w:t>
      </w:r>
      <w:r>
        <w:rPr>
          <w:b/>
          <w:spacing w:val="34"/>
          <w:sz w:val="24"/>
        </w:rPr>
        <w:t> </w:t>
      </w:r>
      <w:r>
        <w:rPr>
          <w:b/>
          <w:sz w:val="24"/>
        </w:rPr>
        <w:t>Table</w:t>
      </w:r>
      <w:r>
        <w:rPr>
          <w:b/>
          <w:spacing w:val="34"/>
          <w:sz w:val="24"/>
        </w:rPr>
        <w:t> </w:t>
      </w:r>
      <w:r>
        <w:rPr>
          <w:b/>
          <w:sz w:val="24"/>
        </w:rPr>
        <w:t>4.6:</w:t>
      </w:r>
      <w:r>
        <w:rPr>
          <w:b/>
          <w:spacing w:val="80"/>
          <w:sz w:val="24"/>
        </w:rPr>
        <w:t> </w:t>
      </w:r>
      <w:r>
        <w:rPr>
          <w:b/>
          <w:sz w:val="24"/>
        </w:rPr>
        <w:t>QUA-FRQ</w:t>
      </w:r>
      <w:r>
        <w:rPr>
          <w:b/>
          <w:spacing w:val="35"/>
          <w:sz w:val="24"/>
        </w:rPr>
        <w:t> </w:t>
      </w:r>
      <w:r>
        <w:rPr>
          <w:b/>
          <w:sz w:val="24"/>
        </w:rPr>
        <w:t>and</w:t>
      </w:r>
      <w:r>
        <w:rPr>
          <w:b/>
          <w:spacing w:val="35"/>
          <w:sz w:val="24"/>
        </w:rPr>
        <w:t> </w:t>
      </w:r>
      <w:r>
        <w:rPr>
          <w:b/>
          <w:sz w:val="24"/>
        </w:rPr>
        <w:t>Board</w:t>
      </w:r>
      <w:r>
        <w:rPr>
          <w:b/>
          <w:spacing w:val="35"/>
          <w:sz w:val="24"/>
        </w:rPr>
        <w:t> </w:t>
      </w:r>
      <w:r>
        <w:rPr>
          <w:b/>
          <w:sz w:val="24"/>
        </w:rPr>
        <w:t>Structure</w:t>
      </w:r>
      <w:r>
        <w:rPr>
          <w:b/>
          <w:spacing w:val="34"/>
          <w:sz w:val="24"/>
        </w:rPr>
        <w:t> </w:t>
      </w:r>
      <w:r>
        <w:rPr>
          <w:b/>
          <w:sz w:val="24"/>
        </w:rPr>
        <w:t>Regression</w:t>
      </w:r>
      <w:r>
        <w:rPr>
          <w:b/>
          <w:spacing w:val="40"/>
          <w:sz w:val="24"/>
        </w:rPr>
        <w:t> </w:t>
      </w:r>
      <w:r>
        <w:rPr>
          <w:b/>
          <w:i/>
          <w:sz w:val="24"/>
        </w:rPr>
        <w:t>Result</w:t>
      </w:r>
      <w:r>
        <w:rPr>
          <w:b/>
          <w:i/>
          <w:spacing w:val="35"/>
          <w:sz w:val="24"/>
        </w:rPr>
        <w:t> </w:t>
      </w:r>
      <w:r>
        <w:rPr>
          <w:b/>
          <w:i/>
          <w:sz w:val="24"/>
        </w:rPr>
        <w:t>random </w:t>
      </w:r>
      <w:r>
        <w:rPr>
          <w:b/>
          <w:i/>
          <w:spacing w:val="-2"/>
          <w:sz w:val="24"/>
        </w:rPr>
        <w:t>effects)</w:t>
      </w: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0"/>
        <w:gridCol w:w="1257"/>
        <w:gridCol w:w="1301"/>
        <w:gridCol w:w="1132"/>
        <w:gridCol w:w="885"/>
      </w:tblGrid>
      <w:tr>
        <w:trPr>
          <w:trHeight w:val="213" w:hRule="atLeast"/>
        </w:trPr>
        <w:tc>
          <w:tcPr>
            <w:tcW w:w="6535"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4" w:hRule="atLeast"/>
        </w:trPr>
        <w:tc>
          <w:tcPr>
            <w:tcW w:w="6535" w:type="dxa"/>
            <w:gridSpan w:val="5"/>
          </w:tcPr>
          <w:p>
            <w:pPr>
              <w:pStyle w:val="TableParagraph"/>
              <w:spacing w:line="198" w:lineRule="exact" w:before="6"/>
              <w:rPr>
                <w:sz w:val="18"/>
              </w:rPr>
            </w:pPr>
            <w:r>
              <w:rPr>
                <w:sz w:val="18"/>
              </w:rPr>
              <w:t>Method:</w:t>
            </w:r>
            <w:r>
              <w:rPr>
                <w:spacing w:val="-6"/>
                <w:sz w:val="18"/>
              </w:rPr>
              <w:t> </w:t>
            </w:r>
            <w:r>
              <w:rPr>
                <w:sz w:val="18"/>
              </w:rPr>
              <w:t>Panel</w:t>
            </w:r>
            <w:r>
              <w:rPr>
                <w:spacing w:val="-4"/>
                <w:sz w:val="18"/>
              </w:rPr>
              <w:t> </w:t>
            </w:r>
            <w:r>
              <w:rPr>
                <w:sz w:val="18"/>
              </w:rPr>
              <w:t>EGLS</w:t>
            </w:r>
            <w:r>
              <w:rPr>
                <w:spacing w:val="-8"/>
                <w:sz w:val="18"/>
              </w:rPr>
              <w:t> </w:t>
            </w:r>
            <w:r>
              <w:rPr>
                <w:sz w:val="18"/>
              </w:rPr>
              <w:t>(Period</w:t>
            </w:r>
            <w:r>
              <w:rPr>
                <w:spacing w:val="-4"/>
                <w:sz w:val="18"/>
              </w:rPr>
              <w:t> </w:t>
            </w:r>
            <w:r>
              <w:rPr>
                <w:sz w:val="18"/>
              </w:rPr>
              <w:t>random</w:t>
            </w:r>
            <w:r>
              <w:rPr>
                <w:spacing w:val="-3"/>
                <w:sz w:val="18"/>
              </w:rPr>
              <w:t> </w:t>
            </w:r>
            <w:r>
              <w:rPr>
                <w:spacing w:val="-2"/>
                <w:sz w:val="18"/>
              </w:rPr>
              <w:t>effects)</w:t>
            </w:r>
          </w:p>
        </w:tc>
      </w:tr>
      <w:tr>
        <w:trPr>
          <w:trHeight w:val="224" w:hRule="atLeast"/>
        </w:trPr>
        <w:tc>
          <w:tcPr>
            <w:tcW w:w="6535" w:type="dxa"/>
            <w:gridSpan w:val="5"/>
          </w:tcPr>
          <w:p>
            <w:pPr>
              <w:pStyle w:val="TableParagraph"/>
              <w:spacing w:line="199" w:lineRule="exact" w:before="5"/>
              <w:rPr>
                <w:sz w:val="18"/>
              </w:rPr>
            </w:pPr>
            <w:r>
              <w:rPr>
                <w:sz w:val="18"/>
              </w:rPr>
              <w:t>Date:</w:t>
            </w:r>
            <w:r>
              <w:rPr>
                <w:spacing w:val="-3"/>
                <w:sz w:val="18"/>
              </w:rPr>
              <w:t> </w:t>
            </w:r>
            <w:r>
              <w:rPr>
                <w:sz w:val="18"/>
              </w:rPr>
              <w:t>04/22/21</w:t>
            </w:r>
            <w:r>
              <w:rPr>
                <w:spacing w:val="65"/>
                <w:w w:val="150"/>
                <w:sz w:val="18"/>
              </w:rPr>
              <w:t> </w:t>
            </w:r>
            <w:r>
              <w:rPr>
                <w:sz w:val="18"/>
              </w:rPr>
              <w:t>Time:</w:t>
            </w:r>
            <w:r>
              <w:rPr>
                <w:spacing w:val="-2"/>
                <w:sz w:val="18"/>
              </w:rPr>
              <w:t> </w:t>
            </w:r>
            <w:r>
              <w:rPr>
                <w:spacing w:val="-4"/>
                <w:sz w:val="18"/>
              </w:rPr>
              <w:t>08:15</w:t>
            </w:r>
          </w:p>
        </w:tc>
      </w:tr>
      <w:tr>
        <w:trPr>
          <w:trHeight w:val="225" w:hRule="atLeast"/>
        </w:trPr>
        <w:tc>
          <w:tcPr>
            <w:tcW w:w="1960"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57" w:type="dxa"/>
          </w:tcPr>
          <w:p>
            <w:pPr>
              <w:pStyle w:val="TableParagraph"/>
              <w:rPr>
                <w:rFonts w:ascii="Times New Roman"/>
                <w:sz w:val="16"/>
              </w:rPr>
            </w:pPr>
          </w:p>
        </w:tc>
        <w:tc>
          <w:tcPr>
            <w:tcW w:w="1301" w:type="dxa"/>
          </w:tcPr>
          <w:p>
            <w:pPr>
              <w:pStyle w:val="TableParagraph"/>
              <w:rPr>
                <w:rFonts w:ascii="Times New Roman"/>
                <w:sz w:val="16"/>
              </w:rPr>
            </w:pPr>
          </w:p>
        </w:tc>
        <w:tc>
          <w:tcPr>
            <w:tcW w:w="1132" w:type="dxa"/>
          </w:tcPr>
          <w:p>
            <w:pPr>
              <w:pStyle w:val="TableParagraph"/>
              <w:rPr>
                <w:rFonts w:ascii="Times New Roman"/>
                <w:sz w:val="16"/>
              </w:rPr>
            </w:pPr>
          </w:p>
        </w:tc>
        <w:tc>
          <w:tcPr>
            <w:tcW w:w="885" w:type="dxa"/>
          </w:tcPr>
          <w:p>
            <w:pPr>
              <w:pStyle w:val="TableParagraph"/>
              <w:rPr>
                <w:rFonts w:ascii="Times New Roman"/>
                <w:sz w:val="16"/>
              </w:rPr>
            </w:pPr>
          </w:p>
        </w:tc>
      </w:tr>
      <w:tr>
        <w:trPr>
          <w:trHeight w:val="225" w:hRule="atLeast"/>
        </w:trPr>
        <w:tc>
          <w:tcPr>
            <w:tcW w:w="1960"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57" w:type="dxa"/>
          </w:tcPr>
          <w:p>
            <w:pPr>
              <w:pStyle w:val="TableParagraph"/>
              <w:rPr>
                <w:rFonts w:ascii="Times New Roman"/>
                <w:sz w:val="16"/>
              </w:rPr>
            </w:pPr>
          </w:p>
        </w:tc>
        <w:tc>
          <w:tcPr>
            <w:tcW w:w="1301" w:type="dxa"/>
          </w:tcPr>
          <w:p>
            <w:pPr>
              <w:pStyle w:val="TableParagraph"/>
              <w:rPr>
                <w:rFonts w:ascii="Times New Roman"/>
                <w:sz w:val="16"/>
              </w:rPr>
            </w:pPr>
          </w:p>
        </w:tc>
        <w:tc>
          <w:tcPr>
            <w:tcW w:w="1132" w:type="dxa"/>
          </w:tcPr>
          <w:p>
            <w:pPr>
              <w:pStyle w:val="TableParagraph"/>
              <w:rPr>
                <w:rFonts w:ascii="Times New Roman"/>
                <w:sz w:val="16"/>
              </w:rPr>
            </w:pPr>
          </w:p>
        </w:tc>
        <w:tc>
          <w:tcPr>
            <w:tcW w:w="885" w:type="dxa"/>
          </w:tcPr>
          <w:p>
            <w:pPr>
              <w:pStyle w:val="TableParagraph"/>
              <w:rPr>
                <w:rFonts w:ascii="Times New Roman"/>
                <w:sz w:val="16"/>
              </w:rPr>
            </w:pPr>
          </w:p>
        </w:tc>
      </w:tr>
      <w:tr>
        <w:trPr>
          <w:trHeight w:val="224" w:hRule="atLeast"/>
        </w:trPr>
        <w:tc>
          <w:tcPr>
            <w:tcW w:w="6535" w:type="dxa"/>
            <w:gridSpan w:val="5"/>
          </w:tcPr>
          <w:p>
            <w:pPr>
              <w:pStyle w:val="TableParagraph"/>
              <w:spacing w:line="198"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5" w:type="dxa"/>
            <w:gridSpan w:val="5"/>
          </w:tcPr>
          <w:p>
            <w:pPr>
              <w:pStyle w:val="TableParagraph"/>
              <w:spacing w:line="199" w:lineRule="exact" w:before="5"/>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303" w:hRule="atLeast"/>
        </w:trPr>
        <w:tc>
          <w:tcPr>
            <w:tcW w:w="6535" w:type="dxa"/>
            <w:gridSpan w:val="5"/>
            <w:tcBorders>
              <w:bottom w:val="double" w:sz="6" w:space="0" w:color="000000"/>
            </w:tcBorders>
          </w:tcPr>
          <w:p>
            <w:pPr>
              <w:pStyle w:val="TableParagraph"/>
              <w:spacing w:before="6"/>
              <w:rPr>
                <w:sz w:val="18"/>
              </w:rPr>
            </w:pPr>
            <w:r>
              <w:rPr>
                <w:sz w:val="18"/>
              </w:rPr>
              <w:t>Wansbeek</w:t>
            </w:r>
            <w:r>
              <w:rPr>
                <w:spacing w:val="-3"/>
                <w:sz w:val="18"/>
              </w:rPr>
              <w:t> </w:t>
            </w:r>
            <w:r>
              <w:rPr>
                <w:sz w:val="18"/>
              </w:rPr>
              <w:t>and</w:t>
            </w:r>
            <w:r>
              <w:rPr>
                <w:spacing w:val="-4"/>
                <w:sz w:val="18"/>
              </w:rPr>
              <w:t> </w:t>
            </w:r>
            <w:r>
              <w:rPr>
                <w:sz w:val="18"/>
              </w:rPr>
              <w:t>Kapteyn</w:t>
            </w:r>
            <w:r>
              <w:rPr>
                <w:spacing w:val="-3"/>
                <w:sz w:val="18"/>
              </w:rPr>
              <w:t> </w:t>
            </w:r>
            <w:r>
              <w:rPr>
                <w:sz w:val="18"/>
              </w:rPr>
              <w:t>estimator</w:t>
            </w:r>
            <w:r>
              <w:rPr>
                <w:spacing w:val="-4"/>
                <w:sz w:val="18"/>
              </w:rPr>
              <w:t> </w:t>
            </w:r>
            <w:r>
              <w:rPr>
                <w:sz w:val="18"/>
              </w:rPr>
              <w:t>of</w:t>
            </w:r>
            <w:r>
              <w:rPr>
                <w:spacing w:val="-5"/>
                <w:sz w:val="18"/>
              </w:rPr>
              <w:t> </w:t>
            </w:r>
            <w:r>
              <w:rPr>
                <w:sz w:val="18"/>
              </w:rPr>
              <w:t>component</w:t>
            </w:r>
            <w:r>
              <w:rPr>
                <w:spacing w:val="-5"/>
                <w:sz w:val="18"/>
              </w:rPr>
              <w:t> </w:t>
            </w:r>
            <w:r>
              <w:rPr>
                <w:spacing w:val="-2"/>
                <w:sz w:val="18"/>
              </w:rPr>
              <w:t>variances</w:t>
            </w:r>
          </w:p>
        </w:tc>
      </w:tr>
      <w:tr>
        <w:trPr>
          <w:trHeight w:val="403" w:hRule="atLeast"/>
        </w:trPr>
        <w:tc>
          <w:tcPr>
            <w:tcW w:w="1960"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57" w:type="dxa"/>
            <w:tcBorders>
              <w:top w:val="double" w:sz="6" w:space="0" w:color="000000"/>
              <w:bottom w:val="double" w:sz="6" w:space="0" w:color="000000"/>
            </w:tcBorders>
          </w:tcPr>
          <w:p>
            <w:pPr>
              <w:pStyle w:val="TableParagraph"/>
              <w:spacing w:before="108"/>
              <w:ind w:right="105"/>
              <w:jc w:val="right"/>
              <w:rPr>
                <w:sz w:val="18"/>
              </w:rPr>
            </w:pPr>
            <w:r>
              <w:rPr>
                <w:spacing w:val="-2"/>
                <w:sz w:val="18"/>
              </w:rPr>
              <w:t>Coefficient</w:t>
            </w:r>
          </w:p>
        </w:tc>
        <w:tc>
          <w:tcPr>
            <w:tcW w:w="1301" w:type="dxa"/>
            <w:tcBorders>
              <w:top w:val="double" w:sz="6" w:space="0" w:color="000000"/>
              <w:bottom w:val="double" w:sz="6" w:space="0" w:color="000000"/>
            </w:tcBorders>
          </w:tcPr>
          <w:p>
            <w:pPr>
              <w:pStyle w:val="TableParagraph"/>
              <w:spacing w:before="108"/>
              <w:ind w:left="150" w:right="18"/>
              <w:jc w:val="center"/>
              <w:rPr>
                <w:sz w:val="18"/>
              </w:rPr>
            </w:pPr>
            <w:r>
              <w:rPr>
                <w:sz w:val="18"/>
              </w:rPr>
              <w:t>Std.</w:t>
            </w:r>
            <w:r>
              <w:rPr>
                <w:spacing w:val="-2"/>
                <w:sz w:val="18"/>
              </w:rPr>
              <w:t> Error</w:t>
            </w:r>
          </w:p>
        </w:tc>
        <w:tc>
          <w:tcPr>
            <w:tcW w:w="1132" w:type="dxa"/>
            <w:tcBorders>
              <w:top w:val="double" w:sz="6" w:space="0" w:color="000000"/>
              <w:bottom w:val="double" w:sz="6" w:space="0" w:color="000000"/>
            </w:tcBorders>
          </w:tcPr>
          <w:p>
            <w:pPr>
              <w:pStyle w:val="TableParagraph"/>
              <w:spacing w:before="108"/>
              <w:ind w:right="124"/>
              <w:jc w:val="right"/>
              <w:rPr>
                <w:sz w:val="18"/>
              </w:rPr>
            </w:pPr>
            <w:r>
              <w:rPr>
                <w:sz w:val="18"/>
              </w:rPr>
              <w:t>t-</w:t>
            </w:r>
            <w:r>
              <w:rPr>
                <w:spacing w:val="-2"/>
                <w:sz w:val="18"/>
              </w:rPr>
              <w:t>Statistic</w:t>
            </w:r>
          </w:p>
        </w:tc>
        <w:tc>
          <w:tcPr>
            <w:tcW w:w="885" w:type="dxa"/>
            <w:tcBorders>
              <w:top w:val="double" w:sz="6" w:space="0" w:color="000000"/>
              <w:bottom w:val="double" w:sz="6" w:space="0" w:color="000000"/>
            </w:tcBorders>
          </w:tcPr>
          <w:p>
            <w:pPr>
              <w:pStyle w:val="TableParagraph"/>
              <w:spacing w:before="108"/>
              <w:ind w:left="341"/>
              <w:rPr>
                <w:sz w:val="18"/>
              </w:rPr>
            </w:pPr>
            <w:r>
              <w:rPr>
                <w:spacing w:val="-2"/>
                <w:sz w:val="18"/>
              </w:rPr>
              <w:t>Prob.</w:t>
            </w:r>
          </w:p>
        </w:tc>
      </w:tr>
      <w:tr>
        <w:trPr>
          <w:trHeight w:val="327" w:hRule="atLeast"/>
        </w:trPr>
        <w:tc>
          <w:tcPr>
            <w:tcW w:w="1960" w:type="dxa"/>
            <w:tcBorders>
              <w:top w:val="double" w:sz="6" w:space="0" w:color="000000"/>
            </w:tcBorders>
          </w:tcPr>
          <w:p>
            <w:pPr>
              <w:pStyle w:val="TableParagraph"/>
              <w:spacing w:line="199" w:lineRule="exact" w:before="108"/>
              <w:ind w:left="56"/>
              <w:jc w:val="center"/>
              <w:rPr>
                <w:sz w:val="18"/>
              </w:rPr>
            </w:pPr>
            <w:r>
              <w:rPr>
                <w:spacing w:val="-10"/>
                <w:sz w:val="18"/>
              </w:rPr>
              <w:t>C</w:t>
            </w:r>
          </w:p>
        </w:tc>
        <w:tc>
          <w:tcPr>
            <w:tcW w:w="1257" w:type="dxa"/>
            <w:tcBorders>
              <w:top w:val="double" w:sz="6" w:space="0" w:color="000000"/>
            </w:tcBorders>
          </w:tcPr>
          <w:p>
            <w:pPr>
              <w:pStyle w:val="TableParagraph"/>
              <w:spacing w:line="199" w:lineRule="exact" w:before="108"/>
              <w:ind w:right="105"/>
              <w:jc w:val="right"/>
              <w:rPr>
                <w:sz w:val="18"/>
              </w:rPr>
            </w:pPr>
            <w:r>
              <w:rPr>
                <w:spacing w:val="-2"/>
                <w:sz w:val="18"/>
              </w:rPr>
              <w:t>0.445106</w:t>
            </w:r>
          </w:p>
        </w:tc>
        <w:tc>
          <w:tcPr>
            <w:tcW w:w="1301" w:type="dxa"/>
            <w:tcBorders>
              <w:top w:val="double" w:sz="6" w:space="0" w:color="000000"/>
            </w:tcBorders>
          </w:tcPr>
          <w:p>
            <w:pPr>
              <w:pStyle w:val="TableParagraph"/>
              <w:spacing w:line="199" w:lineRule="exact" w:before="108"/>
              <w:ind w:left="150"/>
              <w:jc w:val="center"/>
              <w:rPr>
                <w:sz w:val="18"/>
              </w:rPr>
            </w:pPr>
            <w:r>
              <w:rPr>
                <w:spacing w:val="-2"/>
                <w:sz w:val="18"/>
              </w:rPr>
              <w:t>0.073217</w:t>
            </w:r>
          </w:p>
        </w:tc>
        <w:tc>
          <w:tcPr>
            <w:tcW w:w="1132" w:type="dxa"/>
            <w:tcBorders>
              <w:top w:val="double" w:sz="6" w:space="0" w:color="000000"/>
            </w:tcBorders>
          </w:tcPr>
          <w:p>
            <w:pPr>
              <w:pStyle w:val="TableParagraph"/>
              <w:spacing w:line="199" w:lineRule="exact" w:before="108"/>
              <w:ind w:right="123"/>
              <w:jc w:val="right"/>
              <w:rPr>
                <w:sz w:val="18"/>
              </w:rPr>
            </w:pPr>
            <w:r>
              <w:rPr>
                <w:spacing w:val="-2"/>
                <w:sz w:val="18"/>
              </w:rPr>
              <w:t>6.079305</w:t>
            </w:r>
          </w:p>
        </w:tc>
        <w:tc>
          <w:tcPr>
            <w:tcW w:w="885" w:type="dxa"/>
            <w:tcBorders>
              <w:top w:val="double" w:sz="6" w:space="0" w:color="000000"/>
            </w:tcBorders>
          </w:tcPr>
          <w:p>
            <w:pPr>
              <w:pStyle w:val="TableParagraph"/>
              <w:spacing w:line="199" w:lineRule="exact" w:before="108"/>
              <w:ind w:right="10"/>
              <w:jc w:val="right"/>
              <w:rPr>
                <w:sz w:val="18"/>
              </w:rPr>
            </w:pPr>
            <w:r>
              <w:rPr>
                <w:spacing w:val="-2"/>
                <w:sz w:val="18"/>
              </w:rPr>
              <w:t>0.0000</w:t>
            </w:r>
          </w:p>
        </w:tc>
      </w:tr>
      <w:tr>
        <w:trPr>
          <w:trHeight w:val="225" w:hRule="atLeast"/>
        </w:trPr>
        <w:tc>
          <w:tcPr>
            <w:tcW w:w="1960" w:type="dxa"/>
          </w:tcPr>
          <w:p>
            <w:pPr>
              <w:pStyle w:val="TableParagraph"/>
              <w:spacing w:line="199" w:lineRule="exact" w:before="6"/>
              <w:ind w:left="56"/>
              <w:jc w:val="center"/>
              <w:rPr>
                <w:sz w:val="18"/>
              </w:rPr>
            </w:pPr>
            <w:r>
              <w:rPr>
                <w:spacing w:val="-5"/>
                <w:sz w:val="18"/>
              </w:rPr>
              <w:t>BDS</w:t>
            </w:r>
          </w:p>
        </w:tc>
        <w:tc>
          <w:tcPr>
            <w:tcW w:w="1257" w:type="dxa"/>
          </w:tcPr>
          <w:p>
            <w:pPr>
              <w:pStyle w:val="TableParagraph"/>
              <w:spacing w:line="199" w:lineRule="exact" w:before="6"/>
              <w:ind w:right="105"/>
              <w:jc w:val="right"/>
              <w:rPr>
                <w:sz w:val="18"/>
              </w:rPr>
            </w:pPr>
            <w:r>
              <w:rPr>
                <w:spacing w:val="-2"/>
                <w:sz w:val="18"/>
              </w:rPr>
              <w:t>0.001599</w:t>
            </w:r>
          </w:p>
        </w:tc>
        <w:tc>
          <w:tcPr>
            <w:tcW w:w="1301" w:type="dxa"/>
          </w:tcPr>
          <w:p>
            <w:pPr>
              <w:pStyle w:val="TableParagraph"/>
              <w:spacing w:line="199" w:lineRule="exact" w:before="6"/>
              <w:ind w:left="150"/>
              <w:jc w:val="center"/>
              <w:rPr>
                <w:sz w:val="18"/>
              </w:rPr>
            </w:pPr>
            <w:r>
              <w:rPr>
                <w:spacing w:val="-2"/>
                <w:sz w:val="18"/>
              </w:rPr>
              <w:t>0.001470</w:t>
            </w:r>
          </w:p>
        </w:tc>
        <w:tc>
          <w:tcPr>
            <w:tcW w:w="1132" w:type="dxa"/>
          </w:tcPr>
          <w:p>
            <w:pPr>
              <w:pStyle w:val="TableParagraph"/>
              <w:spacing w:line="199" w:lineRule="exact" w:before="6"/>
              <w:ind w:right="123"/>
              <w:jc w:val="right"/>
              <w:rPr>
                <w:sz w:val="18"/>
              </w:rPr>
            </w:pPr>
            <w:r>
              <w:rPr>
                <w:spacing w:val="-2"/>
                <w:sz w:val="18"/>
              </w:rPr>
              <w:t>1.087462</w:t>
            </w:r>
          </w:p>
        </w:tc>
        <w:tc>
          <w:tcPr>
            <w:tcW w:w="885" w:type="dxa"/>
          </w:tcPr>
          <w:p>
            <w:pPr>
              <w:pStyle w:val="TableParagraph"/>
              <w:spacing w:line="199" w:lineRule="exact" w:before="6"/>
              <w:ind w:right="10"/>
              <w:jc w:val="right"/>
              <w:rPr>
                <w:sz w:val="18"/>
              </w:rPr>
            </w:pPr>
            <w:r>
              <w:rPr>
                <w:spacing w:val="-2"/>
                <w:sz w:val="18"/>
              </w:rPr>
              <w:t>0.2783</w:t>
            </w:r>
          </w:p>
        </w:tc>
      </w:tr>
      <w:tr>
        <w:trPr>
          <w:trHeight w:val="224" w:hRule="atLeast"/>
        </w:trPr>
        <w:tc>
          <w:tcPr>
            <w:tcW w:w="1960" w:type="dxa"/>
          </w:tcPr>
          <w:p>
            <w:pPr>
              <w:pStyle w:val="TableParagraph"/>
              <w:spacing w:line="198" w:lineRule="exact" w:before="6"/>
              <w:ind w:left="56" w:right="2"/>
              <w:jc w:val="center"/>
              <w:rPr>
                <w:sz w:val="18"/>
              </w:rPr>
            </w:pPr>
            <w:r>
              <w:rPr>
                <w:spacing w:val="-2"/>
                <w:sz w:val="18"/>
              </w:rPr>
              <w:t>BDIND</w:t>
            </w:r>
          </w:p>
        </w:tc>
        <w:tc>
          <w:tcPr>
            <w:tcW w:w="1257" w:type="dxa"/>
          </w:tcPr>
          <w:p>
            <w:pPr>
              <w:pStyle w:val="TableParagraph"/>
              <w:spacing w:line="198" w:lineRule="exact" w:before="6"/>
              <w:ind w:right="105"/>
              <w:jc w:val="right"/>
              <w:rPr>
                <w:sz w:val="18"/>
              </w:rPr>
            </w:pPr>
            <w:r>
              <w:rPr>
                <w:spacing w:val="-2"/>
                <w:sz w:val="18"/>
              </w:rPr>
              <w:t>-0.174275</w:t>
            </w:r>
          </w:p>
        </w:tc>
        <w:tc>
          <w:tcPr>
            <w:tcW w:w="1301" w:type="dxa"/>
          </w:tcPr>
          <w:p>
            <w:pPr>
              <w:pStyle w:val="TableParagraph"/>
              <w:spacing w:line="198" w:lineRule="exact" w:before="6"/>
              <w:ind w:left="150"/>
              <w:jc w:val="center"/>
              <w:rPr>
                <w:sz w:val="18"/>
              </w:rPr>
            </w:pPr>
            <w:r>
              <w:rPr>
                <w:spacing w:val="-2"/>
                <w:sz w:val="18"/>
              </w:rPr>
              <w:t>0.040789</w:t>
            </w:r>
          </w:p>
        </w:tc>
        <w:tc>
          <w:tcPr>
            <w:tcW w:w="1132" w:type="dxa"/>
          </w:tcPr>
          <w:p>
            <w:pPr>
              <w:pStyle w:val="TableParagraph"/>
              <w:spacing w:line="198" w:lineRule="exact" w:before="6"/>
              <w:ind w:right="123"/>
              <w:jc w:val="right"/>
              <w:rPr>
                <w:sz w:val="18"/>
              </w:rPr>
            </w:pPr>
            <w:r>
              <w:rPr>
                <w:spacing w:val="-2"/>
                <w:sz w:val="18"/>
              </w:rPr>
              <w:t>-4.272560</w:t>
            </w:r>
          </w:p>
        </w:tc>
        <w:tc>
          <w:tcPr>
            <w:tcW w:w="885" w:type="dxa"/>
          </w:tcPr>
          <w:p>
            <w:pPr>
              <w:pStyle w:val="TableParagraph"/>
              <w:spacing w:line="198" w:lineRule="exact" w:before="6"/>
              <w:ind w:right="10"/>
              <w:jc w:val="right"/>
              <w:rPr>
                <w:sz w:val="18"/>
              </w:rPr>
            </w:pPr>
            <w:r>
              <w:rPr>
                <w:spacing w:val="-2"/>
                <w:sz w:val="18"/>
              </w:rPr>
              <w:t>0.0000</w:t>
            </w:r>
          </w:p>
        </w:tc>
      </w:tr>
      <w:tr>
        <w:trPr>
          <w:trHeight w:val="224" w:hRule="atLeast"/>
        </w:trPr>
        <w:tc>
          <w:tcPr>
            <w:tcW w:w="1960" w:type="dxa"/>
          </w:tcPr>
          <w:p>
            <w:pPr>
              <w:pStyle w:val="TableParagraph"/>
              <w:spacing w:line="199" w:lineRule="exact" w:before="5"/>
              <w:ind w:left="56" w:right="1"/>
              <w:jc w:val="center"/>
              <w:rPr>
                <w:sz w:val="18"/>
              </w:rPr>
            </w:pPr>
            <w:r>
              <w:rPr>
                <w:spacing w:val="-2"/>
                <w:sz w:val="18"/>
              </w:rPr>
              <w:t>BFEXP</w:t>
            </w:r>
          </w:p>
        </w:tc>
        <w:tc>
          <w:tcPr>
            <w:tcW w:w="1257" w:type="dxa"/>
          </w:tcPr>
          <w:p>
            <w:pPr>
              <w:pStyle w:val="TableParagraph"/>
              <w:spacing w:line="199" w:lineRule="exact" w:before="5"/>
              <w:ind w:right="105"/>
              <w:jc w:val="right"/>
              <w:rPr>
                <w:sz w:val="18"/>
              </w:rPr>
            </w:pPr>
            <w:r>
              <w:rPr>
                <w:spacing w:val="-2"/>
                <w:sz w:val="18"/>
              </w:rPr>
              <w:t>0.011012</w:t>
            </w:r>
          </w:p>
        </w:tc>
        <w:tc>
          <w:tcPr>
            <w:tcW w:w="1301" w:type="dxa"/>
          </w:tcPr>
          <w:p>
            <w:pPr>
              <w:pStyle w:val="TableParagraph"/>
              <w:spacing w:line="199" w:lineRule="exact" w:before="5"/>
              <w:ind w:left="150"/>
              <w:jc w:val="center"/>
              <w:rPr>
                <w:sz w:val="18"/>
              </w:rPr>
            </w:pPr>
            <w:r>
              <w:rPr>
                <w:spacing w:val="-2"/>
                <w:sz w:val="18"/>
              </w:rPr>
              <w:t>0.036288</w:t>
            </w:r>
          </w:p>
        </w:tc>
        <w:tc>
          <w:tcPr>
            <w:tcW w:w="1132" w:type="dxa"/>
          </w:tcPr>
          <w:p>
            <w:pPr>
              <w:pStyle w:val="TableParagraph"/>
              <w:spacing w:line="199" w:lineRule="exact" w:before="5"/>
              <w:ind w:right="123"/>
              <w:jc w:val="right"/>
              <w:rPr>
                <w:sz w:val="18"/>
              </w:rPr>
            </w:pPr>
            <w:r>
              <w:rPr>
                <w:spacing w:val="-2"/>
                <w:sz w:val="18"/>
              </w:rPr>
              <w:t>0.303449</w:t>
            </w:r>
          </w:p>
        </w:tc>
        <w:tc>
          <w:tcPr>
            <w:tcW w:w="885" w:type="dxa"/>
          </w:tcPr>
          <w:p>
            <w:pPr>
              <w:pStyle w:val="TableParagraph"/>
              <w:spacing w:line="199" w:lineRule="exact" w:before="5"/>
              <w:ind w:right="10"/>
              <w:jc w:val="right"/>
              <w:rPr>
                <w:sz w:val="18"/>
              </w:rPr>
            </w:pPr>
            <w:r>
              <w:rPr>
                <w:spacing w:val="-2"/>
                <w:sz w:val="18"/>
              </w:rPr>
              <w:t>0.7619</w:t>
            </w:r>
          </w:p>
        </w:tc>
      </w:tr>
      <w:tr>
        <w:trPr>
          <w:trHeight w:val="225" w:hRule="atLeast"/>
        </w:trPr>
        <w:tc>
          <w:tcPr>
            <w:tcW w:w="1960" w:type="dxa"/>
          </w:tcPr>
          <w:p>
            <w:pPr>
              <w:pStyle w:val="TableParagraph"/>
              <w:spacing w:line="199" w:lineRule="exact" w:before="6"/>
              <w:ind w:left="56"/>
              <w:jc w:val="center"/>
              <w:rPr>
                <w:sz w:val="18"/>
              </w:rPr>
            </w:pPr>
            <w:r>
              <w:rPr>
                <w:spacing w:val="-4"/>
                <w:sz w:val="18"/>
              </w:rPr>
              <w:t>FAGE</w:t>
            </w:r>
          </w:p>
        </w:tc>
        <w:tc>
          <w:tcPr>
            <w:tcW w:w="1257" w:type="dxa"/>
          </w:tcPr>
          <w:p>
            <w:pPr>
              <w:pStyle w:val="TableParagraph"/>
              <w:spacing w:line="199" w:lineRule="exact" w:before="6"/>
              <w:ind w:right="106"/>
              <w:jc w:val="right"/>
              <w:rPr>
                <w:sz w:val="18"/>
              </w:rPr>
            </w:pPr>
            <w:r>
              <w:rPr>
                <w:spacing w:val="-2"/>
                <w:sz w:val="18"/>
              </w:rPr>
              <w:t>-3.98E-</w:t>
            </w:r>
            <w:r>
              <w:rPr>
                <w:spacing w:val="-5"/>
                <w:sz w:val="18"/>
              </w:rPr>
              <w:t>05</w:t>
            </w:r>
          </w:p>
        </w:tc>
        <w:tc>
          <w:tcPr>
            <w:tcW w:w="1301" w:type="dxa"/>
          </w:tcPr>
          <w:p>
            <w:pPr>
              <w:pStyle w:val="TableParagraph"/>
              <w:spacing w:line="199" w:lineRule="exact" w:before="6"/>
              <w:ind w:left="150"/>
              <w:jc w:val="center"/>
              <w:rPr>
                <w:sz w:val="18"/>
              </w:rPr>
            </w:pPr>
            <w:r>
              <w:rPr>
                <w:spacing w:val="-2"/>
                <w:sz w:val="18"/>
              </w:rPr>
              <w:t>0.000308</w:t>
            </w:r>
          </w:p>
        </w:tc>
        <w:tc>
          <w:tcPr>
            <w:tcW w:w="1132" w:type="dxa"/>
          </w:tcPr>
          <w:p>
            <w:pPr>
              <w:pStyle w:val="TableParagraph"/>
              <w:spacing w:line="199" w:lineRule="exact" w:before="6"/>
              <w:ind w:right="123"/>
              <w:jc w:val="right"/>
              <w:rPr>
                <w:sz w:val="18"/>
              </w:rPr>
            </w:pPr>
            <w:r>
              <w:rPr>
                <w:spacing w:val="-2"/>
                <w:sz w:val="18"/>
              </w:rPr>
              <w:t>-0.129065</w:t>
            </w:r>
          </w:p>
        </w:tc>
        <w:tc>
          <w:tcPr>
            <w:tcW w:w="885" w:type="dxa"/>
          </w:tcPr>
          <w:p>
            <w:pPr>
              <w:pStyle w:val="TableParagraph"/>
              <w:spacing w:line="199" w:lineRule="exact" w:before="6"/>
              <w:ind w:right="10"/>
              <w:jc w:val="right"/>
              <w:rPr>
                <w:sz w:val="18"/>
              </w:rPr>
            </w:pPr>
            <w:r>
              <w:rPr>
                <w:spacing w:val="-2"/>
                <w:sz w:val="18"/>
              </w:rPr>
              <w:t>0.8974</w:t>
            </w:r>
          </w:p>
        </w:tc>
      </w:tr>
      <w:tr>
        <w:trPr>
          <w:trHeight w:val="225" w:hRule="atLeast"/>
        </w:trPr>
        <w:tc>
          <w:tcPr>
            <w:tcW w:w="1960" w:type="dxa"/>
          </w:tcPr>
          <w:p>
            <w:pPr>
              <w:pStyle w:val="TableParagraph"/>
              <w:spacing w:line="199" w:lineRule="exact" w:before="6"/>
              <w:ind w:left="56" w:right="4"/>
              <w:jc w:val="center"/>
              <w:rPr>
                <w:sz w:val="18"/>
              </w:rPr>
            </w:pPr>
            <w:r>
              <w:rPr>
                <w:spacing w:val="-2"/>
                <w:sz w:val="18"/>
              </w:rPr>
              <w:t>FSIZE</w:t>
            </w:r>
          </w:p>
        </w:tc>
        <w:tc>
          <w:tcPr>
            <w:tcW w:w="1257" w:type="dxa"/>
          </w:tcPr>
          <w:p>
            <w:pPr>
              <w:pStyle w:val="TableParagraph"/>
              <w:spacing w:line="199" w:lineRule="exact" w:before="6"/>
              <w:ind w:right="105"/>
              <w:jc w:val="right"/>
              <w:rPr>
                <w:sz w:val="18"/>
              </w:rPr>
            </w:pPr>
            <w:r>
              <w:rPr>
                <w:spacing w:val="-2"/>
                <w:sz w:val="18"/>
              </w:rPr>
              <w:t>0.022112</w:t>
            </w:r>
          </w:p>
        </w:tc>
        <w:tc>
          <w:tcPr>
            <w:tcW w:w="1301" w:type="dxa"/>
          </w:tcPr>
          <w:p>
            <w:pPr>
              <w:pStyle w:val="TableParagraph"/>
              <w:spacing w:line="199" w:lineRule="exact" w:before="6"/>
              <w:ind w:left="150"/>
              <w:jc w:val="center"/>
              <w:rPr>
                <w:sz w:val="18"/>
              </w:rPr>
            </w:pPr>
            <w:r>
              <w:rPr>
                <w:spacing w:val="-2"/>
                <w:sz w:val="18"/>
              </w:rPr>
              <w:t>0.007356</w:t>
            </w:r>
          </w:p>
        </w:tc>
        <w:tc>
          <w:tcPr>
            <w:tcW w:w="1132" w:type="dxa"/>
          </w:tcPr>
          <w:p>
            <w:pPr>
              <w:pStyle w:val="TableParagraph"/>
              <w:spacing w:line="199" w:lineRule="exact" w:before="6"/>
              <w:ind w:right="123"/>
              <w:jc w:val="right"/>
              <w:rPr>
                <w:sz w:val="18"/>
              </w:rPr>
            </w:pPr>
            <w:r>
              <w:rPr>
                <w:spacing w:val="-2"/>
                <w:sz w:val="18"/>
              </w:rPr>
              <w:t>3.005972</w:t>
            </w:r>
          </w:p>
        </w:tc>
        <w:tc>
          <w:tcPr>
            <w:tcW w:w="885" w:type="dxa"/>
          </w:tcPr>
          <w:p>
            <w:pPr>
              <w:pStyle w:val="TableParagraph"/>
              <w:spacing w:line="199" w:lineRule="exact" w:before="6"/>
              <w:ind w:right="10"/>
              <w:jc w:val="right"/>
              <w:rPr>
                <w:sz w:val="18"/>
              </w:rPr>
            </w:pPr>
            <w:r>
              <w:rPr>
                <w:spacing w:val="-2"/>
                <w:sz w:val="18"/>
              </w:rPr>
              <w:t>0.0030</w:t>
            </w:r>
          </w:p>
        </w:tc>
      </w:tr>
      <w:tr>
        <w:trPr>
          <w:trHeight w:val="224" w:hRule="atLeast"/>
        </w:trPr>
        <w:tc>
          <w:tcPr>
            <w:tcW w:w="1960" w:type="dxa"/>
          </w:tcPr>
          <w:p>
            <w:pPr>
              <w:pStyle w:val="TableParagraph"/>
              <w:spacing w:line="198" w:lineRule="exact" w:before="6"/>
              <w:ind w:left="523"/>
              <w:rPr>
                <w:sz w:val="18"/>
              </w:rPr>
            </w:pPr>
            <w:r>
              <w:rPr>
                <w:spacing w:val="-2"/>
                <w:sz w:val="18"/>
              </w:rPr>
              <w:t>LEVERAGE</w:t>
            </w:r>
          </w:p>
        </w:tc>
        <w:tc>
          <w:tcPr>
            <w:tcW w:w="1257" w:type="dxa"/>
          </w:tcPr>
          <w:p>
            <w:pPr>
              <w:pStyle w:val="TableParagraph"/>
              <w:spacing w:line="198" w:lineRule="exact" w:before="6"/>
              <w:ind w:right="105"/>
              <w:jc w:val="right"/>
              <w:rPr>
                <w:sz w:val="18"/>
              </w:rPr>
            </w:pPr>
            <w:r>
              <w:rPr>
                <w:spacing w:val="-2"/>
                <w:sz w:val="18"/>
              </w:rPr>
              <w:t>-0.012120</w:t>
            </w:r>
          </w:p>
        </w:tc>
        <w:tc>
          <w:tcPr>
            <w:tcW w:w="1301" w:type="dxa"/>
          </w:tcPr>
          <w:p>
            <w:pPr>
              <w:pStyle w:val="TableParagraph"/>
              <w:spacing w:line="198" w:lineRule="exact" w:before="6"/>
              <w:ind w:left="150"/>
              <w:jc w:val="center"/>
              <w:rPr>
                <w:sz w:val="18"/>
              </w:rPr>
            </w:pPr>
            <w:r>
              <w:rPr>
                <w:spacing w:val="-2"/>
                <w:sz w:val="18"/>
              </w:rPr>
              <w:t>0.004072</w:t>
            </w:r>
          </w:p>
        </w:tc>
        <w:tc>
          <w:tcPr>
            <w:tcW w:w="1132" w:type="dxa"/>
          </w:tcPr>
          <w:p>
            <w:pPr>
              <w:pStyle w:val="TableParagraph"/>
              <w:spacing w:line="198" w:lineRule="exact" w:before="6"/>
              <w:ind w:right="123"/>
              <w:jc w:val="right"/>
              <w:rPr>
                <w:sz w:val="18"/>
              </w:rPr>
            </w:pPr>
            <w:r>
              <w:rPr>
                <w:spacing w:val="-2"/>
                <w:sz w:val="18"/>
              </w:rPr>
              <w:t>-2.976352</w:t>
            </w:r>
          </w:p>
        </w:tc>
        <w:tc>
          <w:tcPr>
            <w:tcW w:w="885" w:type="dxa"/>
          </w:tcPr>
          <w:p>
            <w:pPr>
              <w:pStyle w:val="TableParagraph"/>
              <w:spacing w:line="198" w:lineRule="exact" w:before="6"/>
              <w:ind w:right="10"/>
              <w:jc w:val="right"/>
              <w:rPr>
                <w:sz w:val="18"/>
              </w:rPr>
            </w:pPr>
            <w:r>
              <w:rPr>
                <w:spacing w:val="-2"/>
                <w:sz w:val="18"/>
              </w:rPr>
              <w:t>0.0033</w:t>
            </w:r>
          </w:p>
        </w:tc>
      </w:tr>
      <w:tr>
        <w:trPr>
          <w:trHeight w:val="224" w:hRule="atLeast"/>
        </w:trPr>
        <w:tc>
          <w:tcPr>
            <w:tcW w:w="1960" w:type="dxa"/>
          </w:tcPr>
          <w:p>
            <w:pPr>
              <w:pStyle w:val="TableParagraph"/>
              <w:spacing w:line="199" w:lineRule="exact" w:before="5"/>
              <w:ind w:left="56" w:right="3"/>
              <w:jc w:val="center"/>
              <w:rPr>
                <w:sz w:val="18"/>
              </w:rPr>
            </w:pPr>
            <w:r>
              <w:rPr>
                <w:spacing w:val="-4"/>
                <w:sz w:val="18"/>
              </w:rPr>
              <w:t>IFRS</w:t>
            </w:r>
          </w:p>
        </w:tc>
        <w:tc>
          <w:tcPr>
            <w:tcW w:w="1257" w:type="dxa"/>
          </w:tcPr>
          <w:p>
            <w:pPr>
              <w:pStyle w:val="TableParagraph"/>
              <w:spacing w:line="199" w:lineRule="exact" w:before="5"/>
              <w:ind w:right="105"/>
              <w:jc w:val="right"/>
              <w:rPr>
                <w:sz w:val="18"/>
              </w:rPr>
            </w:pPr>
            <w:r>
              <w:rPr>
                <w:spacing w:val="-2"/>
                <w:sz w:val="18"/>
              </w:rPr>
              <w:t>0.045862</w:t>
            </w:r>
          </w:p>
        </w:tc>
        <w:tc>
          <w:tcPr>
            <w:tcW w:w="1301" w:type="dxa"/>
          </w:tcPr>
          <w:p>
            <w:pPr>
              <w:pStyle w:val="TableParagraph"/>
              <w:spacing w:line="199" w:lineRule="exact" w:before="5"/>
              <w:ind w:left="150"/>
              <w:jc w:val="center"/>
              <w:rPr>
                <w:sz w:val="18"/>
              </w:rPr>
            </w:pPr>
            <w:r>
              <w:rPr>
                <w:spacing w:val="-2"/>
                <w:sz w:val="18"/>
              </w:rPr>
              <w:t>0.059906</w:t>
            </w:r>
          </w:p>
        </w:tc>
        <w:tc>
          <w:tcPr>
            <w:tcW w:w="1132" w:type="dxa"/>
          </w:tcPr>
          <w:p>
            <w:pPr>
              <w:pStyle w:val="TableParagraph"/>
              <w:spacing w:line="199" w:lineRule="exact" w:before="5"/>
              <w:ind w:right="123"/>
              <w:jc w:val="right"/>
              <w:rPr>
                <w:sz w:val="18"/>
              </w:rPr>
            </w:pPr>
            <w:r>
              <w:rPr>
                <w:spacing w:val="-2"/>
                <w:sz w:val="18"/>
              </w:rPr>
              <w:t>0.765563</w:t>
            </w:r>
          </w:p>
        </w:tc>
        <w:tc>
          <w:tcPr>
            <w:tcW w:w="885" w:type="dxa"/>
          </w:tcPr>
          <w:p>
            <w:pPr>
              <w:pStyle w:val="TableParagraph"/>
              <w:spacing w:line="199" w:lineRule="exact" w:before="5"/>
              <w:ind w:right="10"/>
              <w:jc w:val="right"/>
              <w:rPr>
                <w:sz w:val="18"/>
              </w:rPr>
            </w:pPr>
            <w:r>
              <w:rPr>
                <w:spacing w:val="-2"/>
                <w:sz w:val="18"/>
              </w:rPr>
              <w:t>0.4449</w:t>
            </w:r>
          </w:p>
        </w:tc>
      </w:tr>
      <w:tr>
        <w:trPr>
          <w:trHeight w:val="225" w:hRule="atLeast"/>
        </w:trPr>
        <w:tc>
          <w:tcPr>
            <w:tcW w:w="1960" w:type="dxa"/>
          </w:tcPr>
          <w:p>
            <w:pPr>
              <w:pStyle w:val="TableParagraph"/>
              <w:spacing w:line="199" w:lineRule="exact" w:before="6"/>
              <w:ind w:left="583"/>
              <w:rPr>
                <w:sz w:val="18"/>
              </w:rPr>
            </w:pPr>
            <w:r>
              <w:rPr>
                <w:spacing w:val="-2"/>
                <w:sz w:val="18"/>
              </w:rPr>
              <w:t>BDS*IFRS</w:t>
            </w:r>
          </w:p>
        </w:tc>
        <w:tc>
          <w:tcPr>
            <w:tcW w:w="1257" w:type="dxa"/>
          </w:tcPr>
          <w:p>
            <w:pPr>
              <w:pStyle w:val="TableParagraph"/>
              <w:spacing w:line="199" w:lineRule="exact" w:before="6"/>
              <w:ind w:right="105"/>
              <w:jc w:val="right"/>
              <w:rPr>
                <w:sz w:val="18"/>
              </w:rPr>
            </w:pPr>
            <w:r>
              <w:rPr>
                <w:spacing w:val="-2"/>
                <w:sz w:val="18"/>
              </w:rPr>
              <w:t>-0.007215</w:t>
            </w:r>
          </w:p>
        </w:tc>
        <w:tc>
          <w:tcPr>
            <w:tcW w:w="1301" w:type="dxa"/>
          </w:tcPr>
          <w:p>
            <w:pPr>
              <w:pStyle w:val="TableParagraph"/>
              <w:spacing w:line="199" w:lineRule="exact" w:before="6"/>
              <w:ind w:left="150"/>
              <w:jc w:val="center"/>
              <w:rPr>
                <w:sz w:val="18"/>
              </w:rPr>
            </w:pPr>
            <w:r>
              <w:rPr>
                <w:spacing w:val="-2"/>
                <w:sz w:val="18"/>
              </w:rPr>
              <w:t>0.002147</w:t>
            </w:r>
          </w:p>
        </w:tc>
        <w:tc>
          <w:tcPr>
            <w:tcW w:w="1132" w:type="dxa"/>
          </w:tcPr>
          <w:p>
            <w:pPr>
              <w:pStyle w:val="TableParagraph"/>
              <w:spacing w:line="199" w:lineRule="exact" w:before="6"/>
              <w:ind w:right="123"/>
              <w:jc w:val="right"/>
              <w:rPr>
                <w:sz w:val="18"/>
              </w:rPr>
            </w:pPr>
            <w:r>
              <w:rPr>
                <w:spacing w:val="-2"/>
                <w:sz w:val="18"/>
              </w:rPr>
              <w:t>-3.360536</w:t>
            </w:r>
          </w:p>
        </w:tc>
        <w:tc>
          <w:tcPr>
            <w:tcW w:w="885" w:type="dxa"/>
          </w:tcPr>
          <w:p>
            <w:pPr>
              <w:pStyle w:val="TableParagraph"/>
              <w:spacing w:line="199" w:lineRule="exact" w:before="6"/>
              <w:ind w:right="10"/>
              <w:jc w:val="right"/>
              <w:rPr>
                <w:sz w:val="18"/>
              </w:rPr>
            </w:pPr>
            <w:r>
              <w:rPr>
                <w:spacing w:val="-2"/>
                <w:sz w:val="18"/>
              </w:rPr>
              <w:t>0.0009</w:t>
            </w:r>
          </w:p>
        </w:tc>
      </w:tr>
      <w:tr>
        <w:trPr>
          <w:trHeight w:val="225" w:hRule="atLeast"/>
        </w:trPr>
        <w:tc>
          <w:tcPr>
            <w:tcW w:w="1960" w:type="dxa"/>
          </w:tcPr>
          <w:p>
            <w:pPr>
              <w:pStyle w:val="TableParagraph"/>
              <w:spacing w:line="199" w:lineRule="exact" w:before="6"/>
              <w:ind w:left="487"/>
              <w:rPr>
                <w:sz w:val="18"/>
              </w:rPr>
            </w:pPr>
            <w:r>
              <w:rPr>
                <w:spacing w:val="-2"/>
                <w:sz w:val="18"/>
              </w:rPr>
              <w:t>BDIND*IFRS</w:t>
            </w:r>
          </w:p>
        </w:tc>
        <w:tc>
          <w:tcPr>
            <w:tcW w:w="1257" w:type="dxa"/>
          </w:tcPr>
          <w:p>
            <w:pPr>
              <w:pStyle w:val="TableParagraph"/>
              <w:spacing w:line="199" w:lineRule="exact" w:before="6"/>
              <w:ind w:right="105"/>
              <w:jc w:val="right"/>
              <w:rPr>
                <w:sz w:val="18"/>
              </w:rPr>
            </w:pPr>
            <w:r>
              <w:rPr>
                <w:spacing w:val="-2"/>
                <w:sz w:val="18"/>
              </w:rPr>
              <w:t>0.126581</w:t>
            </w:r>
          </w:p>
        </w:tc>
        <w:tc>
          <w:tcPr>
            <w:tcW w:w="1301" w:type="dxa"/>
          </w:tcPr>
          <w:p>
            <w:pPr>
              <w:pStyle w:val="TableParagraph"/>
              <w:spacing w:line="199" w:lineRule="exact" w:before="6"/>
              <w:ind w:left="150"/>
              <w:jc w:val="center"/>
              <w:rPr>
                <w:sz w:val="18"/>
              </w:rPr>
            </w:pPr>
            <w:r>
              <w:rPr>
                <w:spacing w:val="-2"/>
                <w:sz w:val="18"/>
              </w:rPr>
              <w:t>0.058803</w:t>
            </w:r>
          </w:p>
        </w:tc>
        <w:tc>
          <w:tcPr>
            <w:tcW w:w="1132" w:type="dxa"/>
          </w:tcPr>
          <w:p>
            <w:pPr>
              <w:pStyle w:val="TableParagraph"/>
              <w:spacing w:line="199" w:lineRule="exact" w:before="6"/>
              <w:ind w:right="123"/>
              <w:jc w:val="right"/>
              <w:rPr>
                <w:sz w:val="18"/>
              </w:rPr>
            </w:pPr>
            <w:r>
              <w:rPr>
                <w:spacing w:val="-2"/>
                <w:sz w:val="18"/>
              </w:rPr>
              <w:t>2.152616</w:t>
            </w:r>
          </w:p>
        </w:tc>
        <w:tc>
          <w:tcPr>
            <w:tcW w:w="885" w:type="dxa"/>
          </w:tcPr>
          <w:p>
            <w:pPr>
              <w:pStyle w:val="TableParagraph"/>
              <w:spacing w:line="199" w:lineRule="exact" w:before="6"/>
              <w:ind w:right="10"/>
              <w:jc w:val="right"/>
              <w:rPr>
                <w:sz w:val="18"/>
              </w:rPr>
            </w:pPr>
            <w:r>
              <w:rPr>
                <w:spacing w:val="-2"/>
                <w:sz w:val="18"/>
              </w:rPr>
              <w:t>0.0327</w:t>
            </w:r>
          </w:p>
        </w:tc>
      </w:tr>
      <w:tr>
        <w:trPr>
          <w:trHeight w:val="301" w:hRule="atLeast"/>
        </w:trPr>
        <w:tc>
          <w:tcPr>
            <w:tcW w:w="1960" w:type="dxa"/>
            <w:tcBorders>
              <w:bottom w:val="double" w:sz="6" w:space="0" w:color="000000"/>
            </w:tcBorders>
          </w:tcPr>
          <w:p>
            <w:pPr>
              <w:pStyle w:val="TableParagraph"/>
              <w:spacing w:before="6"/>
              <w:ind w:left="472"/>
              <w:rPr>
                <w:sz w:val="18"/>
              </w:rPr>
            </w:pPr>
            <w:r>
              <w:rPr>
                <w:spacing w:val="-2"/>
                <w:sz w:val="18"/>
              </w:rPr>
              <w:t>BFEXP*IFRS</w:t>
            </w:r>
          </w:p>
        </w:tc>
        <w:tc>
          <w:tcPr>
            <w:tcW w:w="1257" w:type="dxa"/>
            <w:tcBorders>
              <w:bottom w:val="double" w:sz="6" w:space="0" w:color="000000"/>
            </w:tcBorders>
          </w:tcPr>
          <w:p>
            <w:pPr>
              <w:pStyle w:val="TableParagraph"/>
              <w:spacing w:before="6"/>
              <w:ind w:right="105"/>
              <w:jc w:val="right"/>
              <w:rPr>
                <w:sz w:val="18"/>
              </w:rPr>
            </w:pPr>
            <w:r>
              <w:rPr>
                <w:spacing w:val="-2"/>
                <w:sz w:val="18"/>
              </w:rPr>
              <w:t>0.082866</w:t>
            </w:r>
          </w:p>
        </w:tc>
        <w:tc>
          <w:tcPr>
            <w:tcW w:w="1301" w:type="dxa"/>
            <w:tcBorders>
              <w:bottom w:val="double" w:sz="6" w:space="0" w:color="000000"/>
            </w:tcBorders>
          </w:tcPr>
          <w:p>
            <w:pPr>
              <w:pStyle w:val="TableParagraph"/>
              <w:spacing w:before="6"/>
              <w:ind w:left="150"/>
              <w:jc w:val="center"/>
              <w:rPr>
                <w:sz w:val="18"/>
              </w:rPr>
            </w:pPr>
            <w:r>
              <w:rPr>
                <w:spacing w:val="-2"/>
                <w:sz w:val="18"/>
              </w:rPr>
              <w:t>0.063102</w:t>
            </w:r>
          </w:p>
        </w:tc>
        <w:tc>
          <w:tcPr>
            <w:tcW w:w="1132" w:type="dxa"/>
            <w:tcBorders>
              <w:bottom w:val="double" w:sz="6" w:space="0" w:color="000000"/>
            </w:tcBorders>
          </w:tcPr>
          <w:p>
            <w:pPr>
              <w:pStyle w:val="TableParagraph"/>
              <w:spacing w:before="6"/>
              <w:ind w:right="123"/>
              <w:jc w:val="right"/>
              <w:rPr>
                <w:sz w:val="18"/>
              </w:rPr>
            </w:pPr>
            <w:r>
              <w:rPr>
                <w:spacing w:val="-2"/>
                <w:sz w:val="18"/>
              </w:rPr>
              <w:t>1.313209</w:t>
            </w:r>
          </w:p>
        </w:tc>
        <w:tc>
          <w:tcPr>
            <w:tcW w:w="885" w:type="dxa"/>
            <w:tcBorders>
              <w:bottom w:val="double" w:sz="6" w:space="0" w:color="000000"/>
            </w:tcBorders>
          </w:tcPr>
          <w:p>
            <w:pPr>
              <w:pStyle w:val="TableParagraph"/>
              <w:spacing w:before="6"/>
              <w:ind w:right="10"/>
              <w:jc w:val="right"/>
              <w:rPr>
                <w:sz w:val="18"/>
              </w:rPr>
            </w:pPr>
            <w:r>
              <w:rPr>
                <w:spacing w:val="-2"/>
                <w:sz w:val="18"/>
              </w:rPr>
              <w:t>0.1907</w:t>
            </w:r>
          </w:p>
        </w:tc>
      </w:tr>
      <w:tr>
        <w:trPr>
          <w:trHeight w:val="327" w:hRule="atLeast"/>
        </w:trPr>
        <w:tc>
          <w:tcPr>
            <w:tcW w:w="6535" w:type="dxa"/>
            <w:gridSpan w:val="5"/>
            <w:tcBorders>
              <w:top w:val="double" w:sz="6" w:space="0" w:color="000000"/>
            </w:tcBorders>
          </w:tcPr>
          <w:p>
            <w:pPr>
              <w:pStyle w:val="TableParagraph"/>
              <w:spacing w:line="199" w:lineRule="exact" w:before="108"/>
              <w:ind w:left="3" w:right="191"/>
              <w:jc w:val="center"/>
              <w:rPr>
                <w:sz w:val="18"/>
              </w:rPr>
            </w:pPr>
            <w:r>
              <w:rPr>
                <w:sz w:val="18"/>
              </w:rPr>
              <w:t>Effects </w:t>
            </w:r>
            <w:r>
              <w:rPr>
                <w:spacing w:val="-2"/>
                <w:sz w:val="18"/>
              </w:rPr>
              <w:t>Specification</w:t>
            </w:r>
          </w:p>
        </w:tc>
      </w:tr>
      <w:tr>
        <w:trPr>
          <w:trHeight w:val="303" w:hRule="atLeast"/>
        </w:trPr>
        <w:tc>
          <w:tcPr>
            <w:tcW w:w="1960" w:type="dxa"/>
            <w:tcBorders>
              <w:bottom w:val="double" w:sz="6" w:space="0" w:color="000000"/>
            </w:tcBorders>
          </w:tcPr>
          <w:p>
            <w:pPr>
              <w:pStyle w:val="TableParagraph"/>
              <w:rPr>
                <w:rFonts w:ascii="Times New Roman"/>
                <w:sz w:val="18"/>
              </w:rPr>
            </w:pPr>
          </w:p>
        </w:tc>
        <w:tc>
          <w:tcPr>
            <w:tcW w:w="1257" w:type="dxa"/>
            <w:tcBorders>
              <w:bottom w:val="double" w:sz="6" w:space="0" w:color="000000"/>
            </w:tcBorders>
          </w:tcPr>
          <w:p>
            <w:pPr>
              <w:pStyle w:val="TableParagraph"/>
              <w:rPr>
                <w:rFonts w:ascii="Times New Roman"/>
                <w:sz w:val="18"/>
              </w:rPr>
            </w:pPr>
          </w:p>
        </w:tc>
        <w:tc>
          <w:tcPr>
            <w:tcW w:w="1301" w:type="dxa"/>
            <w:tcBorders>
              <w:bottom w:val="double" w:sz="6" w:space="0" w:color="000000"/>
            </w:tcBorders>
          </w:tcPr>
          <w:p>
            <w:pPr>
              <w:pStyle w:val="TableParagraph"/>
              <w:rPr>
                <w:rFonts w:ascii="Times New Roman"/>
                <w:sz w:val="18"/>
              </w:rPr>
            </w:pPr>
          </w:p>
        </w:tc>
        <w:tc>
          <w:tcPr>
            <w:tcW w:w="1132" w:type="dxa"/>
            <w:tcBorders>
              <w:bottom w:val="double" w:sz="6" w:space="0" w:color="000000"/>
            </w:tcBorders>
          </w:tcPr>
          <w:p>
            <w:pPr>
              <w:pStyle w:val="TableParagraph"/>
              <w:spacing w:before="6"/>
              <w:ind w:right="225"/>
              <w:jc w:val="right"/>
              <w:rPr>
                <w:sz w:val="18"/>
              </w:rPr>
            </w:pPr>
            <w:r>
              <w:rPr>
                <w:spacing w:val="-4"/>
                <w:sz w:val="18"/>
              </w:rPr>
              <w:t>S.D.</w:t>
            </w:r>
          </w:p>
        </w:tc>
        <w:tc>
          <w:tcPr>
            <w:tcW w:w="885" w:type="dxa"/>
            <w:tcBorders>
              <w:bottom w:val="double" w:sz="6" w:space="0" w:color="000000"/>
            </w:tcBorders>
          </w:tcPr>
          <w:p>
            <w:pPr>
              <w:pStyle w:val="TableParagraph"/>
              <w:spacing w:before="6"/>
              <w:ind w:right="110"/>
              <w:jc w:val="right"/>
              <w:rPr>
                <w:sz w:val="18"/>
              </w:rPr>
            </w:pPr>
            <w:r>
              <w:rPr>
                <w:spacing w:val="-5"/>
                <w:sz w:val="18"/>
              </w:rPr>
              <w:t>Rho</w:t>
            </w:r>
          </w:p>
        </w:tc>
      </w:tr>
      <w:tr>
        <w:trPr>
          <w:trHeight w:val="325" w:hRule="atLeast"/>
        </w:trPr>
        <w:tc>
          <w:tcPr>
            <w:tcW w:w="1960" w:type="dxa"/>
            <w:tcBorders>
              <w:top w:val="double" w:sz="6" w:space="0" w:color="000000"/>
            </w:tcBorders>
          </w:tcPr>
          <w:p>
            <w:pPr>
              <w:pStyle w:val="TableParagraph"/>
              <w:spacing w:line="199" w:lineRule="exact" w:before="106"/>
              <w:rPr>
                <w:sz w:val="18"/>
              </w:rPr>
            </w:pPr>
            <w:r>
              <w:rPr>
                <w:sz w:val="18"/>
              </w:rPr>
              <w:t>Period</w:t>
            </w:r>
            <w:r>
              <w:rPr>
                <w:spacing w:val="-2"/>
                <w:sz w:val="18"/>
              </w:rPr>
              <w:t> random</w:t>
            </w:r>
          </w:p>
        </w:tc>
        <w:tc>
          <w:tcPr>
            <w:tcW w:w="1257" w:type="dxa"/>
            <w:tcBorders>
              <w:top w:val="double" w:sz="6" w:space="0" w:color="000000"/>
            </w:tcBorders>
          </w:tcPr>
          <w:p>
            <w:pPr>
              <w:pStyle w:val="TableParagraph"/>
              <w:rPr>
                <w:rFonts w:ascii="Times New Roman"/>
                <w:sz w:val="18"/>
              </w:rPr>
            </w:pPr>
          </w:p>
        </w:tc>
        <w:tc>
          <w:tcPr>
            <w:tcW w:w="1301" w:type="dxa"/>
            <w:tcBorders>
              <w:top w:val="double" w:sz="6" w:space="0" w:color="000000"/>
            </w:tcBorders>
          </w:tcPr>
          <w:p>
            <w:pPr>
              <w:pStyle w:val="TableParagraph"/>
              <w:rPr>
                <w:rFonts w:ascii="Times New Roman"/>
                <w:sz w:val="18"/>
              </w:rPr>
            </w:pPr>
          </w:p>
        </w:tc>
        <w:tc>
          <w:tcPr>
            <w:tcW w:w="1132" w:type="dxa"/>
            <w:tcBorders>
              <w:top w:val="double" w:sz="6" w:space="0" w:color="000000"/>
            </w:tcBorders>
          </w:tcPr>
          <w:p>
            <w:pPr>
              <w:pStyle w:val="TableParagraph"/>
              <w:spacing w:line="199" w:lineRule="exact" w:before="106"/>
              <w:ind w:right="123"/>
              <w:jc w:val="right"/>
              <w:rPr>
                <w:sz w:val="18"/>
              </w:rPr>
            </w:pPr>
            <w:r>
              <w:rPr>
                <w:spacing w:val="-2"/>
                <w:sz w:val="18"/>
              </w:rPr>
              <w:t>0.000000</w:t>
            </w:r>
          </w:p>
        </w:tc>
        <w:tc>
          <w:tcPr>
            <w:tcW w:w="885" w:type="dxa"/>
            <w:tcBorders>
              <w:top w:val="double" w:sz="6" w:space="0" w:color="000000"/>
            </w:tcBorders>
          </w:tcPr>
          <w:p>
            <w:pPr>
              <w:pStyle w:val="TableParagraph"/>
              <w:spacing w:line="199" w:lineRule="exact" w:before="106"/>
              <w:ind w:right="10"/>
              <w:jc w:val="right"/>
              <w:rPr>
                <w:sz w:val="18"/>
              </w:rPr>
            </w:pPr>
            <w:r>
              <w:rPr>
                <w:spacing w:val="-2"/>
                <w:sz w:val="18"/>
              </w:rPr>
              <w:t>0.0000</w:t>
            </w:r>
          </w:p>
        </w:tc>
      </w:tr>
      <w:tr>
        <w:trPr>
          <w:trHeight w:val="303" w:hRule="atLeast"/>
        </w:trPr>
        <w:tc>
          <w:tcPr>
            <w:tcW w:w="1960" w:type="dxa"/>
            <w:tcBorders>
              <w:bottom w:val="double" w:sz="6" w:space="0" w:color="000000"/>
            </w:tcBorders>
          </w:tcPr>
          <w:p>
            <w:pPr>
              <w:pStyle w:val="TableParagraph"/>
              <w:spacing w:before="6"/>
              <w:rPr>
                <w:sz w:val="18"/>
              </w:rPr>
            </w:pPr>
            <w:r>
              <w:rPr/>
              <mc:AlternateContent>
                <mc:Choice Requires="wps">
                  <w:drawing>
                    <wp:anchor distT="0" distB="0" distL="0" distR="0" allowOverlap="1" layoutInCell="1" locked="0" behindDoc="1" simplePos="0" relativeHeight="477783552">
                      <wp:simplePos x="0" y="0"/>
                      <wp:positionH relativeFrom="column">
                        <wp:posOffset>160934</wp:posOffset>
                      </wp:positionH>
                      <wp:positionV relativeFrom="paragraph">
                        <wp:posOffset>157376</wp:posOffset>
                      </wp:positionV>
                      <wp:extent cx="721995" cy="72263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721995" cy="722630"/>
                                <a:chExt cx="721995" cy="722630"/>
                              </a:xfrm>
                            </wpg:grpSpPr>
                            <wps:wsp>
                              <wps:cNvPr id="300" name="Graphic 300"/>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72pt;margin-top:12.391881pt;width:56.85pt;height:56.9pt;mso-position-horizontal-relative:column;mso-position-vertical-relative:paragraph;z-index:-25532928" id="docshapegroup106" coordorigin="253,248" coordsize="1137,1138">
                      <v:shape style="position:absolute;left:253;top:247;width:1137;height:1138" id="docshape107" coordorigin="253,248" coordsize="1137,1138" path="m337,248l276,287,253,332,257,342,1291,1378,1310,1385,1315,1383,1322,1382,1380,1330,1388,1311,1390,1305,352,255,347,252,337,248xe" filled="true" fillcolor="#c0c0c0" stroked="false">
                        <v:path arrowok="t"/>
                        <v:fill opacity="32896f" type="solid"/>
                      </v:shape>
                      <w10:wrap type="none"/>
                    </v:group>
                  </w:pict>
                </mc:Fallback>
              </mc:AlternateContent>
            </w:r>
            <w:r>
              <w:rPr>
                <w:sz w:val="18"/>
              </w:rPr>
              <w:t>Idiosyncratic</w:t>
            </w:r>
            <w:r>
              <w:rPr>
                <w:spacing w:val="-4"/>
                <w:sz w:val="18"/>
              </w:rPr>
              <w:t> </w:t>
            </w:r>
            <w:r>
              <w:rPr>
                <w:spacing w:val="-2"/>
                <w:sz w:val="18"/>
              </w:rPr>
              <w:t>random</w:t>
            </w:r>
          </w:p>
        </w:tc>
        <w:tc>
          <w:tcPr>
            <w:tcW w:w="1257" w:type="dxa"/>
            <w:tcBorders>
              <w:bottom w:val="double" w:sz="6" w:space="0" w:color="000000"/>
            </w:tcBorders>
          </w:tcPr>
          <w:p>
            <w:pPr>
              <w:pStyle w:val="TableParagraph"/>
              <w:rPr>
                <w:rFonts w:ascii="Times New Roman"/>
                <w:sz w:val="18"/>
              </w:rPr>
            </w:pPr>
          </w:p>
        </w:tc>
        <w:tc>
          <w:tcPr>
            <w:tcW w:w="1301" w:type="dxa"/>
            <w:tcBorders>
              <w:bottom w:val="double" w:sz="6" w:space="0" w:color="000000"/>
            </w:tcBorders>
          </w:tcPr>
          <w:p>
            <w:pPr>
              <w:pStyle w:val="TableParagraph"/>
              <w:rPr>
                <w:rFonts w:ascii="Times New Roman"/>
                <w:sz w:val="18"/>
              </w:rPr>
            </w:pPr>
          </w:p>
        </w:tc>
        <w:tc>
          <w:tcPr>
            <w:tcW w:w="1132" w:type="dxa"/>
            <w:tcBorders>
              <w:bottom w:val="double" w:sz="6" w:space="0" w:color="000000"/>
            </w:tcBorders>
          </w:tcPr>
          <w:p>
            <w:pPr>
              <w:pStyle w:val="TableParagraph"/>
              <w:spacing w:before="6"/>
              <w:ind w:right="123"/>
              <w:jc w:val="right"/>
              <w:rPr>
                <w:sz w:val="18"/>
              </w:rPr>
            </w:pPr>
            <w:r>
              <w:rPr>
                <w:spacing w:val="-2"/>
                <w:sz w:val="18"/>
              </w:rPr>
              <w:t>0.041022</w:t>
            </w:r>
          </w:p>
        </w:tc>
        <w:tc>
          <w:tcPr>
            <w:tcW w:w="885" w:type="dxa"/>
            <w:tcBorders>
              <w:bottom w:val="double" w:sz="6" w:space="0" w:color="000000"/>
            </w:tcBorders>
          </w:tcPr>
          <w:p>
            <w:pPr>
              <w:pStyle w:val="TableParagraph"/>
              <w:spacing w:before="6"/>
              <w:ind w:right="10"/>
              <w:jc w:val="right"/>
              <w:rPr>
                <w:sz w:val="18"/>
              </w:rPr>
            </w:pPr>
            <w:r>
              <w:rPr>
                <w:spacing w:val="-2"/>
                <w:sz w:val="18"/>
              </w:rPr>
              <w:t>1.0000</w:t>
            </w:r>
          </w:p>
        </w:tc>
      </w:tr>
      <w:tr>
        <w:trPr>
          <w:trHeight w:val="404" w:hRule="atLeast"/>
        </w:trPr>
        <w:tc>
          <w:tcPr>
            <w:tcW w:w="6535" w:type="dxa"/>
            <w:gridSpan w:val="5"/>
            <w:tcBorders>
              <w:top w:val="double" w:sz="6" w:space="0" w:color="000000"/>
              <w:bottom w:val="double" w:sz="6" w:space="0" w:color="000000"/>
            </w:tcBorders>
          </w:tcPr>
          <w:p>
            <w:pPr>
              <w:pStyle w:val="TableParagraph"/>
              <w:spacing w:before="109"/>
              <w:ind w:right="191"/>
              <w:jc w:val="center"/>
              <w:rPr>
                <w:sz w:val="18"/>
              </w:rPr>
            </w:pPr>
            <w:r>
              <w:rPr>
                <w:sz w:val="18"/>
              </w:rPr>
              <w:t>Weighted</w:t>
            </w:r>
            <w:r>
              <w:rPr>
                <w:spacing w:val="-3"/>
                <w:sz w:val="18"/>
              </w:rPr>
              <w:t> </w:t>
            </w:r>
            <w:r>
              <w:rPr>
                <w:spacing w:val="-2"/>
                <w:sz w:val="18"/>
              </w:rPr>
              <w:t>Statistics</w:t>
            </w:r>
          </w:p>
        </w:tc>
      </w:tr>
      <w:tr>
        <w:trPr>
          <w:trHeight w:val="327" w:hRule="atLeast"/>
        </w:trPr>
        <w:tc>
          <w:tcPr>
            <w:tcW w:w="1960" w:type="dxa"/>
            <w:tcBorders>
              <w:top w:val="double" w:sz="6" w:space="0" w:color="000000"/>
            </w:tcBorders>
          </w:tcPr>
          <w:p>
            <w:pPr>
              <w:pStyle w:val="TableParagraph"/>
              <w:spacing w:line="199" w:lineRule="exact" w:before="108"/>
              <w:rPr>
                <w:sz w:val="18"/>
              </w:rPr>
            </w:pPr>
            <w:r>
              <w:rPr>
                <w:spacing w:val="-2"/>
                <w:sz w:val="18"/>
              </w:rPr>
              <w:t>R-squared</w:t>
            </w:r>
          </w:p>
        </w:tc>
        <w:tc>
          <w:tcPr>
            <w:tcW w:w="1257" w:type="dxa"/>
            <w:tcBorders>
              <w:top w:val="double" w:sz="6" w:space="0" w:color="000000"/>
            </w:tcBorders>
          </w:tcPr>
          <w:p>
            <w:pPr>
              <w:pStyle w:val="TableParagraph"/>
              <w:spacing w:line="199" w:lineRule="exact" w:before="108"/>
              <w:ind w:right="105"/>
              <w:jc w:val="right"/>
              <w:rPr>
                <w:sz w:val="18"/>
              </w:rPr>
            </w:pPr>
            <w:r>
              <w:rPr>
                <w:spacing w:val="-2"/>
                <w:sz w:val="18"/>
              </w:rPr>
              <w:t>0.505813</w:t>
            </w:r>
          </w:p>
        </w:tc>
        <w:tc>
          <w:tcPr>
            <w:tcW w:w="2433" w:type="dxa"/>
            <w:gridSpan w:val="2"/>
            <w:tcBorders>
              <w:top w:val="double" w:sz="6" w:space="0" w:color="000000"/>
            </w:tcBorders>
          </w:tcPr>
          <w:p>
            <w:pPr>
              <w:pStyle w:val="TableParagraph"/>
              <w:spacing w:line="199"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9" w:lineRule="exact" w:before="108"/>
              <w:ind w:right="10"/>
              <w:jc w:val="right"/>
              <w:rPr>
                <w:sz w:val="18"/>
              </w:rPr>
            </w:pPr>
            <w:r>
              <w:rPr>
                <w:spacing w:val="-2"/>
                <w:sz w:val="18"/>
              </w:rPr>
              <w:t>0.589946</w:t>
            </w:r>
          </w:p>
        </w:tc>
      </w:tr>
      <w:tr>
        <w:trPr>
          <w:trHeight w:val="225" w:hRule="atLeast"/>
        </w:trPr>
        <w:tc>
          <w:tcPr>
            <w:tcW w:w="1960"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57" w:type="dxa"/>
          </w:tcPr>
          <w:p>
            <w:pPr>
              <w:pStyle w:val="TableParagraph"/>
              <w:spacing w:line="199" w:lineRule="exact" w:before="6"/>
              <w:ind w:right="105"/>
              <w:jc w:val="right"/>
              <w:rPr>
                <w:sz w:val="18"/>
              </w:rPr>
            </w:pPr>
            <w:r>
              <w:rPr>
                <w:spacing w:val="-2"/>
                <w:sz w:val="18"/>
              </w:rPr>
              <w:t>0.478955</w:t>
            </w:r>
          </w:p>
        </w:tc>
        <w:tc>
          <w:tcPr>
            <w:tcW w:w="2433" w:type="dxa"/>
            <w:gridSpan w:val="2"/>
          </w:tcPr>
          <w:p>
            <w:pPr>
              <w:pStyle w:val="TableParagraph"/>
              <w:spacing w:line="199" w:lineRule="exact" w:before="6"/>
              <w:ind w:left="105"/>
              <w:rPr>
                <w:sz w:val="18"/>
              </w:rPr>
            </w:pPr>
            <w:r>
              <w:rPr>
                <w:sz w:val="18"/>
              </w:rPr>
              <w:t>S.D.</w:t>
            </w:r>
            <w:r>
              <w:rPr>
                <w:spacing w:val="-3"/>
                <w:sz w:val="18"/>
              </w:rPr>
              <w:t> </w:t>
            </w:r>
            <w:r>
              <w:rPr>
                <w:sz w:val="18"/>
              </w:rPr>
              <w:t>dependent</w:t>
            </w:r>
            <w:r>
              <w:rPr>
                <w:spacing w:val="-3"/>
                <w:sz w:val="18"/>
              </w:rPr>
              <w:t> </w:t>
            </w:r>
            <w:r>
              <w:rPr>
                <w:spacing w:val="-5"/>
                <w:sz w:val="18"/>
              </w:rPr>
              <w:t>var</w:t>
            </w:r>
          </w:p>
        </w:tc>
        <w:tc>
          <w:tcPr>
            <w:tcW w:w="885" w:type="dxa"/>
          </w:tcPr>
          <w:p>
            <w:pPr>
              <w:pStyle w:val="TableParagraph"/>
              <w:spacing w:line="199" w:lineRule="exact" w:before="6"/>
              <w:ind w:right="10"/>
              <w:jc w:val="right"/>
              <w:rPr>
                <w:sz w:val="18"/>
              </w:rPr>
            </w:pPr>
            <w:r>
              <w:rPr>
                <w:spacing w:val="-2"/>
                <w:sz w:val="18"/>
              </w:rPr>
              <w:t>0.063317</w:t>
            </w:r>
          </w:p>
        </w:tc>
      </w:tr>
      <w:tr>
        <w:trPr>
          <w:trHeight w:val="224" w:hRule="atLeast"/>
        </w:trPr>
        <w:tc>
          <w:tcPr>
            <w:tcW w:w="1960"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57" w:type="dxa"/>
          </w:tcPr>
          <w:p>
            <w:pPr>
              <w:pStyle w:val="TableParagraph"/>
              <w:spacing w:line="198" w:lineRule="exact" w:before="6"/>
              <w:ind w:right="105"/>
              <w:jc w:val="right"/>
              <w:rPr>
                <w:sz w:val="18"/>
              </w:rPr>
            </w:pPr>
            <w:r>
              <w:rPr>
                <w:spacing w:val="-2"/>
                <w:sz w:val="18"/>
              </w:rPr>
              <w:t>0.045704</w:t>
            </w:r>
          </w:p>
        </w:tc>
        <w:tc>
          <w:tcPr>
            <w:tcW w:w="2433" w:type="dxa"/>
            <w:gridSpan w:val="2"/>
          </w:tcPr>
          <w:p>
            <w:pPr>
              <w:pStyle w:val="TableParagraph"/>
              <w:spacing w:line="198" w:lineRule="exact" w:before="6"/>
              <w:ind w:left="105"/>
              <w:rPr>
                <w:sz w:val="18"/>
              </w:rPr>
            </w:pPr>
            <w:r>
              <w:rPr>
                <w:sz w:val="18"/>
              </w:rPr>
              <w:t>Sum</w:t>
            </w:r>
            <w:r>
              <w:rPr>
                <w:spacing w:val="-5"/>
                <w:sz w:val="18"/>
              </w:rPr>
              <w:t> </w:t>
            </w:r>
            <w:r>
              <w:rPr>
                <w:sz w:val="18"/>
              </w:rPr>
              <w:t>squared</w:t>
            </w:r>
            <w:r>
              <w:rPr>
                <w:spacing w:val="-2"/>
                <w:sz w:val="18"/>
              </w:rPr>
              <w:t> resid</w:t>
            </w:r>
          </w:p>
        </w:tc>
        <w:tc>
          <w:tcPr>
            <w:tcW w:w="885" w:type="dxa"/>
          </w:tcPr>
          <w:p>
            <w:pPr>
              <w:pStyle w:val="TableParagraph"/>
              <w:spacing w:line="198" w:lineRule="exact" w:before="6"/>
              <w:ind w:right="10"/>
              <w:jc w:val="right"/>
              <w:rPr>
                <w:sz w:val="18"/>
              </w:rPr>
            </w:pPr>
            <w:r>
              <w:rPr>
                <w:spacing w:val="-2"/>
                <w:sz w:val="18"/>
              </w:rPr>
              <w:t>0.384356</w:t>
            </w:r>
          </w:p>
        </w:tc>
      </w:tr>
      <w:tr>
        <w:trPr>
          <w:trHeight w:val="224" w:hRule="atLeast"/>
        </w:trPr>
        <w:tc>
          <w:tcPr>
            <w:tcW w:w="1960" w:type="dxa"/>
          </w:tcPr>
          <w:p>
            <w:pPr>
              <w:pStyle w:val="TableParagraph"/>
              <w:spacing w:line="199" w:lineRule="exact" w:before="5"/>
              <w:rPr>
                <w:sz w:val="18"/>
              </w:rPr>
            </w:pPr>
            <w:r>
              <w:rPr>
                <w:spacing w:val="-2"/>
                <w:sz w:val="18"/>
              </w:rPr>
              <w:t>F-statistic</w:t>
            </w:r>
          </w:p>
        </w:tc>
        <w:tc>
          <w:tcPr>
            <w:tcW w:w="1257" w:type="dxa"/>
          </w:tcPr>
          <w:p>
            <w:pPr>
              <w:pStyle w:val="TableParagraph"/>
              <w:spacing w:line="199" w:lineRule="exact" w:before="5"/>
              <w:ind w:right="105"/>
              <w:jc w:val="right"/>
              <w:rPr>
                <w:sz w:val="18"/>
              </w:rPr>
            </w:pPr>
            <w:r>
              <w:rPr>
                <w:spacing w:val="-2"/>
                <w:sz w:val="18"/>
              </w:rPr>
              <w:t>18.83285</w:t>
            </w:r>
          </w:p>
        </w:tc>
        <w:tc>
          <w:tcPr>
            <w:tcW w:w="2433" w:type="dxa"/>
            <w:gridSpan w:val="2"/>
          </w:tcPr>
          <w:p>
            <w:pPr>
              <w:pStyle w:val="TableParagraph"/>
              <w:spacing w:line="199" w:lineRule="exact" w:before="5"/>
              <w:ind w:left="105"/>
              <w:rPr>
                <w:sz w:val="18"/>
              </w:rPr>
            </w:pPr>
            <w:r>
              <w:rPr>
                <w:spacing w:val="-2"/>
                <w:sz w:val="18"/>
              </w:rPr>
              <w:t>Durbin-Watson</w:t>
            </w:r>
            <w:r>
              <w:rPr>
                <w:spacing w:val="13"/>
                <w:sz w:val="18"/>
              </w:rPr>
              <w:t> </w:t>
            </w:r>
            <w:r>
              <w:rPr>
                <w:spacing w:val="-4"/>
                <w:sz w:val="18"/>
              </w:rPr>
              <w:t>stat</w:t>
            </w:r>
          </w:p>
        </w:tc>
        <w:tc>
          <w:tcPr>
            <w:tcW w:w="885" w:type="dxa"/>
          </w:tcPr>
          <w:p>
            <w:pPr>
              <w:pStyle w:val="TableParagraph"/>
              <w:spacing w:line="199" w:lineRule="exact" w:before="5"/>
              <w:ind w:right="10"/>
              <w:jc w:val="right"/>
              <w:rPr>
                <w:sz w:val="18"/>
              </w:rPr>
            </w:pPr>
            <w:r>
              <w:rPr>
                <w:spacing w:val="-2"/>
                <w:sz w:val="18"/>
              </w:rPr>
              <w:t>0.698544</w:t>
            </w:r>
          </w:p>
        </w:tc>
      </w:tr>
      <w:tr>
        <w:trPr>
          <w:trHeight w:val="303" w:hRule="atLeast"/>
        </w:trPr>
        <w:tc>
          <w:tcPr>
            <w:tcW w:w="1960" w:type="dxa"/>
            <w:tcBorders>
              <w:bottom w:val="double" w:sz="6" w:space="0" w:color="000000"/>
            </w:tcBorders>
          </w:tcPr>
          <w:p>
            <w:pPr>
              <w:pStyle w:val="TableParagraph"/>
              <w:spacing w:before="6"/>
              <w:rPr>
                <w:sz w:val="18"/>
              </w:rPr>
            </w:pPr>
            <w:r>
              <w:rPr>
                <w:spacing w:val="-2"/>
                <w:sz w:val="18"/>
              </w:rPr>
              <w:t>Prob(F-statistic)</w:t>
            </w:r>
          </w:p>
        </w:tc>
        <w:tc>
          <w:tcPr>
            <w:tcW w:w="1257" w:type="dxa"/>
            <w:tcBorders>
              <w:bottom w:val="double" w:sz="6" w:space="0" w:color="000000"/>
            </w:tcBorders>
          </w:tcPr>
          <w:p>
            <w:pPr>
              <w:pStyle w:val="TableParagraph"/>
              <w:spacing w:before="6"/>
              <w:ind w:right="105"/>
              <w:jc w:val="right"/>
              <w:rPr>
                <w:sz w:val="18"/>
              </w:rPr>
            </w:pPr>
            <w:r>
              <w:rPr>
                <w:spacing w:val="-2"/>
                <w:sz w:val="18"/>
              </w:rPr>
              <w:t>0.000000</w:t>
            </w:r>
          </w:p>
        </w:tc>
        <w:tc>
          <w:tcPr>
            <w:tcW w:w="1301" w:type="dxa"/>
            <w:tcBorders>
              <w:bottom w:val="double" w:sz="6" w:space="0" w:color="000000"/>
            </w:tcBorders>
          </w:tcPr>
          <w:p>
            <w:pPr>
              <w:pStyle w:val="TableParagraph"/>
              <w:rPr>
                <w:rFonts w:ascii="Times New Roman"/>
                <w:sz w:val="18"/>
              </w:rPr>
            </w:pPr>
          </w:p>
        </w:tc>
        <w:tc>
          <w:tcPr>
            <w:tcW w:w="1132" w:type="dxa"/>
            <w:tcBorders>
              <w:bottom w:val="double" w:sz="6" w:space="0" w:color="000000"/>
            </w:tcBorders>
          </w:tcPr>
          <w:p>
            <w:pPr>
              <w:pStyle w:val="TableParagraph"/>
              <w:rPr>
                <w:rFonts w:ascii="Times New Roman"/>
                <w:sz w:val="18"/>
              </w:rPr>
            </w:pPr>
          </w:p>
        </w:tc>
        <w:tc>
          <w:tcPr>
            <w:tcW w:w="885" w:type="dxa"/>
            <w:tcBorders>
              <w:bottom w:val="double" w:sz="6" w:space="0" w:color="000000"/>
            </w:tcBorders>
          </w:tcPr>
          <w:p>
            <w:pPr>
              <w:pStyle w:val="TableParagraph"/>
              <w:rPr>
                <w:rFonts w:ascii="Times New Roman"/>
                <w:sz w:val="18"/>
              </w:rPr>
            </w:pPr>
          </w:p>
        </w:tc>
      </w:tr>
      <w:tr>
        <w:trPr>
          <w:trHeight w:val="403" w:hRule="atLeast"/>
        </w:trPr>
        <w:tc>
          <w:tcPr>
            <w:tcW w:w="6535" w:type="dxa"/>
            <w:gridSpan w:val="5"/>
            <w:tcBorders>
              <w:top w:val="double" w:sz="6" w:space="0" w:color="000000"/>
              <w:bottom w:val="double" w:sz="6" w:space="0" w:color="000000"/>
            </w:tcBorders>
          </w:tcPr>
          <w:p>
            <w:pPr>
              <w:pStyle w:val="TableParagraph"/>
              <w:spacing w:before="108"/>
              <w:ind w:left="2" w:right="191"/>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1960" w:type="dxa"/>
            <w:tcBorders>
              <w:top w:val="double" w:sz="6" w:space="0" w:color="000000"/>
            </w:tcBorders>
          </w:tcPr>
          <w:p>
            <w:pPr>
              <w:pStyle w:val="TableParagraph"/>
              <w:spacing w:line="199" w:lineRule="exact" w:before="108"/>
              <w:rPr>
                <w:sz w:val="18"/>
              </w:rPr>
            </w:pPr>
            <w:r>
              <w:rPr>
                <w:spacing w:val="-2"/>
                <w:sz w:val="18"/>
              </w:rPr>
              <w:t>R-squared</w:t>
            </w:r>
          </w:p>
        </w:tc>
        <w:tc>
          <w:tcPr>
            <w:tcW w:w="1257" w:type="dxa"/>
            <w:tcBorders>
              <w:top w:val="double" w:sz="6" w:space="0" w:color="000000"/>
            </w:tcBorders>
          </w:tcPr>
          <w:p>
            <w:pPr>
              <w:pStyle w:val="TableParagraph"/>
              <w:spacing w:line="199" w:lineRule="exact" w:before="108"/>
              <w:ind w:right="105"/>
              <w:jc w:val="right"/>
              <w:rPr>
                <w:sz w:val="18"/>
              </w:rPr>
            </w:pPr>
            <w:r>
              <w:rPr>
                <w:spacing w:val="-2"/>
                <w:sz w:val="18"/>
              </w:rPr>
              <w:t>0.505813</w:t>
            </w:r>
          </w:p>
        </w:tc>
        <w:tc>
          <w:tcPr>
            <w:tcW w:w="2433" w:type="dxa"/>
            <w:gridSpan w:val="2"/>
            <w:tcBorders>
              <w:top w:val="double" w:sz="6" w:space="0" w:color="000000"/>
            </w:tcBorders>
          </w:tcPr>
          <w:p>
            <w:pPr>
              <w:pStyle w:val="TableParagraph"/>
              <w:spacing w:line="199" w:lineRule="exact" w:before="108"/>
              <w:ind w:left="105"/>
              <w:rPr>
                <w:sz w:val="18"/>
              </w:rPr>
            </w:pPr>
            <w:r>
              <w:rPr>
                <w:sz w:val="18"/>
              </w:rPr>
              <w:t>Mean</w:t>
            </w:r>
            <w:r>
              <w:rPr>
                <w:spacing w:val="-11"/>
                <w:sz w:val="18"/>
              </w:rPr>
              <w:t> </w:t>
            </w:r>
            <w:r>
              <w:rPr>
                <w:sz w:val="18"/>
              </w:rPr>
              <w:t>dependent</w:t>
            </w:r>
            <w:r>
              <w:rPr>
                <w:spacing w:val="-11"/>
                <w:sz w:val="18"/>
              </w:rPr>
              <w:t> </w:t>
            </w:r>
            <w:r>
              <w:rPr>
                <w:spacing w:val="-5"/>
                <w:sz w:val="18"/>
              </w:rPr>
              <w:t>var</w:t>
            </w:r>
          </w:p>
        </w:tc>
        <w:tc>
          <w:tcPr>
            <w:tcW w:w="885" w:type="dxa"/>
            <w:tcBorders>
              <w:top w:val="double" w:sz="6" w:space="0" w:color="000000"/>
            </w:tcBorders>
          </w:tcPr>
          <w:p>
            <w:pPr>
              <w:pStyle w:val="TableParagraph"/>
              <w:spacing w:line="199" w:lineRule="exact" w:before="108"/>
              <w:ind w:right="10"/>
              <w:jc w:val="right"/>
              <w:rPr>
                <w:sz w:val="18"/>
              </w:rPr>
            </w:pPr>
            <w:r>
              <w:rPr>
                <w:spacing w:val="-2"/>
                <w:sz w:val="18"/>
              </w:rPr>
              <w:t>0.589946</w:t>
            </w:r>
          </w:p>
        </w:tc>
      </w:tr>
      <w:tr>
        <w:trPr>
          <w:trHeight w:val="303" w:hRule="atLeast"/>
        </w:trPr>
        <w:tc>
          <w:tcPr>
            <w:tcW w:w="1960"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57" w:type="dxa"/>
            <w:tcBorders>
              <w:bottom w:val="double" w:sz="6" w:space="0" w:color="000000"/>
            </w:tcBorders>
          </w:tcPr>
          <w:p>
            <w:pPr>
              <w:pStyle w:val="TableParagraph"/>
              <w:spacing w:before="6"/>
              <w:ind w:right="105"/>
              <w:jc w:val="right"/>
              <w:rPr>
                <w:sz w:val="18"/>
              </w:rPr>
            </w:pPr>
            <w:r>
              <w:rPr>
                <w:spacing w:val="-2"/>
                <w:sz w:val="18"/>
              </w:rPr>
              <w:t>0.384356</w:t>
            </w:r>
          </w:p>
        </w:tc>
        <w:tc>
          <w:tcPr>
            <w:tcW w:w="2433" w:type="dxa"/>
            <w:gridSpan w:val="2"/>
            <w:tcBorders>
              <w:bottom w:val="double" w:sz="6" w:space="0" w:color="000000"/>
            </w:tcBorders>
          </w:tcPr>
          <w:p>
            <w:pPr>
              <w:pStyle w:val="TableParagraph"/>
              <w:spacing w:before="6"/>
              <w:ind w:left="105"/>
              <w:rPr>
                <w:sz w:val="18"/>
              </w:rPr>
            </w:pPr>
            <w:r>
              <w:rPr>
                <w:spacing w:val="-2"/>
                <w:sz w:val="18"/>
              </w:rPr>
              <w:t>Durbin-Watson</w:t>
            </w:r>
            <w:r>
              <w:rPr>
                <w:spacing w:val="13"/>
                <w:sz w:val="18"/>
              </w:rPr>
              <w:t> </w:t>
            </w:r>
            <w:r>
              <w:rPr>
                <w:spacing w:val="-4"/>
                <w:sz w:val="18"/>
              </w:rPr>
              <w:t>stat</w:t>
            </w:r>
          </w:p>
        </w:tc>
        <w:tc>
          <w:tcPr>
            <w:tcW w:w="885" w:type="dxa"/>
            <w:tcBorders>
              <w:bottom w:val="double" w:sz="6" w:space="0" w:color="000000"/>
            </w:tcBorders>
          </w:tcPr>
          <w:p>
            <w:pPr>
              <w:pStyle w:val="TableParagraph"/>
              <w:spacing w:before="6"/>
              <w:ind w:right="10"/>
              <w:jc w:val="right"/>
              <w:rPr>
                <w:sz w:val="18"/>
              </w:rPr>
            </w:pPr>
            <w:r>
              <w:rPr>
                <w:spacing w:val="-2"/>
                <w:sz w:val="18"/>
              </w:rPr>
              <w:t>0.698544</w:t>
            </w:r>
          </w:p>
        </w:tc>
      </w:tr>
    </w:tbl>
    <w:p>
      <w:pPr>
        <w:spacing w:after="0"/>
        <w:jc w:val="right"/>
        <w:rPr>
          <w:sz w:val="18"/>
        </w:rPr>
        <w:sectPr>
          <w:type w:val="continuous"/>
          <w:pgSz w:w="11910" w:h="16840"/>
          <w:pgMar w:header="0" w:footer="971" w:top="1420" w:bottom="1160" w:left="500" w:right="0"/>
        </w:sectPr>
      </w:pPr>
    </w:p>
    <w:p>
      <w:pPr>
        <w:spacing w:before="61"/>
        <w:ind w:left="940" w:right="1436" w:firstLine="0"/>
        <w:jc w:val="left"/>
        <w:rPr>
          <w:b/>
          <w:i/>
          <w:sz w:val="24"/>
        </w:rPr>
      </w:pPr>
      <w:r>
        <w:rPr/>
        <mc:AlternateContent>
          <mc:Choice Requires="wps">
            <w:drawing>
              <wp:anchor distT="0" distB="0" distL="0" distR="0" allowOverlap="1" layoutInCell="1" locked="0" behindDoc="1" simplePos="0" relativeHeight="477785088">
                <wp:simplePos x="0" y="0"/>
                <wp:positionH relativeFrom="page">
                  <wp:posOffset>1269060</wp:posOffset>
                </wp:positionH>
                <wp:positionV relativeFrom="page">
                  <wp:posOffset>2726054</wp:posOffset>
                </wp:positionV>
                <wp:extent cx="4933315" cy="497649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4933315" cy="4976495"/>
                          <a:chExt cx="4933315" cy="4976495"/>
                        </a:xfrm>
                      </wpg:grpSpPr>
                      <wps:wsp>
                        <wps:cNvPr id="302" name="Graphic 302"/>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03" name="Image 303"/>
                          <pic:cNvPicPr/>
                        </pic:nvPicPr>
                        <pic:blipFill>
                          <a:blip r:embed="rId9" cstate="print"/>
                          <a:stretch>
                            <a:fillRect/>
                          </a:stretch>
                        </pic:blipFill>
                        <pic:spPr>
                          <a:xfrm>
                            <a:off x="1248333" y="3743197"/>
                            <a:ext cx="221995" cy="221614"/>
                          </a:xfrm>
                          <a:prstGeom prst="rect">
                            <a:avLst/>
                          </a:prstGeom>
                        </pic:spPr>
                      </pic:pic>
                      <wps:wsp>
                        <wps:cNvPr id="304" name="Graphic 304"/>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31392" id="docshapegroup108" coordorigin="1999,4293" coordsize="7769,7837">
                <v:shape style="position:absolute;left:1998;top:10112;width:2142;height:2018" id="docshape109"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10" stroked="false">
                  <v:imagedata r:id="rId9" o:title=""/>
                </v:shape>
                <v:shape style="position:absolute;left:3758;top:4293;width:6009;height:6216" id="docshape111"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 11: Table 4.7:</w:t>
      </w:r>
      <w:r>
        <w:rPr>
          <w:b/>
          <w:spacing w:val="40"/>
          <w:sz w:val="24"/>
        </w:rPr>
        <w:t> </w:t>
      </w:r>
      <w:r>
        <w:rPr>
          <w:b/>
          <w:sz w:val="24"/>
        </w:rPr>
        <w:t>QUA-FRQ and Ownership Structure Regression </w:t>
      </w:r>
      <w:r>
        <w:rPr>
          <w:b/>
          <w:i/>
          <w:sz w:val="24"/>
        </w:rPr>
        <w:t>Result (fixed </w:t>
      </w:r>
      <w:r>
        <w:rPr>
          <w:b/>
          <w:i/>
          <w:spacing w:val="-2"/>
          <w:sz w:val="24"/>
        </w:rPr>
        <w:t>effects)</w:t>
      </w:r>
    </w:p>
    <w:p>
      <w:pPr>
        <w:pStyle w:val="BodyText"/>
        <w:spacing w:before="6"/>
        <w:rPr>
          <w:b/>
          <w:i/>
          <w:sz w:val="19"/>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250"/>
        <w:gridCol w:w="1300"/>
        <w:gridCol w:w="1131"/>
        <w:gridCol w:w="884"/>
      </w:tblGrid>
      <w:tr>
        <w:trPr>
          <w:trHeight w:val="212" w:hRule="atLeast"/>
        </w:trPr>
        <w:tc>
          <w:tcPr>
            <w:tcW w:w="6531" w:type="dxa"/>
            <w:gridSpan w:val="5"/>
          </w:tcPr>
          <w:p>
            <w:pPr>
              <w:pStyle w:val="TableParagraph"/>
              <w:spacing w:line="192"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4" w:hRule="atLeast"/>
        </w:trPr>
        <w:tc>
          <w:tcPr>
            <w:tcW w:w="6531" w:type="dxa"/>
            <w:gridSpan w:val="5"/>
          </w:tcPr>
          <w:p>
            <w:pPr>
              <w:pStyle w:val="TableParagraph"/>
              <w:spacing w:line="199" w:lineRule="exact" w:before="5"/>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5" w:hRule="atLeast"/>
        </w:trPr>
        <w:tc>
          <w:tcPr>
            <w:tcW w:w="6531" w:type="dxa"/>
            <w:gridSpan w:val="5"/>
          </w:tcPr>
          <w:p>
            <w:pPr>
              <w:pStyle w:val="TableParagraph"/>
              <w:spacing w:line="199" w:lineRule="exact" w:before="6"/>
              <w:rPr>
                <w:sz w:val="18"/>
              </w:rPr>
            </w:pPr>
            <w:r>
              <w:rPr>
                <w:sz w:val="18"/>
              </w:rPr>
              <w:t>Date:</w:t>
            </w:r>
            <w:r>
              <w:rPr>
                <w:spacing w:val="-3"/>
                <w:sz w:val="18"/>
              </w:rPr>
              <w:t> </w:t>
            </w:r>
            <w:r>
              <w:rPr>
                <w:sz w:val="18"/>
              </w:rPr>
              <w:t>04/27/21</w:t>
            </w:r>
            <w:r>
              <w:rPr>
                <w:spacing w:val="65"/>
                <w:w w:val="150"/>
                <w:sz w:val="18"/>
              </w:rPr>
              <w:t> </w:t>
            </w:r>
            <w:r>
              <w:rPr>
                <w:sz w:val="18"/>
              </w:rPr>
              <w:t>Time:</w:t>
            </w:r>
            <w:r>
              <w:rPr>
                <w:spacing w:val="-2"/>
                <w:sz w:val="18"/>
              </w:rPr>
              <w:t> </w:t>
            </w:r>
            <w:r>
              <w:rPr>
                <w:spacing w:val="-4"/>
                <w:sz w:val="18"/>
              </w:rPr>
              <w:t>04:16</w:t>
            </w:r>
          </w:p>
        </w:tc>
      </w:tr>
      <w:tr>
        <w:trPr>
          <w:trHeight w:val="225" w:hRule="atLeast"/>
        </w:trPr>
        <w:tc>
          <w:tcPr>
            <w:tcW w:w="6531" w:type="dxa"/>
            <w:gridSpan w:val="5"/>
          </w:tcPr>
          <w:p>
            <w:pPr>
              <w:pStyle w:val="TableParagraph"/>
              <w:spacing w:line="199" w:lineRule="exact" w:before="6"/>
              <w:rPr>
                <w:sz w:val="18"/>
              </w:rPr>
            </w:pPr>
            <w:r>
              <w:rPr>
                <w:sz w:val="18"/>
              </w:rPr>
              <w:t>Sample</w:t>
            </w:r>
            <w:r>
              <w:rPr>
                <w:spacing w:val="-7"/>
                <w:sz w:val="18"/>
              </w:rPr>
              <w:t> </w:t>
            </w:r>
            <w:r>
              <w:rPr>
                <w:sz w:val="18"/>
              </w:rPr>
              <w:t>(adjusted):</w:t>
            </w:r>
            <w:r>
              <w:rPr>
                <w:spacing w:val="-6"/>
                <w:sz w:val="18"/>
              </w:rPr>
              <w:t> </w:t>
            </w:r>
            <w:r>
              <w:rPr>
                <w:sz w:val="18"/>
              </w:rPr>
              <w:t>2006</w:t>
            </w:r>
            <w:r>
              <w:rPr>
                <w:spacing w:val="-4"/>
                <w:sz w:val="18"/>
              </w:rPr>
              <w:t> 2019</w:t>
            </w:r>
          </w:p>
        </w:tc>
      </w:tr>
      <w:tr>
        <w:trPr>
          <w:trHeight w:val="224" w:hRule="atLeast"/>
        </w:trPr>
        <w:tc>
          <w:tcPr>
            <w:tcW w:w="1966" w:type="dxa"/>
          </w:tcPr>
          <w:p>
            <w:pPr>
              <w:pStyle w:val="TableParagraph"/>
              <w:spacing w:line="198" w:lineRule="exact" w:before="6"/>
              <w:rPr>
                <w:sz w:val="18"/>
              </w:rPr>
            </w:pPr>
            <w:r>
              <w:rPr>
                <w:sz w:val="18"/>
              </w:rPr>
              <w:t>Periods</w:t>
            </w:r>
            <w:r>
              <w:rPr>
                <w:spacing w:val="-4"/>
                <w:sz w:val="18"/>
              </w:rPr>
              <w:t> </w:t>
            </w:r>
            <w:r>
              <w:rPr>
                <w:sz w:val="18"/>
              </w:rPr>
              <w:t>included:</w:t>
            </w:r>
            <w:r>
              <w:rPr>
                <w:spacing w:val="-3"/>
                <w:sz w:val="18"/>
              </w:rPr>
              <w:t> </w:t>
            </w:r>
            <w:r>
              <w:rPr>
                <w:spacing w:val="-5"/>
                <w:sz w:val="18"/>
              </w:rPr>
              <w:t>14</w:t>
            </w:r>
          </w:p>
        </w:tc>
        <w:tc>
          <w:tcPr>
            <w:tcW w:w="125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6531" w:type="dxa"/>
            <w:gridSpan w:val="5"/>
          </w:tcPr>
          <w:p>
            <w:pPr>
              <w:pStyle w:val="TableParagraph"/>
              <w:spacing w:line="199" w:lineRule="exact" w:before="5"/>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1" w:type="dxa"/>
            <w:gridSpan w:val="5"/>
          </w:tcPr>
          <w:p>
            <w:pPr>
              <w:pStyle w:val="TableParagraph"/>
              <w:spacing w:line="199"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2"/>
                <w:sz w:val="18"/>
              </w:rPr>
              <w:t> </w:t>
            </w:r>
            <w:r>
              <w:rPr>
                <w:sz w:val="18"/>
              </w:rPr>
              <w:t>observations:</w:t>
            </w:r>
            <w:r>
              <w:rPr>
                <w:spacing w:val="-4"/>
                <w:sz w:val="18"/>
              </w:rPr>
              <w:t> </w:t>
            </w:r>
            <w:r>
              <w:rPr>
                <w:spacing w:val="-5"/>
                <w:sz w:val="18"/>
              </w:rPr>
              <w:t>182</w:t>
            </w:r>
          </w:p>
        </w:tc>
      </w:tr>
      <w:tr>
        <w:trPr>
          <w:trHeight w:val="225" w:hRule="atLeast"/>
        </w:trPr>
        <w:tc>
          <w:tcPr>
            <w:tcW w:w="6531" w:type="dxa"/>
            <w:gridSpan w:val="5"/>
          </w:tcPr>
          <w:p>
            <w:pPr>
              <w:pStyle w:val="TableParagraph"/>
              <w:spacing w:line="199" w:lineRule="exact" w:before="6"/>
              <w:rPr>
                <w:sz w:val="18"/>
              </w:rPr>
            </w:pPr>
            <w:r>
              <w:rPr>
                <w:sz w:val="18"/>
              </w:rPr>
              <w:t>Iterate</w:t>
            </w:r>
            <w:r>
              <w:rPr>
                <w:spacing w:val="-5"/>
                <w:sz w:val="18"/>
              </w:rPr>
              <w:t> </w:t>
            </w:r>
            <w:r>
              <w:rPr>
                <w:sz w:val="18"/>
              </w:rPr>
              <w:t>coefficients</w:t>
            </w:r>
            <w:r>
              <w:rPr>
                <w:spacing w:val="-4"/>
                <w:sz w:val="18"/>
              </w:rPr>
              <w:t> </w:t>
            </w:r>
            <w:r>
              <w:rPr>
                <w:sz w:val="18"/>
              </w:rPr>
              <w:t>after</w:t>
            </w:r>
            <w:r>
              <w:rPr>
                <w:spacing w:val="-5"/>
                <w:sz w:val="18"/>
              </w:rPr>
              <w:t> </w:t>
            </w:r>
            <w:r>
              <w:rPr>
                <w:sz w:val="18"/>
              </w:rPr>
              <w:t>one-step</w:t>
            </w:r>
            <w:r>
              <w:rPr>
                <w:spacing w:val="-3"/>
                <w:sz w:val="18"/>
              </w:rPr>
              <w:t> </w:t>
            </w:r>
            <w:r>
              <w:rPr>
                <w:sz w:val="18"/>
              </w:rPr>
              <w:t>weighting</w:t>
            </w:r>
            <w:r>
              <w:rPr>
                <w:spacing w:val="-4"/>
                <w:sz w:val="18"/>
              </w:rPr>
              <w:t> </w:t>
            </w:r>
            <w:r>
              <w:rPr>
                <w:spacing w:val="-2"/>
                <w:sz w:val="18"/>
              </w:rPr>
              <w:t>matrix</w:t>
            </w:r>
          </w:p>
        </w:tc>
      </w:tr>
      <w:tr>
        <w:trPr>
          <w:trHeight w:val="224" w:hRule="atLeast"/>
        </w:trPr>
        <w:tc>
          <w:tcPr>
            <w:tcW w:w="6531" w:type="dxa"/>
            <w:gridSpan w:val="5"/>
          </w:tcPr>
          <w:p>
            <w:pPr>
              <w:pStyle w:val="TableParagraph"/>
              <w:spacing w:line="198" w:lineRule="exact" w:before="6"/>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302" w:hRule="atLeast"/>
        </w:trPr>
        <w:tc>
          <w:tcPr>
            <w:tcW w:w="6531" w:type="dxa"/>
            <w:gridSpan w:val="5"/>
            <w:tcBorders>
              <w:bottom w:val="double" w:sz="6" w:space="0" w:color="000000"/>
            </w:tcBorders>
          </w:tcPr>
          <w:p>
            <w:pPr>
              <w:pStyle w:val="TableParagraph"/>
              <w:spacing w:before="5"/>
              <w:rPr>
                <w:sz w:val="18"/>
              </w:rPr>
            </w:pPr>
            <w:r>
              <w:rPr>
                <w:sz w:val="18"/>
              </w:rPr>
              <w:t>Convergence</w:t>
            </w:r>
            <w:r>
              <w:rPr>
                <w:spacing w:val="-8"/>
                <w:sz w:val="18"/>
              </w:rPr>
              <w:t> </w:t>
            </w:r>
            <w:r>
              <w:rPr>
                <w:sz w:val="18"/>
              </w:rPr>
              <w:t>achieved</w:t>
            </w:r>
            <w:r>
              <w:rPr>
                <w:spacing w:val="-7"/>
                <w:sz w:val="18"/>
              </w:rPr>
              <w:t> </w:t>
            </w:r>
            <w:r>
              <w:rPr>
                <w:sz w:val="18"/>
              </w:rPr>
              <w:t>after</w:t>
            </w:r>
            <w:r>
              <w:rPr>
                <w:spacing w:val="-8"/>
                <w:sz w:val="18"/>
              </w:rPr>
              <w:t> </w:t>
            </w:r>
            <w:r>
              <w:rPr>
                <w:sz w:val="18"/>
              </w:rPr>
              <w:t>16</w:t>
            </w:r>
            <w:r>
              <w:rPr>
                <w:spacing w:val="-7"/>
                <w:sz w:val="18"/>
              </w:rPr>
              <w:t> </w:t>
            </w:r>
            <w:r>
              <w:rPr>
                <w:sz w:val="18"/>
              </w:rPr>
              <w:t>total</w:t>
            </w:r>
            <w:r>
              <w:rPr>
                <w:spacing w:val="-7"/>
                <w:sz w:val="18"/>
              </w:rPr>
              <w:t> </w:t>
            </w:r>
            <w:r>
              <w:rPr>
                <w:sz w:val="18"/>
              </w:rPr>
              <w:t>coef</w:t>
            </w:r>
            <w:r>
              <w:rPr>
                <w:spacing w:val="-9"/>
                <w:sz w:val="18"/>
              </w:rPr>
              <w:t> </w:t>
            </w:r>
            <w:r>
              <w:rPr>
                <w:spacing w:val="-2"/>
                <w:sz w:val="18"/>
              </w:rPr>
              <w:t>iterations</w:t>
            </w:r>
          </w:p>
        </w:tc>
      </w:tr>
      <w:tr>
        <w:trPr>
          <w:trHeight w:val="406" w:hRule="atLeast"/>
        </w:trPr>
        <w:tc>
          <w:tcPr>
            <w:tcW w:w="1966"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50" w:type="dxa"/>
            <w:tcBorders>
              <w:top w:val="double" w:sz="6" w:space="0" w:color="000000"/>
              <w:bottom w:val="double" w:sz="6" w:space="0" w:color="000000"/>
            </w:tcBorders>
          </w:tcPr>
          <w:p>
            <w:pPr>
              <w:pStyle w:val="TableParagraph"/>
              <w:spacing w:before="108"/>
              <w:ind w:left="292"/>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20"/>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left="147" w:right="2"/>
              <w:jc w:val="center"/>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4"/>
              <w:rPr>
                <w:sz w:val="18"/>
              </w:rPr>
            </w:pPr>
            <w:r>
              <w:rPr>
                <w:spacing w:val="-2"/>
                <w:sz w:val="18"/>
              </w:rPr>
              <w:t>Prob.</w:t>
            </w:r>
          </w:p>
        </w:tc>
      </w:tr>
      <w:tr>
        <w:trPr>
          <w:trHeight w:val="322" w:hRule="atLeast"/>
        </w:trPr>
        <w:tc>
          <w:tcPr>
            <w:tcW w:w="1966" w:type="dxa"/>
            <w:tcBorders>
              <w:top w:val="double" w:sz="6" w:space="0" w:color="000000"/>
            </w:tcBorders>
          </w:tcPr>
          <w:p>
            <w:pPr>
              <w:pStyle w:val="TableParagraph"/>
              <w:spacing w:line="197" w:lineRule="exact" w:before="106"/>
              <w:ind w:left="50"/>
              <w:jc w:val="center"/>
              <w:rPr>
                <w:sz w:val="18"/>
              </w:rPr>
            </w:pPr>
            <w:r>
              <w:rPr>
                <w:spacing w:val="-10"/>
                <w:sz w:val="18"/>
              </w:rPr>
              <w:t>C</w:t>
            </w:r>
          </w:p>
        </w:tc>
        <w:tc>
          <w:tcPr>
            <w:tcW w:w="1250" w:type="dxa"/>
            <w:tcBorders>
              <w:top w:val="double" w:sz="6" w:space="0" w:color="000000"/>
            </w:tcBorders>
          </w:tcPr>
          <w:p>
            <w:pPr>
              <w:pStyle w:val="TableParagraph"/>
              <w:spacing w:line="197" w:lineRule="exact" w:before="106"/>
              <w:ind w:left="391"/>
              <w:rPr>
                <w:sz w:val="18"/>
              </w:rPr>
            </w:pPr>
            <w:r>
              <w:rPr>
                <w:spacing w:val="-2"/>
                <w:sz w:val="18"/>
              </w:rPr>
              <w:t>0.246329</w:t>
            </w:r>
          </w:p>
        </w:tc>
        <w:tc>
          <w:tcPr>
            <w:tcW w:w="1300" w:type="dxa"/>
            <w:tcBorders>
              <w:top w:val="double" w:sz="6" w:space="0" w:color="000000"/>
            </w:tcBorders>
          </w:tcPr>
          <w:p>
            <w:pPr>
              <w:pStyle w:val="TableParagraph"/>
              <w:spacing w:line="197" w:lineRule="exact" w:before="106"/>
              <w:ind w:left="155" w:right="2"/>
              <w:jc w:val="center"/>
              <w:rPr>
                <w:sz w:val="18"/>
              </w:rPr>
            </w:pPr>
            <w:r>
              <w:rPr>
                <w:spacing w:val="-2"/>
                <w:sz w:val="18"/>
              </w:rPr>
              <w:t>0.073216</w:t>
            </w:r>
          </w:p>
        </w:tc>
        <w:tc>
          <w:tcPr>
            <w:tcW w:w="1131" w:type="dxa"/>
            <w:tcBorders>
              <w:top w:val="double" w:sz="6" w:space="0" w:color="000000"/>
            </w:tcBorders>
          </w:tcPr>
          <w:p>
            <w:pPr>
              <w:pStyle w:val="TableParagraph"/>
              <w:spacing w:line="197" w:lineRule="exact" w:before="106"/>
              <w:ind w:left="147" w:right="14"/>
              <w:jc w:val="center"/>
              <w:rPr>
                <w:sz w:val="18"/>
              </w:rPr>
            </w:pPr>
            <w:r>
              <w:rPr>
                <w:spacing w:val="-2"/>
                <w:sz w:val="18"/>
              </w:rPr>
              <w:t>3.364400</w:t>
            </w:r>
          </w:p>
        </w:tc>
        <w:tc>
          <w:tcPr>
            <w:tcW w:w="884" w:type="dxa"/>
            <w:tcBorders>
              <w:top w:val="double" w:sz="6" w:space="0" w:color="000000"/>
            </w:tcBorders>
          </w:tcPr>
          <w:p>
            <w:pPr>
              <w:pStyle w:val="TableParagraph"/>
              <w:spacing w:line="197" w:lineRule="exact" w:before="106"/>
              <w:ind w:right="6"/>
              <w:jc w:val="right"/>
              <w:rPr>
                <w:sz w:val="18"/>
              </w:rPr>
            </w:pPr>
            <w:r>
              <w:rPr>
                <w:spacing w:val="-2"/>
                <w:sz w:val="18"/>
              </w:rPr>
              <w:t>0.0010</w:t>
            </w:r>
          </w:p>
        </w:tc>
      </w:tr>
      <w:tr>
        <w:trPr>
          <w:trHeight w:val="228" w:hRule="atLeast"/>
        </w:trPr>
        <w:tc>
          <w:tcPr>
            <w:tcW w:w="1966" w:type="dxa"/>
          </w:tcPr>
          <w:p>
            <w:pPr>
              <w:pStyle w:val="TableParagraph"/>
              <w:spacing w:line="199" w:lineRule="exact" w:before="9"/>
              <w:ind w:left="583"/>
              <w:rPr>
                <w:sz w:val="18"/>
              </w:rPr>
            </w:pPr>
            <w:r>
              <w:rPr>
                <w:color w:val="000000"/>
                <w:spacing w:val="-2"/>
                <w:sz w:val="18"/>
                <w:highlight w:val="yellow"/>
              </w:rPr>
              <w:t>INSTOWN</w:t>
            </w:r>
          </w:p>
        </w:tc>
        <w:tc>
          <w:tcPr>
            <w:tcW w:w="1250" w:type="dxa"/>
          </w:tcPr>
          <w:p>
            <w:pPr>
              <w:pStyle w:val="TableParagraph"/>
              <w:spacing w:line="199" w:lineRule="exact" w:before="9"/>
              <w:ind w:left="331"/>
              <w:rPr>
                <w:sz w:val="18"/>
              </w:rPr>
            </w:pPr>
            <w:r>
              <w:rPr>
                <w:color w:val="000000"/>
                <w:spacing w:val="-2"/>
                <w:sz w:val="18"/>
                <w:highlight w:val="yellow"/>
              </w:rPr>
              <w:t>-0.000169</w:t>
            </w:r>
          </w:p>
        </w:tc>
        <w:tc>
          <w:tcPr>
            <w:tcW w:w="1300" w:type="dxa"/>
          </w:tcPr>
          <w:p>
            <w:pPr>
              <w:pStyle w:val="TableParagraph"/>
              <w:spacing w:line="199" w:lineRule="exact" w:before="9"/>
              <w:ind w:left="155" w:right="2"/>
              <w:jc w:val="center"/>
              <w:rPr>
                <w:sz w:val="18"/>
              </w:rPr>
            </w:pPr>
            <w:r>
              <w:rPr>
                <w:color w:val="000000"/>
                <w:spacing w:val="-2"/>
                <w:sz w:val="18"/>
                <w:highlight w:val="yellow"/>
              </w:rPr>
              <w:t>0.000177</w:t>
            </w:r>
          </w:p>
        </w:tc>
        <w:tc>
          <w:tcPr>
            <w:tcW w:w="1131" w:type="dxa"/>
          </w:tcPr>
          <w:p>
            <w:pPr>
              <w:pStyle w:val="TableParagraph"/>
              <w:spacing w:line="199" w:lineRule="exact" w:before="9"/>
              <w:ind w:left="147" w:right="74"/>
              <w:jc w:val="center"/>
              <w:rPr>
                <w:sz w:val="18"/>
              </w:rPr>
            </w:pPr>
            <w:r>
              <w:rPr>
                <w:color w:val="000000"/>
                <w:spacing w:val="-2"/>
                <w:sz w:val="18"/>
                <w:highlight w:val="yellow"/>
              </w:rPr>
              <w:t>-0.957775</w:t>
            </w:r>
          </w:p>
        </w:tc>
        <w:tc>
          <w:tcPr>
            <w:tcW w:w="884" w:type="dxa"/>
          </w:tcPr>
          <w:p>
            <w:pPr>
              <w:pStyle w:val="TableParagraph"/>
              <w:spacing w:line="199" w:lineRule="exact" w:before="9"/>
              <w:ind w:right="6"/>
              <w:jc w:val="right"/>
              <w:rPr>
                <w:sz w:val="18"/>
              </w:rPr>
            </w:pPr>
            <w:r>
              <w:rPr>
                <w:color w:val="000000"/>
                <w:spacing w:val="-2"/>
                <w:sz w:val="18"/>
                <w:highlight w:val="yellow"/>
              </w:rPr>
              <w:t>0.3397</w:t>
            </w:r>
          </w:p>
        </w:tc>
      </w:tr>
      <w:tr>
        <w:trPr>
          <w:trHeight w:val="225" w:hRule="atLeast"/>
        </w:trPr>
        <w:tc>
          <w:tcPr>
            <w:tcW w:w="1966" w:type="dxa"/>
          </w:tcPr>
          <w:p>
            <w:pPr>
              <w:pStyle w:val="TableParagraph"/>
              <w:spacing w:line="199" w:lineRule="exact" w:before="6"/>
              <w:ind w:left="50" w:right="1"/>
              <w:jc w:val="center"/>
              <w:rPr>
                <w:sz w:val="18"/>
              </w:rPr>
            </w:pPr>
            <w:r>
              <w:rPr>
                <w:spacing w:val="-4"/>
                <w:sz w:val="18"/>
              </w:rPr>
              <w:t>MOWN</w:t>
            </w:r>
          </w:p>
        </w:tc>
        <w:tc>
          <w:tcPr>
            <w:tcW w:w="1250" w:type="dxa"/>
          </w:tcPr>
          <w:p>
            <w:pPr>
              <w:pStyle w:val="TableParagraph"/>
              <w:spacing w:line="199" w:lineRule="exact" w:before="6"/>
              <w:ind w:left="391"/>
              <w:rPr>
                <w:sz w:val="18"/>
              </w:rPr>
            </w:pPr>
            <w:r>
              <w:rPr>
                <w:spacing w:val="-2"/>
                <w:sz w:val="18"/>
              </w:rPr>
              <w:t>0.000499</w:t>
            </w:r>
          </w:p>
        </w:tc>
        <w:tc>
          <w:tcPr>
            <w:tcW w:w="1300" w:type="dxa"/>
          </w:tcPr>
          <w:p>
            <w:pPr>
              <w:pStyle w:val="TableParagraph"/>
              <w:spacing w:line="199" w:lineRule="exact" w:before="6"/>
              <w:ind w:left="155" w:right="2"/>
              <w:jc w:val="center"/>
              <w:rPr>
                <w:sz w:val="18"/>
              </w:rPr>
            </w:pPr>
            <w:r>
              <w:rPr>
                <w:spacing w:val="-2"/>
                <w:sz w:val="18"/>
              </w:rPr>
              <w:t>0.000415</w:t>
            </w:r>
          </w:p>
        </w:tc>
        <w:tc>
          <w:tcPr>
            <w:tcW w:w="1131" w:type="dxa"/>
          </w:tcPr>
          <w:p>
            <w:pPr>
              <w:pStyle w:val="TableParagraph"/>
              <w:spacing w:line="199" w:lineRule="exact" w:before="6"/>
              <w:ind w:left="147" w:right="14"/>
              <w:jc w:val="center"/>
              <w:rPr>
                <w:sz w:val="18"/>
              </w:rPr>
            </w:pPr>
            <w:r>
              <w:rPr>
                <w:spacing w:val="-2"/>
                <w:sz w:val="18"/>
              </w:rPr>
              <w:t>1.200139</w:t>
            </w:r>
          </w:p>
        </w:tc>
        <w:tc>
          <w:tcPr>
            <w:tcW w:w="884" w:type="dxa"/>
          </w:tcPr>
          <w:p>
            <w:pPr>
              <w:pStyle w:val="TableParagraph"/>
              <w:spacing w:line="199" w:lineRule="exact" w:before="6"/>
              <w:ind w:right="6"/>
              <w:jc w:val="right"/>
              <w:rPr>
                <w:sz w:val="18"/>
              </w:rPr>
            </w:pPr>
            <w:r>
              <w:rPr>
                <w:spacing w:val="-2"/>
                <w:sz w:val="18"/>
              </w:rPr>
              <w:t>0.2319</w:t>
            </w:r>
          </w:p>
        </w:tc>
      </w:tr>
      <w:tr>
        <w:trPr>
          <w:trHeight w:val="224" w:hRule="atLeast"/>
        </w:trPr>
        <w:tc>
          <w:tcPr>
            <w:tcW w:w="1966" w:type="dxa"/>
          </w:tcPr>
          <w:p>
            <w:pPr>
              <w:pStyle w:val="TableParagraph"/>
              <w:spacing w:line="198" w:lineRule="exact" w:before="6"/>
              <w:ind w:left="50" w:right="3"/>
              <w:jc w:val="center"/>
              <w:rPr>
                <w:sz w:val="18"/>
              </w:rPr>
            </w:pPr>
            <w:r>
              <w:rPr>
                <w:spacing w:val="-4"/>
                <w:sz w:val="18"/>
              </w:rPr>
              <w:t>FOWN</w:t>
            </w:r>
          </w:p>
        </w:tc>
        <w:tc>
          <w:tcPr>
            <w:tcW w:w="1250" w:type="dxa"/>
          </w:tcPr>
          <w:p>
            <w:pPr>
              <w:pStyle w:val="TableParagraph"/>
              <w:spacing w:line="198" w:lineRule="exact" w:before="6"/>
              <w:ind w:left="391"/>
              <w:rPr>
                <w:sz w:val="18"/>
              </w:rPr>
            </w:pPr>
            <w:r>
              <w:rPr>
                <w:spacing w:val="-2"/>
                <w:sz w:val="18"/>
              </w:rPr>
              <w:t>0.000101</w:t>
            </w:r>
          </w:p>
        </w:tc>
        <w:tc>
          <w:tcPr>
            <w:tcW w:w="1300" w:type="dxa"/>
          </w:tcPr>
          <w:p>
            <w:pPr>
              <w:pStyle w:val="TableParagraph"/>
              <w:spacing w:line="198" w:lineRule="exact" w:before="6"/>
              <w:ind w:left="155" w:right="2"/>
              <w:jc w:val="center"/>
              <w:rPr>
                <w:sz w:val="18"/>
              </w:rPr>
            </w:pPr>
            <w:r>
              <w:rPr>
                <w:spacing w:val="-2"/>
                <w:sz w:val="18"/>
              </w:rPr>
              <w:t>0.000337</w:t>
            </w:r>
          </w:p>
        </w:tc>
        <w:tc>
          <w:tcPr>
            <w:tcW w:w="1131" w:type="dxa"/>
          </w:tcPr>
          <w:p>
            <w:pPr>
              <w:pStyle w:val="TableParagraph"/>
              <w:spacing w:line="198" w:lineRule="exact" w:before="6"/>
              <w:ind w:left="147" w:right="14"/>
              <w:jc w:val="center"/>
              <w:rPr>
                <w:sz w:val="18"/>
              </w:rPr>
            </w:pPr>
            <w:r>
              <w:rPr>
                <w:spacing w:val="-2"/>
                <w:sz w:val="18"/>
              </w:rPr>
              <w:t>0.300738</w:t>
            </w:r>
          </w:p>
        </w:tc>
        <w:tc>
          <w:tcPr>
            <w:tcW w:w="884" w:type="dxa"/>
          </w:tcPr>
          <w:p>
            <w:pPr>
              <w:pStyle w:val="TableParagraph"/>
              <w:spacing w:line="198" w:lineRule="exact" w:before="6"/>
              <w:ind w:right="6"/>
              <w:jc w:val="right"/>
              <w:rPr>
                <w:sz w:val="18"/>
              </w:rPr>
            </w:pPr>
            <w:r>
              <w:rPr>
                <w:spacing w:val="-2"/>
                <w:sz w:val="18"/>
              </w:rPr>
              <w:t>0.7640</w:t>
            </w:r>
          </w:p>
        </w:tc>
      </w:tr>
      <w:tr>
        <w:trPr>
          <w:trHeight w:val="224" w:hRule="atLeast"/>
        </w:trPr>
        <w:tc>
          <w:tcPr>
            <w:tcW w:w="1966" w:type="dxa"/>
          </w:tcPr>
          <w:p>
            <w:pPr>
              <w:pStyle w:val="TableParagraph"/>
              <w:spacing w:line="199" w:lineRule="exact" w:before="5"/>
              <w:ind w:left="676"/>
              <w:rPr>
                <w:sz w:val="18"/>
              </w:rPr>
            </w:pPr>
            <w:r>
              <w:rPr>
                <w:spacing w:val="-2"/>
                <w:sz w:val="18"/>
              </w:rPr>
              <w:t>BLOWN</w:t>
            </w:r>
          </w:p>
        </w:tc>
        <w:tc>
          <w:tcPr>
            <w:tcW w:w="1250" w:type="dxa"/>
          </w:tcPr>
          <w:p>
            <w:pPr>
              <w:pStyle w:val="TableParagraph"/>
              <w:spacing w:line="199" w:lineRule="exact" w:before="5"/>
              <w:ind w:left="352"/>
              <w:rPr>
                <w:sz w:val="18"/>
              </w:rPr>
            </w:pPr>
            <w:r>
              <w:rPr>
                <w:spacing w:val="-2"/>
                <w:sz w:val="18"/>
              </w:rPr>
              <w:t>-5.01E-</w:t>
            </w:r>
            <w:r>
              <w:rPr>
                <w:spacing w:val="-5"/>
                <w:sz w:val="18"/>
              </w:rPr>
              <w:t>05</w:t>
            </w:r>
          </w:p>
        </w:tc>
        <w:tc>
          <w:tcPr>
            <w:tcW w:w="1300" w:type="dxa"/>
          </w:tcPr>
          <w:p>
            <w:pPr>
              <w:pStyle w:val="TableParagraph"/>
              <w:spacing w:line="199" w:lineRule="exact" w:before="5"/>
              <w:ind w:left="155" w:right="2"/>
              <w:jc w:val="center"/>
              <w:rPr>
                <w:sz w:val="18"/>
              </w:rPr>
            </w:pPr>
            <w:r>
              <w:rPr>
                <w:spacing w:val="-2"/>
                <w:sz w:val="18"/>
              </w:rPr>
              <w:t>0.000227</w:t>
            </w:r>
          </w:p>
        </w:tc>
        <w:tc>
          <w:tcPr>
            <w:tcW w:w="1131" w:type="dxa"/>
          </w:tcPr>
          <w:p>
            <w:pPr>
              <w:pStyle w:val="TableParagraph"/>
              <w:spacing w:line="199" w:lineRule="exact" w:before="5"/>
              <w:ind w:left="147" w:right="74"/>
              <w:jc w:val="center"/>
              <w:rPr>
                <w:sz w:val="18"/>
              </w:rPr>
            </w:pPr>
            <w:r>
              <w:rPr>
                <w:spacing w:val="-2"/>
                <w:sz w:val="18"/>
              </w:rPr>
              <w:t>-0.220937</w:t>
            </w:r>
          </w:p>
        </w:tc>
        <w:tc>
          <w:tcPr>
            <w:tcW w:w="884" w:type="dxa"/>
          </w:tcPr>
          <w:p>
            <w:pPr>
              <w:pStyle w:val="TableParagraph"/>
              <w:spacing w:line="199" w:lineRule="exact" w:before="5"/>
              <w:ind w:right="6"/>
              <w:jc w:val="right"/>
              <w:rPr>
                <w:sz w:val="18"/>
              </w:rPr>
            </w:pPr>
            <w:r>
              <w:rPr>
                <w:spacing w:val="-2"/>
                <w:sz w:val="18"/>
              </w:rPr>
              <w:t>0.8254</w:t>
            </w:r>
          </w:p>
        </w:tc>
      </w:tr>
      <w:tr>
        <w:trPr>
          <w:trHeight w:val="225" w:hRule="atLeast"/>
        </w:trPr>
        <w:tc>
          <w:tcPr>
            <w:tcW w:w="1966" w:type="dxa"/>
          </w:tcPr>
          <w:p>
            <w:pPr>
              <w:pStyle w:val="TableParagraph"/>
              <w:spacing w:line="199" w:lineRule="exact" w:before="6"/>
              <w:ind w:left="50"/>
              <w:jc w:val="center"/>
              <w:rPr>
                <w:sz w:val="18"/>
              </w:rPr>
            </w:pPr>
            <w:r>
              <w:rPr>
                <w:spacing w:val="-4"/>
                <w:sz w:val="18"/>
              </w:rPr>
              <w:t>FAGE</w:t>
            </w:r>
          </w:p>
        </w:tc>
        <w:tc>
          <w:tcPr>
            <w:tcW w:w="1250" w:type="dxa"/>
          </w:tcPr>
          <w:p>
            <w:pPr>
              <w:pStyle w:val="TableParagraph"/>
              <w:spacing w:line="199" w:lineRule="exact" w:before="6"/>
              <w:ind w:left="391"/>
              <w:rPr>
                <w:sz w:val="18"/>
              </w:rPr>
            </w:pPr>
            <w:r>
              <w:rPr>
                <w:spacing w:val="-2"/>
                <w:sz w:val="18"/>
              </w:rPr>
              <w:t>0.010822</w:t>
            </w:r>
          </w:p>
        </w:tc>
        <w:tc>
          <w:tcPr>
            <w:tcW w:w="1300" w:type="dxa"/>
          </w:tcPr>
          <w:p>
            <w:pPr>
              <w:pStyle w:val="TableParagraph"/>
              <w:spacing w:line="199" w:lineRule="exact" w:before="6"/>
              <w:ind w:left="155" w:right="2"/>
              <w:jc w:val="center"/>
              <w:rPr>
                <w:sz w:val="18"/>
              </w:rPr>
            </w:pPr>
            <w:r>
              <w:rPr>
                <w:spacing w:val="-2"/>
                <w:sz w:val="18"/>
              </w:rPr>
              <w:t>0.001430</w:t>
            </w:r>
          </w:p>
        </w:tc>
        <w:tc>
          <w:tcPr>
            <w:tcW w:w="1131" w:type="dxa"/>
          </w:tcPr>
          <w:p>
            <w:pPr>
              <w:pStyle w:val="TableParagraph"/>
              <w:spacing w:line="199" w:lineRule="exact" w:before="6"/>
              <w:ind w:left="147" w:right="14"/>
              <w:jc w:val="center"/>
              <w:rPr>
                <w:sz w:val="18"/>
              </w:rPr>
            </w:pPr>
            <w:r>
              <w:rPr>
                <w:spacing w:val="-2"/>
                <w:sz w:val="18"/>
              </w:rPr>
              <w:t>7.565188</w:t>
            </w:r>
          </w:p>
        </w:tc>
        <w:tc>
          <w:tcPr>
            <w:tcW w:w="884" w:type="dxa"/>
          </w:tcPr>
          <w:p>
            <w:pPr>
              <w:pStyle w:val="TableParagraph"/>
              <w:spacing w:line="199" w:lineRule="exact" w:before="6"/>
              <w:ind w:right="6"/>
              <w:jc w:val="right"/>
              <w:rPr>
                <w:sz w:val="18"/>
              </w:rPr>
            </w:pPr>
            <w:r>
              <w:rPr>
                <w:spacing w:val="-2"/>
                <w:sz w:val="18"/>
              </w:rPr>
              <w:t>0.0000</w:t>
            </w:r>
          </w:p>
        </w:tc>
      </w:tr>
      <w:tr>
        <w:trPr>
          <w:trHeight w:val="225" w:hRule="atLeast"/>
        </w:trPr>
        <w:tc>
          <w:tcPr>
            <w:tcW w:w="1966" w:type="dxa"/>
          </w:tcPr>
          <w:p>
            <w:pPr>
              <w:pStyle w:val="TableParagraph"/>
              <w:spacing w:line="199" w:lineRule="exact" w:before="6"/>
              <w:ind w:left="50" w:right="4"/>
              <w:jc w:val="center"/>
              <w:rPr>
                <w:sz w:val="18"/>
              </w:rPr>
            </w:pPr>
            <w:r>
              <w:rPr>
                <w:spacing w:val="-2"/>
                <w:sz w:val="18"/>
              </w:rPr>
              <w:t>FSIZE</w:t>
            </w:r>
          </w:p>
        </w:tc>
        <w:tc>
          <w:tcPr>
            <w:tcW w:w="1250" w:type="dxa"/>
          </w:tcPr>
          <w:p>
            <w:pPr>
              <w:pStyle w:val="TableParagraph"/>
              <w:spacing w:line="199" w:lineRule="exact" w:before="6"/>
              <w:ind w:left="331"/>
              <w:rPr>
                <w:sz w:val="18"/>
              </w:rPr>
            </w:pPr>
            <w:r>
              <w:rPr>
                <w:spacing w:val="-2"/>
                <w:sz w:val="18"/>
              </w:rPr>
              <w:t>-0.000464</w:t>
            </w:r>
          </w:p>
        </w:tc>
        <w:tc>
          <w:tcPr>
            <w:tcW w:w="1300" w:type="dxa"/>
          </w:tcPr>
          <w:p>
            <w:pPr>
              <w:pStyle w:val="TableParagraph"/>
              <w:spacing w:line="199" w:lineRule="exact" w:before="6"/>
              <w:ind w:left="155" w:right="2"/>
              <w:jc w:val="center"/>
              <w:rPr>
                <w:sz w:val="18"/>
              </w:rPr>
            </w:pPr>
            <w:r>
              <w:rPr>
                <w:spacing w:val="-2"/>
                <w:sz w:val="18"/>
              </w:rPr>
              <w:t>0.010141</w:t>
            </w:r>
          </w:p>
        </w:tc>
        <w:tc>
          <w:tcPr>
            <w:tcW w:w="1131" w:type="dxa"/>
          </w:tcPr>
          <w:p>
            <w:pPr>
              <w:pStyle w:val="TableParagraph"/>
              <w:spacing w:line="199" w:lineRule="exact" w:before="6"/>
              <w:ind w:left="147" w:right="74"/>
              <w:jc w:val="center"/>
              <w:rPr>
                <w:sz w:val="18"/>
              </w:rPr>
            </w:pPr>
            <w:r>
              <w:rPr>
                <w:spacing w:val="-2"/>
                <w:sz w:val="18"/>
              </w:rPr>
              <w:t>-0.045775</w:t>
            </w:r>
          </w:p>
        </w:tc>
        <w:tc>
          <w:tcPr>
            <w:tcW w:w="884" w:type="dxa"/>
          </w:tcPr>
          <w:p>
            <w:pPr>
              <w:pStyle w:val="TableParagraph"/>
              <w:spacing w:line="199" w:lineRule="exact" w:before="6"/>
              <w:ind w:right="6"/>
              <w:jc w:val="right"/>
              <w:rPr>
                <w:sz w:val="18"/>
              </w:rPr>
            </w:pPr>
            <w:r>
              <w:rPr>
                <w:spacing w:val="-2"/>
                <w:sz w:val="18"/>
              </w:rPr>
              <w:t>0.9635</w:t>
            </w:r>
          </w:p>
        </w:tc>
      </w:tr>
      <w:tr>
        <w:trPr>
          <w:trHeight w:val="221" w:hRule="atLeast"/>
        </w:trPr>
        <w:tc>
          <w:tcPr>
            <w:tcW w:w="1966" w:type="dxa"/>
          </w:tcPr>
          <w:p>
            <w:pPr>
              <w:pStyle w:val="TableParagraph"/>
              <w:spacing w:line="196" w:lineRule="exact" w:before="6"/>
              <w:ind w:left="523"/>
              <w:rPr>
                <w:sz w:val="18"/>
              </w:rPr>
            </w:pPr>
            <w:r>
              <w:rPr>
                <w:spacing w:val="-2"/>
                <w:sz w:val="18"/>
              </w:rPr>
              <w:t>LEVERAGE</w:t>
            </w:r>
          </w:p>
        </w:tc>
        <w:tc>
          <w:tcPr>
            <w:tcW w:w="1250" w:type="dxa"/>
          </w:tcPr>
          <w:p>
            <w:pPr>
              <w:pStyle w:val="TableParagraph"/>
              <w:spacing w:line="196" w:lineRule="exact" w:before="6"/>
              <w:ind w:left="331"/>
              <w:rPr>
                <w:sz w:val="18"/>
              </w:rPr>
            </w:pPr>
            <w:r>
              <w:rPr>
                <w:spacing w:val="-2"/>
                <w:sz w:val="18"/>
              </w:rPr>
              <w:t>-0.000900</w:t>
            </w:r>
          </w:p>
        </w:tc>
        <w:tc>
          <w:tcPr>
            <w:tcW w:w="1300" w:type="dxa"/>
          </w:tcPr>
          <w:p>
            <w:pPr>
              <w:pStyle w:val="TableParagraph"/>
              <w:spacing w:line="196" w:lineRule="exact" w:before="6"/>
              <w:ind w:left="155" w:right="2"/>
              <w:jc w:val="center"/>
              <w:rPr>
                <w:sz w:val="18"/>
              </w:rPr>
            </w:pPr>
            <w:r>
              <w:rPr>
                <w:spacing w:val="-2"/>
                <w:sz w:val="18"/>
              </w:rPr>
              <w:t>0.002029</w:t>
            </w:r>
          </w:p>
        </w:tc>
        <w:tc>
          <w:tcPr>
            <w:tcW w:w="1131" w:type="dxa"/>
          </w:tcPr>
          <w:p>
            <w:pPr>
              <w:pStyle w:val="TableParagraph"/>
              <w:spacing w:line="196" w:lineRule="exact" w:before="6"/>
              <w:ind w:left="147" w:right="74"/>
              <w:jc w:val="center"/>
              <w:rPr>
                <w:sz w:val="18"/>
              </w:rPr>
            </w:pPr>
            <w:r>
              <w:rPr>
                <w:spacing w:val="-2"/>
                <w:sz w:val="18"/>
              </w:rPr>
              <w:t>-0.443522</w:t>
            </w:r>
          </w:p>
        </w:tc>
        <w:tc>
          <w:tcPr>
            <w:tcW w:w="884" w:type="dxa"/>
          </w:tcPr>
          <w:p>
            <w:pPr>
              <w:pStyle w:val="TableParagraph"/>
              <w:spacing w:line="196" w:lineRule="exact" w:before="6"/>
              <w:ind w:right="6"/>
              <w:jc w:val="right"/>
              <w:rPr>
                <w:sz w:val="18"/>
              </w:rPr>
            </w:pPr>
            <w:r>
              <w:rPr>
                <w:spacing w:val="-2"/>
                <w:sz w:val="18"/>
              </w:rPr>
              <w:t>0.6580</w:t>
            </w:r>
          </w:p>
        </w:tc>
      </w:tr>
      <w:tr>
        <w:trPr>
          <w:trHeight w:val="228" w:hRule="atLeast"/>
        </w:trPr>
        <w:tc>
          <w:tcPr>
            <w:tcW w:w="1966" w:type="dxa"/>
          </w:tcPr>
          <w:p>
            <w:pPr>
              <w:pStyle w:val="TableParagraph"/>
              <w:spacing w:line="201" w:lineRule="exact" w:before="7"/>
              <w:ind w:left="50" w:right="3"/>
              <w:jc w:val="center"/>
              <w:rPr>
                <w:sz w:val="18"/>
              </w:rPr>
            </w:pPr>
            <w:r>
              <w:rPr>
                <w:color w:val="000000"/>
                <w:spacing w:val="-4"/>
                <w:sz w:val="18"/>
                <w:highlight w:val="yellow"/>
              </w:rPr>
              <w:t>IFRS</w:t>
            </w:r>
          </w:p>
        </w:tc>
        <w:tc>
          <w:tcPr>
            <w:tcW w:w="1250" w:type="dxa"/>
          </w:tcPr>
          <w:p>
            <w:pPr>
              <w:pStyle w:val="TableParagraph"/>
              <w:spacing w:line="201" w:lineRule="exact" w:before="7"/>
              <w:ind w:left="391"/>
              <w:rPr>
                <w:sz w:val="18"/>
              </w:rPr>
            </w:pPr>
            <w:r>
              <w:rPr>
                <w:color w:val="000000"/>
                <w:spacing w:val="-2"/>
                <w:sz w:val="18"/>
                <w:highlight w:val="yellow"/>
              </w:rPr>
              <w:t>0.029530</w:t>
            </w:r>
          </w:p>
        </w:tc>
        <w:tc>
          <w:tcPr>
            <w:tcW w:w="1300" w:type="dxa"/>
          </w:tcPr>
          <w:p>
            <w:pPr>
              <w:pStyle w:val="TableParagraph"/>
              <w:spacing w:line="201" w:lineRule="exact" w:before="7"/>
              <w:ind w:left="155" w:right="2"/>
              <w:jc w:val="center"/>
              <w:rPr>
                <w:sz w:val="18"/>
              </w:rPr>
            </w:pPr>
            <w:r>
              <w:rPr>
                <w:color w:val="000000"/>
                <w:spacing w:val="-2"/>
                <w:sz w:val="18"/>
                <w:highlight w:val="yellow"/>
              </w:rPr>
              <w:t>0.009370</w:t>
            </w:r>
          </w:p>
        </w:tc>
        <w:tc>
          <w:tcPr>
            <w:tcW w:w="1131" w:type="dxa"/>
          </w:tcPr>
          <w:p>
            <w:pPr>
              <w:pStyle w:val="TableParagraph"/>
              <w:spacing w:line="201" w:lineRule="exact" w:before="7"/>
              <w:ind w:left="147" w:right="14"/>
              <w:jc w:val="center"/>
              <w:rPr>
                <w:sz w:val="18"/>
              </w:rPr>
            </w:pPr>
            <w:r>
              <w:rPr>
                <w:color w:val="000000"/>
                <w:spacing w:val="-2"/>
                <w:sz w:val="18"/>
                <w:highlight w:val="yellow"/>
              </w:rPr>
              <w:t>3.151611</w:t>
            </w:r>
          </w:p>
        </w:tc>
        <w:tc>
          <w:tcPr>
            <w:tcW w:w="884" w:type="dxa"/>
          </w:tcPr>
          <w:p>
            <w:pPr>
              <w:pStyle w:val="TableParagraph"/>
              <w:spacing w:line="201" w:lineRule="exact" w:before="7"/>
              <w:ind w:right="6"/>
              <w:jc w:val="right"/>
              <w:rPr>
                <w:sz w:val="18"/>
              </w:rPr>
            </w:pPr>
            <w:r>
              <w:rPr>
                <w:color w:val="000000"/>
                <w:spacing w:val="-2"/>
                <w:sz w:val="18"/>
                <w:highlight w:val="yellow"/>
              </w:rPr>
              <w:t>0.0019</w:t>
            </w:r>
          </w:p>
        </w:tc>
      </w:tr>
      <w:tr>
        <w:trPr>
          <w:trHeight w:val="224" w:hRule="atLeast"/>
        </w:trPr>
        <w:tc>
          <w:tcPr>
            <w:tcW w:w="1966" w:type="dxa"/>
          </w:tcPr>
          <w:p>
            <w:pPr>
              <w:pStyle w:val="TableParagraph"/>
              <w:spacing w:line="199" w:lineRule="exact" w:before="5"/>
              <w:ind w:left="343"/>
              <w:rPr>
                <w:sz w:val="18"/>
              </w:rPr>
            </w:pPr>
            <w:r>
              <w:rPr>
                <w:spacing w:val="-2"/>
                <w:sz w:val="18"/>
              </w:rPr>
              <w:t>INSTOWN*IFRS</w:t>
            </w:r>
          </w:p>
        </w:tc>
        <w:tc>
          <w:tcPr>
            <w:tcW w:w="1250" w:type="dxa"/>
          </w:tcPr>
          <w:p>
            <w:pPr>
              <w:pStyle w:val="TableParagraph"/>
              <w:spacing w:line="199" w:lineRule="exact" w:before="5"/>
              <w:ind w:left="331"/>
              <w:rPr>
                <w:sz w:val="18"/>
              </w:rPr>
            </w:pPr>
            <w:r>
              <w:rPr>
                <w:spacing w:val="-2"/>
                <w:sz w:val="18"/>
              </w:rPr>
              <w:t>-0.000379</w:t>
            </w:r>
          </w:p>
        </w:tc>
        <w:tc>
          <w:tcPr>
            <w:tcW w:w="1300" w:type="dxa"/>
          </w:tcPr>
          <w:p>
            <w:pPr>
              <w:pStyle w:val="TableParagraph"/>
              <w:spacing w:line="199" w:lineRule="exact" w:before="5"/>
              <w:ind w:left="155" w:right="2"/>
              <w:jc w:val="center"/>
              <w:rPr>
                <w:sz w:val="18"/>
              </w:rPr>
            </w:pPr>
            <w:r>
              <w:rPr>
                <w:spacing w:val="-2"/>
                <w:sz w:val="18"/>
              </w:rPr>
              <w:t>0.000283</w:t>
            </w:r>
          </w:p>
        </w:tc>
        <w:tc>
          <w:tcPr>
            <w:tcW w:w="1131" w:type="dxa"/>
          </w:tcPr>
          <w:p>
            <w:pPr>
              <w:pStyle w:val="TableParagraph"/>
              <w:spacing w:line="199" w:lineRule="exact" w:before="5"/>
              <w:ind w:left="147" w:right="74"/>
              <w:jc w:val="center"/>
              <w:rPr>
                <w:sz w:val="18"/>
              </w:rPr>
            </w:pPr>
            <w:r>
              <w:rPr>
                <w:spacing w:val="-2"/>
                <w:sz w:val="18"/>
              </w:rPr>
              <w:t>-1.338053</w:t>
            </w:r>
          </w:p>
        </w:tc>
        <w:tc>
          <w:tcPr>
            <w:tcW w:w="884" w:type="dxa"/>
          </w:tcPr>
          <w:p>
            <w:pPr>
              <w:pStyle w:val="TableParagraph"/>
              <w:spacing w:line="199" w:lineRule="exact" w:before="5"/>
              <w:ind w:right="6"/>
              <w:jc w:val="right"/>
              <w:rPr>
                <w:sz w:val="18"/>
              </w:rPr>
            </w:pPr>
            <w:r>
              <w:rPr>
                <w:spacing w:val="-2"/>
                <w:sz w:val="18"/>
              </w:rPr>
              <w:t>0.1828</w:t>
            </w:r>
          </w:p>
        </w:tc>
      </w:tr>
      <w:tr>
        <w:trPr>
          <w:trHeight w:val="225" w:hRule="atLeast"/>
        </w:trPr>
        <w:tc>
          <w:tcPr>
            <w:tcW w:w="1966" w:type="dxa"/>
          </w:tcPr>
          <w:p>
            <w:pPr>
              <w:pStyle w:val="TableParagraph"/>
              <w:spacing w:line="199" w:lineRule="exact" w:before="6"/>
              <w:ind w:left="472"/>
              <w:rPr>
                <w:sz w:val="18"/>
              </w:rPr>
            </w:pPr>
            <w:r>
              <w:rPr>
                <w:spacing w:val="-2"/>
                <w:sz w:val="18"/>
              </w:rPr>
              <w:t>MOWN*IFRS</w:t>
            </w:r>
          </w:p>
        </w:tc>
        <w:tc>
          <w:tcPr>
            <w:tcW w:w="1250" w:type="dxa"/>
          </w:tcPr>
          <w:p>
            <w:pPr>
              <w:pStyle w:val="TableParagraph"/>
              <w:spacing w:line="199" w:lineRule="exact" w:before="6"/>
              <w:ind w:left="391"/>
              <w:rPr>
                <w:sz w:val="18"/>
              </w:rPr>
            </w:pPr>
            <w:r>
              <w:rPr>
                <w:spacing w:val="-2"/>
                <w:sz w:val="18"/>
              </w:rPr>
              <w:t>0.000500</w:t>
            </w:r>
          </w:p>
        </w:tc>
        <w:tc>
          <w:tcPr>
            <w:tcW w:w="1300" w:type="dxa"/>
          </w:tcPr>
          <w:p>
            <w:pPr>
              <w:pStyle w:val="TableParagraph"/>
              <w:spacing w:line="199" w:lineRule="exact" w:before="6"/>
              <w:ind w:left="155" w:right="2"/>
              <w:jc w:val="center"/>
              <w:rPr>
                <w:sz w:val="18"/>
              </w:rPr>
            </w:pPr>
            <w:r>
              <w:rPr>
                <w:spacing w:val="-2"/>
                <w:sz w:val="18"/>
              </w:rPr>
              <w:t>0.000452</w:t>
            </w:r>
          </w:p>
        </w:tc>
        <w:tc>
          <w:tcPr>
            <w:tcW w:w="1131" w:type="dxa"/>
          </w:tcPr>
          <w:p>
            <w:pPr>
              <w:pStyle w:val="TableParagraph"/>
              <w:spacing w:line="199" w:lineRule="exact" w:before="6"/>
              <w:ind w:left="147" w:right="14"/>
              <w:jc w:val="center"/>
              <w:rPr>
                <w:sz w:val="18"/>
              </w:rPr>
            </w:pPr>
            <w:r>
              <w:rPr>
                <w:spacing w:val="-2"/>
                <w:sz w:val="18"/>
              </w:rPr>
              <w:t>1.107925</w:t>
            </w:r>
          </w:p>
        </w:tc>
        <w:tc>
          <w:tcPr>
            <w:tcW w:w="884" w:type="dxa"/>
          </w:tcPr>
          <w:p>
            <w:pPr>
              <w:pStyle w:val="TableParagraph"/>
              <w:spacing w:line="199" w:lineRule="exact" w:before="6"/>
              <w:ind w:right="6"/>
              <w:jc w:val="right"/>
              <w:rPr>
                <w:sz w:val="18"/>
              </w:rPr>
            </w:pPr>
            <w:r>
              <w:rPr>
                <w:spacing w:val="-2"/>
                <w:sz w:val="18"/>
              </w:rPr>
              <w:t>0.2696</w:t>
            </w:r>
          </w:p>
        </w:tc>
      </w:tr>
      <w:tr>
        <w:trPr>
          <w:trHeight w:val="224" w:hRule="atLeast"/>
        </w:trPr>
        <w:tc>
          <w:tcPr>
            <w:tcW w:w="1966" w:type="dxa"/>
          </w:tcPr>
          <w:p>
            <w:pPr>
              <w:pStyle w:val="TableParagraph"/>
              <w:spacing w:line="198" w:lineRule="exact" w:before="6"/>
              <w:ind w:left="491"/>
              <w:rPr>
                <w:sz w:val="18"/>
              </w:rPr>
            </w:pPr>
            <w:r>
              <w:rPr>
                <w:spacing w:val="-2"/>
                <w:sz w:val="18"/>
              </w:rPr>
              <w:t>FOWN*IFRS</w:t>
            </w:r>
          </w:p>
        </w:tc>
        <w:tc>
          <w:tcPr>
            <w:tcW w:w="1250" w:type="dxa"/>
          </w:tcPr>
          <w:p>
            <w:pPr>
              <w:pStyle w:val="TableParagraph"/>
              <w:spacing w:line="198" w:lineRule="exact" w:before="6"/>
              <w:ind w:left="391"/>
              <w:rPr>
                <w:sz w:val="18"/>
              </w:rPr>
            </w:pPr>
            <w:r>
              <w:rPr>
                <w:spacing w:val="-2"/>
                <w:sz w:val="18"/>
              </w:rPr>
              <w:t>0.000871</w:t>
            </w:r>
          </w:p>
        </w:tc>
        <w:tc>
          <w:tcPr>
            <w:tcW w:w="1300" w:type="dxa"/>
          </w:tcPr>
          <w:p>
            <w:pPr>
              <w:pStyle w:val="TableParagraph"/>
              <w:spacing w:line="198" w:lineRule="exact" w:before="6"/>
              <w:ind w:left="155" w:right="2"/>
              <w:jc w:val="center"/>
              <w:rPr>
                <w:sz w:val="18"/>
              </w:rPr>
            </w:pPr>
            <w:r>
              <w:rPr>
                <w:spacing w:val="-2"/>
                <w:sz w:val="18"/>
              </w:rPr>
              <w:t>0.000355</w:t>
            </w:r>
          </w:p>
        </w:tc>
        <w:tc>
          <w:tcPr>
            <w:tcW w:w="1131" w:type="dxa"/>
          </w:tcPr>
          <w:p>
            <w:pPr>
              <w:pStyle w:val="TableParagraph"/>
              <w:spacing w:line="198" w:lineRule="exact" w:before="6"/>
              <w:ind w:left="147" w:right="14"/>
              <w:jc w:val="center"/>
              <w:rPr>
                <w:sz w:val="18"/>
              </w:rPr>
            </w:pPr>
            <w:r>
              <w:rPr>
                <w:spacing w:val="-2"/>
                <w:sz w:val="18"/>
              </w:rPr>
              <w:t>2.451078</w:t>
            </w:r>
          </w:p>
        </w:tc>
        <w:tc>
          <w:tcPr>
            <w:tcW w:w="884" w:type="dxa"/>
          </w:tcPr>
          <w:p>
            <w:pPr>
              <w:pStyle w:val="TableParagraph"/>
              <w:spacing w:line="198" w:lineRule="exact" w:before="6"/>
              <w:ind w:right="6"/>
              <w:jc w:val="right"/>
              <w:rPr>
                <w:sz w:val="18"/>
              </w:rPr>
            </w:pPr>
            <w:r>
              <w:rPr>
                <w:spacing w:val="-2"/>
                <w:sz w:val="18"/>
              </w:rPr>
              <w:t>0.0153</w:t>
            </w:r>
          </w:p>
        </w:tc>
      </w:tr>
      <w:tr>
        <w:trPr>
          <w:trHeight w:val="224" w:hRule="atLeast"/>
        </w:trPr>
        <w:tc>
          <w:tcPr>
            <w:tcW w:w="1966" w:type="dxa"/>
          </w:tcPr>
          <w:p>
            <w:pPr>
              <w:pStyle w:val="TableParagraph"/>
              <w:spacing w:line="199" w:lineRule="exact" w:before="5"/>
              <w:ind w:left="436"/>
              <w:rPr>
                <w:sz w:val="18"/>
              </w:rPr>
            </w:pPr>
            <w:r>
              <w:rPr>
                <w:spacing w:val="-2"/>
                <w:sz w:val="18"/>
              </w:rPr>
              <w:t>BLOWN*IFRS</w:t>
            </w:r>
          </w:p>
        </w:tc>
        <w:tc>
          <w:tcPr>
            <w:tcW w:w="1250" w:type="dxa"/>
          </w:tcPr>
          <w:p>
            <w:pPr>
              <w:pStyle w:val="TableParagraph"/>
              <w:spacing w:line="199" w:lineRule="exact" w:before="5"/>
              <w:ind w:left="331"/>
              <w:rPr>
                <w:sz w:val="18"/>
              </w:rPr>
            </w:pPr>
            <w:r>
              <w:rPr>
                <w:spacing w:val="-2"/>
                <w:sz w:val="18"/>
              </w:rPr>
              <w:t>-0.000594</w:t>
            </w:r>
          </w:p>
        </w:tc>
        <w:tc>
          <w:tcPr>
            <w:tcW w:w="1300" w:type="dxa"/>
          </w:tcPr>
          <w:p>
            <w:pPr>
              <w:pStyle w:val="TableParagraph"/>
              <w:spacing w:line="199" w:lineRule="exact" w:before="5"/>
              <w:ind w:left="155" w:right="2"/>
              <w:jc w:val="center"/>
              <w:rPr>
                <w:sz w:val="18"/>
              </w:rPr>
            </w:pPr>
            <w:r>
              <w:rPr>
                <w:spacing w:val="-2"/>
                <w:sz w:val="18"/>
              </w:rPr>
              <w:t>0.000259</w:t>
            </w:r>
          </w:p>
        </w:tc>
        <w:tc>
          <w:tcPr>
            <w:tcW w:w="1131" w:type="dxa"/>
          </w:tcPr>
          <w:p>
            <w:pPr>
              <w:pStyle w:val="TableParagraph"/>
              <w:spacing w:line="199" w:lineRule="exact" w:before="5"/>
              <w:ind w:left="147" w:right="74"/>
              <w:jc w:val="center"/>
              <w:rPr>
                <w:sz w:val="18"/>
              </w:rPr>
            </w:pPr>
            <w:r>
              <w:rPr>
                <w:spacing w:val="-2"/>
                <w:sz w:val="18"/>
              </w:rPr>
              <w:t>-2.291729</w:t>
            </w:r>
          </w:p>
        </w:tc>
        <w:tc>
          <w:tcPr>
            <w:tcW w:w="884" w:type="dxa"/>
          </w:tcPr>
          <w:p>
            <w:pPr>
              <w:pStyle w:val="TableParagraph"/>
              <w:spacing w:line="199" w:lineRule="exact" w:before="5"/>
              <w:ind w:right="6"/>
              <w:jc w:val="right"/>
              <w:rPr>
                <w:sz w:val="18"/>
              </w:rPr>
            </w:pPr>
            <w:r>
              <w:rPr>
                <w:spacing w:val="-2"/>
                <w:sz w:val="18"/>
              </w:rPr>
              <w:t>0.0233</w:t>
            </w:r>
          </w:p>
        </w:tc>
      </w:tr>
      <w:tr>
        <w:trPr>
          <w:trHeight w:val="304" w:hRule="atLeast"/>
        </w:trPr>
        <w:tc>
          <w:tcPr>
            <w:tcW w:w="1966" w:type="dxa"/>
            <w:tcBorders>
              <w:bottom w:val="double" w:sz="6" w:space="0" w:color="000000"/>
            </w:tcBorders>
          </w:tcPr>
          <w:p>
            <w:pPr>
              <w:pStyle w:val="TableParagraph"/>
              <w:spacing w:before="6"/>
              <w:ind w:left="50" w:right="1"/>
              <w:jc w:val="center"/>
              <w:rPr>
                <w:sz w:val="18"/>
              </w:rPr>
            </w:pPr>
            <w:r>
              <w:rPr>
                <w:spacing w:val="-2"/>
                <w:sz w:val="18"/>
              </w:rPr>
              <w:t>AR(1)</w:t>
            </w:r>
          </w:p>
        </w:tc>
        <w:tc>
          <w:tcPr>
            <w:tcW w:w="1250" w:type="dxa"/>
            <w:tcBorders>
              <w:bottom w:val="double" w:sz="6" w:space="0" w:color="000000"/>
            </w:tcBorders>
          </w:tcPr>
          <w:p>
            <w:pPr>
              <w:pStyle w:val="TableParagraph"/>
              <w:spacing w:before="6"/>
              <w:ind w:left="391"/>
              <w:rPr>
                <w:sz w:val="18"/>
              </w:rPr>
            </w:pPr>
            <w:r>
              <w:rPr>
                <w:spacing w:val="-2"/>
                <w:sz w:val="18"/>
              </w:rPr>
              <w:t>0.575496</w:t>
            </w:r>
          </w:p>
        </w:tc>
        <w:tc>
          <w:tcPr>
            <w:tcW w:w="1300" w:type="dxa"/>
            <w:tcBorders>
              <w:bottom w:val="double" w:sz="6" w:space="0" w:color="000000"/>
            </w:tcBorders>
          </w:tcPr>
          <w:p>
            <w:pPr>
              <w:pStyle w:val="TableParagraph"/>
              <w:spacing w:before="6"/>
              <w:ind w:left="155" w:right="2"/>
              <w:jc w:val="center"/>
              <w:rPr>
                <w:sz w:val="18"/>
              </w:rPr>
            </w:pPr>
            <w:r>
              <w:rPr>
                <w:spacing w:val="-2"/>
                <w:sz w:val="18"/>
              </w:rPr>
              <w:t>0.080097</w:t>
            </w:r>
          </w:p>
        </w:tc>
        <w:tc>
          <w:tcPr>
            <w:tcW w:w="1131" w:type="dxa"/>
            <w:tcBorders>
              <w:bottom w:val="double" w:sz="6" w:space="0" w:color="000000"/>
            </w:tcBorders>
          </w:tcPr>
          <w:p>
            <w:pPr>
              <w:pStyle w:val="TableParagraph"/>
              <w:spacing w:before="6"/>
              <w:ind w:left="147" w:right="14"/>
              <w:jc w:val="center"/>
              <w:rPr>
                <w:sz w:val="18"/>
              </w:rPr>
            </w:pPr>
            <w:r>
              <w:rPr>
                <w:spacing w:val="-2"/>
                <w:sz w:val="18"/>
              </w:rPr>
              <w:t>7.184983</w:t>
            </w:r>
          </w:p>
        </w:tc>
        <w:tc>
          <w:tcPr>
            <w:tcW w:w="884" w:type="dxa"/>
            <w:tcBorders>
              <w:bottom w:val="double" w:sz="6" w:space="0" w:color="000000"/>
            </w:tcBorders>
          </w:tcPr>
          <w:p>
            <w:pPr>
              <w:pStyle w:val="TableParagraph"/>
              <w:spacing w:before="6"/>
              <w:ind w:right="6"/>
              <w:jc w:val="right"/>
              <w:rPr>
                <w:sz w:val="18"/>
              </w:rPr>
            </w:pPr>
            <w:r>
              <w:rPr>
                <w:spacing w:val="-2"/>
                <w:sz w:val="18"/>
              </w:rPr>
              <w:t>0.0000</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left="3" w:right="187"/>
              <w:jc w:val="center"/>
              <w:rPr>
                <w:sz w:val="18"/>
              </w:rPr>
            </w:pPr>
            <w:r>
              <w:rPr>
                <w:sz w:val="18"/>
              </w:rPr>
              <w:t>Effects </w:t>
            </w:r>
            <w:r>
              <w:rPr>
                <w:spacing w:val="-2"/>
                <w:sz w:val="18"/>
              </w:rPr>
              <w:t>Specification</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7" w:hRule="atLeast"/>
        </w:trPr>
        <w:tc>
          <w:tcPr>
            <w:tcW w:w="1966" w:type="dxa"/>
            <w:tcBorders>
              <w:top w:val="double" w:sz="6" w:space="0" w:color="000000"/>
            </w:tcBorders>
          </w:tcPr>
          <w:p>
            <w:pPr>
              <w:pStyle w:val="TableParagraph"/>
              <w:spacing w:line="199" w:lineRule="exact" w:before="108"/>
              <w:rPr>
                <w:sz w:val="18"/>
              </w:rPr>
            </w:pPr>
            <w:r>
              <w:rPr>
                <w:spacing w:val="-2"/>
                <w:sz w:val="18"/>
              </w:rPr>
              <w:t>R-squared</w:t>
            </w:r>
          </w:p>
        </w:tc>
        <w:tc>
          <w:tcPr>
            <w:tcW w:w="1250" w:type="dxa"/>
            <w:tcBorders>
              <w:top w:val="double" w:sz="6" w:space="0" w:color="000000"/>
            </w:tcBorders>
          </w:tcPr>
          <w:p>
            <w:pPr>
              <w:pStyle w:val="TableParagraph"/>
              <w:spacing w:line="199" w:lineRule="exact" w:before="108"/>
              <w:ind w:left="391"/>
              <w:rPr>
                <w:sz w:val="18"/>
              </w:rPr>
            </w:pPr>
            <w:r>
              <w:rPr>
                <w:spacing w:val="-2"/>
                <w:sz w:val="18"/>
              </w:rPr>
              <w:t>0.868395</w:t>
            </w:r>
          </w:p>
        </w:tc>
        <w:tc>
          <w:tcPr>
            <w:tcW w:w="2431" w:type="dxa"/>
            <w:gridSpan w:val="2"/>
            <w:tcBorders>
              <w:top w:val="double" w:sz="6" w:space="0" w:color="000000"/>
            </w:tcBorders>
          </w:tcPr>
          <w:p>
            <w:pPr>
              <w:pStyle w:val="TableParagraph"/>
              <w:spacing w:line="199"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6"/>
              <w:jc w:val="right"/>
              <w:rPr>
                <w:sz w:val="18"/>
              </w:rPr>
            </w:pPr>
            <w:r>
              <w:rPr>
                <w:spacing w:val="-2"/>
                <w:sz w:val="18"/>
              </w:rPr>
              <w:t>0.704120</w:t>
            </w:r>
          </w:p>
        </w:tc>
      </w:tr>
      <w:tr>
        <w:trPr>
          <w:trHeight w:val="225" w:hRule="atLeast"/>
        </w:trPr>
        <w:tc>
          <w:tcPr>
            <w:tcW w:w="1966"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50" w:type="dxa"/>
          </w:tcPr>
          <w:p>
            <w:pPr>
              <w:pStyle w:val="TableParagraph"/>
              <w:spacing w:line="199" w:lineRule="exact" w:before="6"/>
              <w:ind w:left="391"/>
              <w:rPr>
                <w:sz w:val="18"/>
              </w:rPr>
            </w:pPr>
            <w:r>
              <w:rPr>
                <w:spacing w:val="-2"/>
                <w:sz w:val="18"/>
              </w:rPr>
              <w:t>0.847304</w:t>
            </w:r>
          </w:p>
        </w:tc>
        <w:tc>
          <w:tcPr>
            <w:tcW w:w="2431" w:type="dxa"/>
            <w:gridSpan w:val="2"/>
          </w:tcPr>
          <w:p>
            <w:pPr>
              <w:pStyle w:val="TableParagraph"/>
              <w:spacing w:line="199" w:lineRule="exact" w:before="6"/>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6"/>
              <w:ind w:right="6"/>
              <w:jc w:val="right"/>
              <w:rPr>
                <w:sz w:val="18"/>
              </w:rPr>
            </w:pPr>
            <w:r>
              <w:rPr>
                <w:spacing w:val="-2"/>
                <w:sz w:val="18"/>
              </w:rPr>
              <w:t>0.227580</w:t>
            </w:r>
          </w:p>
        </w:tc>
      </w:tr>
      <w:tr>
        <w:trPr>
          <w:trHeight w:val="224" w:hRule="atLeast"/>
        </w:trPr>
        <w:tc>
          <w:tcPr>
            <w:tcW w:w="1966"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50" w:type="dxa"/>
          </w:tcPr>
          <w:p>
            <w:pPr>
              <w:pStyle w:val="TableParagraph"/>
              <w:spacing w:line="198" w:lineRule="exact" w:before="6"/>
              <w:ind w:left="391"/>
              <w:rPr>
                <w:sz w:val="18"/>
              </w:rPr>
            </w:pPr>
            <w:r>
              <w:rPr>
                <w:spacing w:val="-2"/>
                <w:sz w:val="18"/>
              </w:rPr>
              <w:t>0.029387</w:t>
            </w:r>
          </w:p>
        </w:tc>
        <w:tc>
          <w:tcPr>
            <w:tcW w:w="2431" w:type="dxa"/>
            <w:gridSpan w:val="2"/>
          </w:tcPr>
          <w:p>
            <w:pPr>
              <w:pStyle w:val="TableParagraph"/>
              <w:spacing w:line="198" w:lineRule="exact" w:before="6"/>
              <w:ind w:left="106"/>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8" w:lineRule="exact" w:before="6"/>
              <w:ind w:right="6"/>
              <w:jc w:val="right"/>
              <w:rPr>
                <w:sz w:val="18"/>
              </w:rPr>
            </w:pPr>
            <w:r>
              <w:rPr>
                <w:spacing w:val="-2"/>
                <w:sz w:val="18"/>
              </w:rPr>
              <w:t>0.134720</w:t>
            </w:r>
          </w:p>
        </w:tc>
      </w:tr>
      <w:tr>
        <w:trPr>
          <w:trHeight w:val="224" w:hRule="atLeast"/>
        </w:trPr>
        <w:tc>
          <w:tcPr>
            <w:tcW w:w="1966" w:type="dxa"/>
          </w:tcPr>
          <w:p>
            <w:pPr>
              <w:pStyle w:val="TableParagraph"/>
              <w:spacing w:line="199" w:lineRule="exact" w:before="5"/>
              <w:rPr>
                <w:sz w:val="18"/>
              </w:rPr>
            </w:pPr>
            <w:r>
              <w:rPr>
                <w:spacing w:val="-2"/>
                <w:sz w:val="18"/>
              </w:rPr>
              <w:t>F-statistic</w:t>
            </w:r>
          </w:p>
        </w:tc>
        <w:tc>
          <w:tcPr>
            <w:tcW w:w="1250" w:type="dxa"/>
          </w:tcPr>
          <w:p>
            <w:pPr>
              <w:pStyle w:val="TableParagraph"/>
              <w:spacing w:line="199" w:lineRule="exact" w:before="5"/>
              <w:ind w:left="391"/>
              <w:rPr>
                <w:sz w:val="18"/>
              </w:rPr>
            </w:pPr>
            <w:r>
              <w:rPr>
                <w:spacing w:val="-2"/>
                <w:sz w:val="18"/>
              </w:rPr>
              <w:t>41.17461</w:t>
            </w:r>
          </w:p>
        </w:tc>
        <w:tc>
          <w:tcPr>
            <w:tcW w:w="2431" w:type="dxa"/>
            <w:gridSpan w:val="2"/>
          </w:tcPr>
          <w:p>
            <w:pPr>
              <w:pStyle w:val="TableParagraph"/>
              <w:spacing w:line="199" w:lineRule="exact"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5"/>
              <w:ind w:right="6"/>
              <w:jc w:val="right"/>
              <w:rPr>
                <w:sz w:val="18"/>
              </w:rPr>
            </w:pPr>
            <w:r>
              <w:rPr>
                <w:spacing w:val="-2"/>
                <w:sz w:val="18"/>
              </w:rPr>
              <w:t>1.937200</w:t>
            </w:r>
          </w:p>
        </w:tc>
      </w:tr>
      <w:tr>
        <w:trPr>
          <w:trHeight w:val="303" w:hRule="atLeast"/>
        </w:trPr>
        <w:tc>
          <w:tcPr>
            <w:tcW w:w="1966" w:type="dxa"/>
            <w:tcBorders>
              <w:bottom w:val="double" w:sz="6" w:space="0" w:color="000000"/>
            </w:tcBorders>
          </w:tcPr>
          <w:p>
            <w:pPr>
              <w:pStyle w:val="TableParagraph"/>
              <w:spacing w:before="6"/>
              <w:rPr>
                <w:sz w:val="18"/>
              </w:rPr>
            </w:pPr>
            <w:r>
              <w:rPr>
                <w:spacing w:val="-2"/>
                <w:sz w:val="18"/>
              </w:rPr>
              <w:t>Prob(F-statistic)</w:t>
            </w:r>
          </w:p>
        </w:tc>
        <w:tc>
          <w:tcPr>
            <w:tcW w:w="1250" w:type="dxa"/>
            <w:tcBorders>
              <w:bottom w:val="double" w:sz="6" w:space="0" w:color="000000"/>
            </w:tcBorders>
          </w:tcPr>
          <w:p>
            <w:pPr>
              <w:pStyle w:val="TableParagraph"/>
              <w:spacing w:before="6"/>
              <w:ind w:left="391"/>
              <w:rPr>
                <w:sz w:val="18"/>
              </w:rPr>
            </w:pPr>
            <w:r>
              <w:rPr>
                <w:spacing w:val="-2"/>
                <w:sz w:val="18"/>
              </w:rPr>
              <w:t>0.000000</w:t>
            </w: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8" w:hRule="atLeast"/>
        </w:trPr>
        <w:tc>
          <w:tcPr>
            <w:tcW w:w="1966" w:type="dxa"/>
            <w:tcBorders>
              <w:top w:val="double" w:sz="6" w:space="0" w:color="000000"/>
            </w:tcBorders>
          </w:tcPr>
          <w:p>
            <w:pPr>
              <w:pStyle w:val="TableParagraph"/>
              <w:spacing w:line="199" w:lineRule="exact" w:before="109"/>
              <w:rPr>
                <w:sz w:val="18"/>
              </w:rPr>
            </w:pPr>
            <w:r>
              <w:rPr/>
              <mc:AlternateContent>
                <mc:Choice Requires="wps">
                  <w:drawing>
                    <wp:anchor distT="0" distB="0" distL="0" distR="0" allowOverlap="1" layoutInCell="1" locked="0" behindDoc="1" simplePos="0" relativeHeight="477784576">
                      <wp:simplePos x="0" y="0"/>
                      <wp:positionH relativeFrom="column">
                        <wp:posOffset>160934</wp:posOffset>
                      </wp:positionH>
                      <wp:positionV relativeFrom="paragraph">
                        <wp:posOffset>-97638</wp:posOffset>
                      </wp:positionV>
                      <wp:extent cx="721995" cy="72263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721995" cy="722630"/>
                                <a:chExt cx="721995" cy="722630"/>
                              </a:xfrm>
                            </wpg:grpSpPr>
                            <wps:wsp>
                              <wps:cNvPr id="306" name="Graphic 306"/>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2.672pt;margin-top:-7.688099pt;width:56.85pt;height:56.9pt;mso-position-horizontal-relative:column;mso-position-vertical-relative:paragraph;z-index:-25531904" id="docshapegroup112" coordorigin="253,-154" coordsize="1137,1138">
                      <v:shape style="position:absolute;left:253;top:-154;width:1137;height:1138" id="docshape113" coordorigin="253,-154" coordsize="1137,1138" path="m337,-154l276,-115,253,-70,257,-60,1291,976,1310,983,1315,981,1322,980,1380,929,1388,909,1390,903,352,-146,347,-150,337,-154xe" filled="true" fillcolor="#c0c0c0" stroked="false">
                        <v:path arrowok="t"/>
                        <v:fill opacity="32896f" type="solid"/>
                      </v:shape>
                      <w10:wrap type="none"/>
                    </v:group>
                  </w:pict>
                </mc:Fallback>
              </mc:AlternateContent>
            </w:r>
            <w:r>
              <w:rPr>
                <w:spacing w:val="-2"/>
                <w:sz w:val="18"/>
              </w:rPr>
              <w:t>R-squared</w:t>
            </w:r>
          </w:p>
        </w:tc>
        <w:tc>
          <w:tcPr>
            <w:tcW w:w="1250" w:type="dxa"/>
            <w:tcBorders>
              <w:top w:val="double" w:sz="6" w:space="0" w:color="000000"/>
            </w:tcBorders>
          </w:tcPr>
          <w:p>
            <w:pPr>
              <w:pStyle w:val="TableParagraph"/>
              <w:spacing w:line="199" w:lineRule="exact" w:before="109"/>
              <w:ind w:left="391"/>
              <w:rPr>
                <w:sz w:val="18"/>
              </w:rPr>
            </w:pPr>
            <w:r>
              <w:rPr>
                <w:spacing w:val="-2"/>
                <w:sz w:val="18"/>
              </w:rPr>
              <w:t>0.800946</w:t>
            </w:r>
          </w:p>
        </w:tc>
        <w:tc>
          <w:tcPr>
            <w:tcW w:w="2431" w:type="dxa"/>
            <w:gridSpan w:val="2"/>
            <w:tcBorders>
              <w:top w:val="double" w:sz="6" w:space="0" w:color="000000"/>
            </w:tcBorders>
          </w:tcPr>
          <w:p>
            <w:pPr>
              <w:pStyle w:val="TableParagraph"/>
              <w:spacing w:line="199" w:lineRule="exact" w:before="109"/>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9"/>
              <w:ind w:right="6"/>
              <w:jc w:val="right"/>
              <w:rPr>
                <w:sz w:val="18"/>
              </w:rPr>
            </w:pPr>
            <w:r>
              <w:rPr>
                <w:spacing w:val="-2"/>
                <w:sz w:val="18"/>
              </w:rPr>
              <w:t>0.591796</w:t>
            </w:r>
          </w:p>
        </w:tc>
      </w:tr>
      <w:tr>
        <w:trPr>
          <w:trHeight w:val="303" w:hRule="atLeast"/>
        </w:trPr>
        <w:tc>
          <w:tcPr>
            <w:tcW w:w="1966"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50" w:type="dxa"/>
            <w:tcBorders>
              <w:bottom w:val="double" w:sz="6" w:space="0" w:color="000000"/>
            </w:tcBorders>
          </w:tcPr>
          <w:p>
            <w:pPr>
              <w:pStyle w:val="TableParagraph"/>
              <w:spacing w:before="6"/>
              <w:ind w:left="391"/>
              <w:rPr>
                <w:sz w:val="18"/>
              </w:rPr>
            </w:pPr>
            <w:r>
              <w:rPr>
                <w:spacing w:val="-2"/>
                <w:sz w:val="18"/>
              </w:rPr>
              <w:t>0.147541</w:t>
            </w:r>
          </w:p>
        </w:tc>
        <w:tc>
          <w:tcPr>
            <w:tcW w:w="2431" w:type="dxa"/>
            <w:gridSpan w:val="2"/>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6"/>
              <w:ind w:right="6"/>
              <w:jc w:val="right"/>
              <w:rPr>
                <w:sz w:val="18"/>
              </w:rPr>
            </w:pPr>
            <w:r>
              <w:rPr>
                <w:spacing w:val="-2"/>
                <w:sz w:val="18"/>
              </w:rPr>
              <w:t>1.868747</w:t>
            </w:r>
          </w:p>
        </w:tc>
      </w:tr>
      <w:tr>
        <w:trPr>
          <w:trHeight w:val="403" w:hRule="atLeast"/>
        </w:trPr>
        <w:tc>
          <w:tcPr>
            <w:tcW w:w="1966" w:type="dxa"/>
            <w:tcBorders>
              <w:top w:val="double" w:sz="6" w:space="0" w:color="000000"/>
              <w:bottom w:val="double" w:sz="6" w:space="0" w:color="000000"/>
            </w:tcBorders>
          </w:tcPr>
          <w:p>
            <w:pPr>
              <w:pStyle w:val="TableParagraph"/>
              <w:spacing w:before="106"/>
              <w:rPr>
                <w:sz w:val="18"/>
              </w:rPr>
            </w:pPr>
            <w:r>
              <w:rPr>
                <w:sz w:val="18"/>
              </w:rPr>
              <w:t>Inverted</w:t>
            </w:r>
            <w:r>
              <w:rPr>
                <w:spacing w:val="-3"/>
                <w:sz w:val="18"/>
              </w:rPr>
              <w:t> </w:t>
            </w:r>
            <w:r>
              <w:rPr>
                <w:sz w:val="18"/>
              </w:rPr>
              <w:t>AR</w:t>
            </w:r>
            <w:r>
              <w:rPr>
                <w:spacing w:val="-1"/>
                <w:sz w:val="18"/>
              </w:rPr>
              <w:t> </w:t>
            </w:r>
            <w:r>
              <w:rPr>
                <w:spacing w:val="-2"/>
                <w:sz w:val="18"/>
              </w:rPr>
              <w:t>Roots</w:t>
            </w:r>
          </w:p>
        </w:tc>
        <w:tc>
          <w:tcPr>
            <w:tcW w:w="1250" w:type="dxa"/>
            <w:tcBorders>
              <w:top w:val="double" w:sz="6" w:space="0" w:color="000000"/>
              <w:bottom w:val="double" w:sz="6" w:space="0" w:color="000000"/>
            </w:tcBorders>
          </w:tcPr>
          <w:p>
            <w:pPr>
              <w:pStyle w:val="TableParagraph"/>
              <w:spacing w:before="106"/>
              <w:ind w:left="352"/>
              <w:rPr>
                <w:sz w:val="18"/>
              </w:rPr>
            </w:pPr>
            <w:r>
              <w:rPr>
                <w:spacing w:val="-5"/>
                <w:sz w:val="18"/>
              </w:rPr>
              <w:t>.58</w:t>
            </w:r>
          </w:p>
        </w:tc>
        <w:tc>
          <w:tcPr>
            <w:tcW w:w="2431" w:type="dxa"/>
            <w:gridSpan w:val="2"/>
            <w:tcBorders>
              <w:top w:val="double" w:sz="6" w:space="0" w:color="000000"/>
              <w:bottom w:val="double" w:sz="6" w:space="0" w:color="000000"/>
            </w:tcBorders>
          </w:tcPr>
          <w:p>
            <w:pPr>
              <w:pStyle w:val="TableParagraph"/>
              <w:rPr>
                <w:rFonts w:ascii="Times New Roman"/>
                <w:sz w:val="18"/>
              </w:rPr>
            </w:pPr>
          </w:p>
        </w:tc>
        <w:tc>
          <w:tcPr>
            <w:tcW w:w="884" w:type="dxa"/>
            <w:tcBorders>
              <w:top w:val="double" w:sz="6" w:space="0" w:color="000000"/>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1436" w:firstLine="0"/>
        <w:jc w:val="left"/>
        <w:rPr>
          <w:b/>
          <w:i/>
          <w:sz w:val="24"/>
        </w:rPr>
      </w:pPr>
      <w:r>
        <w:rPr/>
        <mc:AlternateContent>
          <mc:Choice Requires="wps">
            <w:drawing>
              <wp:anchor distT="0" distB="0" distL="0" distR="0" allowOverlap="1" layoutInCell="1" locked="0" behindDoc="1" simplePos="0" relativeHeight="477785600">
                <wp:simplePos x="0" y="0"/>
                <wp:positionH relativeFrom="page">
                  <wp:posOffset>1095451</wp:posOffset>
                </wp:positionH>
                <wp:positionV relativeFrom="page">
                  <wp:posOffset>7242047</wp:posOffset>
                </wp:positionV>
                <wp:extent cx="721995" cy="72263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30880" id="docshape114"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86112">
                <wp:simplePos x="0" y="0"/>
                <wp:positionH relativeFrom="page">
                  <wp:posOffset>1269060</wp:posOffset>
                </wp:positionH>
                <wp:positionV relativeFrom="page">
                  <wp:posOffset>2726054</wp:posOffset>
                </wp:positionV>
                <wp:extent cx="4933315" cy="4976495"/>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4933315" cy="4976495"/>
                          <a:chExt cx="4933315" cy="4976495"/>
                        </a:xfrm>
                      </wpg:grpSpPr>
                      <wps:wsp>
                        <wps:cNvPr id="309" name="Graphic 309"/>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10" name="Image 310"/>
                          <pic:cNvPicPr/>
                        </pic:nvPicPr>
                        <pic:blipFill>
                          <a:blip r:embed="rId9" cstate="print"/>
                          <a:stretch>
                            <a:fillRect/>
                          </a:stretch>
                        </pic:blipFill>
                        <pic:spPr>
                          <a:xfrm>
                            <a:off x="1248333" y="3743197"/>
                            <a:ext cx="221995" cy="221614"/>
                          </a:xfrm>
                          <a:prstGeom prst="rect">
                            <a:avLst/>
                          </a:prstGeom>
                        </pic:spPr>
                      </pic:pic>
                      <wps:wsp>
                        <wps:cNvPr id="311" name="Graphic 311"/>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30368" id="docshapegroup115" coordorigin="1999,4293" coordsize="7769,7837">
                <v:shape style="position:absolute;left:1998;top:10112;width:2142;height:2018" id="docshape116"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17" stroked="false">
                  <v:imagedata r:id="rId9" o:title=""/>
                </v:shape>
                <v:shape style="position:absolute;left:3758;top:4293;width:6009;height:6216" id="docshape118"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15"/>
          <w:sz w:val="24"/>
        </w:rPr>
        <w:t> </w:t>
      </w:r>
      <w:r>
        <w:rPr>
          <w:b/>
          <w:sz w:val="24"/>
        </w:rPr>
        <w:t>12:</w:t>
      </w:r>
      <w:r>
        <w:rPr>
          <w:b/>
          <w:spacing w:val="-16"/>
          <w:sz w:val="24"/>
        </w:rPr>
        <w:t> </w:t>
      </w:r>
      <w:r>
        <w:rPr>
          <w:b/>
          <w:sz w:val="24"/>
        </w:rPr>
        <w:t>Table</w:t>
      </w:r>
      <w:r>
        <w:rPr>
          <w:b/>
          <w:spacing w:val="-15"/>
          <w:sz w:val="24"/>
        </w:rPr>
        <w:t> </w:t>
      </w:r>
      <w:r>
        <w:rPr>
          <w:b/>
          <w:sz w:val="24"/>
        </w:rPr>
        <w:t>4.7:</w:t>
      </w:r>
      <w:r>
        <w:rPr>
          <w:b/>
          <w:spacing w:val="15"/>
          <w:sz w:val="24"/>
        </w:rPr>
        <w:t> </w:t>
      </w:r>
      <w:r>
        <w:rPr>
          <w:b/>
          <w:sz w:val="24"/>
        </w:rPr>
        <w:t>QUA-FRQ</w:t>
      </w:r>
      <w:r>
        <w:rPr>
          <w:b/>
          <w:spacing w:val="-15"/>
          <w:sz w:val="24"/>
        </w:rPr>
        <w:t> </w:t>
      </w:r>
      <w:r>
        <w:rPr>
          <w:b/>
          <w:sz w:val="24"/>
        </w:rPr>
        <w:t>and</w:t>
      </w:r>
      <w:r>
        <w:rPr>
          <w:b/>
          <w:spacing w:val="-15"/>
          <w:sz w:val="24"/>
        </w:rPr>
        <w:t> </w:t>
      </w:r>
      <w:r>
        <w:rPr>
          <w:b/>
          <w:sz w:val="24"/>
        </w:rPr>
        <w:t>Ownership</w:t>
      </w:r>
      <w:r>
        <w:rPr>
          <w:b/>
          <w:spacing w:val="-15"/>
          <w:sz w:val="24"/>
        </w:rPr>
        <w:t> </w:t>
      </w:r>
      <w:r>
        <w:rPr>
          <w:b/>
          <w:sz w:val="24"/>
        </w:rPr>
        <w:t>Structure</w:t>
      </w:r>
      <w:r>
        <w:rPr>
          <w:b/>
          <w:spacing w:val="-16"/>
          <w:sz w:val="24"/>
        </w:rPr>
        <w:t> </w:t>
      </w:r>
      <w:r>
        <w:rPr>
          <w:b/>
          <w:sz w:val="24"/>
        </w:rPr>
        <w:t>Regression</w:t>
      </w:r>
      <w:r>
        <w:rPr>
          <w:b/>
          <w:spacing w:val="-13"/>
          <w:sz w:val="24"/>
        </w:rPr>
        <w:t> </w:t>
      </w:r>
      <w:r>
        <w:rPr>
          <w:b/>
          <w:i/>
          <w:sz w:val="24"/>
        </w:rPr>
        <w:t>Result</w:t>
      </w:r>
      <w:r>
        <w:rPr>
          <w:b/>
          <w:i/>
          <w:spacing w:val="-15"/>
          <w:sz w:val="24"/>
        </w:rPr>
        <w:t> </w:t>
      </w:r>
      <w:r>
        <w:rPr>
          <w:b/>
          <w:i/>
          <w:sz w:val="24"/>
        </w:rPr>
        <w:t>(random </w:t>
      </w:r>
      <w:r>
        <w:rPr>
          <w:b/>
          <w:i/>
          <w:spacing w:val="-2"/>
          <w:sz w:val="24"/>
        </w:rPr>
        <w:t>effects)</w:t>
      </w:r>
    </w:p>
    <w:p>
      <w:pPr>
        <w:pStyle w:val="BodyText"/>
        <w:rPr>
          <w:b/>
          <w:i/>
          <w:sz w:val="20"/>
        </w:rPr>
      </w:pPr>
    </w:p>
    <w:p>
      <w:pPr>
        <w:pStyle w:val="BodyText"/>
        <w:spacing w:before="107"/>
        <w:rPr>
          <w:b/>
          <w:i/>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1206"/>
        <w:gridCol w:w="1300"/>
        <w:gridCol w:w="1131"/>
        <w:gridCol w:w="884"/>
      </w:tblGrid>
      <w:tr>
        <w:trPr>
          <w:trHeight w:val="213" w:hRule="atLeast"/>
        </w:trPr>
        <w:tc>
          <w:tcPr>
            <w:tcW w:w="6531"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5" w:hRule="atLeast"/>
        </w:trPr>
        <w:tc>
          <w:tcPr>
            <w:tcW w:w="6531" w:type="dxa"/>
            <w:gridSpan w:val="5"/>
          </w:tcPr>
          <w:p>
            <w:pPr>
              <w:pStyle w:val="TableParagraph"/>
              <w:spacing w:line="199" w:lineRule="exact" w:before="6"/>
              <w:rPr>
                <w:sz w:val="18"/>
              </w:rPr>
            </w:pPr>
            <w:r>
              <w:rPr>
                <w:sz w:val="18"/>
              </w:rPr>
              <w:t>Method:</w:t>
            </w:r>
            <w:r>
              <w:rPr>
                <w:spacing w:val="-9"/>
                <w:sz w:val="18"/>
              </w:rPr>
              <w:t> </w:t>
            </w:r>
            <w:r>
              <w:rPr>
                <w:sz w:val="18"/>
              </w:rPr>
              <w:t>Panel</w:t>
            </w:r>
            <w:r>
              <w:rPr>
                <w:spacing w:val="-8"/>
                <w:sz w:val="18"/>
              </w:rPr>
              <w:t> </w:t>
            </w:r>
            <w:r>
              <w:rPr>
                <w:sz w:val="18"/>
              </w:rPr>
              <w:t>EGLS</w:t>
            </w:r>
            <w:r>
              <w:rPr>
                <w:spacing w:val="-11"/>
                <w:sz w:val="18"/>
              </w:rPr>
              <w:t> </w:t>
            </w:r>
            <w:r>
              <w:rPr>
                <w:sz w:val="18"/>
              </w:rPr>
              <w:t>(Cross-section</w:t>
            </w:r>
            <w:r>
              <w:rPr>
                <w:spacing w:val="-9"/>
                <w:sz w:val="18"/>
              </w:rPr>
              <w:t> </w:t>
            </w:r>
            <w:r>
              <w:rPr>
                <w:sz w:val="18"/>
              </w:rPr>
              <w:t>random</w:t>
            </w:r>
            <w:r>
              <w:rPr>
                <w:spacing w:val="-8"/>
                <w:sz w:val="18"/>
              </w:rPr>
              <w:t> </w:t>
            </w:r>
            <w:r>
              <w:rPr>
                <w:spacing w:val="-2"/>
                <w:sz w:val="18"/>
              </w:rPr>
              <w:t>effects)</w:t>
            </w:r>
          </w:p>
        </w:tc>
      </w:tr>
      <w:tr>
        <w:trPr>
          <w:trHeight w:val="225" w:hRule="atLeast"/>
        </w:trPr>
        <w:tc>
          <w:tcPr>
            <w:tcW w:w="6531" w:type="dxa"/>
            <w:gridSpan w:val="5"/>
          </w:tcPr>
          <w:p>
            <w:pPr>
              <w:pStyle w:val="TableParagraph"/>
              <w:spacing w:line="199" w:lineRule="exact" w:before="6"/>
              <w:rPr>
                <w:sz w:val="18"/>
              </w:rPr>
            </w:pPr>
            <w:r>
              <w:rPr>
                <w:sz w:val="18"/>
              </w:rPr>
              <w:t>Date:</w:t>
            </w:r>
            <w:r>
              <w:rPr>
                <w:spacing w:val="-3"/>
                <w:sz w:val="18"/>
              </w:rPr>
              <w:t> </w:t>
            </w:r>
            <w:r>
              <w:rPr>
                <w:sz w:val="18"/>
              </w:rPr>
              <w:t>04/27/21</w:t>
            </w:r>
            <w:r>
              <w:rPr>
                <w:spacing w:val="65"/>
                <w:w w:val="150"/>
                <w:sz w:val="18"/>
              </w:rPr>
              <w:t> </w:t>
            </w:r>
            <w:r>
              <w:rPr>
                <w:sz w:val="18"/>
              </w:rPr>
              <w:t>Time:</w:t>
            </w:r>
            <w:r>
              <w:rPr>
                <w:spacing w:val="-2"/>
                <w:sz w:val="18"/>
              </w:rPr>
              <w:t> </w:t>
            </w:r>
            <w:r>
              <w:rPr>
                <w:spacing w:val="-4"/>
                <w:sz w:val="18"/>
              </w:rPr>
              <w:t>04:20</w:t>
            </w:r>
          </w:p>
        </w:tc>
      </w:tr>
      <w:tr>
        <w:trPr>
          <w:trHeight w:val="224" w:hRule="atLeast"/>
        </w:trPr>
        <w:tc>
          <w:tcPr>
            <w:tcW w:w="2010" w:type="dxa"/>
          </w:tcPr>
          <w:p>
            <w:pPr>
              <w:pStyle w:val="TableParagraph"/>
              <w:spacing w:line="198" w:lineRule="exact" w:before="6"/>
              <w:rPr>
                <w:sz w:val="18"/>
              </w:rPr>
            </w:pPr>
            <w:r>
              <w:rPr>
                <w:sz w:val="18"/>
              </w:rPr>
              <w:t>Sample:</w:t>
            </w:r>
            <w:r>
              <w:rPr>
                <w:spacing w:val="-7"/>
                <w:sz w:val="18"/>
              </w:rPr>
              <w:t> </w:t>
            </w:r>
            <w:r>
              <w:rPr>
                <w:sz w:val="18"/>
              </w:rPr>
              <w:t>2005</w:t>
            </w:r>
            <w:r>
              <w:rPr>
                <w:spacing w:val="-4"/>
                <w:sz w:val="18"/>
              </w:rPr>
              <w:t> 2019</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2010" w:type="dxa"/>
          </w:tcPr>
          <w:p>
            <w:pPr>
              <w:pStyle w:val="TableParagraph"/>
              <w:spacing w:line="199" w:lineRule="exact" w:before="5"/>
              <w:rPr>
                <w:sz w:val="18"/>
              </w:rPr>
            </w:pPr>
            <w:r>
              <w:rPr>
                <w:sz w:val="18"/>
              </w:rPr>
              <w:t>Periods</w:t>
            </w:r>
            <w:r>
              <w:rPr>
                <w:spacing w:val="-4"/>
                <w:sz w:val="18"/>
              </w:rPr>
              <w:t> </w:t>
            </w:r>
            <w:r>
              <w:rPr>
                <w:sz w:val="18"/>
              </w:rPr>
              <w:t>included:</w:t>
            </w:r>
            <w:r>
              <w:rPr>
                <w:spacing w:val="-3"/>
                <w:sz w:val="18"/>
              </w:rPr>
              <w:t> </w:t>
            </w:r>
            <w:r>
              <w:rPr>
                <w:spacing w:val="-5"/>
                <w:sz w:val="18"/>
              </w:rPr>
              <w:t>15</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6531" w:type="dxa"/>
            <w:gridSpan w:val="5"/>
          </w:tcPr>
          <w:p>
            <w:pPr>
              <w:pStyle w:val="TableParagraph"/>
              <w:spacing w:line="199"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1" w:type="dxa"/>
            <w:gridSpan w:val="5"/>
          </w:tcPr>
          <w:p>
            <w:pPr>
              <w:pStyle w:val="TableParagraph"/>
              <w:spacing w:line="199"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301" w:hRule="atLeast"/>
        </w:trPr>
        <w:tc>
          <w:tcPr>
            <w:tcW w:w="6531" w:type="dxa"/>
            <w:gridSpan w:val="5"/>
            <w:tcBorders>
              <w:bottom w:val="double" w:sz="6" w:space="0" w:color="000000"/>
            </w:tcBorders>
          </w:tcPr>
          <w:p>
            <w:pPr>
              <w:pStyle w:val="TableParagraph"/>
              <w:spacing w:before="6"/>
              <w:rPr>
                <w:sz w:val="18"/>
              </w:rPr>
            </w:pPr>
            <w:r>
              <w:rPr>
                <w:sz w:val="18"/>
              </w:rPr>
              <w:t>Swamy</w:t>
            </w:r>
            <w:r>
              <w:rPr>
                <w:spacing w:val="-3"/>
                <w:sz w:val="18"/>
              </w:rPr>
              <w:t> </w:t>
            </w:r>
            <w:r>
              <w:rPr>
                <w:sz w:val="18"/>
              </w:rPr>
              <w:t>and</w:t>
            </w:r>
            <w:r>
              <w:rPr>
                <w:spacing w:val="-2"/>
                <w:sz w:val="18"/>
              </w:rPr>
              <w:t> </w:t>
            </w:r>
            <w:r>
              <w:rPr>
                <w:sz w:val="18"/>
              </w:rPr>
              <w:t>Arora</w:t>
            </w:r>
            <w:r>
              <w:rPr>
                <w:spacing w:val="-2"/>
                <w:sz w:val="18"/>
              </w:rPr>
              <w:t> </w:t>
            </w:r>
            <w:r>
              <w:rPr>
                <w:sz w:val="18"/>
              </w:rPr>
              <w:t>estimator</w:t>
            </w:r>
            <w:r>
              <w:rPr>
                <w:spacing w:val="-1"/>
                <w:sz w:val="18"/>
              </w:rPr>
              <w:t> </w:t>
            </w:r>
            <w:r>
              <w:rPr>
                <w:sz w:val="18"/>
              </w:rPr>
              <w:t>of</w:t>
            </w:r>
            <w:r>
              <w:rPr>
                <w:spacing w:val="-4"/>
                <w:sz w:val="18"/>
              </w:rPr>
              <w:t> </w:t>
            </w:r>
            <w:r>
              <w:rPr>
                <w:sz w:val="18"/>
              </w:rPr>
              <w:t>component</w:t>
            </w:r>
            <w:r>
              <w:rPr>
                <w:spacing w:val="-3"/>
                <w:sz w:val="18"/>
              </w:rPr>
              <w:t> </w:t>
            </w:r>
            <w:r>
              <w:rPr>
                <w:spacing w:val="-2"/>
                <w:sz w:val="18"/>
              </w:rPr>
              <w:t>variances</w:t>
            </w:r>
          </w:p>
        </w:tc>
      </w:tr>
      <w:tr>
        <w:trPr>
          <w:trHeight w:val="406" w:hRule="atLeast"/>
        </w:trPr>
        <w:tc>
          <w:tcPr>
            <w:tcW w:w="2010" w:type="dxa"/>
            <w:tcBorders>
              <w:top w:val="double" w:sz="6" w:space="0" w:color="000000"/>
              <w:bottom w:val="double" w:sz="6" w:space="0" w:color="000000"/>
            </w:tcBorders>
          </w:tcPr>
          <w:p>
            <w:pPr>
              <w:pStyle w:val="TableParagraph"/>
              <w:spacing w:before="108"/>
              <w:ind w:left="6" w:right="2"/>
              <w:jc w:val="center"/>
              <w:rPr>
                <w:sz w:val="18"/>
              </w:rPr>
            </w:pPr>
            <w:r>
              <w:rPr>
                <w:spacing w:val="-2"/>
                <w:sz w:val="18"/>
              </w:rPr>
              <w:t>Variable</w:t>
            </w:r>
          </w:p>
        </w:tc>
        <w:tc>
          <w:tcPr>
            <w:tcW w:w="1206" w:type="dxa"/>
            <w:tcBorders>
              <w:top w:val="double" w:sz="6" w:space="0" w:color="000000"/>
              <w:bottom w:val="double" w:sz="6" w:space="0" w:color="000000"/>
            </w:tcBorders>
          </w:tcPr>
          <w:p>
            <w:pPr>
              <w:pStyle w:val="TableParagraph"/>
              <w:spacing w:before="108"/>
              <w:ind w:left="180" w:right="38"/>
              <w:jc w:val="center"/>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20"/>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4"/>
              <w:rPr>
                <w:sz w:val="18"/>
              </w:rPr>
            </w:pPr>
            <w:r>
              <w:rPr>
                <w:spacing w:val="-2"/>
                <w:sz w:val="18"/>
              </w:rPr>
              <w:t>Prob.</w:t>
            </w:r>
          </w:p>
        </w:tc>
      </w:tr>
      <w:tr>
        <w:trPr>
          <w:trHeight w:val="327" w:hRule="atLeast"/>
        </w:trPr>
        <w:tc>
          <w:tcPr>
            <w:tcW w:w="2010" w:type="dxa"/>
            <w:tcBorders>
              <w:top w:val="double" w:sz="6" w:space="0" w:color="000000"/>
            </w:tcBorders>
          </w:tcPr>
          <w:p>
            <w:pPr>
              <w:pStyle w:val="TableParagraph"/>
              <w:spacing w:line="198" w:lineRule="exact" w:before="109"/>
              <w:ind w:left="6"/>
              <w:jc w:val="center"/>
              <w:rPr>
                <w:sz w:val="18"/>
              </w:rPr>
            </w:pPr>
            <w:r>
              <w:rPr>
                <w:spacing w:val="-10"/>
                <w:sz w:val="18"/>
              </w:rPr>
              <w:t>C</w:t>
            </w:r>
          </w:p>
        </w:tc>
        <w:tc>
          <w:tcPr>
            <w:tcW w:w="1206" w:type="dxa"/>
            <w:tcBorders>
              <w:top w:val="double" w:sz="6" w:space="0" w:color="000000"/>
            </w:tcBorders>
          </w:tcPr>
          <w:p>
            <w:pPr>
              <w:pStyle w:val="TableParagraph"/>
              <w:spacing w:line="198" w:lineRule="exact" w:before="109"/>
              <w:ind w:left="240"/>
              <w:jc w:val="center"/>
              <w:rPr>
                <w:sz w:val="18"/>
              </w:rPr>
            </w:pPr>
            <w:r>
              <w:rPr>
                <w:spacing w:val="-2"/>
                <w:sz w:val="18"/>
              </w:rPr>
              <w:t>0.293610</w:t>
            </w:r>
          </w:p>
        </w:tc>
        <w:tc>
          <w:tcPr>
            <w:tcW w:w="1300" w:type="dxa"/>
            <w:tcBorders>
              <w:top w:val="double" w:sz="6" w:space="0" w:color="000000"/>
            </w:tcBorders>
          </w:tcPr>
          <w:p>
            <w:pPr>
              <w:pStyle w:val="TableParagraph"/>
              <w:spacing w:line="198" w:lineRule="exact" w:before="109"/>
              <w:ind w:left="155" w:right="2"/>
              <w:jc w:val="center"/>
              <w:rPr>
                <w:sz w:val="18"/>
              </w:rPr>
            </w:pPr>
            <w:r>
              <w:rPr>
                <w:spacing w:val="-2"/>
                <w:sz w:val="18"/>
              </w:rPr>
              <w:t>0.060833</w:t>
            </w:r>
          </w:p>
        </w:tc>
        <w:tc>
          <w:tcPr>
            <w:tcW w:w="1131" w:type="dxa"/>
            <w:tcBorders>
              <w:top w:val="double" w:sz="6" w:space="0" w:color="000000"/>
            </w:tcBorders>
          </w:tcPr>
          <w:p>
            <w:pPr>
              <w:pStyle w:val="TableParagraph"/>
              <w:spacing w:line="198" w:lineRule="exact" w:before="109"/>
              <w:ind w:right="120"/>
              <w:jc w:val="right"/>
              <w:rPr>
                <w:sz w:val="18"/>
              </w:rPr>
            </w:pPr>
            <w:r>
              <w:rPr>
                <w:spacing w:val="-2"/>
                <w:sz w:val="18"/>
              </w:rPr>
              <w:t>4.826456</w:t>
            </w:r>
          </w:p>
        </w:tc>
        <w:tc>
          <w:tcPr>
            <w:tcW w:w="884" w:type="dxa"/>
            <w:tcBorders>
              <w:top w:val="double" w:sz="6" w:space="0" w:color="000000"/>
            </w:tcBorders>
          </w:tcPr>
          <w:p>
            <w:pPr>
              <w:pStyle w:val="TableParagraph"/>
              <w:spacing w:line="198" w:lineRule="exact" w:before="109"/>
              <w:ind w:right="6"/>
              <w:jc w:val="right"/>
              <w:rPr>
                <w:sz w:val="18"/>
              </w:rPr>
            </w:pPr>
            <w:r>
              <w:rPr>
                <w:spacing w:val="-2"/>
                <w:sz w:val="18"/>
              </w:rPr>
              <w:t>0.0000</w:t>
            </w:r>
          </w:p>
        </w:tc>
      </w:tr>
      <w:tr>
        <w:trPr>
          <w:trHeight w:val="224" w:hRule="atLeast"/>
        </w:trPr>
        <w:tc>
          <w:tcPr>
            <w:tcW w:w="2010" w:type="dxa"/>
          </w:tcPr>
          <w:p>
            <w:pPr>
              <w:pStyle w:val="TableParagraph"/>
              <w:spacing w:line="199" w:lineRule="exact" w:before="5"/>
              <w:ind w:left="583"/>
              <w:rPr>
                <w:sz w:val="18"/>
              </w:rPr>
            </w:pPr>
            <w:r>
              <w:rPr>
                <w:spacing w:val="-2"/>
                <w:sz w:val="18"/>
              </w:rPr>
              <w:t>INSTOWN</w:t>
            </w:r>
          </w:p>
        </w:tc>
        <w:tc>
          <w:tcPr>
            <w:tcW w:w="1206" w:type="dxa"/>
          </w:tcPr>
          <w:p>
            <w:pPr>
              <w:pStyle w:val="TableParagraph"/>
              <w:spacing w:line="199" w:lineRule="exact" w:before="5"/>
              <w:ind w:left="180"/>
              <w:jc w:val="center"/>
              <w:rPr>
                <w:sz w:val="18"/>
              </w:rPr>
            </w:pPr>
            <w:r>
              <w:rPr>
                <w:spacing w:val="-2"/>
                <w:sz w:val="18"/>
              </w:rPr>
              <w:t>-0.000622</w:t>
            </w:r>
          </w:p>
        </w:tc>
        <w:tc>
          <w:tcPr>
            <w:tcW w:w="1300" w:type="dxa"/>
          </w:tcPr>
          <w:p>
            <w:pPr>
              <w:pStyle w:val="TableParagraph"/>
              <w:spacing w:line="199" w:lineRule="exact" w:before="5"/>
              <w:ind w:left="155" w:right="2"/>
              <w:jc w:val="center"/>
              <w:rPr>
                <w:sz w:val="18"/>
              </w:rPr>
            </w:pPr>
            <w:r>
              <w:rPr>
                <w:spacing w:val="-2"/>
                <w:sz w:val="18"/>
              </w:rPr>
              <w:t>0.000440</w:t>
            </w:r>
          </w:p>
        </w:tc>
        <w:tc>
          <w:tcPr>
            <w:tcW w:w="1131" w:type="dxa"/>
          </w:tcPr>
          <w:p>
            <w:pPr>
              <w:pStyle w:val="TableParagraph"/>
              <w:spacing w:line="199" w:lineRule="exact" w:before="5"/>
              <w:ind w:right="120"/>
              <w:jc w:val="right"/>
              <w:rPr>
                <w:sz w:val="18"/>
              </w:rPr>
            </w:pPr>
            <w:r>
              <w:rPr>
                <w:spacing w:val="-2"/>
                <w:sz w:val="18"/>
              </w:rPr>
              <w:t>-1.414391</w:t>
            </w:r>
          </w:p>
        </w:tc>
        <w:tc>
          <w:tcPr>
            <w:tcW w:w="884" w:type="dxa"/>
          </w:tcPr>
          <w:p>
            <w:pPr>
              <w:pStyle w:val="TableParagraph"/>
              <w:spacing w:line="199" w:lineRule="exact" w:before="5"/>
              <w:ind w:right="6"/>
              <w:jc w:val="right"/>
              <w:rPr>
                <w:sz w:val="18"/>
              </w:rPr>
            </w:pPr>
            <w:r>
              <w:rPr>
                <w:spacing w:val="-2"/>
                <w:sz w:val="18"/>
              </w:rPr>
              <w:t>0.1590</w:t>
            </w:r>
          </w:p>
        </w:tc>
      </w:tr>
      <w:tr>
        <w:trPr>
          <w:trHeight w:val="225" w:hRule="atLeast"/>
        </w:trPr>
        <w:tc>
          <w:tcPr>
            <w:tcW w:w="2010" w:type="dxa"/>
          </w:tcPr>
          <w:p>
            <w:pPr>
              <w:pStyle w:val="TableParagraph"/>
              <w:spacing w:line="199" w:lineRule="exact" w:before="6"/>
              <w:ind w:left="6" w:right="1"/>
              <w:jc w:val="center"/>
              <w:rPr>
                <w:sz w:val="18"/>
              </w:rPr>
            </w:pPr>
            <w:r>
              <w:rPr>
                <w:spacing w:val="-4"/>
                <w:sz w:val="18"/>
              </w:rPr>
              <w:t>MOWN</w:t>
            </w:r>
          </w:p>
        </w:tc>
        <w:tc>
          <w:tcPr>
            <w:tcW w:w="1206" w:type="dxa"/>
          </w:tcPr>
          <w:p>
            <w:pPr>
              <w:pStyle w:val="TableParagraph"/>
              <w:spacing w:line="199" w:lineRule="exact" w:before="6"/>
              <w:ind w:left="180"/>
              <w:jc w:val="center"/>
              <w:rPr>
                <w:sz w:val="18"/>
              </w:rPr>
            </w:pPr>
            <w:r>
              <w:rPr>
                <w:spacing w:val="-2"/>
                <w:sz w:val="18"/>
              </w:rPr>
              <w:t>-0.000159</w:t>
            </w:r>
          </w:p>
        </w:tc>
        <w:tc>
          <w:tcPr>
            <w:tcW w:w="1300" w:type="dxa"/>
          </w:tcPr>
          <w:p>
            <w:pPr>
              <w:pStyle w:val="TableParagraph"/>
              <w:spacing w:line="199" w:lineRule="exact" w:before="6"/>
              <w:ind w:left="155" w:right="2"/>
              <w:jc w:val="center"/>
              <w:rPr>
                <w:sz w:val="18"/>
              </w:rPr>
            </w:pPr>
            <w:r>
              <w:rPr>
                <w:spacing w:val="-2"/>
                <w:sz w:val="18"/>
              </w:rPr>
              <w:t>0.000344</w:t>
            </w:r>
          </w:p>
        </w:tc>
        <w:tc>
          <w:tcPr>
            <w:tcW w:w="1131" w:type="dxa"/>
          </w:tcPr>
          <w:p>
            <w:pPr>
              <w:pStyle w:val="TableParagraph"/>
              <w:spacing w:line="199" w:lineRule="exact" w:before="6"/>
              <w:ind w:right="120"/>
              <w:jc w:val="right"/>
              <w:rPr>
                <w:sz w:val="18"/>
              </w:rPr>
            </w:pPr>
            <w:r>
              <w:rPr>
                <w:spacing w:val="-2"/>
                <w:sz w:val="18"/>
              </w:rPr>
              <w:t>-0.460251</w:t>
            </w:r>
          </w:p>
        </w:tc>
        <w:tc>
          <w:tcPr>
            <w:tcW w:w="884" w:type="dxa"/>
          </w:tcPr>
          <w:p>
            <w:pPr>
              <w:pStyle w:val="TableParagraph"/>
              <w:spacing w:line="199" w:lineRule="exact" w:before="6"/>
              <w:ind w:right="6"/>
              <w:jc w:val="right"/>
              <w:rPr>
                <w:sz w:val="18"/>
              </w:rPr>
            </w:pPr>
            <w:r>
              <w:rPr>
                <w:spacing w:val="-2"/>
                <w:sz w:val="18"/>
              </w:rPr>
              <w:t>0.6459</w:t>
            </w:r>
          </w:p>
        </w:tc>
      </w:tr>
      <w:tr>
        <w:trPr>
          <w:trHeight w:val="225" w:hRule="atLeast"/>
        </w:trPr>
        <w:tc>
          <w:tcPr>
            <w:tcW w:w="2010" w:type="dxa"/>
          </w:tcPr>
          <w:p>
            <w:pPr>
              <w:pStyle w:val="TableParagraph"/>
              <w:spacing w:line="199" w:lineRule="exact" w:before="6"/>
              <w:ind w:left="6" w:right="3"/>
              <w:jc w:val="center"/>
              <w:rPr>
                <w:sz w:val="18"/>
              </w:rPr>
            </w:pPr>
            <w:r>
              <w:rPr>
                <w:spacing w:val="-4"/>
                <w:sz w:val="18"/>
              </w:rPr>
              <w:t>FOWN</w:t>
            </w:r>
          </w:p>
        </w:tc>
        <w:tc>
          <w:tcPr>
            <w:tcW w:w="1206" w:type="dxa"/>
          </w:tcPr>
          <w:p>
            <w:pPr>
              <w:pStyle w:val="TableParagraph"/>
              <w:spacing w:line="199" w:lineRule="exact" w:before="6"/>
              <w:ind w:left="180"/>
              <w:jc w:val="center"/>
              <w:rPr>
                <w:sz w:val="18"/>
              </w:rPr>
            </w:pPr>
            <w:r>
              <w:rPr>
                <w:spacing w:val="-2"/>
                <w:sz w:val="18"/>
              </w:rPr>
              <w:t>-0.000777</w:t>
            </w:r>
          </w:p>
        </w:tc>
        <w:tc>
          <w:tcPr>
            <w:tcW w:w="1300" w:type="dxa"/>
          </w:tcPr>
          <w:p>
            <w:pPr>
              <w:pStyle w:val="TableParagraph"/>
              <w:spacing w:line="199" w:lineRule="exact" w:before="6"/>
              <w:ind w:left="155" w:right="2"/>
              <w:jc w:val="center"/>
              <w:rPr>
                <w:sz w:val="18"/>
              </w:rPr>
            </w:pPr>
            <w:r>
              <w:rPr>
                <w:spacing w:val="-2"/>
                <w:sz w:val="18"/>
              </w:rPr>
              <w:t>0.000342</w:t>
            </w:r>
          </w:p>
        </w:tc>
        <w:tc>
          <w:tcPr>
            <w:tcW w:w="1131" w:type="dxa"/>
          </w:tcPr>
          <w:p>
            <w:pPr>
              <w:pStyle w:val="TableParagraph"/>
              <w:spacing w:line="199" w:lineRule="exact" w:before="6"/>
              <w:ind w:right="120"/>
              <w:jc w:val="right"/>
              <w:rPr>
                <w:sz w:val="18"/>
              </w:rPr>
            </w:pPr>
            <w:r>
              <w:rPr>
                <w:spacing w:val="-2"/>
                <w:sz w:val="18"/>
              </w:rPr>
              <w:t>-2.269153</w:t>
            </w:r>
          </w:p>
        </w:tc>
        <w:tc>
          <w:tcPr>
            <w:tcW w:w="884" w:type="dxa"/>
          </w:tcPr>
          <w:p>
            <w:pPr>
              <w:pStyle w:val="TableParagraph"/>
              <w:spacing w:line="199" w:lineRule="exact" w:before="6"/>
              <w:ind w:right="6"/>
              <w:jc w:val="right"/>
              <w:rPr>
                <w:sz w:val="18"/>
              </w:rPr>
            </w:pPr>
            <w:r>
              <w:rPr>
                <w:spacing w:val="-2"/>
                <w:sz w:val="18"/>
              </w:rPr>
              <w:t>0.0244</w:t>
            </w:r>
          </w:p>
        </w:tc>
      </w:tr>
      <w:tr>
        <w:trPr>
          <w:trHeight w:val="224" w:hRule="atLeast"/>
        </w:trPr>
        <w:tc>
          <w:tcPr>
            <w:tcW w:w="2010" w:type="dxa"/>
          </w:tcPr>
          <w:p>
            <w:pPr>
              <w:pStyle w:val="TableParagraph"/>
              <w:spacing w:line="198" w:lineRule="exact" w:before="6"/>
              <w:ind w:left="6" w:right="3"/>
              <w:jc w:val="center"/>
              <w:rPr>
                <w:sz w:val="18"/>
              </w:rPr>
            </w:pPr>
            <w:r>
              <w:rPr>
                <w:spacing w:val="-2"/>
                <w:sz w:val="18"/>
              </w:rPr>
              <w:t>BLOWN</w:t>
            </w:r>
          </w:p>
        </w:tc>
        <w:tc>
          <w:tcPr>
            <w:tcW w:w="1206" w:type="dxa"/>
          </w:tcPr>
          <w:p>
            <w:pPr>
              <w:pStyle w:val="TableParagraph"/>
              <w:spacing w:line="198" w:lineRule="exact" w:before="6"/>
              <w:ind w:left="240"/>
              <w:jc w:val="center"/>
              <w:rPr>
                <w:sz w:val="18"/>
              </w:rPr>
            </w:pPr>
            <w:r>
              <w:rPr>
                <w:spacing w:val="-2"/>
                <w:sz w:val="18"/>
              </w:rPr>
              <w:t>0.000871</w:t>
            </w:r>
          </w:p>
        </w:tc>
        <w:tc>
          <w:tcPr>
            <w:tcW w:w="1300" w:type="dxa"/>
          </w:tcPr>
          <w:p>
            <w:pPr>
              <w:pStyle w:val="TableParagraph"/>
              <w:spacing w:line="198" w:lineRule="exact" w:before="6"/>
              <w:ind w:left="155" w:right="2"/>
              <w:jc w:val="center"/>
              <w:rPr>
                <w:sz w:val="18"/>
              </w:rPr>
            </w:pPr>
            <w:r>
              <w:rPr>
                <w:spacing w:val="-2"/>
                <w:sz w:val="18"/>
              </w:rPr>
              <w:t>0.000399</w:t>
            </w:r>
          </w:p>
        </w:tc>
        <w:tc>
          <w:tcPr>
            <w:tcW w:w="1131" w:type="dxa"/>
          </w:tcPr>
          <w:p>
            <w:pPr>
              <w:pStyle w:val="TableParagraph"/>
              <w:spacing w:line="198" w:lineRule="exact" w:before="6"/>
              <w:ind w:right="120"/>
              <w:jc w:val="right"/>
              <w:rPr>
                <w:sz w:val="18"/>
              </w:rPr>
            </w:pPr>
            <w:r>
              <w:rPr>
                <w:spacing w:val="-2"/>
                <w:sz w:val="18"/>
              </w:rPr>
              <w:t>2.183455</w:t>
            </w:r>
          </w:p>
        </w:tc>
        <w:tc>
          <w:tcPr>
            <w:tcW w:w="884" w:type="dxa"/>
          </w:tcPr>
          <w:p>
            <w:pPr>
              <w:pStyle w:val="TableParagraph"/>
              <w:spacing w:line="198" w:lineRule="exact" w:before="6"/>
              <w:ind w:right="6"/>
              <w:jc w:val="right"/>
              <w:rPr>
                <w:sz w:val="18"/>
              </w:rPr>
            </w:pPr>
            <w:r>
              <w:rPr>
                <w:spacing w:val="-2"/>
                <w:sz w:val="18"/>
              </w:rPr>
              <w:t>0.0303</w:t>
            </w:r>
          </w:p>
        </w:tc>
      </w:tr>
      <w:tr>
        <w:trPr>
          <w:trHeight w:val="224" w:hRule="atLeast"/>
        </w:trPr>
        <w:tc>
          <w:tcPr>
            <w:tcW w:w="2010" w:type="dxa"/>
          </w:tcPr>
          <w:p>
            <w:pPr>
              <w:pStyle w:val="TableParagraph"/>
              <w:spacing w:line="199" w:lineRule="exact" w:before="5"/>
              <w:ind w:left="6"/>
              <w:jc w:val="center"/>
              <w:rPr>
                <w:sz w:val="18"/>
              </w:rPr>
            </w:pPr>
            <w:r>
              <w:rPr>
                <w:spacing w:val="-4"/>
                <w:sz w:val="18"/>
              </w:rPr>
              <w:t>FAGE</w:t>
            </w:r>
          </w:p>
        </w:tc>
        <w:tc>
          <w:tcPr>
            <w:tcW w:w="1206" w:type="dxa"/>
          </w:tcPr>
          <w:p>
            <w:pPr>
              <w:pStyle w:val="TableParagraph"/>
              <w:spacing w:line="199" w:lineRule="exact" w:before="5"/>
              <w:ind w:left="180"/>
              <w:jc w:val="center"/>
              <w:rPr>
                <w:sz w:val="18"/>
              </w:rPr>
            </w:pPr>
            <w:r>
              <w:rPr>
                <w:spacing w:val="-2"/>
                <w:sz w:val="18"/>
              </w:rPr>
              <w:t>-0.000287</w:t>
            </w:r>
          </w:p>
        </w:tc>
        <w:tc>
          <w:tcPr>
            <w:tcW w:w="1300" w:type="dxa"/>
          </w:tcPr>
          <w:p>
            <w:pPr>
              <w:pStyle w:val="TableParagraph"/>
              <w:spacing w:line="199" w:lineRule="exact" w:before="5"/>
              <w:ind w:left="155" w:right="2"/>
              <w:jc w:val="center"/>
              <w:rPr>
                <w:sz w:val="18"/>
              </w:rPr>
            </w:pPr>
            <w:r>
              <w:rPr>
                <w:spacing w:val="-2"/>
                <w:sz w:val="18"/>
              </w:rPr>
              <w:t>0.000273</w:t>
            </w:r>
          </w:p>
        </w:tc>
        <w:tc>
          <w:tcPr>
            <w:tcW w:w="1131" w:type="dxa"/>
          </w:tcPr>
          <w:p>
            <w:pPr>
              <w:pStyle w:val="TableParagraph"/>
              <w:spacing w:line="199" w:lineRule="exact" w:before="5"/>
              <w:ind w:right="120"/>
              <w:jc w:val="right"/>
              <w:rPr>
                <w:sz w:val="18"/>
              </w:rPr>
            </w:pPr>
            <w:r>
              <w:rPr>
                <w:spacing w:val="-2"/>
                <w:sz w:val="18"/>
              </w:rPr>
              <w:t>-1.052815</w:t>
            </w:r>
          </w:p>
        </w:tc>
        <w:tc>
          <w:tcPr>
            <w:tcW w:w="884" w:type="dxa"/>
          </w:tcPr>
          <w:p>
            <w:pPr>
              <w:pStyle w:val="TableParagraph"/>
              <w:spacing w:line="199" w:lineRule="exact" w:before="5"/>
              <w:ind w:right="6"/>
              <w:jc w:val="right"/>
              <w:rPr>
                <w:sz w:val="18"/>
              </w:rPr>
            </w:pPr>
            <w:r>
              <w:rPr>
                <w:spacing w:val="-2"/>
                <w:sz w:val="18"/>
              </w:rPr>
              <w:t>0.2938</w:t>
            </w:r>
          </w:p>
        </w:tc>
      </w:tr>
      <w:tr>
        <w:trPr>
          <w:trHeight w:val="225" w:hRule="atLeast"/>
        </w:trPr>
        <w:tc>
          <w:tcPr>
            <w:tcW w:w="2010" w:type="dxa"/>
          </w:tcPr>
          <w:p>
            <w:pPr>
              <w:pStyle w:val="TableParagraph"/>
              <w:spacing w:line="199" w:lineRule="exact" w:before="6"/>
              <w:ind w:left="6" w:right="4"/>
              <w:jc w:val="center"/>
              <w:rPr>
                <w:sz w:val="18"/>
              </w:rPr>
            </w:pPr>
            <w:r>
              <w:rPr>
                <w:spacing w:val="-2"/>
                <w:sz w:val="18"/>
              </w:rPr>
              <w:t>FSIZE</w:t>
            </w:r>
          </w:p>
        </w:tc>
        <w:tc>
          <w:tcPr>
            <w:tcW w:w="1206" w:type="dxa"/>
          </w:tcPr>
          <w:p>
            <w:pPr>
              <w:pStyle w:val="TableParagraph"/>
              <w:spacing w:line="199" w:lineRule="exact" w:before="6"/>
              <w:ind w:left="240"/>
              <w:jc w:val="center"/>
              <w:rPr>
                <w:sz w:val="18"/>
              </w:rPr>
            </w:pPr>
            <w:r>
              <w:rPr>
                <w:spacing w:val="-2"/>
                <w:sz w:val="18"/>
              </w:rPr>
              <w:t>0.031964</w:t>
            </w:r>
          </w:p>
        </w:tc>
        <w:tc>
          <w:tcPr>
            <w:tcW w:w="1300" w:type="dxa"/>
          </w:tcPr>
          <w:p>
            <w:pPr>
              <w:pStyle w:val="TableParagraph"/>
              <w:spacing w:line="199" w:lineRule="exact" w:before="6"/>
              <w:ind w:left="155" w:right="2"/>
              <w:jc w:val="center"/>
              <w:rPr>
                <w:sz w:val="18"/>
              </w:rPr>
            </w:pPr>
            <w:r>
              <w:rPr>
                <w:spacing w:val="-2"/>
                <w:sz w:val="18"/>
              </w:rPr>
              <w:t>0.006974</w:t>
            </w:r>
          </w:p>
        </w:tc>
        <w:tc>
          <w:tcPr>
            <w:tcW w:w="1131" w:type="dxa"/>
          </w:tcPr>
          <w:p>
            <w:pPr>
              <w:pStyle w:val="TableParagraph"/>
              <w:spacing w:line="199" w:lineRule="exact" w:before="6"/>
              <w:ind w:right="120"/>
              <w:jc w:val="right"/>
              <w:rPr>
                <w:sz w:val="18"/>
              </w:rPr>
            </w:pPr>
            <w:r>
              <w:rPr>
                <w:spacing w:val="-2"/>
                <w:sz w:val="18"/>
              </w:rPr>
              <w:t>4.583237</w:t>
            </w:r>
          </w:p>
        </w:tc>
        <w:tc>
          <w:tcPr>
            <w:tcW w:w="884" w:type="dxa"/>
          </w:tcPr>
          <w:p>
            <w:pPr>
              <w:pStyle w:val="TableParagraph"/>
              <w:spacing w:line="199" w:lineRule="exact" w:before="6"/>
              <w:ind w:right="6"/>
              <w:jc w:val="right"/>
              <w:rPr>
                <w:sz w:val="18"/>
              </w:rPr>
            </w:pPr>
            <w:r>
              <w:rPr>
                <w:spacing w:val="-2"/>
                <w:sz w:val="18"/>
              </w:rPr>
              <w:t>0.0000</w:t>
            </w:r>
          </w:p>
        </w:tc>
      </w:tr>
      <w:tr>
        <w:trPr>
          <w:trHeight w:val="225" w:hRule="atLeast"/>
        </w:trPr>
        <w:tc>
          <w:tcPr>
            <w:tcW w:w="2010" w:type="dxa"/>
          </w:tcPr>
          <w:p>
            <w:pPr>
              <w:pStyle w:val="TableParagraph"/>
              <w:spacing w:line="199" w:lineRule="exact" w:before="6"/>
              <w:ind w:left="523"/>
              <w:rPr>
                <w:sz w:val="18"/>
              </w:rPr>
            </w:pPr>
            <w:r>
              <w:rPr>
                <w:spacing w:val="-2"/>
                <w:sz w:val="18"/>
              </w:rPr>
              <w:t>LEVERAGE</w:t>
            </w:r>
          </w:p>
        </w:tc>
        <w:tc>
          <w:tcPr>
            <w:tcW w:w="1206" w:type="dxa"/>
          </w:tcPr>
          <w:p>
            <w:pPr>
              <w:pStyle w:val="TableParagraph"/>
              <w:spacing w:line="199" w:lineRule="exact" w:before="6"/>
              <w:ind w:left="180"/>
              <w:jc w:val="center"/>
              <w:rPr>
                <w:sz w:val="18"/>
              </w:rPr>
            </w:pPr>
            <w:r>
              <w:rPr>
                <w:spacing w:val="-2"/>
                <w:sz w:val="18"/>
              </w:rPr>
              <w:t>-0.001325</w:t>
            </w:r>
          </w:p>
        </w:tc>
        <w:tc>
          <w:tcPr>
            <w:tcW w:w="1300" w:type="dxa"/>
          </w:tcPr>
          <w:p>
            <w:pPr>
              <w:pStyle w:val="TableParagraph"/>
              <w:spacing w:line="199" w:lineRule="exact" w:before="6"/>
              <w:ind w:left="155" w:right="2"/>
              <w:jc w:val="center"/>
              <w:rPr>
                <w:sz w:val="18"/>
              </w:rPr>
            </w:pPr>
            <w:r>
              <w:rPr>
                <w:spacing w:val="-2"/>
                <w:sz w:val="18"/>
              </w:rPr>
              <w:t>0.004156</w:t>
            </w:r>
          </w:p>
        </w:tc>
        <w:tc>
          <w:tcPr>
            <w:tcW w:w="1131" w:type="dxa"/>
          </w:tcPr>
          <w:p>
            <w:pPr>
              <w:pStyle w:val="TableParagraph"/>
              <w:spacing w:line="199" w:lineRule="exact" w:before="6"/>
              <w:ind w:right="120"/>
              <w:jc w:val="right"/>
              <w:rPr>
                <w:sz w:val="18"/>
              </w:rPr>
            </w:pPr>
            <w:r>
              <w:rPr>
                <w:spacing w:val="-2"/>
                <w:sz w:val="18"/>
              </w:rPr>
              <w:t>-0.318727</w:t>
            </w:r>
          </w:p>
        </w:tc>
        <w:tc>
          <w:tcPr>
            <w:tcW w:w="884" w:type="dxa"/>
          </w:tcPr>
          <w:p>
            <w:pPr>
              <w:pStyle w:val="TableParagraph"/>
              <w:spacing w:line="199" w:lineRule="exact" w:before="6"/>
              <w:ind w:right="6"/>
              <w:jc w:val="right"/>
              <w:rPr>
                <w:sz w:val="18"/>
              </w:rPr>
            </w:pPr>
            <w:r>
              <w:rPr>
                <w:spacing w:val="-2"/>
                <w:sz w:val="18"/>
              </w:rPr>
              <w:t>0.7503</w:t>
            </w:r>
          </w:p>
        </w:tc>
      </w:tr>
      <w:tr>
        <w:trPr>
          <w:trHeight w:val="224" w:hRule="atLeast"/>
        </w:trPr>
        <w:tc>
          <w:tcPr>
            <w:tcW w:w="2010" w:type="dxa"/>
          </w:tcPr>
          <w:p>
            <w:pPr>
              <w:pStyle w:val="TableParagraph"/>
              <w:spacing w:line="198" w:lineRule="exact" w:before="6"/>
              <w:ind w:left="6" w:right="3"/>
              <w:jc w:val="center"/>
              <w:rPr>
                <w:sz w:val="18"/>
              </w:rPr>
            </w:pPr>
            <w:r>
              <w:rPr>
                <w:spacing w:val="-4"/>
                <w:sz w:val="18"/>
              </w:rPr>
              <w:t>IFRS</w:t>
            </w:r>
          </w:p>
        </w:tc>
        <w:tc>
          <w:tcPr>
            <w:tcW w:w="1206" w:type="dxa"/>
          </w:tcPr>
          <w:p>
            <w:pPr>
              <w:pStyle w:val="TableParagraph"/>
              <w:spacing w:line="198" w:lineRule="exact" w:before="6"/>
              <w:ind w:left="240"/>
              <w:jc w:val="center"/>
              <w:rPr>
                <w:sz w:val="18"/>
              </w:rPr>
            </w:pPr>
            <w:r>
              <w:rPr>
                <w:spacing w:val="-2"/>
                <w:sz w:val="18"/>
              </w:rPr>
              <w:t>0.087885</w:t>
            </w:r>
          </w:p>
        </w:tc>
        <w:tc>
          <w:tcPr>
            <w:tcW w:w="1300" w:type="dxa"/>
          </w:tcPr>
          <w:p>
            <w:pPr>
              <w:pStyle w:val="TableParagraph"/>
              <w:spacing w:line="198" w:lineRule="exact" w:before="6"/>
              <w:ind w:left="155" w:right="2"/>
              <w:jc w:val="center"/>
              <w:rPr>
                <w:sz w:val="18"/>
              </w:rPr>
            </w:pPr>
            <w:r>
              <w:rPr>
                <w:spacing w:val="-2"/>
                <w:sz w:val="18"/>
              </w:rPr>
              <w:t>0.013918</w:t>
            </w:r>
          </w:p>
        </w:tc>
        <w:tc>
          <w:tcPr>
            <w:tcW w:w="1131" w:type="dxa"/>
          </w:tcPr>
          <w:p>
            <w:pPr>
              <w:pStyle w:val="TableParagraph"/>
              <w:spacing w:line="198" w:lineRule="exact" w:before="6"/>
              <w:ind w:right="120"/>
              <w:jc w:val="right"/>
              <w:rPr>
                <w:sz w:val="18"/>
              </w:rPr>
            </w:pPr>
            <w:r>
              <w:rPr>
                <w:spacing w:val="-2"/>
                <w:sz w:val="18"/>
              </w:rPr>
              <w:t>6.314280</w:t>
            </w:r>
          </w:p>
        </w:tc>
        <w:tc>
          <w:tcPr>
            <w:tcW w:w="884" w:type="dxa"/>
          </w:tcPr>
          <w:p>
            <w:pPr>
              <w:pStyle w:val="TableParagraph"/>
              <w:spacing w:line="198" w:lineRule="exact" w:before="6"/>
              <w:ind w:right="6"/>
              <w:jc w:val="right"/>
              <w:rPr>
                <w:sz w:val="18"/>
              </w:rPr>
            </w:pPr>
            <w:r>
              <w:rPr>
                <w:spacing w:val="-2"/>
                <w:sz w:val="18"/>
              </w:rPr>
              <w:t>0.0000</w:t>
            </w:r>
          </w:p>
        </w:tc>
      </w:tr>
      <w:tr>
        <w:trPr>
          <w:trHeight w:val="224" w:hRule="atLeast"/>
        </w:trPr>
        <w:tc>
          <w:tcPr>
            <w:tcW w:w="2010" w:type="dxa"/>
          </w:tcPr>
          <w:p>
            <w:pPr>
              <w:pStyle w:val="TableParagraph"/>
              <w:spacing w:line="199" w:lineRule="exact" w:before="5"/>
              <w:ind w:left="343"/>
              <w:rPr>
                <w:sz w:val="18"/>
              </w:rPr>
            </w:pPr>
            <w:r>
              <w:rPr>
                <w:spacing w:val="-2"/>
                <w:sz w:val="18"/>
              </w:rPr>
              <w:t>INSTOWN*IFRS</w:t>
            </w:r>
          </w:p>
        </w:tc>
        <w:tc>
          <w:tcPr>
            <w:tcW w:w="1206" w:type="dxa"/>
          </w:tcPr>
          <w:p>
            <w:pPr>
              <w:pStyle w:val="TableParagraph"/>
              <w:spacing w:line="199" w:lineRule="exact" w:before="5"/>
              <w:ind w:left="180"/>
              <w:jc w:val="center"/>
              <w:rPr>
                <w:sz w:val="18"/>
              </w:rPr>
            </w:pPr>
            <w:r>
              <w:rPr>
                <w:spacing w:val="-2"/>
                <w:sz w:val="18"/>
              </w:rPr>
              <w:t>-0.000934</w:t>
            </w:r>
          </w:p>
        </w:tc>
        <w:tc>
          <w:tcPr>
            <w:tcW w:w="1300" w:type="dxa"/>
          </w:tcPr>
          <w:p>
            <w:pPr>
              <w:pStyle w:val="TableParagraph"/>
              <w:spacing w:line="199" w:lineRule="exact" w:before="5"/>
              <w:ind w:left="155" w:right="2"/>
              <w:jc w:val="center"/>
              <w:rPr>
                <w:sz w:val="18"/>
              </w:rPr>
            </w:pPr>
            <w:r>
              <w:rPr>
                <w:spacing w:val="-2"/>
                <w:sz w:val="18"/>
              </w:rPr>
              <w:t>0.000531</w:t>
            </w:r>
          </w:p>
        </w:tc>
        <w:tc>
          <w:tcPr>
            <w:tcW w:w="1131" w:type="dxa"/>
          </w:tcPr>
          <w:p>
            <w:pPr>
              <w:pStyle w:val="TableParagraph"/>
              <w:spacing w:line="199" w:lineRule="exact" w:before="5"/>
              <w:ind w:right="120"/>
              <w:jc w:val="right"/>
              <w:rPr>
                <w:sz w:val="18"/>
              </w:rPr>
            </w:pPr>
            <w:r>
              <w:rPr>
                <w:spacing w:val="-2"/>
                <w:sz w:val="18"/>
              </w:rPr>
              <w:t>-1.759488</w:t>
            </w:r>
          </w:p>
        </w:tc>
        <w:tc>
          <w:tcPr>
            <w:tcW w:w="884" w:type="dxa"/>
          </w:tcPr>
          <w:p>
            <w:pPr>
              <w:pStyle w:val="TableParagraph"/>
              <w:spacing w:line="199" w:lineRule="exact" w:before="5"/>
              <w:ind w:right="6"/>
              <w:jc w:val="right"/>
              <w:rPr>
                <w:sz w:val="18"/>
              </w:rPr>
            </w:pPr>
            <w:r>
              <w:rPr>
                <w:spacing w:val="-2"/>
                <w:sz w:val="18"/>
              </w:rPr>
              <w:t>0.0802</w:t>
            </w:r>
          </w:p>
        </w:tc>
      </w:tr>
      <w:tr>
        <w:trPr>
          <w:trHeight w:val="225" w:hRule="atLeast"/>
        </w:trPr>
        <w:tc>
          <w:tcPr>
            <w:tcW w:w="2010" w:type="dxa"/>
          </w:tcPr>
          <w:p>
            <w:pPr>
              <w:pStyle w:val="TableParagraph"/>
              <w:spacing w:line="199" w:lineRule="exact" w:before="6"/>
              <w:ind w:left="472"/>
              <w:rPr>
                <w:sz w:val="18"/>
              </w:rPr>
            </w:pPr>
            <w:r>
              <w:rPr>
                <w:spacing w:val="-2"/>
                <w:sz w:val="18"/>
              </w:rPr>
              <w:t>MOWN*IFRS</w:t>
            </w:r>
          </w:p>
        </w:tc>
        <w:tc>
          <w:tcPr>
            <w:tcW w:w="1206" w:type="dxa"/>
          </w:tcPr>
          <w:p>
            <w:pPr>
              <w:pStyle w:val="TableParagraph"/>
              <w:spacing w:line="199" w:lineRule="exact" w:before="6"/>
              <w:ind w:left="240"/>
              <w:jc w:val="center"/>
              <w:rPr>
                <w:sz w:val="18"/>
              </w:rPr>
            </w:pPr>
            <w:r>
              <w:rPr>
                <w:spacing w:val="-2"/>
                <w:sz w:val="18"/>
              </w:rPr>
              <w:t>0.000180</w:t>
            </w:r>
          </w:p>
        </w:tc>
        <w:tc>
          <w:tcPr>
            <w:tcW w:w="1300" w:type="dxa"/>
          </w:tcPr>
          <w:p>
            <w:pPr>
              <w:pStyle w:val="TableParagraph"/>
              <w:spacing w:line="199" w:lineRule="exact" w:before="6"/>
              <w:ind w:left="155" w:right="2"/>
              <w:jc w:val="center"/>
              <w:rPr>
                <w:sz w:val="18"/>
              </w:rPr>
            </w:pPr>
            <w:r>
              <w:rPr>
                <w:spacing w:val="-2"/>
                <w:sz w:val="18"/>
              </w:rPr>
              <w:t>0.000455</w:t>
            </w:r>
          </w:p>
        </w:tc>
        <w:tc>
          <w:tcPr>
            <w:tcW w:w="1131" w:type="dxa"/>
          </w:tcPr>
          <w:p>
            <w:pPr>
              <w:pStyle w:val="TableParagraph"/>
              <w:spacing w:line="199" w:lineRule="exact" w:before="6"/>
              <w:ind w:right="120"/>
              <w:jc w:val="right"/>
              <w:rPr>
                <w:sz w:val="18"/>
              </w:rPr>
            </w:pPr>
            <w:r>
              <w:rPr>
                <w:spacing w:val="-2"/>
                <w:sz w:val="18"/>
              </w:rPr>
              <w:t>0.395938</w:t>
            </w:r>
          </w:p>
        </w:tc>
        <w:tc>
          <w:tcPr>
            <w:tcW w:w="884" w:type="dxa"/>
          </w:tcPr>
          <w:p>
            <w:pPr>
              <w:pStyle w:val="TableParagraph"/>
              <w:spacing w:line="199" w:lineRule="exact" w:before="6"/>
              <w:ind w:right="6"/>
              <w:jc w:val="right"/>
              <w:rPr>
                <w:sz w:val="18"/>
              </w:rPr>
            </w:pPr>
            <w:r>
              <w:rPr>
                <w:spacing w:val="-2"/>
                <w:sz w:val="18"/>
              </w:rPr>
              <w:t>0.6926</w:t>
            </w:r>
          </w:p>
        </w:tc>
      </w:tr>
      <w:tr>
        <w:trPr>
          <w:trHeight w:val="225" w:hRule="atLeast"/>
        </w:trPr>
        <w:tc>
          <w:tcPr>
            <w:tcW w:w="2010" w:type="dxa"/>
          </w:tcPr>
          <w:p>
            <w:pPr>
              <w:pStyle w:val="TableParagraph"/>
              <w:spacing w:line="199" w:lineRule="exact" w:before="6"/>
              <w:ind w:left="491"/>
              <w:rPr>
                <w:sz w:val="18"/>
              </w:rPr>
            </w:pPr>
            <w:r>
              <w:rPr>
                <w:spacing w:val="-2"/>
                <w:sz w:val="18"/>
              </w:rPr>
              <w:t>FOWN*IFRS</w:t>
            </w:r>
          </w:p>
        </w:tc>
        <w:tc>
          <w:tcPr>
            <w:tcW w:w="1206" w:type="dxa"/>
          </w:tcPr>
          <w:p>
            <w:pPr>
              <w:pStyle w:val="TableParagraph"/>
              <w:spacing w:line="199" w:lineRule="exact" w:before="6"/>
              <w:ind w:left="240"/>
              <w:jc w:val="center"/>
              <w:rPr>
                <w:sz w:val="18"/>
              </w:rPr>
            </w:pPr>
            <w:r>
              <w:rPr>
                <w:spacing w:val="-2"/>
                <w:sz w:val="18"/>
              </w:rPr>
              <w:t>0.000983</w:t>
            </w:r>
          </w:p>
        </w:tc>
        <w:tc>
          <w:tcPr>
            <w:tcW w:w="1300" w:type="dxa"/>
          </w:tcPr>
          <w:p>
            <w:pPr>
              <w:pStyle w:val="TableParagraph"/>
              <w:spacing w:line="199" w:lineRule="exact" w:before="6"/>
              <w:ind w:left="155" w:right="2"/>
              <w:jc w:val="center"/>
              <w:rPr>
                <w:sz w:val="18"/>
              </w:rPr>
            </w:pPr>
            <w:r>
              <w:rPr>
                <w:spacing w:val="-2"/>
                <w:sz w:val="18"/>
              </w:rPr>
              <w:t>0.000412</w:t>
            </w:r>
          </w:p>
        </w:tc>
        <w:tc>
          <w:tcPr>
            <w:tcW w:w="1131" w:type="dxa"/>
          </w:tcPr>
          <w:p>
            <w:pPr>
              <w:pStyle w:val="TableParagraph"/>
              <w:spacing w:line="199" w:lineRule="exact" w:before="6"/>
              <w:ind w:right="120"/>
              <w:jc w:val="right"/>
              <w:rPr>
                <w:sz w:val="18"/>
              </w:rPr>
            </w:pPr>
            <w:r>
              <w:rPr>
                <w:spacing w:val="-2"/>
                <w:sz w:val="18"/>
              </w:rPr>
              <w:t>2.386970</w:t>
            </w:r>
          </w:p>
        </w:tc>
        <w:tc>
          <w:tcPr>
            <w:tcW w:w="884" w:type="dxa"/>
          </w:tcPr>
          <w:p>
            <w:pPr>
              <w:pStyle w:val="TableParagraph"/>
              <w:spacing w:line="199" w:lineRule="exact" w:before="6"/>
              <w:ind w:right="6"/>
              <w:jc w:val="right"/>
              <w:rPr>
                <w:sz w:val="18"/>
              </w:rPr>
            </w:pPr>
            <w:r>
              <w:rPr>
                <w:spacing w:val="-2"/>
                <w:sz w:val="18"/>
              </w:rPr>
              <w:t>0.0180</w:t>
            </w:r>
          </w:p>
        </w:tc>
      </w:tr>
      <w:tr>
        <w:trPr>
          <w:trHeight w:val="301" w:hRule="atLeast"/>
        </w:trPr>
        <w:tc>
          <w:tcPr>
            <w:tcW w:w="2010" w:type="dxa"/>
            <w:tcBorders>
              <w:bottom w:val="double" w:sz="6" w:space="0" w:color="000000"/>
            </w:tcBorders>
          </w:tcPr>
          <w:p>
            <w:pPr>
              <w:pStyle w:val="TableParagraph"/>
              <w:spacing w:before="6"/>
              <w:ind w:left="436"/>
              <w:rPr>
                <w:sz w:val="18"/>
              </w:rPr>
            </w:pPr>
            <w:r>
              <w:rPr>
                <w:spacing w:val="-2"/>
                <w:sz w:val="18"/>
              </w:rPr>
              <w:t>BLOWN*IFRS</w:t>
            </w:r>
          </w:p>
        </w:tc>
        <w:tc>
          <w:tcPr>
            <w:tcW w:w="1206" w:type="dxa"/>
            <w:tcBorders>
              <w:bottom w:val="double" w:sz="6" w:space="0" w:color="000000"/>
            </w:tcBorders>
          </w:tcPr>
          <w:p>
            <w:pPr>
              <w:pStyle w:val="TableParagraph"/>
              <w:spacing w:before="6"/>
              <w:ind w:left="180"/>
              <w:jc w:val="center"/>
              <w:rPr>
                <w:sz w:val="18"/>
              </w:rPr>
            </w:pPr>
            <w:r>
              <w:rPr>
                <w:spacing w:val="-2"/>
                <w:sz w:val="18"/>
              </w:rPr>
              <w:t>-0.000166</w:t>
            </w:r>
          </w:p>
        </w:tc>
        <w:tc>
          <w:tcPr>
            <w:tcW w:w="1300" w:type="dxa"/>
            <w:tcBorders>
              <w:bottom w:val="double" w:sz="6" w:space="0" w:color="000000"/>
            </w:tcBorders>
          </w:tcPr>
          <w:p>
            <w:pPr>
              <w:pStyle w:val="TableParagraph"/>
              <w:spacing w:before="6"/>
              <w:ind w:left="155" w:right="2"/>
              <w:jc w:val="center"/>
              <w:rPr>
                <w:sz w:val="18"/>
              </w:rPr>
            </w:pPr>
            <w:r>
              <w:rPr>
                <w:spacing w:val="-2"/>
                <w:sz w:val="18"/>
              </w:rPr>
              <w:t>0.000487</w:t>
            </w:r>
          </w:p>
        </w:tc>
        <w:tc>
          <w:tcPr>
            <w:tcW w:w="1131" w:type="dxa"/>
            <w:tcBorders>
              <w:bottom w:val="double" w:sz="6" w:space="0" w:color="000000"/>
            </w:tcBorders>
          </w:tcPr>
          <w:p>
            <w:pPr>
              <w:pStyle w:val="TableParagraph"/>
              <w:spacing w:before="6"/>
              <w:ind w:right="120"/>
              <w:jc w:val="right"/>
              <w:rPr>
                <w:sz w:val="18"/>
              </w:rPr>
            </w:pPr>
            <w:r>
              <w:rPr>
                <w:spacing w:val="-2"/>
                <w:sz w:val="18"/>
              </w:rPr>
              <w:t>-0.340851</w:t>
            </w:r>
          </w:p>
        </w:tc>
        <w:tc>
          <w:tcPr>
            <w:tcW w:w="884" w:type="dxa"/>
            <w:tcBorders>
              <w:bottom w:val="double" w:sz="6" w:space="0" w:color="000000"/>
            </w:tcBorders>
          </w:tcPr>
          <w:p>
            <w:pPr>
              <w:pStyle w:val="TableParagraph"/>
              <w:spacing w:before="6"/>
              <w:ind w:right="6"/>
              <w:jc w:val="right"/>
              <w:rPr>
                <w:sz w:val="18"/>
              </w:rPr>
            </w:pPr>
            <w:r>
              <w:rPr>
                <w:spacing w:val="-2"/>
                <w:sz w:val="18"/>
              </w:rPr>
              <w:t>0.7336</w:t>
            </w:r>
          </w:p>
        </w:tc>
      </w:tr>
      <w:tr>
        <w:trPr>
          <w:trHeight w:val="328" w:hRule="atLeast"/>
        </w:trPr>
        <w:tc>
          <w:tcPr>
            <w:tcW w:w="6531" w:type="dxa"/>
            <w:gridSpan w:val="5"/>
            <w:tcBorders>
              <w:top w:val="double" w:sz="6" w:space="0" w:color="000000"/>
            </w:tcBorders>
          </w:tcPr>
          <w:p>
            <w:pPr>
              <w:pStyle w:val="TableParagraph"/>
              <w:spacing w:line="199" w:lineRule="exact" w:before="109"/>
              <w:ind w:left="3" w:right="187"/>
              <w:jc w:val="center"/>
              <w:rPr>
                <w:sz w:val="18"/>
              </w:rPr>
            </w:pPr>
            <w:r>
              <w:rPr>
                <w:sz w:val="18"/>
              </w:rPr>
              <w:t>Effects </w:t>
            </w:r>
            <w:r>
              <w:rPr>
                <w:spacing w:val="-2"/>
                <w:sz w:val="18"/>
              </w:rPr>
              <w:t>Specification</w:t>
            </w:r>
          </w:p>
        </w:tc>
      </w:tr>
      <w:tr>
        <w:trPr>
          <w:trHeight w:val="303" w:hRule="atLeast"/>
        </w:trPr>
        <w:tc>
          <w:tcPr>
            <w:tcW w:w="2010" w:type="dxa"/>
            <w:tcBorders>
              <w:bottom w:val="double" w:sz="6" w:space="0" w:color="000000"/>
            </w:tcBorders>
          </w:tcPr>
          <w:p>
            <w:pPr>
              <w:pStyle w:val="TableParagraph"/>
              <w:rPr>
                <w:rFonts w:ascii="Times New Roman"/>
                <w:sz w:val="18"/>
              </w:rPr>
            </w:pP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spacing w:before="6"/>
              <w:ind w:right="222"/>
              <w:jc w:val="right"/>
              <w:rPr>
                <w:sz w:val="18"/>
              </w:rPr>
            </w:pPr>
            <w:r>
              <w:rPr>
                <w:spacing w:val="-4"/>
                <w:sz w:val="18"/>
              </w:rPr>
              <w:t>S.D.</w:t>
            </w:r>
          </w:p>
        </w:tc>
        <w:tc>
          <w:tcPr>
            <w:tcW w:w="884" w:type="dxa"/>
            <w:tcBorders>
              <w:bottom w:val="double" w:sz="6" w:space="0" w:color="000000"/>
            </w:tcBorders>
          </w:tcPr>
          <w:p>
            <w:pPr>
              <w:pStyle w:val="TableParagraph"/>
              <w:spacing w:before="6"/>
              <w:ind w:right="106"/>
              <w:jc w:val="right"/>
              <w:rPr>
                <w:sz w:val="18"/>
              </w:rPr>
            </w:pPr>
            <w:r>
              <w:rPr>
                <w:spacing w:val="-5"/>
                <w:sz w:val="18"/>
              </w:rPr>
              <w:t>Rho</w:t>
            </w:r>
          </w:p>
        </w:tc>
      </w:tr>
      <w:tr>
        <w:trPr>
          <w:trHeight w:val="325" w:hRule="atLeast"/>
        </w:trPr>
        <w:tc>
          <w:tcPr>
            <w:tcW w:w="2010" w:type="dxa"/>
            <w:tcBorders>
              <w:top w:val="double" w:sz="6" w:space="0" w:color="000000"/>
            </w:tcBorders>
          </w:tcPr>
          <w:p>
            <w:pPr>
              <w:pStyle w:val="TableParagraph"/>
              <w:spacing w:line="199" w:lineRule="exact" w:before="106"/>
              <w:rPr>
                <w:sz w:val="18"/>
              </w:rPr>
            </w:pPr>
            <w:r>
              <w:rPr>
                <w:spacing w:val="-2"/>
                <w:sz w:val="18"/>
              </w:rPr>
              <w:t>Cross-section</w:t>
            </w:r>
            <w:r>
              <w:rPr>
                <w:spacing w:val="10"/>
                <w:sz w:val="18"/>
              </w:rPr>
              <w:t> </w:t>
            </w:r>
            <w:r>
              <w:rPr>
                <w:spacing w:val="-2"/>
                <w:sz w:val="18"/>
              </w:rPr>
              <w:t>random</w:t>
            </w:r>
          </w:p>
        </w:tc>
        <w:tc>
          <w:tcPr>
            <w:tcW w:w="1206" w:type="dxa"/>
            <w:tcBorders>
              <w:top w:val="double" w:sz="6" w:space="0" w:color="000000"/>
            </w:tcBorders>
          </w:tcPr>
          <w:p>
            <w:pPr>
              <w:pStyle w:val="TableParagraph"/>
              <w:rPr>
                <w:rFonts w:ascii="Times New Roman"/>
                <w:sz w:val="18"/>
              </w:rPr>
            </w:pPr>
          </w:p>
        </w:tc>
        <w:tc>
          <w:tcPr>
            <w:tcW w:w="1300" w:type="dxa"/>
            <w:tcBorders>
              <w:top w:val="double" w:sz="6" w:space="0" w:color="000000"/>
            </w:tcBorders>
          </w:tcPr>
          <w:p>
            <w:pPr>
              <w:pStyle w:val="TableParagraph"/>
              <w:rPr>
                <w:rFonts w:ascii="Times New Roman"/>
                <w:sz w:val="18"/>
              </w:rPr>
            </w:pPr>
          </w:p>
        </w:tc>
        <w:tc>
          <w:tcPr>
            <w:tcW w:w="1131" w:type="dxa"/>
            <w:tcBorders>
              <w:top w:val="double" w:sz="6" w:space="0" w:color="000000"/>
            </w:tcBorders>
          </w:tcPr>
          <w:p>
            <w:pPr>
              <w:pStyle w:val="TableParagraph"/>
              <w:spacing w:line="199" w:lineRule="exact" w:before="106"/>
              <w:ind w:right="120"/>
              <w:jc w:val="right"/>
              <w:rPr>
                <w:sz w:val="18"/>
              </w:rPr>
            </w:pPr>
            <w:r>
              <w:rPr>
                <w:spacing w:val="-2"/>
                <w:sz w:val="18"/>
              </w:rPr>
              <w:t>0.000000</w:t>
            </w:r>
          </w:p>
        </w:tc>
        <w:tc>
          <w:tcPr>
            <w:tcW w:w="884" w:type="dxa"/>
            <w:tcBorders>
              <w:top w:val="double" w:sz="6" w:space="0" w:color="000000"/>
            </w:tcBorders>
          </w:tcPr>
          <w:p>
            <w:pPr>
              <w:pStyle w:val="TableParagraph"/>
              <w:spacing w:line="199" w:lineRule="exact" w:before="106"/>
              <w:ind w:right="6"/>
              <w:jc w:val="right"/>
              <w:rPr>
                <w:sz w:val="18"/>
              </w:rPr>
            </w:pPr>
            <w:r>
              <w:rPr>
                <w:spacing w:val="-2"/>
                <w:sz w:val="18"/>
              </w:rPr>
              <w:t>0.0000</w:t>
            </w:r>
          </w:p>
        </w:tc>
      </w:tr>
      <w:tr>
        <w:trPr>
          <w:trHeight w:val="303" w:hRule="atLeast"/>
        </w:trPr>
        <w:tc>
          <w:tcPr>
            <w:tcW w:w="2010" w:type="dxa"/>
            <w:tcBorders>
              <w:bottom w:val="double" w:sz="6" w:space="0" w:color="000000"/>
            </w:tcBorders>
          </w:tcPr>
          <w:p>
            <w:pPr>
              <w:pStyle w:val="TableParagraph"/>
              <w:spacing w:before="6"/>
              <w:rPr>
                <w:sz w:val="18"/>
              </w:rPr>
            </w:pPr>
            <w:r>
              <w:rPr>
                <w:sz w:val="18"/>
              </w:rPr>
              <w:t>Idiosyncratic</w:t>
            </w:r>
            <w:r>
              <w:rPr>
                <w:spacing w:val="-4"/>
                <w:sz w:val="18"/>
              </w:rPr>
              <w:t> </w:t>
            </w:r>
            <w:r>
              <w:rPr>
                <w:spacing w:val="-2"/>
                <w:sz w:val="18"/>
              </w:rPr>
              <w:t>random</w:t>
            </w: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spacing w:before="6"/>
              <w:ind w:right="120"/>
              <w:jc w:val="right"/>
              <w:rPr>
                <w:sz w:val="18"/>
              </w:rPr>
            </w:pPr>
            <w:r>
              <w:rPr>
                <w:spacing w:val="-2"/>
                <w:sz w:val="18"/>
              </w:rPr>
              <w:t>0.038738</w:t>
            </w:r>
          </w:p>
        </w:tc>
        <w:tc>
          <w:tcPr>
            <w:tcW w:w="884" w:type="dxa"/>
            <w:tcBorders>
              <w:bottom w:val="double" w:sz="6" w:space="0" w:color="000000"/>
            </w:tcBorders>
          </w:tcPr>
          <w:p>
            <w:pPr>
              <w:pStyle w:val="TableParagraph"/>
              <w:spacing w:before="6"/>
              <w:ind w:right="6"/>
              <w:jc w:val="right"/>
              <w:rPr>
                <w:sz w:val="18"/>
              </w:rPr>
            </w:pPr>
            <w:r>
              <w:rPr>
                <w:spacing w:val="-2"/>
                <w:sz w:val="18"/>
              </w:rPr>
              <w:t>1.0000</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R-squared</w:t>
            </w:r>
          </w:p>
        </w:tc>
        <w:tc>
          <w:tcPr>
            <w:tcW w:w="1206" w:type="dxa"/>
            <w:tcBorders>
              <w:top w:val="double" w:sz="6" w:space="0" w:color="000000"/>
            </w:tcBorders>
          </w:tcPr>
          <w:p>
            <w:pPr>
              <w:pStyle w:val="TableParagraph"/>
              <w:spacing w:line="199" w:lineRule="exact" w:before="108"/>
              <w:ind w:left="240"/>
              <w:jc w:val="center"/>
              <w:rPr>
                <w:sz w:val="18"/>
              </w:rPr>
            </w:pPr>
            <w:r>
              <w:rPr>
                <w:spacing w:val="-2"/>
                <w:sz w:val="18"/>
              </w:rPr>
              <w:t>0.521719</w:t>
            </w:r>
          </w:p>
        </w:tc>
        <w:tc>
          <w:tcPr>
            <w:tcW w:w="2431" w:type="dxa"/>
            <w:gridSpan w:val="2"/>
            <w:tcBorders>
              <w:top w:val="double" w:sz="6" w:space="0" w:color="000000"/>
            </w:tcBorders>
          </w:tcPr>
          <w:p>
            <w:pPr>
              <w:pStyle w:val="TableParagraph"/>
              <w:spacing w:line="199"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6"/>
              <w:jc w:val="right"/>
              <w:rPr>
                <w:sz w:val="18"/>
              </w:rPr>
            </w:pPr>
            <w:r>
              <w:rPr>
                <w:spacing w:val="-2"/>
                <w:sz w:val="18"/>
              </w:rPr>
              <w:t>0.589946</w:t>
            </w:r>
          </w:p>
        </w:tc>
      </w:tr>
      <w:tr>
        <w:trPr>
          <w:trHeight w:val="225" w:hRule="atLeast"/>
        </w:trPr>
        <w:tc>
          <w:tcPr>
            <w:tcW w:w="2010"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06" w:type="dxa"/>
          </w:tcPr>
          <w:p>
            <w:pPr>
              <w:pStyle w:val="TableParagraph"/>
              <w:spacing w:line="199" w:lineRule="exact" w:before="6"/>
              <w:ind w:left="240"/>
              <w:jc w:val="center"/>
              <w:rPr>
                <w:sz w:val="18"/>
              </w:rPr>
            </w:pPr>
            <w:r>
              <w:rPr>
                <w:spacing w:val="-2"/>
                <w:sz w:val="18"/>
              </w:rPr>
              <w:t>0.490184</w:t>
            </w:r>
          </w:p>
        </w:tc>
        <w:tc>
          <w:tcPr>
            <w:tcW w:w="2431" w:type="dxa"/>
            <w:gridSpan w:val="2"/>
          </w:tcPr>
          <w:p>
            <w:pPr>
              <w:pStyle w:val="TableParagraph"/>
              <w:spacing w:line="199" w:lineRule="exact" w:before="6"/>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6"/>
              <w:ind w:right="6"/>
              <w:jc w:val="right"/>
              <w:rPr>
                <w:sz w:val="18"/>
              </w:rPr>
            </w:pPr>
            <w:r>
              <w:rPr>
                <w:spacing w:val="-2"/>
                <w:sz w:val="18"/>
              </w:rPr>
              <w:t>0.063317</w:t>
            </w:r>
          </w:p>
        </w:tc>
      </w:tr>
      <w:tr>
        <w:trPr>
          <w:trHeight w:val="224" w:hRule="atLeast"/>
        </w:trPr>
        <w:tc>
          <w:tcPr>
            <w:tcW w:w="2010"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06" w:type="dxa"/>
          </w:tcPr>
          <w:p>
            <w:pPr>
              <w:pStyle w:val="TableParagraph"/>
              <w:spacing w:line="198" w:lineRule="exact" w:before="6"/>
              <w:ind w:left="240"/>
              <w:jc w:val="center"/>
              <w:rPr>
                <w:sz w:val="18"/>
              </w:rPr>
            </w:pPr>
            <w:r>
              <w:rPr>
                <w:spacing w:val="-2"/>
                <w:sz w:val="18"/>
              </w:rPr>
              <w:t>0.045209</w:t>
            </w:r>
          </w:p>
        </w:tc>
        <w:tc>
          <w:tcPr>
            <w:tcW w:w="2431" w:type="dxa"/>
            <w:gridSpan w:val="2"/>
          </w:tcPr>
          <w:p>
            <w:pPr>
              <w:pStyle w:val="TableParagraph"/>
              <w:spacing w:line="198" w:lineRule="exact" w:before="6"/>
              <w:ind w:left="106"/>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8" w:lineRule="exact" w:before="6"/>
              <w:ind w:right="6"/>
              <w:jc w:val="right"/>
              <w:rPr>
                <w:sz w:val="18"/>
              </w:rPr>
            </w:pPr>
            <w:r>
              <w:rPr>
                <w:spacing w:val="-2"/>
                <w:sz w:val="18"/>
              </w:rPr>
              <w:t>0.371985</w:t>
            </w:r>
          </w:p>
        </w:tc>
      </w:tr>
      <w:tr>
        <w:trPr>
          <w:trHeight w:val="224" w:hRule="atLeast"/>
        </w:trPr>
        <w:tc>
          <w:tcPr>
            <w:tcW w:w="2010" w:type="dxa"/>
          </w:tcPr>
          <w:p>
            <w:pPr>
              <w:pStyle w:val="TableParagraph"/>
              <w:spacing w:line="199" w:lineRule="exact" w:before="5"/>
              <w:rPr>
                <w:sz w:val="18"/>
              </w:rPr>
            </w:pPr>
            <w:r>
              <w:rPr>
                <w:spacing w:val="-2"/>
                <w:sz w:val="18"/>
              </w:rPr>
              <w:t>F-statistic</w:t>
            </w:r>
          </w:p>
        </w:tc>
        <w:tc>
          <w:tcPr>
            <w:tcW w:w="1206" w:type="dxa"/>
          </w:tcPr>
          <w:p>
            <w:pPr>
              <w:pStyle w:val="TableParagraph"/>
              <w:spacing w:line="199" w:lineRule="exact" w:before="5"/>
              <w:ind w:left="240"/>
              <w:jc w:val="center"/>
              <w:rPr>
                <w:sz w:val="18"/>
              </w:rPr>
            </w:pPr>
            <w:r>
              <w:rPr>
                <w:spacing w:val="-2"/>
                <w:sz w:val="18"/>
              </w:rPr>
              <w:t>16.54410</w:t>
            </w:r>
          </w:p>
        </w:tc>
        <w:tc>
          <w:tcPr>
            <w:tcW w:w="2431" w:type="dxa"/>
            <w:gridSpan w:val="2"/>
          </w:tcPr>
          <w:p>
            <w:pPr>
              <w:pStyle w:val="TableParagraph"/>
              <w:spacing w:line="199" w:lineRule="exact"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5"/>
              <w:ind w:right="6"/>
              <w:jc w:val="right"/>
              <w:rPr>
                <w:sz w:val="18"/>
              </w:rPr>
            </w:pPr>
            <w:r>
              <w:rPr>
                <w:spacing w:val="-2"/>
                <w:sz w:val="18"/>
              </w:rPr>
              <w:t>0.689749</w:t>
            </w:r>
          </w:p>
        </w:tc>
      </w:tr>
      <w:tr>
        <w:trPr>
          <w:trHeight w:val="303" w:hRule="atLeast"/>
        </w:trPr>
        <w:tc>
          <w:tcPr>
            <w:tcW w:w="2010" w:type="dxa"/>
            <w:tcBorders>
              <w:bottom w:val="double" w:sz="6" w:space="0" w:color="000000"/>
            </w:tcBorders>
          </w:tcPr>
          <w:p>
            <w:pPr>
              <w:pStyle w:val="TableParagraph"/>
              <w:spacing w:before="6"/>
              <w:rPr>
                <w:sz w:val="18"/>
              </w:rPr>
            </w:pPr>
            <w:r>
              <w:rPr>
                <w:spacing w:val="-2"/>
                <w:sz w:val="18"/>
              </w:rPr>
              <w:t>Prob(F-statistic)</w:t>
            </w:r>
          </w:p>
        </w:tc>
        <w:tc>
          <w:tcPr>
            <w:tcW w:w="1206" w:type="dxa"/>
            <w:tcBorders>
              <w:bottom w:val="double" w:sz="6" w:space="0" w:color="000000"/>
            </w:tcBorders>
          </w:tcPr>
          <w:p>
            <w:pPr>
              <w:pStyle w:val="TableParagraph"/>
              <w:spacing w:before="6"/>
              <w:ind w:left="240"/>
              <w:jc w:val="center"/>
              <w:rPr>
                <w:sz w:val="18"/>
              </w:rPr>
            </w:pPr>
            <w:r>
              <w:rPr>
                <w:spacing w:val="-2"/>
                <w:sz w:val="18"/>
              </w:rPr>
              <w:t>0.000000</w:t>
            </w: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4"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8" w:hRule="atLeast"/>
        </w:trPr>
        <w:tc>
          <w:tcPr>
            <w:tcW w:w="2010" w:type="dxa"/>
            <w:tcBorders>
              <w:top w:val="double" w:sz="6" w:space="0" w:color="000000"/>
            </w:tcBorders>
          </w:tcPr>
          <w:p>
            <w:pPr>
              <w:pStyle w:val="TableParagraph"/>
              <w:spacing w:line="199" w:lineRule="exact" w:before="109"/>
              <w:rPr>
                <w:sz w:val="18"/>
              </w:rPr>
            </w:pPr>
            <w:r>
              <w:rPr>
                <w:spacing w:val="-2"/>
                <w:sz w:val="18"/>
              </w:rPr>
              <w:t>R-squared</w:t>
            </w:r>
          </w:p>
        </w:tc>
        <w:tc>
          <w:tcPr>
            <w:tcW w:w="1206" w:type="dxa"/>
            <w:tcBorders>
              <w:top w:val="double" w:sz="6" w:space="0" w:color="000000"/>
            </w:tcBorders>
          </w:tcPr>
          <w:p>
            <w:pPr>
              <w:pStyle w:val="TableParagraph"/>
              <w:spacing w:line="199" w:lineRule="exact" w:before="109"/>
              <w:ind w:left="240"/>
              <w:jc w:val="center"/>
              <w:rPr>
                <w:sz w:val="18"/>
              </w:rPr>
            </w:pPr>
            <w:r>
              <w:rPr>
                <w:spacing w:val="-2"/>
                <w:sz w:val="18"/>
              </w:rPr>
              <w:t>0.521719</w:t>
            </w:r>
          </w:p>
        </w:tc>
        <w:tc>
          <w:tcPr>
            <w:tcW w:w="2431" w:type="dxa"/>
            <w:gridSpan w:val="2"/>
            <w:tcBorders>
              <w:top w:val="double" w:sz="6" w:space="0" w:color="000000"/>
            </w:tcBorders>
          </w:tcPr>
          <w:p>
            <w:pPr>
              <w:pStyle w:val="TableParagraph"/>
              <w:spacing w:line="199" w:lineRule="exact" w:before="109"/>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9"/>
              <w:ind w:right="6"/>
              <w:jc w:val="right"/>
              <w:rPr>
                <w:sz w:val="18"/>
              </w:rPr>
            </w:pPr>
            <w:r>
              <w:rPr>
                <w:spacing w:val="-2"/>
                <w:sz w:val="18"/>
              </w:rPr>
              <w:t>0.589946</w:t>
            </w:r>
          </w:p>
        </w:tc>
      </w:tr>
      <w:tr>
        <w:trPr>
          <w:trHeight w:val="303" w:hRule="atLeast"/>
        </w:trPr>
        <w:tc>
          <w:tcPr>
            <w:tcW w:w="2010"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06" w:type="dxa"/>
            <w:tcBorders>
              <w:bottom w:val="double" w:sz="6" w:space="0" w:color="000000"/>
            </w:tcBorders>
          </w:tcPr>
          <w:p>
            <w:pPr>
              <w:pStyle w:val="TableParagraph"/>
              <w:spacing w:before="6"/>
              <w:ind w:left="240"/>
              <w:jc w:val="center"/>
              <w:rPr>
                <w:sz w:val="18"/>
              </w:rPr>
            </w:pPr>
            <w:r>
              <w:rPr>
                <w:spacing w:val="-2"/>
                <w:sz w:val="18"/>
              </w:rPr>
              <w:t>0.371985</w:t>
            </w:r>
          </w:p>
        </w:tc>
        <w:tc>
          <w:tcPr>
            <w:tcW w:w="2431" w:type="dxa"/>
            <w:gridSpan w:val="2"/>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6"/>
              <w:ind w:right="6"/>
              <w:jc w:val="right"/>
              <w:rPr>
                <w:sz w:val="18"/>
              </w:rPr>
            </w:pPr>
            <w:r>
              <w:rPr>
                <w:spacing w:val="-2"/>
                <w:sz w:val="18"/>
              </w:rPr>
              <w:t>0.689749</w:t>
            </w:r>
          </w:p>
        </w:tc>
      </w:tr>
    </w:tbl>
    <w:p>
      <w:pPr>
        <w:spacing w:after="0"/>
        <w:jc w:val="right"/>
        <w:rPr>
          <w:sz w:val="18"/>
        </w:rPr>
        <w:sectPr>
          <w:pgSz w:w="11910" w:h="16840"/>
          <w:pgMar w:header="0" w:footer="971" w:top="1360" w:bottom="1160" w:left="500" w:right="0"/>
        </w:sectPr>
      </w:pPr>
    </w:p>
    <w:p>
      <w:pPr>
        <w:spacing w:before="61"/>
        <w:ind w:left="940" w:right="0" w:firstLine="0"/>
        <w:jc w:val="left"/>
        <w:rPr>
          <w:b/>
          <w:i/>
          <w:sz w:val="24"/>
        </w:rPr>
      </w:pPr>
      <w:r>
        <w:rPr/>
        <mc:AlternateContent>
          <mc:Choice Requires="wps">
            <w:drawing>
              <wp:anchor distT="0" distB="0" distL="0" distR="0" allowOverlap="1" layoutInCell="1" locked="0" behindDoc="1" simplePos="0" relativeHeight="477786624">
                <wp:simplePos x="0" y="0"/>
                <wp:positionH relativeFrom="page">
                  <wp:posOffset>1095451</wp:posOffset>
                </wp:positionH>
                <wp:positionV relativeFrom="page">
                  <wp:posOffset>7242047</wp:posOffset>
                </wp:positionV>
                <wp:extent cx="721995" cy="72263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9856" id="docshape119"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87136">
                <wp:simplePos x="0" y="0"/>
                <wp:positionH relativeFrom="page">
                  <wp:posOffset>1269060</wp:posOffset>
                </wp:positionH>
                <wp:positionV relativeFrom="page">
                  <wp:posOffset>4865369</wp:posOffset>
                </wp:positionV>
                <wp:extent cx="2792730" cy="283718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2792730" cy="2837180"/>
                          <a:chExt cx="2792730" cy="2837180"/>
                        </a:xfrm>
                      </wpg:grpSpPr>
                      <wps:wsp>
                        <wps:cNvPr id="314" name="Graphic 314"/>
                        <wps:cNvSpPr/>
                        <wps:spPr>
                          <a:xfrm>
                            <a:off x="0" y="1555813"/>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15" name="Image 315"/>
                          <pic:cNvPicPr/>
                        </pic:nvPicPr>
                        <pic:blipFill>
                          <a:blip r:embed="rId9" cstate="print"/>
                          <a:stretch>
                            <a:fillRect/>
                          </a:stretch>
                        </pic:blipFill>
                        <pic:spPr>
                          <a:xfrm>
                            <a:off x="1248333" y="1603883"/>
                            <a:ext cx="221995" cy="221614"/>
                          </a:xfrm>
                          <a:prstGeom prst="rect">
                            <a:avLst/>
                          </a:prstGeom>
                        </pic:spPr>
                      </pic:pic>
                      <wps:wsp>
                        <wps:cNvPr id="316" name="Graphic 316"/>
                        <wps:cNvSpPr/>
                        <wps:spPr>
                          <a:xfrm>
                            <a:off x="1117777" y="0"/>
                            <a:ext cx="1674495" cy="1807845"/>
                          </a:xfrm>
                          <a:custGeom>
                            <a:avLst/>
                            <a:gdLst/>
                            <a:ahLst/>
                            <a:cxnLst/>
                            <a:rect l="l" t="t" r="r" b="b"/>
                            <a:pathLst>
                              <a:path w="1674495" h="1807845">
                                <a:moveTo>
                                  <a:pt x="721741" y="1756664"/>
                                </a:moveTo>
                                <a:lnTo>
                                  <a:pt x="721487" y="1753743"/>
                                </a:lnTo>
                                <a:lnTo>
                                  <a:pt x="719328" y="1747647"/>
                                </a:lnTo>
                                <a:lnTo>
                                  <a:pt x="717042" y="1744599"/>
                                </a:lnTo>
                                <a:lnTo>
                                  <a:pt x="714375" y="1742059"/>
                                </a:lnTo>
                                <a:lnTo>
                                  <a:pt x="62357" y="1090041"/>
                                </a:lnTo>
                                <a:lnTo>
                                  <a:pt x="59436" y="1087755"/>
                                </a:lnTo>
                                <a:lnTo>
                                  <a:pt x="53213" y="1085469"/>
                                </a:lnTo>
                                <a:lnTo>
                                  <a:pt x="50292" y="1085342"/>
                                </a:lnTo>
                                <a:lnTo>
                                  <a:pt x="46355" y="1086104"/>
                                </a:lnTo>
                                <a:lnTo>
                                  <a:pt x="13970" y="1110107"/>
                                </a:lnTo>
                                <a:lnTo>
                                  <a:pt x="0" y="1138682"/>
                                </a:lnTo>
                                <a:lnTo>
                                  <a:pt x="2286" y="1144905"/>
                                </a:lnTo>
                                <a:lnTo>
                                  <a:pt x="658749" y="1802892"/>
                                </a:lnTo>
                                <a:lnTo>
                                  <a:pt x="670941" y="1807464"/>
                                </a:lnTo>
                                <a:lnTo>
                                  <a:pt x="674243" y="1806194"/>
                                </a:lnTo>
                                <a:lnTo>
                                  <a:pt x="678307" y="1805432"/>
                                </a:lnTo>
                                <a:lnTo>
                                  <a:pt x="712089" y="1776984"/>
                                </a:lnTo>
                                <a:lnTo>
                                  <a:pt x="720344" y="1760093"/>
                                </a:lnTo>
                                <a:lnTo>
                                  <a:pt x="721741" y="1756664"/>
                                </a:lnTo>
                                <a:close/>
                              </a:path>
                              <a:path w="1674495" h="1807845">
                                <a:moveTo>
                                  <a:pt x="896239" y="1578991"/>
                                </a:moveTo>
                                <a:lnTo>
                                  <a:pt x="645541" y="1323594"/>
                                </a:lnTo>
                                <a:lnTo>
                                  <a:pt x="695325" y="1273810"/>
                                </a:lnTo>
                                <a:lnTo>
                                  <a:pt x="729310" y="1232090"/>
                                </a:lnTo>
                                <a:lnTo>
                                  <a:pt x="749681" y="1188085"/>
                                </a:lnTo>
                                <a:lnTo>
                                  <a:pt x="757631" y="1142873"/>
                                </a:lnTo>
                                <a:lnTo>
                                  <a:pt x="757694" y="1118400"/>
                                </a:lnTo>
                                <a:lnTo>
                                  <a:pt x="754634" y="1094105"/>
                                </a:lnTo>
                                <a:lnTo>
                                  <a:pt x="740511" y="1044549"/>
                                </a:lnTo>
                                <a:lnTo>
                                  <a:pt x="716026" y="993648"/>
                                </a:lnTo>
                                <a:lnTo>
                                  <a:pt x="680796" y="942467"/>
                                </a:lnTo>
                                <a:lnTo>
                                  <a:pt x="661314" y="919137"/>
                                </a:lnTo>
                                <a:lnTo>
                                  <a:pt x="661314" y="1114386"/>
                                </a:lnTo>
                                <a:lnTo>
                                  <a:pt x="660438" y="1128839"/>
                                </a:lnTo>
                                <a:lnTo>
                                  <a:pt x="645807" y="1170495"/>
                                </a:lnTo>
                                <a:lnTo>
                                  <a:pt x="571754" y="1249807"/>
                                </a:lnTo>
                                <a:lnTo>
                                  <a:pt x="300482" y="978408"/>
                                </a:lnTo>
                                <a:lnTo>
                                  <a:pt x="354330" y="924687"/>
                                </a:lnTo>
                                <a:lnTo>
                                  <a:pt x="388747" y="897509"/>
                                </a:lnTo>
                                <a:lnTo>
                                  <a:pt x="436499" y="884301"/>
                                </a:lnTo>
                                <a:lnTo>
                                  <a:pt x="451167" y="884923"/>
                                </a:lnTo>
                                <a:lnTo>
                                  <a:pt x="502412" y="900811"/>
                                </a:lnTo>
                                <a:lnTo>
                                  <a:pt x="540804" y="924496"/>
                                </a:lnTo>
                                <a:lnTo>
                                  <a:pt x="581406" y="959993"/>
                                </a:lnTo>
                                <a:lnTo>
                                  <a:pt x="609015" y="990904"/>
                                </a:lnTo>
                                <a:lnTo>
                                  <a:pt x="631190" y="1022096"/>
                                </a:lnTo>
                                <a:lnTo>
                                  <a:pt x="653580" y="1069340"/>
                                </a:lnTo>
                                <a:lnTo>
                                  <a:pt x="661314" y="1114386"/>
                                </a:lnTo>
                                <a:lnTo>
                                  <a:pt x="661314" y="919137"/>
                                </a:lnTo>
                                <a:lnTo>
                                  <a:pt x="659422" y="916863"/>
                                </a:lnTo>
                                <a:lnTo>
                                  <a:pt x="635381" y="891286"/>
                                </a:lnTo>
                                <a:lnTo>
                                  <a:pt x="628015" y="884301"/>
                                </a:lnTo>
                                <a:lnTo>
                                  <a:pt x="616153" y="873048"/>
                                </a:lnTo>
                                <a:lnTo>
                                  <a:pt x="577710" y="841565"/>
                                </a:lnTo>
                                <a:lnTo>
                                  <a:pt x="539343" y="816838"/>
                                </a:lnTo>
                                <a:lnTo>
                                  <a:pt x="501675" y="799312"/>
                                </a:lnTo>
                                <a:lnTo>
                                  <a:pt x="464718" y="787717"/>
                                </a:lnTo>
                                <a:lnTo>
                                  <a:pt x="428688" y="783043"/>
                                </a:lnTo>
                                <a:lnTo>
                                  <a:pt x="411099" y="783082"/>
                                </a:lnTo>
                                <a:lnTo>
                                  <a:pt x="365036" y="791679"/>
                                </a:lnTo>
                                <a:lnTo>
                                  <a:pt x="321881" y="814400"/>
                                </a:lnTo>
                                <a:lnTo>
                                  <a:pt x="291896" y="838720"/>
                                </a:lnTo>
                                <a:lnTo>
                                  <a:pt x="190881" y="939546"/>
                                </a:lnTo>
                                <a:lnTo>
                                  <a:pt x="183692" y="956754"/>
                                </a:lnTo>
                                <a:lnTo>
                                  <a:pt x="183896" y="964184"/>
                                </a:lnTo>
                                <a:lnTo>
                                  <a:pt x="206629" y="1001141"/>
                                </a:lnTo>
                                <a:lnTo>
                                  <a:pt x="830961" y="1625473"/>
                                </a:lnTo>
                                <a:lnTo>
                                  <a:pt x="833501" y="1628140"/>
                                </a:lnTo>
                                <a:lnTo>
                                  <a:pt x="836549" y="1630426"/>
                                </a:lnTo>
                                <a:lnTo>
                                  <a:pt x="839597" y="1631569"/>
                                </a:lnTo>
                                <a:lnTo>
                                  <a:pt x="842772" y="1632458"/>
                                </a:lnTo>
                                <a:lnTo>
                                  <a:pt x="845693" y="1632712"/>
                                </a:lnTo>
                                <a:lnTo>
                                  <a:pt x="848995" y="1631442"/>
                                </a:lnTo>
                                <a:lnTo>
                                  <a:pt x="853059" y="1630680"/>
                                </a:lnTo>
                                <a:lnTo>
                                  <a:pt x="886828" y="1602105"/>
                                </a:lnTo>
                                <a:lnTo>
                                  <a:pt x="895096" y="1585341"/>
                                </a:lnTo>
                                <a:lnTo>
                                  <a:pt x="896112" y="1582293"/>
                                </a:lnTo>
                                <a:lnTo>
                                  <a:pt x="896239" y="1578991"/>
                                </a:lnTo>
                                <a:close/>
                              </a:path>
                              <a:path w="1674495" h="1807845">
                                <a:moveTo>
                                  <a:pt x="1336294" y="1141984"/>
                                </a:moveTo>
                                <a:lnTo>
                                  <a:pt x="1336167" y="1139063"/>
                                </a:lnTo>
                                <a:lnTo>
                                  <a:pt x="1334008" y="1132840"/>
                                </a:lnTo>
                                <a:lnTo>
                                  <a:pt x="1331722" y="1129919"/>
                                </a:lnTo>
                                <a:lnTo>
                                  <a:pt x="742442" y="540639"/>
                                </a:lnTo>
                                <a:lnTo>
                                  <a:pt x="867410" y="415671"/>
                                </a:lnTo>
                                <a:lnTo>
                                  <a:pt x="868540" y="413512"/>
                                </a:lnTo>
                                <a:lnTo>
                                  <a:pt x="868667" y="410210"/>
                                </a:lnTo>
                                <a:lnTo>
                                  <a:pt x="868426" y="407162"/>
                                </a:lnTo>
                                <a:lnTo>
                                  <a:pt x="867778" y="403733"/>
                                </a:lnTo>
                                <a:lnTo>
                                  <a:pt x="865632" y="399669"/>
                                </a:lnTo>
                                <a:lnTo>
                                  <a:pt x="863981" y="395986"/>
                                </a:lnTo>
                                <a:lnTo>
                                  <a:pt x="832739" y="361442"/>
                                </a:lnTo>
                                <a:lnTo>
                                  <a:pt x="799465" y="338201"/>
                                </a:lnTo>
                                <a:lnTo>
                                  <a:pt x="793242" y="338201"/>
                                </a:lnTo>
                                <a:lnTo>
                                  <a:pt x="791083" y="339344"/>
                                </a:lnTo>
                                <a:lnTo>
                                  <a:pt x="482854" y="647573"/>
                                </a:lnTo>
                                <a:lnTo>
                                  <a:pt x="481711" y="649732"/>
                                </a:lnTo>
                                <a:lnTo>
                                  <a:pt x="481965" y="652653"/>
                                </a:lnTo>
                                <a:lnTo>
                                  <a:pt x="481711" y="655955"/>
                                </a:lnTo>
                                <a:lnTo>
                                  <a:pt x="482854" y="659003"/>
                                </a:lnTo>
                                <a:lnTo>
                                  <a:pt x="487045" y="667258"/>
                                </a:lnTo>
                                <a:lnTo>
                                  <a:pt x="490601" y="672211"/>
                                </a:lnTo>
                                <a:lnTo>
                                  <a:pt x="495046" y="677164"/>
                                </a:lnTo>
                                <a:lnTo>
                                  <a:pt x="499491" y="683133"/>
                                </a:lnTo>
                                <a:lnTo>
                                  <a:pt x="504952" y="689229"/>
                                </a:lnTo>
                                <a:lnTo>
                                  <a:pt x="518541" y="702818"/>
                                </a:lnTo>
                                <a:lnTo>
                                  <a:pt x="524637" y="708279"/>
                                </a:lnTo>
                                <a:lnTo>
                                  <a:pt x="529971" y="712216"/>
                                </a:lnTo>
                                <a:lnTo>
                                  <a:pt x="535051" y="716661"/>
                                </a:lnTo>
                                <a:lnTo>
                                  <a:pt x="539877" y="720090"/>
                                </a:lnTo>
                                <a:lnTo>
                                  <a:pt x="547751" y="723773"/>
                                </a:lnTo>
                                <a:lnTo>
                                  <a:pt x="550799" y="724916"/>
                                </a:lnTo>
                                <a:lnTo>
                                  <a:pt x="554101" y="724789"/>
                                </a:lnTo>
                                <a:lnTo>
                                  <a:pt x="557022" y="725043"/>
                                </a:lnTo>
                                <a:lnTo>
                                  <a:pt x="559181" y="723773"/>
                                </a:lnTo>
                                <a:lnTo>
                                  <a:pt x="684149" y="598805"/>
                                </a:lnTo>
                                <a:lnTo>
                                  <a:pt x="1273556" y="1188085"/>
                                </a:lnTo>
                                <a:lnTo>
                                  <a:pt x="1276477" y="1190371"/>
                                </a:lnTo>
                                <a:lnTo>
                                  <a:pt x="1282700" y="1192530"/>
                                </a:lnTo>
                                <a:lnTo>
                                  <a:pt x="1285494" y="1192784"/>
                                </a:lnTo>
                                <a:lnTo>
                                  <a:pt x="1289050" y="1191514"/>
                                </a:lnTo>
                                <a:lnTo>
                                  <a:pt x="1292987" y="1190752"/>
                                </a:lnTo>
                                <a:lnTo>
                                  <a:pt x="1326769" y="1162177"/>
                                </a:lnTo>
                                <a:lnTo>
                                  <a:pt x="1335024" y="1145413"/>
                                </a:lnTo>
                                <a:lnTo>
                                  <a:pt x="1336294" y="1141984"/>
                                </a:lnTo>
                                <a:close/>
                              </a:path>
                              <a:path w="1674495" h="1807845">
                                <a:moveTo>
                                  <a:pt x="1674368" y="804037"/>
                                </a:moveTo>
                                <a:lnTo>
                                  <a:pt x="1674241" y="800989"/>
                                </a:lnTo>
                                <a:lnTo>
                                  <a:pt x="1671955" y="794893"/>
                                </a:lnTo>
                                <a:lnTo>
                                  <a:pt x="1669796" y="791845"/>
                                </a:lnTo>
                                <a:lnTo>
                                  <a:pt x="1080389" y="202565"/>
                                </a:lnTo>
                                <a:lnTo>
                                  <a:pt x="1205357" y="77597"/>
                                </a:lnTo>
                                <a:lnTo>
                                  <a:pt x="1206627" y="75438"/>
                                </a:lnTo>
                                <a:lnTo>
                                  <a:pt x="1206754" y="72136"/>
                                </a:lnTo>
                                <a:lnTo>
                                  <a:pt x="1205738" y="65786"/>
                                </a:lnTo>
                                <a:lnTo>
                                  <a:pt x="1202055" y="58039"/>
                                </a:lnTo>
                                <a:lnTo>
                                  <a:pt x="1198626" y="53086"/>
                                </a:lnTo>
                                <a:lnTo>
                                  <a:pt x="1194054" y="48133"/>
                                </a:lnTo>
                                <a:lnTo>
                                  <a:pt x="1184402" y="36957"/>
                                </a:lnTo>
                                <a:lnTo>
                                  <a:pt x="1177544" y="30226"/>
                                </a:lnTo>
                                <a:lnTo>
                                  <a:pt x="1170813" y="23368"/>
                                </a:lnTo>
                                <a:lnTo>
                                  <a:pt x="1154049" y="8636"/>
                                </a:lnTo>
                                <a:lnTo>
                                  <a:pt x="1149223" y="5207"/>
                                </a:lnTo>
                                <a:lnTo>
                                  <a:pt x="1140968" y="889"/>
                                </a:lnTo>
                                <a:lnTo>
                                  <a:pt x="1137412" y="254"/>
                                </a:lnTo>
                                <a:lnTo>
                                  <a:pt x="1134491" y="0"/>
                                </a:lnTo>
                                <a:lnTo>
                                  <a:pt x="1131316" y="127"/>
                                </a:lnTo>
                                <a:lnTo>
                                  <a:pt x="1129030" y="1397"/>
                                </a:lnTo>
                                <a:lnTo>
                                  <a:pt x="820928" y="309499"/>
                                </a:lnTo>
                                <a:lnTo>
                                  <a:pt x="819658" y="311785"/>
                                </a:lnTo>
                                <a:lnTo>
                                  <a:pt x="819912" y="314706"/>
                                </a:lnTo>
                                <a:lnTo>
                                  <a:pt x="819785" y="317881"/>
                                </a:lnTo>
                                <a:lnTo>
                                  <a:pt x="820928" y="321056"/>
                                </a:lnTo>
                                <a:lnTo>
                                  <a:pt x="825119" y="329311"/>
                                </a:lnTo>
                                <a:lnTo>
                                  <a:pt x="828548" y="334137"/>
                                </a:lnTo>
                                <a:lnTo>
                                  <a:pt x="832993" y="339217"/>
                                </a:lnTo>
                                <a:lnTo>
                                  <a:pt x="837565" y="345186"/>
                                </a:lnTo>
                                <a:lnTo>
                                  <a:pt x="842899" y="351282"/>
                                </a:lnTo>
                                <a:lnTo>
                                  <a:pt x="856488" y="364871"/>
                                </a:lnTo>
                                <a:lnTo>
                                  <a:pt x="862584" y="370205"/>
                                </a:lnTo>
                                <a:lnTo>
                                  <a:pt x="868045" y="374269"/>
                                </a:lnTo>
                                <a:lnTo>
                                  <a:pt x="872998" y="378714"/>
                                </a:lnTo>
                                <a:lnTo>
                                  <a:pt x="877951" y="382143"/>
                                </a:lnTo>
                                <a:lnTo>
                                  <a:pt x="885698" y="385826"/>
                                </a:lnTo>
                                <a:lnTo>
                                  <a:pt x="888746" y="386842"/>
                                </a:lnTo>
                                <a:lnTo>
                                  <a:pt x="892048" y="386842"/>
                                </a:lnTo>
                                <a:lnTo>
                                  <a:pt x="894969" y="387096"/>
                                </a:lnTo>
                                <a:lnTo>
                                  <a:pt x="897115" y="385826"/>
                                </a:lnTo>
                                <a:lnTo>
                                  <a:pt x="1022223" y="260858"/>
                                </a:lnTo>
                                <a:lnTo>
                                  <a:pt x="1611503" y="850138"/>
                                </a:lnTo>
                                <a:lnTo>
                                  <a:pt x="1614551" y="852424"/>
                                </a:lnTo>
                                <a:lnTo>
                                  <a:pt x="1620647" y="854583"/>
                                </a:lnTo>
                                <a:lnTo>
                                  <a:pt x="1623568" y="854837"/>
                                </a:lnTo>
                                <a:lnTo>
                                  <a:pt x="1626997" y="853440"/>
                                </a:lnTo>
                                <a:lnTo>
                                  <a:pt x="1630934" y="852805"/>
                                </a:lnTo>
                                <a:lnTo>
                                  <a:pt x="1668018" y="819912"/>
                                </a:lnTo>
                                <a:lnTo>
                                  <a:pt x="1673098" y="807466"/>
                                </a:lnTo>
                                <a:lnTo>
                                  <a:pt x="1674368" y="80403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383.099976pt;width:219.9pt;height:223.4pt;mso-position-horizontal-relative:page;mso-position-vertical-relative:page;z-index:-25529344" id="docshapegroup120" coordorigin="1999,7662" coordsize="4398,4468">
                <v:shape style="position:absolute;left:1998;top:10112;width:2142;height:2018" id="docshape121"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22" stroked="false">
                  <v:imagedata r:id="rId9" o:title=""/>
                </v:shape>
                <v:shape style="position:absolute;left:3758;top:7662;width:2637;height:2847" id="docshape123" coordorigin="3759,7662" coordsize="2637,2847"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e" filled="true" fillcolor="#c0c0c0" stroked="false">
                  <v:path arrowok="t"/>
                  <v:fill opacity="32896f" type="solid"/>
                </v:shape>
                <w10:wrap type="none"/>
              </v:group>
            </w:pict>
          </mc:Fallback>
        </mc:AlternateContent>
      </w:r>
      <w:r>
        <w:rPr/>
        <mc:AlternateContent>
          <mc:Choice Requires="wps">
            <w:drawing>
              <wp:anchor distT="0" distB="0" distL="0" distR="0" allowOverlap="1" layoutInCell="1" locked="0" behindDoc="1" simplePos="0" relativeHeight="477787648">
                <wp:simplePos x="0" y="0"/>
                <wp:positionH relativeFrom="page">
                  <wp:posOffset>3687470</wp:posOffset>
                </wp:positionH>
                <wp:positionV relativeFrom="page">
                  <wp:posOffset>2726054</wp:posOffset>
                </wp:positionV>
                <wp:extent cx="2515235" cy="2654935"/>
                <wp:effectExtent l="0" t="0" r="0" b="0"/>
                <wp:wrapNone/>
                <wp:docPr id="317" name="Graphic 317"/>
                <wp:cNvGraphicFramePr>
                  <a:graphicFrameLocks/>
                </wp:cNvGraphicFramePr>
                <a:graphic>
                  <a:graphicData uri="http://schemas.microsoft.com/office/word/2010/wordprocessingShape">
                    <wps:wsp>
                      <wps:cNvPr id="317" name="Graphic 317"/>
                      <wps:cNvSpPr/>
                      <wps:spPr>
                        <a:xfrm>
                          <a:off x="0" y="0"/>
                          <a:ext cx="2515235" cy="2654935"/>
                        </a:xfrm>
                        <a:custGeom>
                          <a:avLst/>
                          <a:gdLst/>
                          <a:ahLst/>
                          <a:cxnLst/>
                          <a:rect l="l" t="t" r="r" b="b"/>
                          <a:pathLst>
                            <a:path w="2515235" h="2654935">
                              <a:moveTo>
                                <a:pt x="822185" y="2409596"/>
                              </a:moveTo>
                              <a:lnTo>
                                <a:pt x="809218" y="2340483"/>
                              </a:lnTo>
                              <a:lnTo>
                                <a:pt x="779780" y="2267801"/>
                              </a:lnTo>
                              <a:lnTo>
                                <a:pt x="759206" y="2230069"/>
                              </a:lnTo>
                              <a:lnTo>
                                <a:pt x="734542" y="2191385"/>
                              </a:lnTo>
                              <a:lnTo>
                                <a:pt x="722642" y="2174900"/>
                              </a:lnTo>
                              <a:lnTo>
                                <a:pt x="722642" y="2395855"/>
                              </a:lnTo>
                              <a:lnTo>
                                <a:pt x="722350" y="2420239"/>
                              </a:lnTo>
                              <a:lnTo>
                                <a:pt x="709752" y="2465794"/>
                              </a:lnTo>
                              <a:lnTo>
                                <a:pt x="679932" y="2506472"/>
                              </a:lnTo>
                              <a:lnTo>
                                <a:pt x="639521" y="2536787"/>
                              </a:lnTo>
                              <a:lnTo>
                                <a:pt x="595604" y="2550033"/>
                              </a:lnTo>
                              <a:lnTo>
                                <a:pt x="572350" y="2551353"/>
                              </a:lnTo>
                              <a:lnTo>
                                <a:pt x="548360" y="2549296"/>
                              </a:lnTo>
                              <a:lnTo>
                                <a:pt x="498068" y="2534539"/>
                              </a:lnTo>
                              <a:lnTo>
                                <a:pt x="445452" y="2507856"/>
                              </a:lnTo>
                              <a:lnTo>
                                <a:pt x="390372" y="2469642"/>
                              </a:lnTo>
                              <a:lnTo>
                                <a:pt x="333032" y="2421953"/>
                              </a:lnTo>
                              <a:lnTo>
                                <a:pt x="303784" y="2395105"/>
                              </a:lnTo>
                              <a:lnTo>
                                <a:pt x="274167" y="2366264"/>
                              </a:lnTo>
                              <a:lnTo>
                                <a:pt x="223278" y="2311831"/>
                              </a:lnTo>
                              <a:lnTo>
                                <a:pt x="178028" y="2256536"/>
                              </a:lnTo>
                              <a:lnTo>
                                <a:pt x="141554" y="2201799"/>
                              </a:lnTo>
                              <a:lnTo>
                                <a:pt x="115671" y="2148205"/>
                              </a:lnTo>
                              <a:lnTo>
                                <a:pt x="101041" y="2096960"/>
                              </a:lnTo>
                              <a:lnTo>
                                <a:pt x="98501" y="2072233"/>
                              </a:lnTo>
                              <a:lnTo>
                                <a:pt x="98907" y="2048002"/>
                              </a:lnTo>
                              <a:lnTo>
                                <a:pt x="111061" y="2002663"/>
                              </a:lnTo>
                              <a:lnTo>
                                <a:pt x="140563" y="1962277"/>
                              </a:lnTo>
                              <a:lnTo>
                                <a:pt x="180543" y="1932406"/>
                              </a:lnTo>
                              <a:lnTo>
                                <a:pt x="224637" y="1919097"/>
                              </a:lnTo>
                              <a:lnTo>
                                <a:pt x="248094" y="1918068"/>
                              </a:lnTo>
                              <a:lnTo>
                                <a:pt x="272199" y="1920201"/>
                              </a:lnTo>
                              <a:lnTo>
                                <a:pt x="322427" y="1934337"/>
                              </a:lnTo>
                              <a:lnTo>
                                <a:pt x="375323" y="1960918"/>
                              </a:lnTo>
                              <a:lnTo>
                                <a:pt x="430123" y="1997964"/>
                              </a:lnTo>
                              <a:lnTo>
                                <a:pt x="486664" y="2044814"/>
                              </a:lnTo>
                              <a:lnTo>
                                <a:pt x="515200" y="2070963"/>
                              </a:lnTo>
                              <a:lnTo>
                                <a:pt x="543788" y="2098802"/>
                              </a:lnTo>
                              <a:lnTo>
                                <a:pt x="570445" y="2126310"/>
                              </a:lnTo>
                              <a:lnTo>
                                <a:pt x="618972" y="2181695"/>
                              </a:lnTo>
                              <a:lnTo>
                                <a:pt x="661098" y="2237359"/>
                              </a:lnTo>
                              <a:lnTo>
                                <a:pt x="692734" y="2291994"/>
                              </a:lnTo>
                              <a:lnTo>
                                <a:pt x="714044" y="2344915"/>
                              </a:lnTo>
                              <a:lnTo>
                                <a:pt x="722642" y="2395855"/>
                              </a:lnTo>
                              <a:lnTo>
                                <a:pt x="722642" y="2174900"/>
                              </a:lnTo>
                              <a:lnTo>
                                <a:pt x="674090" y="2112073"/>
                              </a:lnTo>
                              <a:lnTo>
                                <a:pt x="638454" y="2071738"/>
                              </a:lnTo>
                              <a:lnTo>
                                <a:pt x="599160" y="2030857"/>
                              </a:lnTo>
                              <a:lnTo>
                                <a:pt x="558457" y="1991601"/>
                              </a:lnTo>
                              <a:lnTo>
                                <a:pt x="518668" y="1956104"/>
                              </a:lnTo>
                              <a:lnTo>
                                <a:pt x="479780" y="1924405"/>
                              </a:lnTo>
                              <a:lnTo>
                                <a:pt x="441807" y="1896491"/>
                              </a:lnTo>
                              <a:lnTo>
                                <a:pt x="404736" y="1872564"/>
                              </a:lnTo>
                              <a:lnTo>
                                <a:pt x="368630" y="1852841"/>
                              </a:lnTo>
                              <a:lnTo>
                                <a:pt x="333552" y="1837169"/>
                              </a:lnTo>
                              <a:lnTo>
                                <a:pt x="266700" y="1817751"/>
                              </a:lnTo>
                              <a:lnTo>
                                <a:pt x="234937" y="1814499"/>
                              </a:lnTo>
                              <a:lnTo>
                                <a:pt x="204139" y="1815325"/>
                              </a:lnTo>
                              <a:lnTo>
                                <a:pt x="145491" y="1828647"/>
                              </a:lnTo>
                              <a:lnTo>
                                <a:pt x="92125" y="1859737"/>
                              </a:lnTo>
                              <a:lnTo>
                                <a:pt x="44589" y="1907641"/>
                              </a:lnTo>
                              <a:lnTo>
                                <a:pt x="13017" y="1963788"/>
                              </a:lnTo>
                              <a:lnTo>
                                <a:pt x="215" y="2025954"/>
                              </a:lnTo>
                              <a:lnTo>
                                <a:pt x="0" y="2058835"/>
                              </a:lnTo>
                              <a:lnTo>
                                <a:pt x="3924" y="2092617"/>
                              </a:lnTo>
                              <a:lnTo>
                                <a:pt x="25031" y="2163254"/>
                              </a:lnTo>
                              <a:lnTo>
                                <a:pt x="41452" y="2200122"/>
                              </a:lnTo>
                              <a:lnTo>
                                <a:pt x="61709" y="2237803"/>
                              </a:lnTo>
                              <a:lnTo>
                                <a:pt x="85953" y="2276221"/>
                              </a:lnTo>
                              <a:lnTo>
                                <a:pt x="114058" y="2315273"/>
                              </a:lnTo>
                              <a:lnTo>
                                <a:pt x="145618" y="2354643"/>
                              </a:lnTo>
                              <a:lnTo>
                                <a:pt x="180581" y="2394318"/>
                              </a:lnTo>
                              <a:lnTo>
                                <a:pt x="218922" y="2434209"/>
                              </a:lnTo>
                              <a:lnTo>
                                <a:pt x="260324" y="2474214"/>
                              </a:lnTo>
                              <a:lnTo>
                                <a:pt x="300621" y="2510180"/>
                              </a:lnTo>
                              <a:lnTo>
                                <a:pt x="339979" y="2542286"/>
                              </a:lnTo>
                              <a:lnTo>
                                <a:pt x="378434" y="2570607"/>
                              </a:lnTo>
                              <a:lnTo>
                                <a:pt x="415810" y="2594978"/>
                              </a:lnTo>
                              <a:lnTo>
                                <a:pt x="452107" y="2615158"/>
                              </a:lnTo>
                              <a:lnTo>
                                <a:pt x="487286" y="2631186"/>
                              </a:lnTo>
                              <a:lnTo>
                                <a:pt x="554037" y="2651048"/>
                              </a:lnTo>
                              <a:lnTo>
                                <a:pt x="585901" y="2654579"/>
                              </a:lnTo>
                              <a:lnTo>
                                <a:pt x="616839" y="2653931"/>
                              </a:lnTo>
                              <a:lnTo>
                                <a:pt x="675868" y="2640863"/>
                              </a:lnTo>
                              <a:lnTo>
                                <a:pt x="729945" y="2609545"/>
                              </a:lnTo>
                              <a:lnTo>
                                <a:pt x="777925" y="2561234"/>
                              </a:lnTo>
                              <a:lnTo>
                                <a:pt x="809332" y="2504833"/>
                              </a:lnTo>
                              <a:lnTo>
                                <a:pt x="822058" y="2442514"/>
                              </a:lnTo>
                              <a:lnTo>
                                <a:pt x="822185" y="2409596"/>
                              </a:lnTo>
                              <a:close/>
                            </a:path>
                            <a:path w="2515235" h="2654935">
                              <a:moveTo>
                                <a:pt x="1427073" y="1820926"/>
                              </a:moveTo>
                              <a:lnTo>
                                <a:pt x="1423009" y="1781048"/>
                              </a:lnTo>
                              <a:lnTo>
                                <a:pt x="1391132" y="1739773"/>
                              </a:lnTo>
                              <a:lnTo>
                                <a:pt x="1356461" y="1709674"/>
                              </a:lnTo>
                              <a:lnTo>
                                <a:pt x="1349984" y="1706626"/>
                              </a:lnTo>
                              <a:lnTo>
                                <a:pt x="1345920" y="1706626"/>
                              </a:lnTo>
                              <a:lnTo>
                                <a:pt x="1344015" y="1707388"/>
                              </a:lnTo>
                              <a:lnTo>
                                <a:pt x="1338935" y="1712468"/>
                              </a:lnTo>
                              <a:lnTo>
                                <a:pt x="1337157" y="1720469"/>
                              </a:lnTo>
                              <a:lnTo>
                                <a:pt x="1338427" y="1733042"/>
                              </a:lnTo>
                              <a:lnTo>
                                <a:pt x="1338986" y="1742833"/>
                              </a:lnTo>
                              <a:lnTo>
                                <a:pt x="1336814" y="1790687"/>
                              </a:lnTo>
                              <a:lnTo>
                                <a:pt x="1326870" y="1833245"/>
                              </a:lnTo>
                              <a:lnTo>
                                <a:pt x="1303058" y="1875840"/>
                              </a:lnTo>
                              <a:lnTo>
                                <a:pt x="1274914" y="1903031"/>
                              </a:lnTo>
                              <a:lnTo>
                                <a:pt x="1238491" y="1922272"/>
                              </a:lnTo>
                              <a:lnTo>
                                <a:pt x="1197076" y="1929790"/>
                              </a:lnTo>
                              <a:lnTo>
                                <a:pt x="1174800" y="1929218"/>
                              </a:lnTo>
                              <a:lnTo>
                                <a:pt x="1126845" y="1918335"/>
                              </a:lnTo>
                              <a:lnTo>
                                <a:pt x="1074775" y="1896033"/>
                              </a:lnTo>
                              <a:lnTo>
                                <a:pt x="1018514" y="1861439"/>
                              </a:lnTo>
                              <a:lnTo>
                                <a:pt x="958646" y="1815312"/>
                              </a:lnTo>
                              <a:lnTo>
                                <a:pt x="927620" y="1787791"/>
                              </a:lnTo>
                              <a:lnTo>
                                <a:pt x="895832" y="1757172"/>
                              </a:lnTo>
                              <a:lnTo>
                                <a:pt x="864831" y="1724990"/>
                              </a:lnTo>
                              <a:lnTo>
                                <a:pt x="836904" y="1693494"/>
                              </a:lnTo>
                              <a:lnTo>
                                <a:pt x="811923" y="1662557"/>
                              </a:lnTo>
                              <a:lnTo>
                                <a:pt x="770674" y="1602892"/>
                              </a:lnTo>
                              <a:lnTo>
                                <a:pt x="741273" y="1547228"/>
                              </a:lnTo>
                              <a:lnTo>
                                <a:pt x="722871" y="1495412"/>
                              </a:lnTo>
                              <a:lnTo>
                                <a:pt x="716940" y="1448181"/>
                              </a:lnTo>
                              <a:lnTo>
                                <a:pt x="718286" y="1426464"/>
                              </a:lnTo>
                              <a:lnTo>
                                <a:pt x="730135" y="1387754"/>
                              </a:lnTo>
                              <a:lnTo>
                                <a:pt x="754100" y="1355229"/>
                              </a:lnTo>
                              <a:lnTo>
                                <a:pt x="795451" y="1324686"/>
                              </a:lnTo>
                              <a:lnTo>
                                <a:pt x="838708" y="1312062"/>
                              </a:lnTo>
                              <a:lnTo>
                                <a:pt x="877722" y="1308544"/>
                              </a:lnTo>
                              <a:lnTo>
                                <a:pt x="899744" y="1308862"/>
                              </a:lnTo>
                              <a:lnTo>
                                <a:pt x="909548" y="1309509"/>
                              </a:lnTo>
                              <a:lnTo>
                                <a:pt x="922121" y="1310640"/>
                              </a:lnTo>
                              <a:lnTo>
                                <a:pt x="930122" y="1309878"/>
                              </a:lnTo>
                              <a:lnTo>
                                <a:pt x="934821" y="1305052"/>
                              </a:lnTo>
                              <a:lnTo>
                                <a:pt x="935456" y="1302385"/>
                              </a:lnTo>
                              <a:lnTo>
                                <a:pt x="935329" y="1299464"/>
                              </a:lnTo>
                              <a:lnTo>
                                <a:pt x="910945" y="1263015"/>
                              </a:lnTo>
                              <a:lnTo>
                                <a:pt x="882624" y="1235964"/>
                              </a:lnTo>
                              <a:lnTo>
                                <a:pt x="878306" y="1233043"/>
                              </a:lnTo>
                              <a:lnTo>
                                <a:pt x="874369" y="1229614"/>
                              </a:lnTo>
                              <a:lnTo>
                                <a:pt x="832421" y="1217066"/>
                              </a:lnTo>
                              <a:lnTo>
                                <a:pt x="812520" y="1217295"/>
                              </a:lnTo>
                              <a:lnTo>
                                <a:pt x="766038" y="1225042"/>
                              </a:lnTo>
                              <a:lnTo>
                                <a:pt x="718667" y="1244092"/>
                              </a:lnTo>
                              <a:lnTo>
                                <a:pt x="686206" y="1266621"/>
                              </a:lnTo>
                              <a:lnTo>
                                <a:pt x="656831" y="1298308"/>
                              </a:lnTo>
                              <a:lnTo>
                                <a:pt x="629640" y="1349425"/>
                              </a:lnTo>
                              <a:lnTo>
                                <a:pt x="618794" y="1408658"/>
                              </a:lnTo>
                              <a:lnTo>
                                <a:pt x="618858" y="1440586"/>
                              </a:lnTo>
                              <a:lnTo>
                                <a:pt x="631037" y="1508506"/>
                              </a:lnTo>
                              <a:lnTo>
                                <a:pt x="643458" y="1544840"/>
                              </a:lnTo>
                              <a:lnTo>
                                <a:pt x="659549" y="1582191"/>
                              </a:lnTo>
                              <a:lnTo>
                                <a:pt x="679538" y="1620507"/>
                              </a:lnTo>
                              <a:lnTo>
                                <a:pt x="703681" y="1659763"/>
                              </a:lnTo>
                              <a:lnTo>
                                <a:pt x="731608" y="1700022"/>
                              </a:lnTo>
                              <a:lnTo>
                                <a:pt x="763562" y="1740877"/>
                              </a:lnTo>
                              <a:lnTo>
                                <a:pt x="799503" y="1782229"/>
                              </a:lnTo>
                              <a:lnTo>
                                <a:pt x="839444" y="1823974"/>
                              </a:lnTo>
                              <a:lnTo>
                                <a:pt x="880186" y="1863077"/>
                              </a:lnTo>
                              <a:lnTo>
                                <a:pt x="920115" y="1897976"/>
                              </a:lnTo>
                              <a:lnTo>
                                <a:pt x="959243" y="1928799"/>
                              </a:lnTo>
                              <a:lnTo>
                                <a:pt x="997559" y="1955673"/>
                              </a:lnTo>
                              <a:lnTo>
                                <a:pt x="1035011" y="1978990"/>
                              </a:lnTo>
                              <a:lnTo>
                                <a:pt x="1071384" y="1998052"/>
                              </a:lnTo>
                              <a:lnTo>
                                <a:pt x="1106690" y="2013127"/>
                              </a:lnTo>
                              <a:lnTo>
                                <a:pt x="1173721" y="2032203"/>
                              </a:lnTo>
                              <a:lnTo>
                                <a:pt x="1205217" y="2035619"/>
                              </a:lnTo>
                              <a:lnTo>
                                <a:pt x="1235392" y="2035048"/>
                              </a:lnTo>
                              <a:lnTo>
                                <a:pt x="1291513" y="2022957"/>
                              </a:lnTo>
                              <a:lnTo>
                                <a:pt x="1340993" y="1995424"/>
                              </a:lnTo>
                              <a:lnTo>
                                <a:pt x="1375016" y="1963369"/>
                              </a:lnTo>
                              <a:lnTo>
                                <a:pt x="1402181" y="1923415"/>
                              </a:lnTo>
                              <a:lnTo>
                                <a:pt x="1417815" y="1881987"/>
                              </a:lnTo>
                              <a:lnTo>
                                <a:pt x="1425625" y="1843811"/>
                              </a:lnTo>
                              <a:lnTo>
                                <a:pt x="1426819" y="1832127"/>
                              </a:lnTo>
                              <a:lnTo>
                                <a:pt x="1427073" y="1820926"/>
                              </a:lnTo>
                              <a:close/>
                            </a:path>
                            <a:path w="2515235" h="2654935">
                              <a:moveTo>
                                <a:pt x="1808099" y="1423746"/>
                              </a:moveTo>
                              <a:lnTo>
                                <a:pt x="1795246" y="1354582"/>
                              </a:lnTo>
                              <a:lnTo>
                                <a:pt x="1782356" y="1318704"/>
                              </a:lnTo>
                              <a:lnTo>
                                <a:pt x="1765719" y="1281874"/>
                              </a:lnTo>
                              <a:lnTo>
                                <a:pt x="1745157" y="1244104"/>
                              </a:lnTo>
                              <a:lnTo>
                                <a:pt x="1720570" y="1205357"/>
                              </a:lnTo>
                              <a:lnTo>
                                <a:pt x="1708543" y="1188770"/>
                              </a:lnTo>
                              <a:lnTo>
                                <a:pt x="1708543" y="1409928"/>
                              </a:lnTo>
                              <a:lnTo>
                                <a:pt x="1708251" y="1434338"/>
                              </a:lnTo>
                              <a:lnTo>
                                <a:pt x="1695704" y="1479892"/>
                              </a:lnTo>
                              <a:lnTo>
                                <a:pt x="1665833" y="1520571"/>
                              </a:lnTo>
                              <a:lnTo>
                                <a:pt x="1625409" y="1550949"/>
                              </a:lnTo>
                              <a:lnTo>
                                <a:pt x="1581378" y="1564259"/>
                              </a:lnTo>
                              <a:lnTo>
                                <a:pt x="1558226" y="1565490"/>
                              </a:lnTo>
                              <a:lnTo>
                                <a:pt x="1534287" y="1563357"/>
                              </a:lnTo>
                              <a:lnTo>
                                <a:pt x="1483969" y="1548638"/>
                              </a:lnTo>
                              <a:lnTo>
                                <a:pt x="1431455" y="1521955"/>
                              </a:lnTo>
                              <a:lnTo>
                                <a:pt x="1376273" y="1483741"/>
                              </a:lnTo>
                              <a:lnTo>
                                <a:pt x="1318933" y="1436065"/>
                              </a:lnTo>
                              <a:lnTo>
                                <a:pt x="1289685" y="1409204"/>
                              </a:lnTo>
                              <a:lnTo>
                                <a:pt x="1260068" y="1380363"/>
                              </a:lnTo>
                              <a:lnTo>
                                <a:pt x="1209179" y="1325930"/>
                              </a:lnTo>
                              <a:lnTo>
                                <a:pt x="1163929" y="1270635"/>
                              </a:lnTo>
                              <a:lnTo>
                                <a:pt x="1127455" y="1215898"/>
                              </a:lnTo>
                              <a:lnTo>
                                <a:pt x="1101572" y="1162304"/>
                              </a:lnTo>
                              <a:lnTo>
                                <a:pt x="1086993" y="1111059"/>
                              </a:lnTo>
                              <a:lnTo>
                                <a:pt x="1084453" y="1086294"/>
                              </a:lnTo>
                              <a:lnTo>
                                <a:pt x="1084808" y="1062101"/>
                              </a:lnTo>
                              <a:lnTo>
                                <a:pt x="1096911" y="1016787"/>
                              </a:lnTo>
                              <a:lnTo>
                                <a:pt x="1126464" y="976503"/>
                              </a:lnTo>
                              <a:lnTo>
                                <a:pt x="1166406" y="946569"/>
                              </a:lnTo>
                              <a:lnTo>
                                <a:pt x="1210538" y="933196"/>
                              </a:lnTo>
                              <a:lnTo>
                                <a:pt x="1233995" y="932218"/>
                              </a:lnTo>
                              <a:lnTo>
                                <a:pt x="1258100" y="934326"/>
                              </a:lnTo>
                              <a:lnTo>
                                <a:pt x="1308328" y="948309"/>
                              </a:lnTo>
                              <a:lnTo>
                                <a:pt x="1361224" y="975004"/>
                              </a:lnTo>
                              <a:lnTo>
                                <a:pt x="1416024" y="1012063"/>
                              </a:lnTo>
                              <a:lnTo>
                                <a:pt x="1472565" y="1058913"/>
                              </a:lnTo>
                              <a:lnTo>
                                <a:pt x="1501101" y="1085062"/>
                              </a:lnTo>
                              <a:lnTo>
                                <a:pt x="1529689" y="1112901"/>
                              </a:lnTo>
                              <a:lnTo>
                                <a:pt x="1556346" y="1140409"/>
                              </a:lnTo>
                              <a:lnTo>
                                <a:pt x="1604873" y="1195793"/>
                              </a:lnTo>
                              <a:lnTo>
                                <a:pt x="1646999" y="1251458"/>
                              </a:lnTo>
                              <a:lnTo>
                                <a:pt x="1678635" y="1306093"/>
                              </a:lnTo>
                              <a:lnTo>
                                <a:pt x="1699945" y="1358963"/>
                              </a:lnTo>
                              <a:lnTo>
                                <a:pt x="1708543" y="1409928"/>
                              </a:lnTo>
                              <a:lnTo>
                                <a:pt x="1708543" y="1188770"/>
                              </a:lnTo>
                              <a:lnTo>
                                <a:pt x="1660004" y="1126159"/>
                              </a:lnTo>
                              <a:lnTo>
                                <a:pt x="1624355" y="1085824"/>
                              </a:lnTo>
                              <a:lnTo>
                                <a:pt x="1585061" y="1044956"/>
                              </a:lnTo>
                              <a:lnTo>
                                <a:pt x="1544358" y="1005700"/>
                              </a:lnTo>
                              <a:lnTo>
                                <a:pt x="1504569" y="970203"/>
                              </a:lnTo>
                              <a:lnTo>
                                <a:pt x="1465681" y="938504"/>
                              </a:lnTo>
                              <a:lnTo>
                                <a:pt x="1427708" y="910590"/>
                              </a:lnTo>
                              <a:lnTo>
                                <a:pt x="1390611" y="886663"/>
                              </a:lnTo>
                              <a:lnTo>
                                <a:pt x="1354493" y="866940"/>
                              </a:lnTo>
                              <a:lnTo>
                                <a:pt x="1319403" y="851268"/>
                              </a:lnTo>
                              <a:lnTo>
                                <a:pt x="1252588" y="831850"/>
                              </a:lnTo>
                              <a:lnTo>
                                <a:pt x="1220787" y="828611"/>
                              </a:lnTo>
                              <a:lnTo>
                                <a:pt x="1189990" y="829475"/>
                              </a:lnTo>
                              <a:lnTo>
                                <a:pt x="1131392" y="842860"/>
                              </a:lnTo>
                              <a:lnTo>
                                <a:pt x="1078026" y="873861"/>
                              </a:lnTo>
                              <a:lnTo>
                                <a:pt x="1030478" y="921740"/>
                              </a:lnTo>
                              <a:lnTo>
                                <a:pt x="998816" y="977887"/>
                              </a:lnTo>
                              <a:lnTo>
                                <a:pt x="986053" y="1040053"/>
                              </a:lnTo>
                              <a:lnTo>
                                <a:pt x="985862" y="1072946"/>
                              </a:lnTo>
                              <a:lnTo>
                                <a:pt x="989774" y="1106766"/>
                              </a:lnTo>
                              <a:lnTo>
                                <a:pt x="1010805" y="1177404"/>
                              </a:lnTo>
                              <a:lnTo>
                                <a:pt x="1027239" y="1214234"/>
                              </a:lnTo>
                              <a:lnTo>
                                <a:pt x="1047534" y="1251902"/>
                              </a:lnTo>
                              <a:lnTo>
                                <a:pt x="1071854" y="1290320"/>
                              </a:lnTo>
                              <a:lnTo>
                                <a:pt x="1099947" y="1329372"/>
                              </a:lnTo>
                              <a:lnTo>
                                <a:pt x="1131455" y="1368742"/>
                              </a:lnTo>
                              <a:lnTo>
                                <a:pt x="1166380" y="1408417"/>
                              </a:lnTo>
                              <a:lnTo>
                                <a:pt x="1204696" y="1448308"/>
                              </a:lnTo>
                              <a:lnTo>
                                <a:pt x="1246149" y="1488313"/>
                              </a:lnTo>
                              <a:lnTo>
                                <a:pt x="1286497" y="1524317"/>
                              </a:lnTo>
                              <a:lnTo>
                                <a:pt x="1325829" y="1556435"/>
                              </a:lnTo>
                              <a:lnTo>
                                <a:pt x="1364208" y="1584706"/>
                              </a:lnTo>
                              <a:lnTo>
                                <a:pt x="1401660" y="1609077"/>
                              </a:lnTo>
                              <a:lnTo>
                                <a:pt x="1437995" y="1629257"/>
                              </a:lnTo>
                              <a:lnTo>
                                <a:pt x="1473174" y="1645297"/>
                              </a:lnTo>
                              <a:lnTo>
                                <a:pt x="1539938" y="1665147"/>
                              </a:lnTo>
                              <a:lnTo>
                                <a:pt x="1571802" y="1668691"/>
                              </a:lnTo>
                              <a:lnTo>
                                <a:pt x="1602740" y="1668081"/>
                              </a:lnTo>
                              <a:lnTo>
                                <a:pt x="1661769" y="1655089"/>
                              </a:lnTo>
                              <a:lnTo>
                                <a:pt x="1715846" y="1623720"/>
                              </a:lnTo>
                              <a:lnTo>
                                <a:pt x="1763814" y="1575333"/>
                              </a:lnTo>
                              <a:lnTo>
                                <a:pt x="1795183" y="1518932"/>
                              </a:lnTo>
                              <a:lnTo>
                                <a:pt x="1807959" y="1456677"/>
                              </a:lnTo>
                              <a:lnTo>
                                <a:pt x="1808099" y="1423746"/>
                              </a:lnTo>
                              <a:close/>
                            </a:path>
                            <a:path w="2515235" h="2654935">
                              <a:moveTo>
                                <a:pt x="2075027" y="1238885"/>
                              </a:moveTo>
                              <a:lnTo>
                                <a:pt x="2074011" y="1235837"/>
                              </a:lnTo>
                              <a:lnTo>
                                <a:pt x="2072868" y="1232789"/>
                              </a:lnTo>
                              <a:lnTo>
                                <a:pt x="2070582" y="1229741"/>
                              </a:lnTo>
                              <a:lnTo>
                                <a:pt x="1824329" y="983488"/>
                              </a:lnTo>
                              <a:lnTo>
                                <a:pt x="1874113" y="933704"/>
                              </a:lnTo>
                              <a:lnTo>
                                <a:pt x="1892769" y="913079"/>
                              </a:lnTo>
                              <a:lnTo>
                                <a:pt x="1895208" y="909701"/>
                              </a:lnTo>
                              <a:lnTo>
                                <a:pt x="1908111" y="891921"/>
                              </a:lnTo>
                              <a:lnTo>
                                <a:pt x="1928596" y="847852"/>
                              </a:lnTo>
                              <a:lnTo>
                                <a:pt x="1936457" y="802767"/>
                              </a:lnTo>
                              <a:lnTo>
                                <a:pt x="1936534" y="778319"/>
                              </a:lnTo>
                              <a:lnTo>
                                <a:pt x="1933549" y="753999"/>
                              </a:lnTo>
                              <a:lnTo>
                                <a:pt x="1919363" y="704456"/>
                              </a:lnTo>
                              <a:lnTo>
                                <a:pt x="1894814" y="653669"/>
                              </a:lnTo>
                              <a:lnTo>
                                <a:pt x="1859610" y="602348"/>
                              </a:lnTo>
                              <a:lnTo>
                                <a:pt x="1840153" y="579158"/>
                              </a:lnTo>
                              <a:lnTo>
                                <a:pt x="1840153" y="774280"/>
                              </a:lnTo>
                              <a:lnTo>
                                <a:pt x="1839252" y="788733"/>
                              </a:lnTo>
                              <a:lnTo>
                                <a:pt x="1824647" y="830376"/>
                              </a:lnTo>
                              <a:lnTo>
                                <a:pt x="1750542" y="909701"/>
                              </a:lnTo>
                              <a:lnTo>
                                <a:pt x="1479143" y="638429"/>
                              </a:lnTo>
                              <a:lnTo>
                                <a:pt x="1533131" y="584441"/>
                              </a:lnTo>
                              <a:lnTo>
                                <a:pt x="1567662" y="557403"/>
                              </a:lnTo>
                              <a:lnTo>
                                <a:pt x="1615287" y="544068"/>
                              </a:lnTo>
                              <a:lnTo>
                                <a:pt x="1630006" y="544715"/>
                              </a:lnTo>
                              <a:lnTo>
                                <a:pt x="1681327" y="560705"/>
                              </a:lnTo>
                              <a:lnTo>
                                <a:pt x="1719630" y="584454"/>
                              </a:lnTo>
                              <a:lnTo>
                                <a:pt x="1760194" y="619887"/>
                              </a:lnTo>
                              <a:lnTo>
                                <a:pt x="1787817" y="650608"/>
                              </a:lnTo>
                              <a:lnTo>
                                <a:pt x="1810105" y="681990"/>
                              </a:lnTo>
                              <a:lnTo>
                                <a:pt x="1832368" y="729234"/>
                              </a:lnTo>
                              <a:lnTo>
                                <a:pt x="1840153" y="774280"/>
                              </a:lnTo>
                              <a:lnTo>
                                <a:pt x="1840153" y="579158"/>
                              </a:lnTo>
                              <a:lnTo>
                                <a:pt x="1838172" y="576795"/>
                              </a:lnTo>
                              <a:lnTo>
                                <a:pt x="1814042" y="551307"/>
                              </a:lnTo>
                              <a:lnTo>
                                <a:pt x="1806473" y="544068"/>
                              </a:lnTo>
                              <a:lnTo>
                                <a:pt x="1794903" y="532993"/>
                              </a:lnTo>
                              <a:lnTo>
                                <a:pt x="1756600" y="501472"/>
                              </a:lnTo>
                              <a:lnTo>
                                <a:pt x="1718183" y="476669"/>
                              </a:lnTo>
                              <a:lnTo>
                                <a:pt x="1680464" y="459130"/>
                              </a:lnTo>
                              <a:lnTo>
                                <a:pt x="1643519" y="447548"/>
                              </a:lnTo>
                              <a:lnTo>
                                <a:pt x="1590014" y="442849"/>
                              </a:lnTo>
                              <a:lnTo>
                                <a:pt x="1573123" y="444538"/>
                              </a:lnTo>
                              <a:lnTo>
                                <a:pt x="1531213" y="456692"/>
                              </a:lnTo>
                              <a:lnTo>
                                <a:pt x="1492605" y="479679"/>
                              </a:lnTo>
                              <a:lnTo>
                                <a:pt x="1463649" y="505460"/>
                              </a:lnTo>
                              <a:lnTo>
                                <a:pt x="1369796" y="599313"/>
                              </a:lnTo>
                              <a:lnTo>
                                <a:pt x="1362557" y="616623"/>
                              </a:lnTo>
                              <a:lnTo>
                                <a:pt x="1362684" y="624205"/>
                              </a:lnTo>
                              <a:lnTo>
                                <a:pt x="1385417" y="661035"/>
                              </a:lnTo>
                              <a:lnTo>
                                <a:pt x="2009749" y="1285367"/>
                              </a:lnTo>
                              <a:lnTo>
                                <a:pt x="2012289" y="1288034"/>
                              </a:lnTo>
                              <a:lnTo>
                                <a:pt x="2015337" y="1290193"/>
                              </a:lnTo>
                              <a:lnTo>
                                <a:pt x="2021433" y="1292479"/>
                              </a:lnTo>
                              <a:lnTo>
                                <a:pt x="2024481" y="1292606"/>
                              </a:lnTo>
                              <a:lnTo>
                                <a:pt x="2027910" y="1291336"/>
                              </a:lnTo>
                              <a:lnTo>
                                <a:pt x="2031847" y="1290574"/>
                              </a:lnTo>
                              <a:lnTo>
                                <a:pt x="2065629" y="1261999"/>
                              </a:lnTo>
                              <a:lnTo>
                                <a:pt x="2073884" y="1245235"/>
                              </a:lnTo>
                              <a:lnTo>
                                <a:pt x="2074900" y="1242187"/>
                              </a:lnTo>
                              <a:lnTo>
                                <a:pt x="2075027" y="1238885"/>
                              </a:lnTo>
                              <a:close/>
                            </a:path>
                            <a:path w="2515235" h="2654935">
                              <a:moveTo>
                                <a:pt x="2514828" y="802259"/>
                              </a:moveTo>
                              <a:lnTo>
                                <a:pt x="2514701" y="799211"/>
                              </a:lnTo>
                              <a:lnTo>
                                <a:pt x="2512542" y="793115"/>
                              </a:lnTo>
                              <a:lnTo>
                                <a:pt x="2510256" y="790067"/>
                              </a:lnTo>
                              <a:lnTo>
                                <a:pt x="2258161" y="538099"/>
                              </a:lnTo>
                              <a:lnTo>
                                <a:pt x="2211032" y="446278"/>
                              </a:lnTo>
                              <a:lnTo>
                                <a:pt x="2071014" y="170192"/>
                              </a:lnTo>
                              <a:lnTo>
                                <a:pt x="2000478" y="32385"/>
                              </a:lnTo>
                              <a:lnTo>
                                <a:pt x="1970125" y="0"/>
                              </a:lnTo>
                              <a:lnTo>
                                <a:pt x="1965045" y="1905"/>
                              </a:lnTo>
                              <a:lnTo>
                                <a:pt x="1933549" y="29210"/>
                              </a:lnTo>
                              <a:lnTo>
                                <a:pt x="1918690" y="57658"/>
                              </a:lnTo>
                              <a:lnTo>
                                <a:pt x="1920214" y="61341"/>
                              </a:lnTo>
                              <a:lnTo>
                                <a:pt x="1921484" y="65278"/>
                              </a:lnTo>
                              <a:lnTo>
                                <a:pt x="1923135" y="68961"/>
                              </a:lnTo>
                              <a:lnTo>
                                <a:pt x="1926183" y="73279"/>
                              </a:lnTo>
                              <a:lnTo>
                                <a:pt x="1948738" y="116001"/>
                              </a:lnTo>
                              <a:lnTo>
                                <a:pt x="2015731" y="244411"/>
                              </a:lnTo>
                              <a:lnTo>
                                <a:pt x="2060676" y="329819"/>
                              </a:lnTo>
                              <a:lnTo>
                                <a:pt x="2123617" y="442645"/>
                              </a:lnTo>
                              <a:lnTo>
                                <a:pt x="2145512" y="480314"/>
                              </a:lnTo>
                              <a:lnTo>
                                <a:pt x="2144877" y="480949"/>
                              </a:lnTo>
                              <a:lnTo>
                                <a:pt x="1991842" y="395605"/>
                              </a:lnTo>
                              <a:lnTo>
                                <a:pt x="1949361" y="373176"/>
                              </a:lnTo>
                              <a:lnTo>
                                <a:pt x="1736572" y="261747"/>
                              </a:lnTo>
                              <a:lnTo>
                                <a:pt x="1731873" y="259080"/>
                              </a:lnTo>
                              <a:lnTo>
                                <a:pt x="1727936" y="257937"/>
                              </a:lnTo>
                              <a:lnTo>
                                <a:pt x="1724380" y="256286"/>
                              </a:lnTo>
                              <a:lnTo>
                                <a:pt x="1720824" y="255524"/>
                              </a:lnTo>
                              <a:lnTo>
                                <a:pt x="1675866" y="286893"/>
                              </a:lnTo>
                              <a:lnTo>
                                <a:pt x="1661261" y="307721"/>
                              </a:lnTo>
                              <a:lnTo>
                                <a:pt x="1663293" y="316357"/>
                              </a:lnTo>
                              <a:lnTo>
                                <a:pt x="1694281" y="338582"/>
                              </a:lnTo>
                              <a:lnTo>
                                <a:pt x="1786051" y="385762"/>
                              </a:lnTo>
                              <a:lnTo>
                                <a:pt x="2062162" y="525754"/>
                              </a:lnTo>
                              <a:lnTo>
                                <a:pt x="2199995" y="596265"/>
                              </a:lnTo>
                              <a:lnTo>
                                <a:pt x="2451963" y="848360"/>
                              </a:lnTo>
                              <a:lnTo>
                                <a:pt x="2455011" y="850646"/>
                              </a:lnTo>
                              <a:lnTo>
                                <a:pt x="2458059" y="851789"/>
                              </a:lnTo>
                              <a:lnTo>
                                <a:pt x="2460726" y="853186"/>
                              </a:lnTo>
                              <a:lnTo>
                                <a:pt x="2464028" y="853059"/>
                              </a:lnTo>
                              <a:lnTo>
                                <a:pt x="2467457" y="851662"/>
                              </a:lnTo>
                              <a:lnTo>
                                <a:pt x="2471521" y="850900"/>
                              </a:lnTo>
                              <a:lnTo>
                                <a:pt x="2504922" y="822706"/>
                              </a:lnTo>
                              <a:lnTo>
                                <a:pt x="2513558" y="805561"/>
                              </a:lnTo>
                              <a:lnTo>
                                <a:pt x="2514828" y="80225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90.35202pt;margin-top:214.649948pt;width:198.05pt;height:209.05pt;mso-position-horizontal-relative:page;mso-position-vertical-relative:page;z-index:-25528832" id="docshape124" coordorigin="5807,4293" coordsize="3961,4181" path="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w10:wrap type="none"/>
              </v:shape>
            </w:pict>
          </mc:Fallback>
        </mc:AlternateContent>
      </w:r>
      <w:r>
        <w:rPr>
          <w:b/>
          <w:sz w:val="24"/>
        </w:rPr>
        <w:t>Appendix</w:t>
      </w:r>
      <w:r>
        <w:rPr>
          <w:b/>
          <w:spacing w:val="-3"/>
          <w:sz w:val="24"/>
        </w:rPr>
        <w:t> </w:t>
      </w:r>
      <w:r>
        <w:rPr>
          <w:b/>
          <w:sz w:val="24"/>
        </w:rPr>
        <w:t>13:</w:t>
      </w:r>
      <w:r>
        <w:rPr>
          <w:b/>
          <w:spacing w:val="-1"/>
          <w:sz w:val="24"/>
        </w:rPr>
        <w:t> </w:t>
      </w:r>
      <w:r>
        <w:rPr>
          <w:b/>
          <w:sz w:val="24"/>
        </w:rPr>
        <w:t>Table</w:t>
      </w:r>
      <w:r>
        <w:rPr>
          <w:b/>
          <w:spacing w:val="-1"/>
          <w:sz w:val="24"/>
        </w:rPr>
        <w:t> </w:t>
      </w:r>
      <w:r>
        <w:rPr>
          <w:b/>
          <w:sz w:val="24"/>
        </w:rPr>
        <w:t>4.7:</w:t>
      </w:r>
      <w:r>
        <w:rPr>
          <w:b/>
          <w:spacing w:val="56"/>
          <w:sz w:val="24"/>
        </w:rPr>
        <w:t> </w:t>
      </w:r>
      <w:r>
        <w:rPr>
          <w:b/>
          <w:sz w:val="24"/>
        </w:rPr>
        <w:t>QUA-FRQ and Ownership Structure</w:t>
      </w:r>
      <w:r>
        <w:rPr>
          <w:b/>
          <w:spacing w:val="-2"/>
          <w:sz w:val="24"/>
        </w:rPr>
        <w:t> </w:t>
      </w:r>
      <w:r>
        <w:rPr>
          <w:b/>
          <w:sz w:val="24"/>
        </w:rPr>
        <w:t>Regression</w:t>
      </w:r>
      <w:r>
        <w:rPr>
          <w:b/>
          <w:spacing w:val="3"/>
          <w:sz w:val="24"/>
        </w:rPr>
        <w:t> </w:t>
      </w:r>
      <w:r>
        <w:rPr>
          <w:b/>
          <w:i/>
          <w:sz w:val="24"/>
        </w:rPr>
        <w:t>Result </w:t>
      </w:r>
      <w:r>
        <w:rPr>
          <w:b/>
          <w:i/>
          <w:spacing w:val="-2"/>
          <w:sz w:val="24"/>
        </w:rPr>
        <w:t>(DID)</w:t>
      </w:r>
    </w:p>
    <w:p>
      <w:pPr>
        <w:pStyle w:val="BodyText"/>
        <w:spacing w:before="61"/>
        <w:rPr>
          <w:b/>
          <w:i/>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5"/>
        <w:gridCol w:w="1220"/>
        <w:gridCol w:w="1491"/>
        <w:gridCol w:w="910"/>
        <w:gridCol w:w="91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5"/>
                <w:sz w:val="18"/>
              </w:rPr>
              <w:t>FRQ</w:t>
            </w:r>
          </w:p>
        </w:tc>
      </w:tr>
      <w:tr>
        <w:trPr>
          <w:trHeight w:val="225" w:hRule="atLeast"/>
        </w:trPr>
        <w:tc>
          <w:tcPr>
            <w:tcW w:w="1995" w:type="dxa"/>
          </w:tcPr>
          <w:p>
            <w:pPr>
              <w:pStyle w:val="TableParagraph"/>
              <w:spacing w:line="199" w:lineRule="exact" w:before="6"/>
              <w:rPr>
                <w:sz w:val="18"/>
              </w:rPr>
            </w:pPr>
            <w:r>
              <w:rPr>
                <w:sz w:val="18"/>
              </w:rPr>
              <w:t>Method:</w:t>
            </w:r>
            <w:r>
              <w:rPr>
                <w:spacing w:val="-9"/>
                <w:sz w:val="18"/>
              </w:rPr>
              <w:t> </w:t>
            </w:r>
            <w:r>
              <w:rPr>
                <w:sz w:val="18"/>
              </w:rPr>
              <w:t>Least</w:t>
            </w:r>
            <w:r>
              <w:rPr>
                <w:spacing w:val="-6"/>
                <w:sz w:val="18"/>
              </w:rPr>
              <w:t> </w:t>
            </w:r>
            <w:r>
              <w:rPr>
                <w:spacing w:val="-2"/>
                <w:sz w:val="18"/>
              </w:rPr>
              <w:t>Squares</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08:06</w:t>
            </w:r>
          </w:p>
        </w:tc>
      </w:tr>
      <w:tr>
        <w:trPr>
          <w:trHeight w:val="224" w:hRule="atLeast"/>
        </w:trPr>
        <w:tc>
          <w:tcPr>
            <w:tcW w:w="1995" w:type="dxa"/>
          </w:tcPr>
          <w:p>
            <w:pPr>
              <w:pStyle w:val="TableParagraph"/>
              <w:spacing w:line="198"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2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9" w:lineRule="exact" w:before="5"/>
              <w:rPr>
                <w:sz w:val="18"/>
              </w:rPr>
            </w:pPr>
            <w:r>
              <w:rPr>
                <w:sz w:val="18"/>
              </w:rPr>
              <w:t>Included</w:t>
            </w:r>
            <w:r>
              <w:rPr>
                <w:spacing w:val="-6"/>
                <w:sz w:val="18"/>
              </w:rPr>
              <w:t> </w:t>
            </w:r>
            <w:r>
              <w:rPr>
                <w:sz w:val="18"/>
              </w:rPr>
              <w:t>observations:</w:t>
            </w:r>
            <w:r>
              <w:rPr>
                <w:spacing w:val="-5"/>
                <w:sz w:val="18"/>
              </w:rPr>
              <w:t> 195</w:t>
            </w:r>
          </w:p>
        </w:tc>
      </w:tr>
      <w:tr>
        <w:trPr>
          <w:trHeight w:val="225" w:hRule="atLeast"/>
        </w:trPr>
        <w:tc>
          <w:tcPr>
            <w:tcW w:w="6530" w:type="dxa"/>
            <w:gridSpan w:val="5"/>
          </w:tcPr>
          <w:p>
            <w:pPr>
              <w:pStyle w:val="TableParagraph"/>
              <w:spacing w:line="199" w:lineRule="exact" w:before="6"/>
              <w:rPr>
                <w:sz w:val="18"/>
              </w:rPr>
            </w:pPr>
            <w:r>
              <w:rPr>
                <w:sz w:val="18"/>
              </w:rPr>
              <w:t>White-Hinkley</w:t>
            </w:r>
            <w:r>
              <w:rPr>
                <w:spacing w:val="-8"/>
                <w:sz w:val="18"/>
              </w:rPr>
              <w:t> </w:t>
            </w:r>
            <w:r>
              <w:rPr>
                <w:sz w:val="18"/>
              </w:rPr>
              <w:t>(HC1)</w:t>
            </w:r>
            <w:r>
              <w:rPr>
                <w:spacing w:val="-6"/>
                <w:sz w:val="18"/>
              </w:rPr>
              <w:t> </w:t>
            </w:r>
            <w:r>
              <w:rPr>
                <w:sz w:val="18"/>
              </w:rPr>
              <w:t>heteroskedasticity</w:t>
            </w:r>
            <w:r>
              <w:rPr>
                <w:spacing w:val="-7"/>
                <w:sz w:val="18"/>
              </w:rPr>
              <w:t> </w:t>
            </w:r>
            <w:r>
              <w:rPr>
                <w:sz w:val="18"/>
              </w:rPr>
              <w:t>consistent</w:t>
            </w:r>
            <w:r>
              <w:rPr>
                <w:spacing w:val="-6"/>
                <w:sz w:val="18"/>
              </w:rPr>
              <w:t> </w:t>
            </w:r>
            <w:r>
              <w:rPr>
                <w:sz w:val="18"/>
              </w:rPr>
              <w:t>standard</w:t>
            </w:r>
            <w:r>
              <w:rPr>
                <w:spacing w:val="-8"/>
                <w:sz w:val="18"/>
              </w:rPr>
              <w:t> </w:t>
            </w:r>
            <w:r>
              <w:rPr>
                <w:sz w:val="18"/>
              </w:rPr>
              <w:t>errors</w:t>
            </w:r>
            <w:r>
              <w:rPr>
                <w:spacing w:val="-7"/>
                <w:sz w:val="18"/>
              </w:rPr>
              <w:t> </w:t>
            </w:r>
            <w:r>
              <w:rPr>
                <w:spacing w:val="-5"/>
                <w:sz w:val="18"/>
              </w:rPr>
              <w:t>and</w:t>
            </w:r>
          </w:p>
        </w:tc>
      </w:tr>
      <w:tr>
        <w:trPr>
          <w:trHeight w:val="303" w:hRule="atLeast"/>
        </w:trPr>
        <w:tc>
          <w:tcPr>
            <w:tcW w:w="1995" w:type="dxa"/>
            <w:tcBorders>
              <w:bottom w:val="double" w:sz="6" w:space="0" w:color="000000"/>
            </w:tcBorders>
          </w:tcPr>
          <w:p>
            <w:pPr>
              <w:pStyle w:val="TableParagraph"/>
              <w:spacing w:before="6"/>
              <w:ind w:left="400"/>
              <w:rPr>
                <w:sz w:val="18"/>
              </w:rPr>
            </w:pPr>
            <w:r>
              <w:rPr>
                <w:spacing w:val="-2"/>
                <w:sz w:val="18"/>
              </w:rPr>
              <w:t>covariance</w:t>
            </w:r>
          </w:p>
        </w:tc>
        <w:tc>
          <w:tcPr>
            <w:tcW w:w="1220" w:type="dxa"/>
            <w:tcBorders>
              <w:bottom w:val="double" w:sz="6" w:space="0" w:color="000000"/>
            </w:tcBorders>
          </w:tcPr>
          <w:p>
            <w:pPr>
              <w:pStyle w:val="TableParagraph"/>
              <w:rPr>
                <w:rFonts w:ascii="Times New Roman"/>
                <w:sz w:val="18"/>
              </w:rPr>
            </w:pP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3" w:hRule="atLeast"/>
        </w:trPr>
        <w:tc>
          <w:tcPr>
            <w:tcW w:w="1995" w:type="dxa"/>
            <w:tcBorders>
              <w:top w:val="double" w:sz="6" w:space="0" w:color="000000"/>
              <w:bottom w:val="double" w:sz="6" w:space="0" w:color="000000"/>
            </w:tcBorders>
          </w:tcPr>
          <w:p>
            <w:pPr>
              <w:pStyle w:val="TableParagraph"/>
              <w:spacing w:before="106"/>
              <w:ind w:left="676"/>
              <w:rPr>
                <w:sz w:val="18"/>
              </w:rPr>
            </w:pPr>
            <w:r>
              <w:rPr>
                <w:spacing w:val="-2"/>
                <w:sz w:val="18"/>
              </w:rPr>
              <w:t>Variable</w:t>
            </w:r>
          </w:p>
        </w:tc>
        <w:tc>
          <w:tcPr>
            <w:tcW w:w="1220" w:type="dxa"/>
            <w:tcBorders>
              <w:top w:val="double" w:sz="6" w:space="0" w:color="000000"/>
              <w:bottom w:val="double" w:sz="6" w:space="0" w:color="000000"/>
            </w:tcBorders>
          </w:tcPr>
          <w:p>
            <w:pPr>
              <w:pStyle w:val="TableParagraph"/>
              <w:spacing w:before="106"/>
              <w:ind w:right="103"/>
              <w:jc w:val="right"/>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6"/>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6"/>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6"/>
              <w:ind w:left="375"/>
              <w:rPr>
                <w:sz w:val="18"/>
              </w:rPr>
            </w:pPr>
            <w:r>
              <w:rPr>
                <w:spacing w:val="-2"/>
                <w:sz w:val="18"/>
              </w:rPr>
              <w:t>Prob.</w:t>
            </w:r>
          </w:p>
        </w:tc>
      </w:tr>
      <w:tr>
        <w:trPr>
          <w:trHeight w:val="327" w:hRule="atLeast"/>
        </w:trPr>
        <w:tc>
          <w:tcPr>
            <w:tcW w:w="1995" w:type="dxa"/>
            <w:tcBorders>
              <w:top w:val="double" w:sz="6" w:space="0" w:color="000000"/>
            </w:tcBorders>
          </w:tcPr>
          <w:p>
            <w:pPr>
              <w:pStyle w:val="TableParagraph"/>
              <w:spacing w:line="199" w:lineRule="exact" w:before="108"/>
              <w:ind w:left="22" w:right="1"/>
              <w:jc w:val="center"/>
              <w:rPr>
                <w:sz w:val="18"/>
              </w:rPr>
            </w:pPr>
            <w:r>
              <w:rPr>
                <w:spacing w:val="-10"/>
                <w:sz w:val="18"/>
              </w:rPr>
              <w:t>C</w:t>
            </w:r>
          </w:p>
        </w:tc>
        <w:tc>
          <w:tcPr>
            <w:tcW w:w="1220" w:type="dxa"/>
            <w:tcBorders>
              <w:top w:val="double" w:sz="6" w:space="0" w:color="000000"/>
            </w:tcBorders>
          </w:tcPr>
          <w:p>
            <w:pPr>
              <w:pStyle w:val="TableParagraph"/>
              <w:spacing w:line="199" w:lineRule="exact" w:before="108"/>
              <w:ind w:right="103"/>
              <w:jc w:val="right"/>
              <w:rPr>
                <w:sz w:val="18"/>
              </w:rPr>
            </w:pPr>
            <w:r>
              <w:rPr>
                <w:spacing w:val="-2"/>
                <w:sz w:val="18"/>
              </w:rPr>
              <w:t>0.227604</w:t>
            </w:r>
          </w:p>
        </w:tc>
        <w:tc>
          <w:tcPr>
            <w:tcW w:w="1491" w:type="dxa"/>
            <w:tcBorders>
              <w:top w:val="double" w:sz="6" w:space="0" w:color="000000"/>
            </w:tcBorders>
          </w:tcPr>
          <w:p>
            <w:pPr>
              <w:pStyle w:val="TableParagraph"/>
              <w:spacing w:line="199" w:lineRule="exact" w:before="108"/>
              <w:ind w:left="351"/>
              <w:rPr>
                <w:sz w:val="18"/>
              </w:rPr>
            </w:pPr>
            <w:r>
              <w:rPr>
                <w:spacing w:val="-2"/>
                <w:sz w:val="18"/>
              </w:rPr>
              <w:t>0.077337</w:t>
            </w:r>
          </w:p>
        </w:tc>
        <w:tc>
          <w:tcPr>
            <w:tcW w:w="910" w:type="dxa"/>
            <w:tcBorders>
              <w:top w:val="double" w:sz="6" w:space="0" w:color="000000"/>
            </w:tcBorders>
          </w:tcPr>
          <w:p>
            <w:pPr>
              <w:pStyle w:val="TableParagraph"/>
              <w:spacing w:line="199" w:lineRule="exact" w:before="108"/>
              <w:ind w:right="89"/>
              <w:jc w:val="right"/>
              <w:rPr>
                <w:sz w:val="18"/>
              </w:rPr>
            </w:pPr>
            <w:r>
              <w:rPr>
                <w:spacing w:val="-2"/>
                <w:sz w:val="18"/>
              </w:rPr>
              <w:t>2.942997</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0.0037</w:t>
            </w:r>
          </w:p>
        </w:tc>
      </w:tr>
      <w:tr>
        <w:trPr>
          <w:trHeight w:val="224" w:hRule="atLeast"/>
        </w:trPr>
        <w:tc>
          <w:tcPr>
            <w:tcW w:w="1995" w:type="dxa"/>
          </w:tcPr>
          <w:p>
            <w:pPr>
              <w:pStyle w:val="TableParagraph"/>
              <w:spacing w:line="198" w:lineRule="exact" w:before="6"/>
              <w:ind w:left="22"/>
              <w:jc w:val="center"/>
              <w:rPr>
                <w:sz w:val="18"/>
              </w:rPr>
            </w:pPr>
            <w:r>
              <w:rPr>
                <w:spacing w:val="-5"/>
                <w:sz w:val="18"/>
              </w:rPr>
              <w:t>TG</w:t>
            </w:r>
          </w:p>
        </w:tc>
        <w:tc>
          <w:tcPr>
            <w:tcW w:w="1220" w:type="dxa"/>
          </w:tcPr>
          <w:p>
            <w:pPr>
              <w:pStyle w:val="TableParagraph"/>
              <w:spacing w:line="198" w:lineRule="exact" w:before="6"/>
              <w:ind w:right="103"/>
              <w:jc w:val="right"/>
              <w:rPr>
                <w:sz w:val="18"/>
              </w:rPr>
            </w:pPr>
            <w:r>
              <w:rPr>
                <w:spacing w:val="-2"/>
                <w:sz w:val="18"/>
              </w:rPr>
              <w:t>0.023062</w:t>
            </w:r>
          </w:p>
        </w:tc>
        <w:tc>
          <w:tcPr>
            <w:tcW w:w="1491" w:type="dxa"/>
          </w:tcPr>
          <w:p>
            <w:pPr>
              <w:pStyle w:val="TableParagraph"/>
              <w:spacing w:line="198" w:lineRule="exact" w:before="6"/>
              <w:ind w:left="351"/>
              <w:rPr>
                <w:sz w:val="18"/>
              </w:rPr>
            </w:pPr>
            <w:r>
              <w:rPr>
                <w:spacing w:val="-2"/>
                <w:sz w:val="18"/>
              </w:rPr>
              <w:t>0.018909</w:t>
            </w:r>
          </w:p>
        </w:tc>
        <w:tc>
          <w:tcPr>
            <w:tcW w:w="910" w:type="dxa"/>
          </w:tcPr>
          <w:p>
            <w:pPr>
              <w:pStyle w:val="TableParagraph"/>
              <w:spacing w:line="198" w:lineRule="exact" w:before="6"/>
              <w:ind w:right="89"/>
              <w:jc w:val="right"/>
              <w:rPr>
                <w:sz w:val="18"/>
              </w:rPr>
            </w:pPr>
            <w:r>
              <w:rPr>
                <w:spacing w:val="-2"/>
                <w:sz w:val="18"/>
              </w:rPr>
              <w:t>1.219599</w:t>
            </w:r>
          </w:p>
        </w:tc>
        <w:tc>
          <w:tcPr>
            <w:tcW w:w="914" w:type="dxa"/>
          </w:tcPr>
          <w:p>
            <w:pPr>
              <w:pStyle w:val="TableParagraph"/>
              <w:spacing w:line="198" w:lineRule="exact" w:before="6"/>
              <w:ind w:right="5"/>
              <w:jc w:val="right"/>
              <w:rPr>
                <w:sz w:val="18"/>
              </w:rPr>
            </w:pPr>
            <w:r>
              <w:rPr>
                <w:spacing w:val="-2"/>
                <w:sz w:val="18"/>
              </w:rPr>
              <w:t>0.2242</w:t>
            </w:r>
          </w:p>
        </w:tc>
      </w:tr>
      <w:tr>
        <w:trPr>
          <w:trHeight w:val="224" w:hRule="atLeast"/>
        </w:trPr>
        <w:tc>
          <w:tcPr>
            <w:tcW w:w="1995" w:type="dxa"/>
          </w:tcPr>
          <w:p>
            <w:pPr>
              <w:pStyle w:val="TableParagraph"/>
              <w:spacing w:line="200" w:lineRule="exact" w:before="5"/>
              <w:ind w:left="22" w:right="4"/>
              <w:jc w:val="center"/>
              <w:rPr>
                <w:sz w:val="18"/>
              </w:rPr>
            </w:pPr>
            <w:r>
              <w:rPr>
                <w:spacing w:val="-4"/>
                <w:sz w:val="18"/>
              </w:rPr>
              <w:t>IFRS</w:t>
            </w:r>
          </w:p>
        </w:tc>
        <w:tc>
          <w:tcPr>
            <w:tcW w:w="1220" w:type="dxa"/>
          </w:tcPr>
          <w:p>
            <w:pPr>
              <w:pStyle w:val="TableParagraph"/>
              <w:spacing w:line="200" w:lineRule="exact" w:before="5"/>
              <w:ind w:right="103"/>
              <w:jc w:val="right"/>
              <w:rPr>
                <w:sz w:val="18"/>
              </w:rPr>
            </w:pPr>
            <w:r>
              <w:rPr>
                <w:spacing w:val="-2"/>
                <w:sz w:val="18"/>
              </w:rPr>
              <w:t>0.084018</w:t>
            </w:r>
          </w:p>
        </w:tc>
        <w:tc>
          <w:tcPr>
            <w:tcW w:w="1491" w:type="dxa"/>
          </w:tcPr>
          <w:p>
            <w:pPr>
              <w:pStyle w:val="TableParagraph"/>
              <w:spacing w:line="200" w:lineRule="exact" w:before="5"/>
              <w:ind w:left="351"/>
              <w:rPr>
                <w:sz w:val="18"/>
              </w:rPr>
            </w:pPr>
            <w:r>
              <w:rPr>
                <w:spacing w:val="-2"/>
                <w:sz w:val="18"/>
              </w:rPr>
              <w:t>0.023378</w:t>
            </w:r>
          </w:p>
        </w:tc>
        <w:tc>
          <w:tcPr>
            <w:tcW w:w="910" w:type="dxa"/>
          </w:tcPr>
          <w:p>
            <w:pPr>
              <w:pStyle w:val="TableParagraph"/>
              <w:spacing w:line="200" w:lineRule="exact" w:before="5"/>
              <w:ind w:right="89"/>
              <w:jc w:val="right"/>
              <w:rPr>
                <w:sz w:val="18"/>
              </w:rPr>
            </w:pPr>
            <w:r>
              <w:rPr>
                <w:spacing w:val="-2"/>
                <w:sz w:val="18"/>
              </w:rPr>
              <w:t>3.593884</w:t>
            </w:r>
          </w:p>
        </w:tc>
        <w:tc>
          <w:tcPr>
            <w:tcW w:w="914" w:type="dxa"/>
          </w:tcPr>
          <w:p>
            <w:pPr>
              <w:pStyle w:val="TableParagraph"/>
              <w:spacing w:line="200" w:lineRule="exact" w:before="5"/>
              <w:ind w:right="5"/>
              <w:jc w:val="right"/>
              <w:rPr>
                <w:sz w:val="18"/>
              </w:rPr>
            </w:pPr>
            <w:r>
              <w:rPr>
                <w:spacing w:val="-2"/>
                <w:sz w:val="18"/>
              </w:rPr>
              <w:t>0.0004</w:t>
            </w:r>
          </w:p>
        </w:tc>
      </w:tr>
      <w:tr>
        <w:trPr>
          <w:trHeight w:val="225" w:hRule="atLeast"/>
        </w:trPr>
        <w:tc>
          <w:tcPr>
            <w:tcW w:w="1995" w:type="dxa"/>
          </w:tcPr>
          <w:p>
            <w:pPr>
              <w:pStyle w:val="TableParagraph"/>
              <w:spacing w:line="199" w:lineRule="exact" w:before="6"/>
              <w:ind w:left="643"/>
              <w:rPr>
                <w:sz w:val="18"/>
              </w:rPr>
            </w:pPr>
            <w:r>
              <w:rPr>
                <w:spacing w:val="-2"/>
                <w:sz w:val="18"/>
              </w:rPr>
              <w:t>IFRS*TG</w:t>
            </w:r>
          </w:p>
        </w:tc>
        <w:tc>
          <w:tcPr>
            <w:tcW w:w="1220" w:type="dxa"/>
          </w:tcPr>
          <w:p>
            <w:pPr>
              <w:pStyle w:val="TableParagraph"/>
              <w:spacing w:line="199" w:lineRule="exact" w:before="6"/>
              <w:ind w:right="103"/>
              <w:jc w:val="right"/>
              <w:rPr>
                <w:sz w:val="18"/>
              </w:rPr>
            </w:pPr>
            <w:r>
              <w:rPr>
                <w:spacing w:val="-2"/>
                <w:sz w:val="18"/>
              </w:rPr>
              <w:t>-0.056797</w:t>
            </w:r>
          </w:p>
        </w:tc>
        <w:tc>
          <w:tcPr>
            <w:tcW w:w="1491" w:type="dxa"/>
          </w:tcPr>
          <w:p>
            <w:pPr>
              <w:pStyle w:val="TableParagraph"/>
              <w:spacing w:line="199" w:lineRule="exact" w:before="6"/>
              <w:ind w:left="351"/>
              <w:rPr>
                <w:sz w:val="18"/>
              </w:rPr>
            </w:pPr>
            <w:r>
              <w:rPr>
                <w:spacing w:val="-2"/>
                <w:sz w:val="18"/>
              </w:rPr>
              <w:t>0.033277</w:t>
            </w:r>
          </w:p>
        </w:tc>
        <w:tc>
          <w:tcPr>
            <w:tcW w:w="910" w:type="dxa"/>
          </w:tcPr>
          <w:p>
            <w:pPr>
              <w:pStyle w:val="TableParagraph"/>
              <w:spacing w:line="199" w:lineRule="exact" w:before="6"/>
              <w:ind w:right="89"/>
              <w:jc w:val="right"/>
              <w:rPr>
                <w:sz w:val="18"/>
              </w:rPr>
            </w:pPr>
            <w:r>
              <w:rPr>
                <w:spacing w:val="-2"/>
                <w:sz w:val="18"/>
              </w:rPr>
              <w:t>-1.706791</w:t>
            </w:r>
          </w:p>
        </w:tc>
        <w:tc>
          <w:tcPr>
            <w:tcW w:w="914" w:type="dxa"/>
          </w:tcPr>
          <w:p>
            <w:pPr>
              <w:pStyle w:val="TableParagraph"/>
              <w:spacing w:line="199" w:lineRule="exact" w:before="6"/>
              <w:ind w:right="5"/>
              <w:jc w:val="right"/>
              <w:rPr>
                <w:sz w:val="18"/>
              </w:rPr>
            </w:pPr>
            <w:r>
              <w:rPr>
                <w:spacing w:val="-2"/>
                <w:sz w:val="18"/>
              </w:rPr>
              <w:t>0.0895</w:t>
            </w:r>
          </w:p>
        </w:tc>
      </w:tr>
      <w:tr>
        <w:trPr>
          <w:trHeight w:val="225" w:hRule="atLeast"/>
        </w:trPr>
        <w:tc>
          <w:tcPr>
            <w:tcW w:w="1995" w:type="dxa"/>
          </w:tcPr>
          <w:p>
            <w:pPr>
              <w:pStyle w:val="TableParagraph"/>
              <w:spacing w:line="199" w:lineRule="exact" w:before="6"/>
              <w:ind w:left="676"/>
              <w:rPr>
                <w:sz w:val="18"/>
              </w:rPr>
            </w:pPr>
            <w:r>
              <w:rPr>
                <w:spacing w:val="-2"/>
                <w:sz w:val="18"/>
              </w:rPr>
              <w:t>BLOWN</w:t>
            </w:r>
          </w:p>
        </w:tc>
        <w:tc>
          <w:tcPr>
            <w:tcW w:w="1220" w:type="dxa"/>
          </w:tcPr>
          <w:p>
            <w:pPr>
              <w:pStyle w:val="TableParagraph"/>
              <w:spacing w:line="199" w:lineRule="exact" w:before="6"/>
              <w:ind w:right="103"/>
              <w:jc w:val="right"/>
              <w:rPr>
                <w:sz w:val="18"/>
              </w:rPr>
            </w:pPr>
            <w:r>
              <w:rPr>
                <w:spacing w:val="-2"/>
                <w:sz w:val="18"/>
              </w:rPr>
              <w:t>0.000900</w:t>
            </w:r>
          </w:p>
        </w:tc>
        <w:tc>
          <w:tcPr>
            <w:tcW w:w="1491" w:type="dxa"/>
          </w:tcPr>
          <w:p>
            <w:pPr>
              <w:pStyle w:val="TableParagraph"/>
              <w:spacing w:line="199" w:lineRule="exact" w:before="6"/>
              <w:ind w:left="351"/>
              <w:rPr>
                <w:sz w:val="18"/>
              </w:rPr>
            </w:pPr>
            <w:r>
              <w:rPr>
                <w:spacing w:val="-2"/>
                <w:sz w:val="18"/>
              </w:rPr>
              <w:t>0.000262</w:t>
            </w:r>
          </w:p>
        </w:tc>
        <w:tc>
          <w:tcPr>
            <w:tcW w:w="910" w:type="dxa"/>
          </w:tcPr>
          <w:p>
            <w:pPr>
              <w:pStyle w:val="TableParagraph"/>
              <w:spacing w:line="199" w:lineRule="exact" w:before="6"/>
              <w:ind w:right="89"/>
              <w:jc w:val="right"/>
              <w:rPr>
                <w:sz w:val="18"/>
              </w:rPr>
            </w:pPr>
            <w:r>
              <w:rPr>
                <w:spacing w:val="-2"/>
                <w:sz w:val="18"/>
              </w:rPr>
              <w:t>3.442463</w:t>
            </w:r>
          </w:p>
        </w:tc>
        <w:tc>
          <w:tcPr>
            <w:tcW w:w="914" w:type="dxa"/>
          </w:tcPr>
          <w:p>
            <w:pPr>
              <w:pStyle w:val="TableParagraph"/>
              <w:spacing w:line="199" w:lineRule="exact" w:before="6"/>
              <w:ind w:right="5"/>
              <w:jc w:val="right"/>
              <w:rPr>
                <w:sz w:val="18"/>
              </w:rPr>
            </w:pPr>
            <w:r>
              <w:rPr>
                <w:spacing w:val="-2"/>
                <w:sz w:val="18"/>
              </w:rPr>
              <w:t>0.0007</w:t>
            </w:r>
          </w:p>
        </w:tc>
      </w:tr>
      <w:tr>
        <w:trPr>
          <w:trHeight w:val="224" w:hRule="atLeast"/>
        </w:trPr>
        <w:tc>
          <w:tcPr>
            <w:tcW w:w="1995" w:type="dxa"/>
          </w:tcPr>
          <w:p>
            <w:pPr>
              <w:pStyle w:val="TableParagraph"/>
              <w:spacing w:line="198" w:lineRule="exact" w:before="6"/>
              <w:ind w:left="22" w:right="4"/>
              <w:jc w:val="center"/>
              <w:rPr>
                <w:sz w:val="18"/>
              </w:rPr>
            </w:pPr>
            <w:r>
              <w:rPr>
                <w:spacing w:val="-4"/>
                <w:sz w:val="18"/>
              </w:rPr>
              <w:t>FOWN</w:t>
            </w:r>
          </w:p>
        </w:tc>
        <w:tc>
          <w:tcPr>
            <w:tcW w:w="1220" w:type="dxa"/>
          </w:tcPr>
          <w:p>
            <w:pPr>
              <w:pStyle w:val="TableParagraph"/>
              <w:spacing w:line="198" w:lineRule="exact" w:before="6"/>
              <w:ind w:right="103"/>
              <w:jc w:val="right"/>
              <w:rPr>
                <w:sz w:val="18"/>
              </w:rPr>
            </w:pPr>
            <w:r>
              <w:rPr>
                <w:spacing w:val="-2"/>
                <w:sz w:val="18"/>
              </w:rPr>
              <w:t>-0.000297</w:t>
            </w:r>
          </w:p>
        </w:tc>
        <w:tc>
          <w:tcPr>
            <w:tcW w:w="1491" w:type="dxa"/>
          </w:tcPr>
          <w:p>
            <w:pPr>
              <w:pStyle w:val="TableParagraph"/>
              <w:spacing w:line="198" w:lineRule="exact" w:before="6"/>
              <w:ind w:left="351"/>
              <w:rPr>
                <w:sz w:val="18"/>
              </w:rPr>
            </w:pPr>
            <w:r>
              <w:rPr>
                <w:spacing w:val="-2"/>
                <w:sz w:val="18"/>
              </w:rPr>
              <w:t>0.000317</w:t>
            </w:r>
          </w:p>
        </w:tc>
        <w:tc>
          <w:tcPr>
            <w:tcW w:w="910" w:type="dxa"/>
          </w:tcPr>
          <w:p>
            <w:pPr>
              <w:pStyle w:val="TableParagraph"/>
              <w:spacing w:line="198" w:lineRule="exact" w:before="6"/>
              <w:ind w:right="89"/>
              <w:jc w:val="right"/>
              <w:rPr>
                <w:sz w:val="18"/>
              </w:rPr>
            </w:pPr>
            <w:r>
              <w:rPr>
                <w:spacing w:val="-2"/>
                <w:sz w:val="18"/>
              </w:rPr>
              <w:t>-0.936812</w:t>
            </w:r>
          </w:p>
        </w:tc>
        <w:tc>
          <w:tcPr>
            <w:tcW w:w="914" w:type="dxa"/>
          </w:tcPr>
          <w:p>
            <w:pPr>
              <w:pStyle w:val="TableParagraph"/>
              <w:spacing w:line="198" w:lineRule="exact" w:before="6"/>
              <w:ind w:right="5"/>
              <w:jc w:val="right"/>
              <w:rPr>
                <w:sz w:val="18"/>
              </w:rPr>
            </w:pPr>
            <w:r>
              <w:rPr>
                <w:spacing w:val="-2"/>
                <w:sz w:val="18"/>
              </w:rPr>
              <w:t>0.3501</w:t>
            </w:r>
          </w:p>
        </w:tc>
      </w:tr>
      <w:tr>
        <w:trPr>
          <w:trHeight w:val="224" w:hRule="atLeast"/>
        </w:trPr>
        <w:tc>
          <w:tcPr>
            <w:tcW w:w="1995" w:type="dxa"/>
          </w:tcPr>
          <w:p>
            <w:pPr>
              <w:pStyle w:val="TableParagraph"/>
              <w:spacing w:line="199" w:lineRule="exact" w:before="5"/>
              <w:ind w:left="583"/>
              <w:rPr>
                <w:sz w:val="18"/>
              </w:rPr>
            </w:pPr>
            <w:r>
              <w:rPr>
                <w:spacing w:val="-2"/>
                <w:sz w:val="18"/>
              </w:rPr>
              <w:t>INSTOWN</w:t>
            </w:r>
          </w:p>
        </w:tc>
        <w:tc>
          <w:tcPr>
            <w:tcW w:w="1220" w:type="dxa"/>
          </w:tcPr>
          <w:p>
            <w:pPr>
              <w:pStyle w:val="TableParagraph"/>
              <w:spacing w:line="199" w:lineRule="exact" w:before="5"/>
              <w:ind w:right="103"/>
              <w:jc w:val="right"/>
              <w:rPr>
                <w:sz w:val="18"/>
              </w:rPr>
            </w:pPr>
            <w:r>
              <w:rPr>
                <w:spacing w:val="-2"/>
                <w:sz w:val="18"/>
              </w:rPr>
              <w:t>-0.001082</w:t>
            </w:r>
          </w:p>
        </w:tc>
        <w:tc>
          <w:tcPr>
            <w:tcW w:w="1491" w:type="dxa"/>
          </w:tcPr>
          <w:p>
            <w:pPr>
              <w:pStyle w:val="TableParagraph"/>
              <w:spacing w:line="199" w:lineRule="exact" w:before="5"/>
              <w:ind w:left="351"/>
              <w:rPr>
                <w:sz w:val="18"/>
              </w:rPr>
            </w:pPr>
            <w:r>
              <w:rPr>
                <w:spacing w:val="-2"/>
                <w:sz w:val="18"/>
              </w:rPr>
              <w:t>0.000272</w:t>
            </w:r>
          </w:p>
        </w:tc>
        <w:tc>
          <w:tcPr>
            <w:tcW w:w="910" w:type="dxa"/>
          </w:tcPr>
          <w:p>
            <w:pPr>
              <w:pStyle w:val="TableParagraph"/>
              <w:spacing w:line="199" w:lineRule="exact" w:before="5"/>
              <w:ind w:right="89"/>
              <w:jc w:val="right"/>
              <w:rPr>
                <w:sz w:val="18"/>
              </w:rPr>
            </w:pPr>
            <w:r>
              <w:rPr>
                <w:spacing w:val="-2"/>
                <w:sz w:val="18"/>
              </w:rPr>
              <w:t>-3.972654</w:t>
            </w:r>
          </w:p>
        </w:tc>
        <w:tc>
          <w:tcPr>
            <w:tcW w:w="914" w:type="dxa"/>
          </w:tcPr>
          <w:p>
            <w:pPr>
              <w:pStyle w:val="TableParagraph"/>
              <w:spacing w:line="199" w:lineRule="exact" w:before="5"/>
              <w:ind w:right="5"/>
              <w:jc w:val="right"/>
              <w:rPr>
                <w:sz w:val="18"/>
              </w:rPr>
            </w:pPr>
            <w:r>
              <w:rPr>
                <w:spacing w:val="-2"/>
                <w:sz w:val="18"/>
              </w:rPr>
              <w:t>0.0001</w:t>
            </w:r>
          </w:p>
        </w:tc>
      </w:tr>
      <w:tr>
        <w:trPr>
          <w:trHeight w:val="225" w:hRule="atLeast"/>
        </w:trPr>
        <w:tc>
          <w:tcPr>
            <w:tcW w:w="1995" w:type="dxa"/>
          </w:tcPr>
          <w:p>
            <w:pPr>
              <w:pStyle w:val="TableParagraph"/>
              <w:spacing w:line="199" w:lineRule="exact" w:before="6"/>
              <w:ind w:left="22" w:right="2"/>
              <w:jc w:val="center"/>
              <w:rPr>
                <w:sz w:val="18"/>
              </w:rPr>
            </w:pPr>
            <w:r>
              <w:rPr>
                <w:spacing w:val="-4"/>
                <w:sz w:val="18"/>
              </w:rPr>
              <w:t>MOWN</w:t>
            </w:r>
          </w:p>
        </w:tc>
        <w:tc>
          <w:tcPr>
            <w:tcW w:w="1220" w:type="dxa"/>
          </w:tcPr>
          <w:p>
            <w:pPr>
              <w:pStyle w:val="TableParagraph"/>
              <w:spacing w:line="199" w:lineRule="exact" w:before="6"/>
              <w:ind w:right="103"/>
              <w:jc w:val="right"/>
              <w:rPr>
                <w:sz w:val="18"/>
              </w:rPr>
            </w:pPr>
            <w:r>
              <w:rPr>
                <w:spacing w:val="-2"/>
                <w:sz w:val="18"/>
              </w:rPr>
              <w:t>-0.000111</w:t>
            </w:r>
          </w:p>
        </w:tc>
        <w:tc>
          <w:tcPr>
            <w:tcW w:w="1491" w:type="dxa"/>
          </w:tcPr>
          <w:p>
            <w:pPr>
              <w:pStyle w:val="TableParagraph"/>
              <w:spacing w:line="199" w:lineRule="exact" w:before="6"/>
              <w:ind w:left="351"/>
              <w:rPr>
                <w:sz w:val="18"/>
              </w:rPr>
            </w:pPr>
            <w:r>
              <w:rPr>
                <w:spacing w:val="-2"/>
                <w:sz w:val="18"/>
              </w:rPr>
              <w:t>0.000251</w:t>
            </w:r>
          </w:p>
        </w:tc>
        <w:tc>
          <w:tcPr>
            <w:tcW w:w="910" w:type="dxa"/>
          </w:tcPr>
          <w:p>
            <w:pPr>
              <w:pStyle w:val="TableParagraph"/>
              <w:spacing w:line="199" w:lineRule="exact" w:before="6"/>
              <w:ind w:right="89"/>
              <w:jc w:val="right"/>
              <w:rPr>
                <w:sz w:val="18"/>
              </w:rPr>
            </w:pPr>
            <w:r>
              <w:rPr>
                <w:spacing w:val="-2"/>
                <w:sz w:val="18"/>
              </w:rPr>
              <w:t>-0.444753</w:t>
            </w:r>
          </w:p>
        </w:tc>
        <w:tc>
          <w:tcPr>
            <w:tcW w:w="914" w:type="dxa"/>
          </w:tcPr>
          <w:p>
            <w:pPr>
              <w:pStyle w:val="TableParagraph"/>
              <w:spacing w:line="199" w:lineRule="exact" w:before="6"/>
              <w:ind w:right="5"/>
              <w:jc w:val="right"/>
              <w:rPr>
                <w:sz w:val="18"/>
              </w:rPr>
            </w:pPr>
            <w:r>
              <w:rPr>
                <w:spacing w:val="-2"/>
                <w:sz w:val="18"/>
              </w:rPr>
              <w:t>0.6570</w:t>
            </w:r>
          </w:p>
        </w:tc>
      </w:tr>
      <w:tr>
        <w:trPr>
          <w:trHeight w:val="225" w:hRule="atLeast"/>
        </w:trPr>
        <w:tc>
          <w:tcPr>
            <w:tcW w:w="1995" w:type="dxa"/>
          </w:tcPr>
          <w:p>
            <w:pPr>
              <w:pStyle w:val="TableParagraph"/>
              <w:spacing w:line="199" w:lineRule="exact" w:before="6"/>
              <w:ind w:left="22" w:right="1"/>
              <w:jc w:val="center"/>
              <w:rPr>
                <w:sz w:val="18"/>
              </w:rPr>
            </w:pPr>
            <w:r>
              <w:rPr>
                <w:spacing w:val="-4"/>
                <w:sz w:val="18"/>
              </w:rPr>
              <w:t>FAGE</w:t>
            </w:r>
          </w:p>
        </w:tc>
        <w:tc>
          <w:tcPr>
            <w:tcW w:w="1220" w:type="dxa"/>
          </w:tcPr>
          <w:p>
            <w:pPr>
              <w:pStyle w:val="TableParagraph"/>
              <w:spacing w:line="199" w:lineRule="exact" w:before="6"/>
              <w:ind w:right="104"/>
              <w:jc w:val="right"/>
              <w:rPr>
                <w:sz w:val="18"/>
              </w:rPr>
            </w:pPr>
            <w:r>
              <w:rPr>
                <w:spacing w:val="-2"/>
                <w:sz w:val="18"/>
              </w:rPr>
              <w:t>-4.33E-</w:t>
            </w:r>
            <w:r>
              <w:rPr>
                <w:spacing w:val="-5"/>
                <w:sz w:val="18"/>
              </w:rPr>
              <w:t>05</w:t>
            </w:r>
          </w:p>
        </w:tc>
        <w:tc>
          <w:tcPr>
            <w:tcW w:w="1491" w:type="dxa"/>
          </w:tcPr>
          <w:p>
            <w:pPr>
              <w:pStyle w:val="TableParagraph"/>
              <w:spacing w:line="199" w:lineRule="exact" w:before="6"/>
              <w:ind w:left="351"/>
              <w:rPr>
                <w:sz w:val="18"/>
              </w:rPr>
            </w:pPr>
            <w:r>
              <w:rPr>
                <w:spacing w:val="-2"/>
                <w:sz w:val="18"/>
              </w:rPr>
              <w:t>0.000402</w:t>
            </w:r>
          </w:p>
        </w:tc>
        <w:tc>
          <w:tcPr>
            <w:tcW w:w="910" w:type="dxa"/>
          </w:tcPr>
          <w:p>
            <w:pPr>
              <w:pStyle w:val="TableParagraph"/>
              <w:spacing w:line="199" w:lineRule="exact" w:before="6"/>
              <w:ind w:right="89"/>
              <w:jc w:val="right"/>
              <w:rPr>
                <w:sz w:val="18"/>
              </w:rPr>
            </w:pPr>
            <w:r>
              <w:rPr>
                <w:spacing w:val="-2"/>
                <w:sz w:val="18"/>
              </w:rPr>
              <w:t>-0.107649</w:t>
            </w:r>
          </w:p>
        </w:tc>
        <w:tc>
          <w:tcPr>
            <w:tcW w:w="914" w:type="dxa"/>
          </w:tcPr>
          <w:p>
            <w:pPr>
              <w:pStyle w:val="TableParagraph"/>
              <w:spacing w:line="199" w:lineRule="exact" w:before="6"/>
              <w:ind w:right="5"/>
              <w:jc w:val="right"/>
              <w:rPr>
                <w:sz w:val="18"/>
              </w:rPr>
            </w:pPr>
            <w:r>
              <w:rPr>
                <w:spacing w:val="-2"/>
                <w:sz w:val="18"/>
              </w:rPr>
              <w:t>0.9144</w:t>
            </w:r>
          </w:p>
        </w:tc>
      </w:tr>
      <w:tr>
        <w:trPr>
          <w:trHeight w:val="224" w:hRule="atLeast"/>
        </w:trPr>
        <w:tc>
          <w:tcPr>
            <w:tcW w:w="1995" w:type="dxa"/>
          </w:tcPr>
          <w:p>
            <w:pPr>
              <w:pStyle w:val="TableParagraph"/>
              <w:spacing w:line="198" w:lineRule="exact" w:before="6"/>
              <w:ind w:left="22" w:right="5"/>
              <w:jc w:val="center"/>
              <w:rPr>
                <w:sz w:val="18"/>
              </w:rPr>
            </w:pPr>
            <w:r>
              <w:rPr>
                <w:spacing w:val="-2"/>
                <w:sz w:val="18"/>
              </w:rPr>
              <w:t>FSIZE</w:t>
            </w:r>
          </w:p>
        </w:tc>
        <w:tc>
          <w:tcPr>
            <w:tcW w:w="1220" w:type="dxa"/>
          </w:tcPr>
          <w:p>
            <w:pPr>
              <w:pStyle w:val="TableParagraph"/>
              <w:spacing w:line="198" w:lineRule="exact" w:before="6"/>
              <w:ind w:right="103"/>
              <w:jc w:val="right"/>
              <w:rPr>
                <w:sz w:val="18"/>
              </w:rPr>
            </w:pPr>
            <w:r>
              <w:rPr>
                <w:spacing w:val="-2"/>
                <w:sz w:val="18"/>
              </w:rPr>
              <w:t>0.036865</w:t>
            </w:r>
          </w:p>
        </w:tc>
        <w:tc>
          <w:tcPr>
            <w:tcW w:w="1491" w:type="dxa"/>
          </w:tcPr>
          <w:p>
            <w:pPr>
              <w:pStyle w:val="TableParagraph"/>
              <w:spacing w:line="198" w:lineRule="exact" w:before="6"/>
              <w:ind w:left="351"/>
              <w:rPr>
                <w:sz w:val="18"/>
              </w:rPr>
            </w:pPr>
            <w:r>
              <w:rPr>
                <w:spacing w:val="-2"/>
                <w:sz w:val="18"/>
              </w:rPr>
              <w:t>0.008862</w:t>
            </w:r>
          </w:p>
        </w:tc>
        <w:tc>
          <w:tcPr>
            <w:tcW w:w="910" w:type="dxa"/>
          </w:tcPr>
          <w:p>
            <w:pPr>
              <w:pStyle w:val="TableParagraph"/>
              <w:spacing w:line="198" w:lineRule="exact" w:before="6"/>
              <w:ind w:right="89"/>
              <w:jc w:val="right"/>
              <w:rPr>
                <w:sz w:val="18"/>
              </w:rPr>
            </w:pPr>
            <w:r>
              <w:rPr>
                <w:spacing w:val="-2"/>
                <w:sz w:val="18"/>
              </w:rPr>
              <w:t>4.160072</w:t>
            </w:r>
          </w:p>
        </w:tc>
        <w:tc>
          <w:tcPr>
            <w:tcW w:w="914" w:type="dxa"/>
          </w:tcPr>
          <w:p>
            <w:pPr>
              <w:pStyle w:val="TableParagraph"/>
              <w:spacing w:line="198" w:lineRule="exact" w:before="6"/>
              <w:ind w:right="5"/>
              <w:jc w:val="right"/>
              <w:rPr>
                <w:sz w:val="18"/>
              </w:rPr>
            </w:pPr>
            <w:r>
              <w:rPr>
                <w:spacing w:val="-2"/>
                <w:sz w:val="18"/>
              </w:rPr>
              <w:t>0.0000</w:t>
            </w:r>
          </w:p>
        </w:tc>
      </w:tr>
      <w:tr>
        <w:trPr>
          <w:trHeight w:val="302" w:hRule="atLeast"/>
        </w:trPr>
        <w:tc>
          <w:tcPr>
            <w:tcW w:w="1995" w:type="dxa"/>
            <w:tcBorders>
              <w:bottom w:val="double" w:sz="6" w:space="0" w:color="000000"/>
            </w:tcBorders>
          </w:tcPr>
          <w:p>
            <w:pPr>
              <w:pStyle w:val="TableParagraph"/>
              <w:spacing w:before="5"/>
              <w:ind w:left="523"/>
              <w:rPr>
                <w:sz w:val="18"/>
              </w:rPr>
            </w:pPr>
            <w:r>
              <w:rPr>
                <w:spacing w:val="-2"/>
                <w:sz w:val="18"/>
              </w:rPr>
              <w:t>LEVERAGE</w:t>
            </w:r>
          </w:p>
        </w:tc>
        <w:tc>
          <w:tcPr>
            <w:tcW w:w="1220" w:type="dxa"/>
            <w:tcBorders>
              <w:bottom w:val="double" w:sz="6" w:space="0" w:color="000000"/>
            </w:tcBorders>
          </w:tcPr>
          <w:p>
            <w:pPr>
              <w:pStyle w:val="TableParagraph"/>
              <w:spacing w:before="5"/>
              <w:ind w:right="103"/>
              <w:jc w:val="right"/>
              <w:rPr>
                <w:sz w:val="18"/>
              </w:rPr>
            </w:pPr>
            <w:r>
              <w:rPr>
                <w:spacing w:val="-2"/>
                <w:sz w:val="18"/>
              </w:rPr>
              <w:t>-0.001605</w:t>
            </w:r>
          </w:p>
        </w:tc>
        <w:tc>
          <w:tcPr>
            <w:tcW w:w="1491" w:type="dxa"/>
            <w:tcBorders>
              <w:bottom w:val="double" w:sz="6" w:space="0" w:color="000000"/>
            </w:tcBorders>
          </w:tcPr>
          <w:p>
            <w:pPr>
              <w:pStyle w:val="TableParagraph"/>
              <w:spacing w:before="5"/>
              <w:ind w:left="351"/>
              <w:rPr>
                <w:sz w:val="18"/>
              </w:rPr>
            </w:pPr>
            <w:r>
              <w:rPr>
                <w:spacing w:val="-2"/>
                <w:sz w:val="18"/>
              </w:rPr>
              <w:t>0.004771</w:t>
            </w:r>
          </w:p>
        </w:tc>
        <w:tc>
          <w:tcPr>
            <w:tcW w:w="910" w:type="dxa"/>
            <w:tcBorders>
              <w:bottom w:val="double" w:sz="6" w:space="0" w:color="000000"/>
            </w:tcBorders>
          </w:tcPr>
          <w:p>
            <w:pPr>
              <w:pStyle w:val="TableParagraph"/>
              <w:spacing w:before="5"/>
              <w:ind w:right="89"/>
              <w:jc w:val="right"/>
              <w:rPr>
                <w:sz w:val="18"/>
              </w:rPr>
            </w:pPr>
            <w:r>
              <w:rPr>
                <w:spacing w:val="-2"/>
                <w:sz w:val="18"/>
              </w:rPr>
              <w:t>-0.336403</w:t>
            </w:r>
          </w:p>
        </w:tc>
        <w:tc>
          <w:tcPr>
            <w:tcW w:w="914" w:type="dxa"/>
            <w:tcBorders>
              <w:bottom w:val="double" w:sz="6" w:space="0" w:color="000000"/>
            </w:tcBorders>
          </w:tcPr>
          <w:p>
            <w:pPr>
              <w:pStyle w:val="TableParagraph"/>
              <w:spacing w:before="5"/>
              <w:ind w:right="5"/>
              <w:jc w:val="right"/>
              <w:rPr>
                <w:sz w:val="18"/>
              </w:rPr>
            </w:pPr>
            <w:r>
              <w:rPr>
                <w:spacing w:val="-2"/>
                <w:sz w:val="18"/>
              </w:rPr>
              <w:t>0.7370</w:t>
            </w:r>
          </w:p>
        </w:tc>
      </w:tr>
      <w:tr>
        <w:trPr>
          <w:trHeight w:val="327" w:hRule="atLeast"/>
        </w:trPr>
        <w:tc>
          <w:tcPr>
            <w:tcW w:w="1995" w:type="dxa"/>
            <w:tcBorders>
              <w:top w:val="double" w:sz="6" w:space="0" w:color="000000"/>
            </w:tcBorders>
          </w:tcPr>
          <w:p>
            <w:pPr>
              <w:pStyle w:val="TableParagraph"/>
              <w:spacing w:line="199" w:lineRule="exact" w:before="108"/>
              <w:rPr>
                <w:sz w:val="18"/>
              </w:rPr>
            </w:pPr>
            <w:r>
              <w:rPr>
                <w:spacing w:val="-2"/>
                <w:sz w:val="18"/>
              </w:rPr>
              <w:t>R-squared</w:t>
            </w:r>
          </w:p>
        </w:tc>
        <w:tc>
          <w:tcPr>
            <w:tcW w:w="1220" w:type="dxa"/>
            <w:tcBorders>
              <w:top w:val="double" w:sz="6" w:space="0" w:color="000000"/>
            </w:tcBorders>
          </w:tcPr>
          <w:p>
            <w:pPr>
              <w:pStyle w:val="TableParagraph"/>
              <w:spacing w:line="199" w:lineRule="exact" w:before="108"/>
              <w:ind w:right="103"/>
              <w:jc w:val="right"/>
              <w:rPr>
                <w:sz w:val="18"/>
              </w:rPr>
            </w:pPr>
            <w:r>
              <w:rPr>
                <w:spacing w:val="-2"/>
                <w:sz w:val="18"/>
              </w:rPr>
              <w:t>0.454449</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0.589536</w:t>
            </w:r>
          </w:p>
        </w:tc>
      </w:tr>
      <w:tr>
        <w:trPr>
          <w:trHeight w:val="224" w:hRule="atLeast"/>
        </w:trPr>
        <w:tc>
          <w:tcPr>
            <w:tcW w:w="1995" w:type="dxa"/>
          </w:tcPr>
          <w:p>
            <w:pPr>
              <w:pStyle w:val="TableParagraph"/>
              <w:spacing w:line="198" w:lineRule="exact" w:before="6"/>
              <w:rPr>
                <w:sz w:val="18"/>
              </w:rPr>
            </w:pPr>
            <w:r>
              <w:rPr>
                <w:sz w:val="18"/>
              </w:rPr>
              <w:t>Adjusted</w:t>
            </w:r>
            <w:r>
              <w:rPr>
                <w:spacing w:val="-9"/>
                <w:sz w:val="18"/>
              </w:rPr>
              <w:t> </w:t>
            </w:r>
            <w:r>
              <w:rPr>
                <w:sz w:val="18"/>
              </w:rPr>
              <w:t>R-</w:t>
            </w:r>
            <w:r>
              <w:rPr>
                <w:spacing w:val="-2"/>
                <w:sz w:val="18"/>
              </w:rPr>
              <w:t>squared</w:t>
            </w:r>
          </w:p>
        </w:tc>
        <w:tc>
          <w:tcPr>
            <w:tcW w:w="1220" w:type="dxa"/>
          </w:tcPr>
          <w:p>
            <w:pPr>
              <w:pStyle w:val="TableParagraph"/>
              <w:spacing w:line="198" w:lineRule="exact" w:before="6"/>
              <w:ind w:right="103"/>
              <w:jc w:val="right"/>
              <w:rPr>
                <w:sz w:val="18"/>
              </w:rPr>
            </w:pPr>
            <w:r>
              <w:rPr>
                <w:spacing w:val="-2"/>
                <w:sz w:val="18"/>
              </w:rPr>
              <w:t>0.424799</w:t>
            </w:r>
          </w:p>
        </w:tc>
        <w:tc>
          <w:tcPr>
            <w:tcW w:w="2401" w:type="dxa"/>
            <w:gridSpan w:val="2"/>
          </w:tcPr>
          <w:p>
            <w:pPr>
              <w:pStyle w:val="TableParagraph"/>
              <w:spacing w:line="198"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8" w:lineRule="exact" w:before="6"/>
              <w:ind w:right="5"/>
              <w:jc w:val="right"/>
              <w:rPr>
                <w:sz w:val="18"/>
              </w:rPr>
            </w:pPr>
            <w:r>
              <w:rPr>
                <w:spacing w:val="-2"/>
                <w:sz w:val="18"/>
              </w:rPr>
              <w:t>0.063313</w:t>
            </w:r>
          </w:p>
        </w:tc>
      </w:tr>
      <w:tr>
        <w:trPr>
          <w:trHeight w:val="224" w:hRule="atLeast"/>
        </w:trPr>
        <w:tc>
          <w:tcPr>
            <w:tcW w:w="1995" w:type="dxa"/>
          </w:tcPr>
          <w:p>
            <w:pPr>
              <w:pStyle w:val="TableParagraph"/>
              <w:spacing w:line="199" w:lineRule="exact" w:before="5"/>
              <w:rPr>
                <w:sz w:val="18"/>
              </w:rPr>
            </w:pPr>
            <w:r>
              <w:rPr>
                <w:sz w:val="18"/>
              </w:rPr>
              <w:t>S.E.</w:t>
            </w:r>
            <w:r>
              <w:rPr>
                <w:spacing w:val="-2"/>
                <w:sz w:val="18"/>
              </w:rPr>
              <w:t> </w:t>
            </w:r>
            <w:r>
              <w:rPr>
                <w:sz w:val="18"/>
              </w:rPr>
              <w:t>of </w:t>
            </w:r>
            <w:r>
              <w:rPr>
                <w:spacing w:val="-2"/>
                <w:sz w:val="18"/>
              </w:rPr>
              <w:t>regression</w:t>
            </w:r>
          </w:p>
        </w:tc>
        <w:tc>
          <w:tcPr>
            <w:tcW w:w="1220" w:type="dxa"/>
          </w:tcPr>
          <w:p>
            <w:pPr>
              <w:pStyle w:val="TableParagraph"/>
              <w:spacing w:line="199" w:lineRule="exact" w:before="5"/>
              <w:ind w:right="103"/>
              <w:jc w:val="right"/>
              <w:rPr>
                <w:sz w:val="18"/>
              </w:rPr>
            </w:pPr>
            <w:r>
              <w:rPr>
                <w:spacing w:val="-2"/>
                <w:sz w:val="18"/>
              </w:rPr>
              <w:t>0.048018</w:t>
            </w:r>
          </w:p>
        </w:tc>
        <w:tc>
          <w:tcPr>
            <w:tcW w:w="2401" w:type="dxa"/>
            <w:gridSpan w:val="2"/>
          </w:tcPr>
          <w:p>
            <w:pPr>
              <w:pStyle w:val="TableParagraph"/>
              <w:spacing w:line="199" w:lineRule="exact" w:before="5"/>
              <w:ind w:left="107"/>
              <w:rPr>
                <w:sz w:val="18"/>
              </w:rPr>
            </w:pPr>
            <w:r>
              <w:rPr>
                <w:sz w:val="18"/>
              </w:rPr>
              <w:t>Akaike</w:t>
            </w:r>
            <w:r>
              <w:rPr>
                <w:spacing w:val="-5"/>
                <w:sz w:val="18"/>
              </w:rPr>
              <w:t> </w:t>
            </w:r>
            <w:r>
              <w:rPr>
                <w:sz w:val="18"/>
              </w:rPr>
              <w:t>info</w:t>
            </w:r>
            <w:r>
              <w:rPr>
                <w:spacing w:val="-1"/>
                <w:sz w:val="18"/>
              </w:rPr>
              <w:t> </w:t>
            </w:r>
            <w:r>
              <w:rPr>
                <w:spacing w:val="-2"/>
                <w:sz w:val="18"/>
              </w:rPr>
              <w:t>criterion</w:t>
            </w:r>
          </w:p>
        </w:tc>
        <w:tc>
          <w:tcPr>
            <w:tcW w:w="914" w:type="dxa"/>
          </w:tcPr>
          <w:p>
            <w:pPr>
              <w:pStyle w:val="TableParagraph"/>
              <w:spacing w:line="199" w:lineRule="exact" w:before="5"/>
              <w:ind w:right="5"/>
              <w:jc w:val="right"/>
              <w:rPr>
                <w:sz w:val="18"/>
              </w:rPr>
            </w:pPr>
            <w:r>
              <w:rPr>
                <w:spacing w:val="-2"/>
                <w:sz w:val="18"/>
              </w:rPr>
              <w:t>-3.179716</w:t>
            </w:r>
          </w:p>
        </w:tc>
      </w:tr>
      <w:tr>
        <w:trPr>
          <w:trHeight w:val="225" w:hRule="atLeast"/>
        </w:trPr>
        <w:tc>
          <w:tcPr>
            <w:tcW w:w="1995" w:type="dxa"/>
          </w:tcPr>
          <w:p>
            <w:pPr>
              <w:pStyle w:val="TableParagraph"/>
              <w:spacing w:line="199"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20" w:type="dxa"/>
          </w:tcPr>
          <w:p>
            <w:pPr>
              <w:pStyle w:val="TableParagraph"/>
              <w:spacing w:line="199" w:lineRule="exact" w:before="6"/>
              <w:ind w:right="103"/>
              <w:jc w:val="right"/>
              <w:rPr>
                <w:sz w:val="18"/>
              </w:rPr>
            </w:pPr>
            <w:r>
              <w:rPr>
                <w:spacing w:val="-2"/>
                <w:sz w:val="18"/>
              </w:rPr>
              <w:t>0.424258</w:t>
            </w:r>
          </w:p>
        </w:tc>
        <w:tc>
          <w:tcPr>
            <w:tcW w:w="1491" w:type="dxa"/>
          </w:tcPr>
          <w:p>
            <w:pPr>
              <w:pStyle w:val="TableParagraph"/>
              <w:spacing w:line="199" w:lineRule="exact" w:before="6"/>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6"/>
              <w:ind w:right="5"/>
              <w:jc w:val="right"/>
              <w:rPr>
                <w:sz w:val="18"/>
              </w:rPr>
            </w:pPr>
            <w:r>
              <w:rPr>
                <w:spacing w:val="-2"/>
                <w:sz w:val="18"/>
              </w:rPr>
              <w:t>-2.995085</w:t>
            </w:r>
          </w:p>
        </w:tc>
      </w:tr>
      <w:tr>
        <w:trPr>
          <w:trHeight w:val="225" w:hRule="atLeast"/>
        </w:trPr>
        <w:tc>
          <w:tcPr>
            <w:tcW w:w="199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20" w:type="dxa"/>
          </w:tcPr>
          <w:p>
            <w:pPr>
              <w:pStyle w:val="TableParagraph"/>
              <w:spacing w:line="199" w:lineRule="exact" w:before="6"/>
              <w:ind w:right="103"/>
              <w:jc w:val="right"/>
              <w:rPr>
                <w:sz w:val="18"/>
              </w:rPr>
            </w:pPr>
            <w:r>
              <w:rPr>
                <w:spacing w:val="-2"/>
                <w:sz w:val="18"/>
              </w:rPr>
              <w:t>321.0223</w:t>
            </w:r>
          </w:p>
        </w:tc>
        <w:tc>
          <w:tcPr>
            <w:tcW w:w="240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6"/>
              <w:ind w:right="5"/>
              <w:jc w:val="right"/>
              <w:rPr>
                <w:sz w:val="18"/>
              </w:rPr>
            </w:pPr>
            <w:r>
              <w:rPr>
                <w:spacing w:val="-2"/>
                <w:sz w:val="18"/>
              </w:rPr>
              <w:t>-3.104961</w:t>
            </w:r>
          </w:p>
        </w:tc>
      </w:tr>
      <w:tr>
        <w:trPr>
          <w:trHeight w:val="224" w:hRule="atLeast"/>
        </w:trPr>
        <w:tc>
          <w:tcPr>
            <w:tcW w:w="1995" w:type="dxa"/>
          </w:tcPr>
          <w:p>
            <w:pPr>
              <w:pStyle w:val="TableParagraph"/>
              <w:spacing w:line="198" w:lineRule="exact" w:before="6"/>
              <w:rPr>
                <w:sz w:val="18"/>
              </w:rPr>
            </w:pPr>
            <w:r>
              <w:rPr>
                <w:spacing w:val="-2"/>
                <w:sz w:val="18"/>
              </w:rPr>
              <w:t>F-statistic</w:t>
            </w:r>
          </w:p>
        </w:tc>
        <w:tc>
          <w:tcPr>
            <w:tcW w:w="1220" w:type="dxa"/>
          </w:tcPr>
          <w:p>
            <w:pPr>
              <w:pStyle w:val="TableParagraph"/>
              <w:spacing w:line="198" w:lineRule="exact" w:before="6"/>
              <w:ind w:right="103"/>
              <w:jc w:val="right"/>
              <w:rPr>
                <w:sz w:val="18"/>
              </w:rPr>
            </w:pPr>
            <w:r>
              <w:rPr>
                <w:spacing w:val="-2"/>
                <w:sz w:val="18"/>
              </w:rPr>
              <w:t>15.32735</w:t>
            </w:r>
          </w:p>
        </w:tc>
        <w:tc>
          <w:tcPr>
            <w:tcW w:w="2401" w:type="dxa"/>
            <w:gridSpan w:val="2"/>
          </w:tcPr>
          <w:p>
            <w:pPr>
              <w:pStyle w:val="TableParagraph"/>
              <w:spacing w:line="198"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8" w:lineRule="exact" w:before="6"/>
              <w:ind w:right="5"/>
              <w:jc w:val="right"/>
              <w:rPr>
                <w:sz w:val="18"/>
              </w:rPr>
            </w:pPr>
            <w:r>
              <w:rPr>
                <w:spacing w:val="-2"/>
                <w:sz w:val="18"/>
              </w:rPr>
              <w:t>1.126395</w:t>
            </w:r>
          </w:p>
        </w:tc>
      </w:tr>
      <w:tr>
        <w:trPr>
          <w:trHeight w:val="224" w:hRule="atLeast"/>
        </w:trPr>
        <w:tc>
          <w:tcPr>
            <w:tcW w:w="1995" w:type="dxa"/>
          </w:tcPr>
          <w:p>
            <w:pPr>
              <w:pStyle w:val="TableParagraph"/>
              <w:spacing w:line="199" w:lineRule="exact" w:before="5"/>
              <w:rPr>
                <w:sz w:val="18"/>
              </w:rPr>
            </w:pPr>
            <w:r>
              <w:rPr>
                <w:spacing w:val="-2"/>
                <w:sz w:val="18"/>
              </w:rPr>
              <w:t>Prob(F-statistic)</w:t>
            </w:r>
          </w:p>
        </w:tc>
        <w:tc>
          <w:tcPr>
            <w:tcW w:w="1220" w:type="dxa"/>
          </w:tcPr>
          <w:p>
            <w:pPr>
              <w:pStyle w:val="TableParagraph"/>
              <w:spacing w:line="199" w:lineRule="exact" w:before="5"/>
              <w:ind w:right="103"/>
              <w:jc w:val="right"/>
              <w:rPr>
                <w:sz w:val="18"/>
              </w:rPr>
            </w:pPr>
            <w:r>
              <w:rPr>
                <w:spacing w:val="-2"/>
                <w:sz w:val="18"/>
              </w:rPr>
              <w:t>0.000000</w:t>
            </w:r>
          </w:p>
        </w:tc>
        <w:tc>
          <w:tcPr>
            <w:tcW w:w="1491" w:type="dxa"/>
          </w:tcPr>
          <w:p>
            <w:pPr>
              <w:pStyle w:val="TableParagraph"/>
              <w:spacing w:line="199" w:lineRule="exact" w:before="5"/>
              <w:ind w:left="107"/>
              <w:rPr>
                <w:sz w:val="18"/>
              </w:rPr>
            </w:pPr>
            <w:r>
              <w:rPr>
                <w:sz w:val="18"/>
              </w:rPr>
              <w:t>Wald</w:t>
            </w:r>
            <w:r>
              <w:rPr>
                <w:spacing w:val="-5"/>
                <w:sz w:val="18"/>
              </w:rPr>
              <w:t> </w:t>
            </w:r>
            <w:r>
              <w:rPr>
                <w:sz w:val="18"/>
              </w:rPr>
              <w:t>F-</w:t>
            </w:r>
            <w:r>
              <w:rPr>
                <w:spacing w:val="-2"/>
                <w:sz w:val="18"/>
              </w:rPr>
              <w:t>statistic</w:t>
            </w:r>
          </w:p>
        </w:tc>
        <w:tc>
          <w:tcPr>
            <w:tcW w:w="910" w:type="dxa"/>
          </w:tcPr>
          <w:p>
            <w:pPr>
              <w:pStyle w:val="TableParagraph"/>
              <w:rPr>
                <w:rFonts w:ascii="Times New Roman"/>
                <w:sz w:val="16"/>
              </w:rPr>
            </w:pPr>
          </w:p>
        </w:tc>
        <w:tc>
          <w:tcPr>
            <w:tcW w:w="914" w:type="dxa"/>
          </w:tcPr>
          <w:p>
            <w:pPr>
              <w:pStyle w:val="TableParagraph"/>
              <w:spacing w:line="199" w:lineRule="exact" w:before="5"/>
              <w:ind w:right="5"/>
              <w:jc w:val="right"/>
              <w:rPr>
                <w:sz w:val="18"/>
              </w:rPr>
            </w:pPr>
            <w:r>
              <w:rPr>
                <w:spacing w:val="-2"/>
                <w:sz w:val="18"/>
              </w:rPr>
              <w:t>88.71997</w:t>
            </w:r>
          </w:p>
        </w:tc>
      </w:tr>
      <w:tr>
        <w:trPr>
          <w:trHeight w:val="303" w:hRule="atLeast"/>
        </w:trPr>
        <w:tc>
          <w:tcPr>
            <w:tcW w:w="1995" w:type="dxa"/>
            <w:tcBorders>
              <w:bottom w:val="double" w:sz="6" w:space="0" w:color="000000"/>
            </w:tcBorders>
          </w:tcPr>
          <w:p>
            <w:pPr>
              <w:pStyle w:val="TableParagraph"/>
              <w:spacing w:before="6"/>
              <w:rPr>
                <w:sz w:val="18"/>
              </w:rPr>
            </w:pPr>
            <w:r>
              <w:rPr>
                <w:sz w:val="18"/>
              </w:rPr>
              <w:t>Prob(Wald</w:t>
            </w:r>
            <w:r>
              <w:rPr>
                <w:spacing w:val="-7"/>
                <w:sz w:val="18"/>
              </w:rPr>
              <w:t> </w:t>
            </w:r>
            <w:r>
              <w:rPr>
                <w:sz w:val="18"/>
              </w:rPr>
              <w:t>F-</w:t>
            </w:r>
            <w:r>
              <w:rPr>
                <w:spacing w:val="-2"/>
                <w:sz w:val="18"/>
              </w:rPr>
              <w:t>statistic)</w:t>
            </w:r>
          </w:p>
        </w:tc>
        <w:tc>
          <w:tcPr>
            <w:tcW w:w="1220" w:type="dxa"/>
            <w:tcBorders>
              <w:bottom w:val="double" w:sz="6" w:space="0" w:color="000000"/>
            </w:tcBorders>
          </w:tcPr>
          <w:p>
            <w:pPr>
              <w:pStyle w:val="TableParagraph"/>
              <w:spacing w:before="6"/>
              <w:ind w:right="103"/>
              <w:jc w:val="right"/>
              <w:rPr>
                <w:sz w:val="18"/>
              </w:rPr>
            </w:pPr>
            <w:r>
              <w:rPr>
                <w:spacing w:val="-2"/>
                <w:sz w:val="18"/>
              </w:rPr>
              <w:t>0.000000</w:t>
            </w:r>
          </w:p>
        </w:tc>
        <w:tc>
          <w:tcPr>
            <w:tcW w:w="1491" w:type="dxa"/>
            <w:tcBorders>
              <w:bottom w:val="double" w:sz="6" w:space="0" w:color="000000"/>
            </w:tcBorders>
          </w:tcPr>
          <w:p>
            <w:pPr>
              <w:pStyle w:val="TableParagraph"/>
              <w:rPr>
                <w:rFonts w:ascii="Times New Roman"/>
                <w:sz w:val="18"/>
              </w:rPr>
            </w:pPr>
          </w:p>
        </w:tc>
        <w:tc>
          <w:tcPr>
            <w:tcW w:w="910"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1436" w:firstLine="0"/>
        <w:jc w:val="left"/>
        <w:rPr>
          <w:b/>
          <w:sz w:val="24"/>
        </w:rPr>
      </w:pPr>
      <w:r>
        <w:rPr/>
        <mc:AlternateContent>
          <mc:Choice Requires="wps">
            <w:drawing>
              <wp:anchor distT="0" distB="0" distL="0" distR="0" allowOverlap="1" layoutInCell="1" locked="0" behindDoc="1" simplePos="0" relativeHeight="477788160">
                <wp:simplePos x="0" y="0"/>
                <wp:positionH relativeFrom="page">
                  <wp:posOffset>1095451</wp:posOffset>
                </wp:positionH>
                <wp:positionV relativeFrom="page">
                  <wp:posOffset>7242047</wp:posOffset>
                </wp:positionV>
                <wp:extent cx="721995" cy="72263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8320" id="docshape125"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89184">
                <wp:simplePos x="0" y="0"/>
                <wp:positionH relativeFrom="page">
                  <wp:posOffset>1806781</wp:posOffset>
                </wp:positionH>
                <wp:positionV relativeFrom="page">
                  <wp:posOffset>2726054</wp:posOffset>
                </wp:positionV>
                <wp:extent cx="4396105" cy="4535805"/>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4396105" cy="4535805"/>
                          <a:chExt cx="4396105" cy="4535805"/>
                        </a:xfrm>
                      </wpg:grpSpPr>
                      <wps:wsp>
                        <wps:cNvPr id="320" name="Graphic 320"/>
                        <wps:cNvSpPr/>
                        <wps:spPr>
                          <a:xfrm>
                            <a:off x="0" y="3695128"/>
                            <a:ext cx="822325" cy="840105"/>
                          </a:xfrm>
                          <a:custGeom>
                            <a:avLst/>
                            <a:gdLst/>
                            <a:ahLst/>
                            <a:cxnLst/>
                            <a:rect l="l" t="t" r="r" b="b"/>
                            <a:pathLst>
                              <a:path w="822325" h="840105">
                                <a:moveTo>
                                  <a:pt x="234965" y="0"/>
                                </a:moveTo>
                                <a:lnTo>
                                  <a:pt x="174291" y="5524"/>
                                </a:lnTo>
                                <a:lnTo>
                                  <a:pt x="118221" y="27527"/>
                                </a:lnTo>
                                <a:lnTo>
                                  <a:pt x="67484" y="67246"/>
                                </a:lnTo>
                                <a:lnTo>
                                  <a:pt x="26431" y="120538"/>
                                </a:lnTo>
                                <a:lnTo>
                                  <a:pt x="4238" y="179641"/>
                                </a:lnTo>
                                <a:lnTo>
                                  <a:pt x="0" y="244395"/>
                                </a:lnTo>
                                <a:lnTo>
                                  <a:pt x="3935" y="278207"/>
                                </a:lnTo>
                                <a:lnTo>
                                  <a:pt x="24983" y="348803"/>
                                </a:lnTo>
                                <a:lnTo>
                                  <a:pt x="41417" y="385683"/>
                                </a:lnTo>
                                <a:lnTo>
                                  <a:pt x="61710" y="423396"/>
                                </a:lnTo>
                                <a:lnTo>
                                  <a:pt x="86026" y="461835"/>
                                </a:lnTo>
                                <a:lnTo>
                                  <a:pt x="114123" y="500806"/>
                                </a:lnTo>
                                <a:lnTo>
                                  <a:pt x="145637" y="540146"/>
                                </a:lnTo>
                                <a:lnTo>
                                  <a:pt x="180556" y="579796"/>
                                </a:lnTo>
                                <a:lnTo>
                                  <a:pt x="218868" y="619696"/>
                                </a:lnTo>
                                <a:lnTo>
                                  <a:pt x="260312" y="659691"/>
                                </a:lnTo>
                                <a:lnTo>
                                  <a:pt x="300672" y="695721"/>
                                </a:lnTo>
                                <a:lnTo>
                                  <a:pt x="340008" y="727870"/>
                                </a:lnTo>
                                <a:lnTo>
                                  <a:pt x="378380" y="756221"/>
                                </a:lnTo>
                                <a:lnTo>
                                  <a:pt x="415780" y="780518"/>
                                </a:lnTo>
                                <a:lnTo>
                                  <a:pt x="452120" y="800671"/>
                                </a:lnTo>
                                <a:lnTo>
                                  <a:pt x="487340" y="816729"/>
                                </a:lnTo>
                                <a:lnTo>
                                  <a:pt x="554097" y="836586"/>
                                </a:lnTo>
                                <a:lnTo>
                                  <a:pt x="585930" y="840089"/>
                                </a:lnTo>
                                <a:lnTo>
                                  <a:pt x="616858" y="839471"/>
                                </a:lnTo>
                                <a:lnTo>
                                  <a:pt x="675929" y="826470"/>
                                </a:lnTo>
                                <a:lnTo>
                                  <a:pt x="729976" y="795152"/>
                                </a:lnTo>
                                <a:lnTo>
                                  <a:pt x="777992" y="746785"/>
                                </a:lnTo>
                                <a:lnTo>
                                  <a:pt x="784484" y="736941"/>
                                </a:lnTo>
                                <a:lnTo>
                                  <a:pt x="572381" y="736941"/>
                                </a:lnTo>
                                <a:lnTo>
                                  <a:pt x="548401" y="734853"/>
                                </a:lnTo>
                                <a:lnTo>
                                  <a:pt x="498014" y="720153"/>
                                </a:lnTo>
                                <a:lnTo>
                                  <a:pt x="445516" y="693451"/>
                                </a:lnTo>
                                <a:lnTo>
                                  <a:pt x="390445" y="655129"/>
                                </a:lnTo>
                                <a:lnTo>
                                  <a:pt x="333105" y="607456"/>
                                </a:lnTo>
                                <a:lnTo>
                                  <a:pt x="303863" y="580638"/>
                                </a:lnTo>
                                <a:lnTo>
                                  <a:pt x="274240" y="551878"/>
                                </a:lnTo>
                                <a:lnTo>
                                  <a:pt x="223345" y="497379"/>
                                </a:lnTo>
                                <a:lnTo>
                                  <a:pt x="177974" y="442023"/>
                                </a:lnTo>
                                <a:lnTo>
                                  <a:pt x="141573" y="387334"/>
                                </a:lnTo>
                                <a:lnTo>
                                  <a:pt x="115744" y="333692"/>
                                </a:lnTo>
                                <a:lnTo>
                                  <a:pt x="101060" y="282511"/>
                                </a:lnTo>
                                <a:lnTo>
                                  <a:pt x="98510" y="257790"/>
                                </a:lnTo>
                                <a:lnTo>
                                  <a:pt x="98853" y="233616"/>
                                </a:lnTo>
                                <a:lnTo>
                                  <a:pt x="111061" y="188277"/>
                                </a:lnTo>
                                <a:lnTo>
                                  <a:pt x="140509" y="147891"/>
                                </a:lnTo>
                                <a:lnTo>
                                  <a:pt x="180498" y="117998"/>
                                </a:lnTo>
                                <a:lnTo>
                                  <a:pt x="224583" y="104584"/>
                                </a:lnTo>
                                <a:lnTo>
                                  <a:pt x="248096" y="103626"/>
                                </a:lnTo>
                                <a:lnTo>
                                  <a:pt x="471327" y="103626"/>
                                </a:lnTo>
                                <a:lnTo>
                                  <a:pt x="441880" y="81978"/>
                                </a:lnTo>
                                <a:lnTo>
                                  <a:pt x="404743" y="58042"/>
                                </a:lnTo>
                                <a:lnTo>
                                  <a:pt x="368617" y="38322"/>
                                </a:lnTo>
                                <a:lnTo>
                                  <a:pt x="333563" y="22649"/>
                                </a:lnTo>
                                <a:lnTo>
                                  <a:pt x="266767" y="3238"/>
                                </a:lnTo>
                                <a:lnTo>
                                  <a:pt x="234965" y="0"/>
                                </a:lnTo>
                                <a:close/>
                              </a:path>
                              <a:path w="822325" h="840105">
                                <a:moveTo>
                                  <a:pt x="471327" y="103626"/>
                                </a:moveTo>
                                <a:lnTo>
                                  <a:pt x="248096" y="103626"/>
                                </a:lnTo>
                                <a:lnTo>
                                  <a:pt x="272192" y="105775"/>
                                </a:lnTo>
                                <a:lnTo>
                                  <a:pt x="296931" y="111138"/>
                                </a:lnTo>
                                <a:lnTo>
                                  <a:pt x="348597" y="131909"/>
                                </a:lnTo>
                                <a:lnTo>
                                  <a:pt x="402472" y="163508"/>
                                </a:lnTo>
                                <a:lnTo>
                                  <a:pt x="458333" y="205940"/>
                                </a:lnTo>
                                <a:lnTo>
                                  <a:pt x="515225" y="256442"/>
                                </a:lnTo>
                                <a:lnTo>
                                  <a:pt x="543861" y="284289"/>
                                </a:lnTo>
                                <a:lnTo>
                                  <a:pt x="570456" y="311808"/>
                                </a:lnTo>
                                <a:lnTo>
                                  <a:pt x="618978" y="367228"/>
                                </a:lnTo>
                                <a:lnTo>
                                  <a:pt x="661175" y="422902"/>
                                </a:lnTo>
                                <a:lnTo>
                                  <a:pt x="692810" y="477543"/>
                                </a:lnTo>
                                <a:lnTo>
                                  <a:pt x="714063" y="530449"/>
                                </a:lnTo>
                                <a:lnTo>
                                  <a:pt x="722647" y="581332"/>
                                </a:lnTo>
                                <a:lnTo>
                                  <a:pt x="722296" y="605726"/>
                                </a:lnTo>
                                <a:lnTo>
                                  <a:pt x="709818" y="651367"/>
                                </a:lnTo>
                                <a:lnTo>
                                  <a:pt x="680005" y="691959"/>
                                </a:lnTo>
                                <a:lnTo>
                                  <a:pt x="639540" y="722328"/>
                                </a:lnTo>
                                <a:lnTo>
                                  <a:pt x="595550" y="735647"/>
                                </a:lnTo>
                                <a:lnTo>
                                  <a:pt x="572381" y="736941"/>
                                </a:lnTo>
                                <a:lnTo>
                                  <a:pt x="784484" y="736941"/>
                                </a:lnTo>
                                <a:lnTo>
                                  <a:pt x="809357" y="690417"/>
                                </a:lnTo>
                                <a:lnTo>
                                  <a:pt x="822132" y="628110"/>
                                </a:lnTo>
                                <a:lnTo>
                                  <a:pt x="822261" y="595153"/>
                                </a:lnTo>
                                <a:lnTo>
                                  <a:pt x="818032" y="561101"/>
                                </a:lnTo>
                                <a:lnTo>
                                  <a:pt x="796480" y="490154"/>
                                </a:lnTo>
                                <a:lnTo>
                                  <a:pt x="779859" y="453342"/>
                                </a:lnTo>
                                <a:lnTo>
                                  <a:pt x="759285" y="415601"/>
                                </a:lnTo>
                                <a:lnTo>
                                  <a:pt x="734615" y="376872"/>
                                </a:lnTo>
                                <a:lnTo>
                                  <a:pt x="706173" y="337431"/>
                                </a:lnTo>
                                <a:lnTo>
                                  <a:pt x="674147" y="297561"/>
                                </a:lnTo>
                                <a:lnTo>
                                  <a:pt x="638478" y="257214"/>
                                </a:lnTo>
                                <a:lnTo>
                                  <a:pt x="599106" y="216344"/>
                                </a:lnTo>
                                <a:lnTo>
                                  <a:pt x="558430" y="177079"/>
                                </a:lnTo>
                                <a:lnTo>
                                  <a:pt x="518683" y="141589"/>
                                </a:lnTo>
                                <a:lnTo>
                                  <a:pt x="479841" y="109884"/>
                                </a:lnTo>
                                <a:lnTo>
                                  <a:pt x="471327" y="103626"/>
                                </a:lnTo>
                                <a:close/>
                              </a:path>
                            </a:pathLst>
                          </a:custGeom>
                          <a:solidFill>
                            <a:srgbClr val="C0C0C0">
                              <a:alpha val="50195"/>
                            </a:srgbClr>
                          </a:solidFill>
                        </wps:spPr>
                        <wps:bodyPr wrap="square" lIns="0" tIns="0" rIns="0" bIns="0" rtlCol="0">
                          <a:prstTxWarp prst="textNoShape">
                            <a:avLst/>
                          </a:prstTxWarp>
                          <a:noAutofit/>
                        </wps:bodyPr>
                      </wps:wsp>
                      <pic:pic>
                        <pic:nvPicPr>
                          <pic:cNvPr id="321" name="Image 321"/>
                          <pic:cNvPicPr/>
                        </pic:nvPicPr>
                        <pic:blipFill>
                          <a:blip r:embed="rId9" cstate="print"/>
                          <a:stretch>
                            <a:fillRect/>
                          </a:stretch>
                        </pic:blipFill>
                        <pic:spPr>
                          <a:xfrm>
                            <a:off x="710612" y="3743197"/>
                            <a:ext cx="221995" cy="221614"/>
                          </a:xfrm>
                          <a:prstGeom prst="rect">
                            <a:avLst/>
                          </a:prstGeom>
                        </pic:spPr>
                      </pic:pic>
                      <wps:wsp>
                        <wps:cNvPr id="322" name="Graphic 322"/>
                        <wps:cNvSpPr/>
                        <wps:spPr>
                          <a:xfrm>
                            <a:off x="580056"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2.266251pt;margin-top:214.649979pt;width:346.15pt;height:357.15pt;mso-position-horizontal-relative:page;mso-position-vertical-relative:page;z-index:-25527296" id="docshapegroup126" coordorigin="2845,4293" coordsize="6923,7143">
                <v:shape style="position:absolute;left:2845;top:10112;width:1295;height:1323" id="docshape127" coordorigin="2845,10112" coordsize="1295,1323" path="m3215,10112l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588,10275,3541,10241,3483,10204,3426,10172,3371,10148,3317,10129,3265,10117,3215,10112xm3588,10275l3236,10275,3274,10279,3313,10287,3353,10301,3394,10320,3436,10343,3479,10370,3523,10401,3567,10436,3612,10475,3657,10516,3702,10560,3744,10603,3783,10647,3820,10690,3855,10734,3887,10778,3914,10821,3936,10864,3955,10906,3970,10947,3979,10988,3983,11028,3983,11066,3977,11103,3963,11138,3943,11171,3916,11202,3885,11229,3852,11250,3819,11264,3783,11271,3747,11273,4081,11273,4099,11245,4120,11199,4133,11151,4140,11101,4140,11049,4134,10996,4120,10941,4100,10884,4073,10826,4041,10767,4002,10706,3957,10643,3907,10581,3851,10517,3789,10453,3725,10391,3662,10335,3601,10285,3588,10275xe" filled="true" fillcolor="#c0c0c0" stroked="false">
                  <v:path arrowok="t"/>
                  <v:fill opacity="32896f" type="solid"/>
                </v:shape>
                <v:shape style="position:absolute;left:3964;top:10187;width:350;height:349" type="#_x0000_t75" id="docshape128" stroked="false">
                  <v:imagedata r:id="rId9" o:title=""/>
                </v:shape>
                <v:shape style="position:absolute;left:3758;top:4293;width:6009;height:6216" id="docshape129"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14:</w:t>
      </w:r>
      <w:r>
        <w:rPr>
          <w:b/>
          <w:spacing w:val="-4"/>
          <w:sz w:val="24"/>
        </w:rPr>
        <w:t> </w:t>
      </w:r>
      <w:r>
        <w:rPr>
          <w:b/>
          <w:sz w:val="24"/>
        </w:rPr>
        <w:t>Table</w:t>
      </w:r>
      <w:r>
        <w:rPr>
          <w:b/>
          <w:spacing w:val="-4"/>
          <w:sz w:val="24"/>
        </w:rPr>
        <w:t> </w:t>
      </w:r>
      <w:r>
        <w:rPr>
          <w:b/>
          <w:sz w:val="24"/>
        </w:rPr>
        <w:t>4.8:</w:t>
      </w:r>
      <w:r>
        <w:rPr>
          <w:b/>
          <w:spacing w:val="-5"/>
          <w:sz w:val="24"/>
        </w:rPr>
        <w:t> </w:t>
      </w:r>
      <w:r>
        <w:rPr>
          <w:b/>
          <w:sz w:val="24"/>
        </w:rPr>
        <w:t>Table</w:t>
      </w:r>
      <w:r>
        <w:rPr>
          <w:b/>
          <w:spacing w:val="-4"/>
          <w:sz w:val="24"/>
        </w:rPr>
        <w:t> </w:t>
      </w:r>
      <w:r>
        <w:rPr>
          <w:b/>
          <w:sz w:val="24"/>
        </w:rPr>
        <w:t>4.7.</w:t>
      </w:r>
      <w:r>
        <w:rPr>
          <w:b/>
          <w:spacing w:val="-4"/>
          <w:sz w:val="24"/>
        </w:rPr>
        <w:t> </w:t>
      </w:r>
      <w:r>
        <w:rPr>
          <w:b/>
          <w:sz w:val="24"/>
        </w:rPr>
        <w:t>DISACC</w:t>
      </w:r>
      <w:r>
        <w:rPr>
          <w:b/>
          <w:spacing w:val="-4"/>
          <w:sz w:val="24"/>
        </w:rPr>
        <w:t> </w:t>
      </w:r>
      <w:r>
        <w:rPr>
          <w:b/>
          <w:sz w:val="24"/>
        </w:rPr>
        <w:t>and</w:t>
      </w:r>
      <w:r>
        <w:rPr>
          <w:b/>
          <w:spacing w:val="-3"/>
          <w:sz w:val="24"/>
        </w:rPr>
        <w:t> </w:t>
      </w:r>
      <w:r>
        <w:rPr>
          <w:b/>
          <w:sz w:val="24"/>
        </w:rPr>
        <w:t>Board</w:t>
      </w:r>
      <w:r>
        <w:rPr>
          <w:b/>
          <w:spacing w:val="-4"/>
          <w:sz w:val="24"/>
        </w:rPr>
        <w:t> </w:t>
      </w:r>
      <w:r>
        <w:rPr>
          <w:b/>
          <w:sz w:val="24"/>
        </w:rPr>
        <w:t>Structure</w:t>
      </w:r>
      <w:r>
        <w:rPr>
          <w:b/>
          <w:spacing w:val="-5"/>
          <w:sz w:val="24"/>
        </w:rPr>
        <w:t> </w:t>
      </w:r>
      <w:r>
        <w:rPr>
          <w:b/>
          <w:sz w:val="24"/>
        </w:rPr>
        <w:t>Regression</w:t>
      </w:r>
      <w:r>
        <w:rPr>
          <w:b/>
          <w:spacing w:val="-4"/>
          <w:sz w:val="24"/>
        </w:rPr>
        <w:t> </w:t>
      </w:r>
      <w:r>
        <w:rPr>
          <w:b/>
          <w:sz w:val="24"/>
        </w:rPr>
        <w:t>Result (Random effects)</w:t>
      </w:r>
    </w:p>
    <w:p>
      <w:pPr>
        <w:pStyle w:val="BodyText"/>
        <w:spacing w:before="200" w:after="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1206"/>
        <w:gridCol w:w="1300"/>
        <w:gridCol w:w="1101"/>
        <w:gridCol w:w="914"/>
      </w:tblGrid>
      <w:tr>
        <w:trPr>
          <w:trHeight w:val="213" w:hRule="atLeast"/>
        </w:trPr>
        <w:tc>
          <w:tcPr>
            <w:tcW w:w="6531"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1" w:type="dxa"/>
            <w:gridSpan w:val="5"/>
          </w:tcPr>
          <w:p>
            <w:pPr>
              <w:pStyle w:val="TableParagraph"/>
              <w:spacing w:line="198" w:lineRule="exact" w:before="6"/>
              <w:rPr>
                <w:sz w:val="18"/>
              </w:rPr>
            </w:pPr>
            <w:r>
              <w:rPr>
                <w:sz w:val="18"/>
              </w:rPr>
              <w:t>Method:</w:t>
            </w:r>
            <w:r>
              <w:rPr>
                <w:spacing w:val="-9"/>
                <w:sz w:val="18"/>
              </w:rPr>
              <w:t> </w:t>
            </w:r>
            <w:r>
              <w:rPr>
                <w:sz w:val="18"/>
              </w:rPr>
              <w:t>Panel</w:t>
            </w:r>
            <w:r>
              <w:rPr>
                <w:spacing w:val="-8"/>
                <w:sz w:val="18"/>
              </w:rPr>
              <w:t> </w:t>
            </w:r>
            <w:r>
              <w:rPr>
                <w:sz w:val="18"/>
              </w:rPr>
              <w:t>EGLS</w:t>
            </w:r>
            <w:r>
              <w:rPr>
                <w:spacing w:val="-11"/>
                <w:sz w:val="18"/>
              </w:rPr>
              <w:t> </w:t>
            </w:r>
            <w:r>
              <w:rPr>
                <w:sz w:val="18"/>
              </w:rPr>
              <w:t>(Cross-section</w:t>
            </w:r>
            <w:r>
              <w:rPr>
                <w:spacing w:val="-9"/>
                <w:sz w:val="18"/>
              </w:rPr>
              <w:t> </w:t>
            </w:r>
            <w:r>
              <w:rPr>
                <w:sz w:val="18"/>
              </w:rPr>
              <w:t>random</w:t>
            </w:r>
            <w:r>
              <w:rPr>
                <w:spacing w:val="-7"/>
                <w:sz w:val="18"/>
              </w:rPr>
              <w:t> </w:t>
            </w:r>
            <w:r>
              <w:rPr>
                <w:spacing w:val="-2"/>
                <w:sz w:val="18"/>
              </w:rPr>
              <w:t>effects)</w:t>
            </w:r>
          </w:p>
        </w:tc>
      </w:tr>
      <w:tr>
        <w:trPr>
          <w:trHeight w:val="224" w:hRule="atLeast"/>
        </w:trPr>
        <w:tc>
          <w:tcPr>
            <w:tcW w:w="6531" w:type="dxa"/>
            <w:gridSpan w:val="5"/>
          </w:tcPr>
          <w:p>
            <w:pPr>
              <w:pStyle w:val="TableParagraph"/>
              <w:spacing w:line="199" w:lineRule="exact" w:before="5"/>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20:10</w:t>
            </w:r>
          </w:p>
        </w:tc>
      </w:tr>
      <w:tr>
        <w:trPr>
          <w:trHeight w:val="225" w:hRule="atLeast"/>
        </w:trPr>
        <w:tc>
          <w:tcPr>
            <w:tcW w:w="2010"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2010"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1" w:type="dxa"/>
            <w:gridSpan w:val="5"/>
          </w:tcPr>
          <w:p>
            <w:pPr>
              <w:pStyle w:val="TableParagraph"/>
              <w:spacing w:line="198"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1" w:type="dxa"/>
            <w:gridSpan w:val="5"/>
          </w:tcPr>
          <w:p>
            <w:pPr>
              <w:pStyle w:val="TableParagraph"/>
              <w:spacing w:line="199" w:lineRule="exact" w:before="5"/>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225" w:hRule="atLeast"/>
        </w:trPr>
        <w:tc>
          <w:tcPr>
            <w:tcW w:w="6531" w:type="dxa"/>
            <w:gridSpan w:val="5"/>
          </w:tcPr>
          <w:p>
            <w:pPr>
              <w:pStyle w:val="TableParagraph"/>
              <w:spacing w:line="199" w:lineRule="exact" w:before="6"/>
              <w:rPr>
                <w:sz w:val="18"/>
              </w:rPr>
            </w:pPr>
            <w:r>
              <w:rPr>
                <w:sz w:val="18"/>
              </w:rPr>
              <w:t>Swamy</w:t>
            </w:r>
            <w:r>
              <w:rPr>
                <w:spacing w:val="-3"/>
                <w:sz w:val="18"/>
              </w:rPr>
              <w:t> </w:t>
            </w:r>
            <w:r>
              <w:rPr>
                <w:sz w:val="18"/>
              </w:rPr>
              <w:t>and</w:t>
            </w:r>
            <w:r>
              <w:rPr>
                <w:spacing w:val="-2"/>
                <w:sz w:val="18"/>
              </w:rPr>
              <w:t> </w:t>
            </w:r>
            <w:r>
              <w:rPr>
                <w:sz w:val="18"/>
              </w:rPr>
              <w:t>Arora</w:t>
            </w:r>
            <w:r>
              <w:rPr>
                <w:spacing w:val="-2"/>
                <w:sz w:val="18"/>
              </w:rPr>
              <w:t> </w:t>
            </w:r>
            <w:r>
              <w:rPr>
                <w:sz w:val="18"/>
              </w:rPr>
              <w:t>estimator</w:t>
            </w:r>
            <w:r>
              <w:rPr>
                <w:spacing w:val="-1"/>
                <w:sz w:val="18"/>
              </w:rPr>
              <w:t> </w:t>
            </w:r>
            <w:r>
              <w:rPr>
                <w:sz w:val="18"/>
              </w:rPr>
              <w:t>of</w:t>
            </w:r>
            <w:r>
              <w:rPr>
                <w:spacing w:val="-4"/>
                <w:sz w:val="18"/>
              </w:rPr>
              <w:t> </w:t>
            </w:r>
            <w:r>
              <w:rPr>
                <w:sz w:val="18"/>
              </w:rPr>
              <w:t>component</w:t>
            </w:r>
            <w:r>
              <w:rPr>
                <w:spacing w:val="-3"/>
                <w:sz w:val="18"/>
              </w:rPr>
              <w:t> </w:t>
            </w:r>
            <w:r>
              <w:rPr>
                <w:spacing w:val="-2"/>
                <w:sz w:val="18"/>
              </w:rPr>
              <w:t>variances</w:t>
            </w:r>
          </w:p>
        </w:tc>
      </w:tr>
      <w:tr>
        <w:trPr>
          <w:trHeight w:val="303" w:hRule="atLeast"/>
        </w:trPr>
        <w:tc>
          <w:tcPr>
            <w:tcW w:w="6531" w:type="dxa"/>
            <w:gridSpan w:val="5"/>
            <w:tcBorders>
              <w:bottom w:val="double" w:sz="6" w:space="0" w:color="000000"/>
            </w:tcBorders>
          </w:tcPr>
          <w:p>
            <w:pPr>
              <w:pStyle w:val="TableParagraph"/>
              <w:spacing w:before="6"/>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3"/>
                <w:sz w:val="18"/>
              </w:rPr>
              <w:t> </w:t>
            </w:r>
            <w:r>
              <w:rPr>
                <w:sz w:val="18"/>
              </w:rPr>
              <w:t>covariance</w:t>
            </w:r>
            <w:r>
              <w:rPr>
                <w:spacing w:val="-3"/>
                <w:sz w:val="18"/>
              </w:rPr>
              <w:t> </w:t>
            </w:r>
            <w:r>
              <w:rPr>
                <w:sz w:val="18"/>
              </w:rPr>
              <w:t>(d.f.</w:t>
            </w:r>
            <w:r>
              <w:rPr>
                <w:spacing w:val="-2"/>
                <w:sz w:val="18"/>
              </w:rPr>
              <w:t> corrected)</w:t>
            </w:r>
          </w:p>
        </w:tc>
      </w:tr>
      <w:tr>
        <w:trPr>
          <w:trHeight w:val="404" w:hRule="atLeast"/>
        </w:trPr>
        <w:tc>
          <w:tcPr>
            <w:tcW w:w="2010" w:type="dxa"/>
            <w:tcBorders>
              <w:top w:val="double" w:sz="6" w:space="0" w:color="000000"/>
              <w:bottom w:val="double" w:sz="6" w:space="0" w:color="000000"/>
            </w:tcBorders>
          </w:tcPr>
          <w:p>
            <w:pPr>
              <w:pStyle w:val="TableParagraph"/>
              <w:spacing w:before="106"/>
              <w:ind w:left="6" w:right="2"/>
              <w:jc w:val="center"/>
              <w:rPr>
                <w:sz w:val="18"/>
              </w:rPr>
            </w:pPr>
            <w:r>
              <w:rPr>
                <w:spacing w:val="-2"/>
                <w:sz w:val="18"/>
              </w:rPr>
              <w:t>Variable</w:t>
            </w:r>
          </w:p>
        </w:tc>
        <w:tc>
          <w:tcPr>
            <w:tcW w:w="1206" w:type="dxa"/>
            <w:tcBorders>
              <w:top w:val="double" w:sz="6" w:space="0" w:color="000000"/>
              <w:bottom w:val="double" w:sz="6" w:space="0" w:color="000000"/>
            </w:tcBorders>
          </w:tcPr>
          <w:p>
            <w:pPr>
              <w:pStyle w:val="TableParagraph"/>
              <w:spacing w:before="106"/>
              <w:ind w:left="180" w:right="38"/>
              <w:jc w:val="center"/>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6"/>
              <w:ind w:left="155" w:right="20"/>
              <w:jc w:val="center"/>
              <w:rPr>
                <w:sz w:val="18"/>
              </w:rPr>
            </w:pPr>
            <w:r>
              <w:rPr>
                <w:sz w:val="18"/>
              </w:rPr>
              <w:t>Std.</w:t>
            </w:r>
            <w:r>
              <w:rPr>
                <w:spacing w:val="-2"/>
                <w:sz w:val="18"/>
              </w:rPr>
              <w:t> Error</w:t>
            </w:r>
          </w:p>
        </w:tc>
        <w:tc>
          <w:tcPr>
            <w:tcW w:w="1101" w:type="dxa"/>
            <w:tcBorders>
              <w:top w:val="double" w:sz="6" w:space="0" w:color="000000"/>
              <w:bottom w:val="double" w:sz="6" w:space="0" w:color="000000"/>
            </w:tcBorders>
          </w:tcPr>
          <w:p>
            <w:pPr>
              <w:pStyle w:val="TableParagraph"/>
              <w:spacing w:before="106"/>
              <w:ind w:right="91"/>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6"/>
              <w:ind w:left="374"/>
              <w:rPr>
                <w:sz w:val="18"/>
              </w:rPr>
            </w:pPr>
            <w:r>
              <w:rPr>
                <w:spacing w:val="-2"/>
                <w:sz w:val="18"/>
              </w:rPr>
              <w:t>Prob.</w:t>
            </w:r>
          </w:p>
        </w:tc>
      </w:tr>
      <w:tr>
        <w:trPr>
          <w:trHeight w:val="327" w:hRule="atLeast"/>
        </w:trPr>
        <w:tc>
          <w:tcPr>
            <w:tcW w:w="2010" w:type="dxa"/>
            <w:tcBorders>
              <w:top w:val="double" w:sz="6" w:space="0" w:color="000000"/>
            </w:tcBorders>
          </w:tcPr>
          <w:p>
            <w:pPr>
              <w:pStyle w:val="TableParagraph"/>
              <w:spacing w:line="199" w:lineRule="exact" w:before="108"/>
              <w:ind w:left="6"/>
              <w:jc w:val="center"/>
              <w:rPr>
                <w:sz w:val="18"/>
              </w:rPr>
            </w:pPr>
            <w:r>
              <w:rPr>
                <w:spacing w:val="-10"/>
                <w:sz w:val="18"/>
              </w:rPr>
              <w:t>C</w:t>
            </w:r>
          </w:p>
        </w:tc>
        <w:tc>
          <w:tcPr>
            <w:tcW w:w="1206" w:type="dxa"/>
            <w:tcBorders>
              <w:top w:val="double" w:sz="6" w:space="0" w:color="000000"/>
            </w:tcBorders>
          </w:tcPr>
          <w:p>
            <w:pPr>
              <w:pStyle w:val="TableParagraph"/>
              <w:spacing w:line="199" w:lineRule="exact" w:before="108"/>
              <w:ind w:left="240"/>
              <w:jc w:val="center"/>
              <w:rPr>
                <w:sz w:val="18"/>
              </w:rPr>
            </w:pPr>
            <w:r>
              <w:rPr>
                <w:spacing w:val="-2"/>
                <w:sz w:val="18"/>
              </w:rPr>
              <w:t>1.313421</w:t>
            </w:r>
          </w:p>
        </w:tc>
        <w:tc>
          <w:tcPr>
            <w:tcW w:w="1300" w:type="dxa"/>
            <w:tcBorders>
              <w:top w:val="double" w:sz="6" w:space="0" w:color="000000"/>
            </w:tcBorders>
          </w:tcPr>
          <w:p>
            <w:pPr>
              <w:pStyle w:val="TableParagraph"/>
              <w:spacing w:line="199" w:lineRule="exact" w:before="108"/>
              <w:ind w:left="155" w:right="2"/>
              <w:jc w:val="center"/>
              <w:rPr>
                <w:sz w:val="18"/>
              </w:rPr>
            </w:pPr>
            <w:r>
              <w:rPr>
                <w:spacing w:val="-2"/>
                <w:sz w:val="18"/>
              </w:rPr>
              <w:t>1.023388</w:t>
            </w:r>
          </w:p>
        </w:tc>
        <w:tc>
          <w:tcPr>
            <w:tcW w:w="1101" w:type="dxa"/>
            <w:tcBorders>
              <w:top w:val="double" w:sz="6" w:space="0" w:color="000000"/>
            </w:tcBorders>
          </w:tcPr>
          <w:p>
            <w:pPr>
              <w:pStyle w:val="TableParagraph"/>
              <w:spacing w:line="199" w:lineRule="exact" w:before="108"/>
              <w:ind w:right="90"/>
              <w:jc w:val="right"/>
              <w:rPr>
                <w:sz w:val="18"/>
              </w:rPr>
            </w:pPr>
            <w:r>
              <w:rPr>
                <w:spacing w:val="-2"/>
                <w:sz w:val="18"/>
              </w:rPr>
              <w:t>1.283404</w:t>
            </w:r>
          </w:p>
        </w:tc>
        <w:tc>
          <w:tcPr>
            <w:tcW w:w="914" w:type="dxa"/>
            <w:tcBorders>
              <w:top w:val="double" w:sz="6" w:space="0" w:color="000000"/>
            </w:tcBorders>
          </w:tcPr>
          <w:p>
            <w:pPr>
              <w:pStyle w:val="TableParagraph"/>
              <w:spacing w:line="199" w:lineRule="exact" w:before="108"/>
              <w:ind w:right="6"/>
              <w:jc w:val="right"/>
              <w:rPr>
                <w:sz w:val="18"/>
              </w:rPr>
            </w:pPr>
            <w:r>
              <w:rPr>
                <w:spacing w:val="-2"/>
                <w:sz w:val="18"/>
              </w:rPr>
              <w:t>0.2010</w:t>
            </w:r>
          </w:p>
        </w:tc>
      </w:tr>
      <w:tr>
        <w:trPr>
          <w:trHeight w:val="224" w:hRule="atLeast"/>
        </w:trPr>
        <w:tc>
          <w:tcPr>
            <w:tcW w:w="2010" w:type="dxa"/>
          </w:tcPr>
          <w:p>
            <w:pPr>
              <w:pStyle w:val="TableParagraph"/>
              <w:spacing w:line="198" w:lineRule="exact" w:before="6"/>
              <w:ind w:left="6"/>
              <w:jc w:val="center"/>
              <w:rPr>
                <w:sz w:val="18"/>
              </w:rPr>
            </w:pPr>
            <w:r>
              <w:rPr>
                <w:spacing w:val="-5"/>
                <w:sz w:val="18"/>
              </w:rPr>
              <w:t>BDS</w:t>
            </w:r>
          </w:p>
        </w:tc>
        <w:tc>
          <w:tcPr>
            <w:tcW w:w="1206" w:type="dxa"/>
          </w:tcPr>
          <w:p>
            <w:pPr>
              <w:pStyle w:val="TableParagraph"/>
              <w:spacing w:line="198" w:lineRule="exact" w:before="6"/>
              <w:ind w:left="180"/>
              <w:jc w:val="center"/>
              <w:rPr>
                <w:sz w:val="18"/>
              </w:rPr>
            </w:pPr>
            <w:r>
              <w:rPr>
                <w:spacing w:val="-2"/>
                <w:sz w:val="18"/>
              </w:rPr>
              <w:t>-0.006569</w:t>
            </w:r>
          </w:p>
        </w:tc>
        <w:tc>
          <w:tcPr>
            <w:tcW w:w="1300" w:type="dxa"/>
          </w:tcPr>
          <w:p>
            <w:pPr>
              <w:pStyle w:val="TableParagraph"/>
              <w:spacing w:line="198" w:lineRule="exact" w:before="6"/>
              <w:ind w:left="155" w:right="2"/>
              <w:jc w:val="center"/>
              <w:rPr>
                <w:sz w:val="18"/>
              </w:rPr>
            </w:pPr>
            <w:r>
              <w:rPr>
                <w:spacing w:val="-2"/>
                <w:sz w:val="18"/>
              </w:rPr>
              <w:t>0.018595</w:t>
            </w:r>
          </w:p>
        </w:tc>
        <w:tc>
          <w:tcPr>
            <w:tcW w:w="1101" w:type="dxa"/>
          </w:tcPr>
          <w:p>
            <w:pPr>
              <w:pStyle w:val="TableParagraph"/>
              <w:spacing w:line="198" w:lineRule="exact" w:before="6"/>
              <w:ind w:right="90"/>
              <w:jc w:val="right"/>
              <w:rPr>
                <w:sz w:val="18"/>
              </w:rPr>
            </w:pPr>
            <w:r>
              <w:rPr>
                <w:spacing w:val="-2"/>
                <w:sz w:val="18"/>
              </w:rPr>
              <w:t>-0.353293</w:t>
            </w:r>
          </w:p>
        </w:tc>
        <w:tc>
          <w:tcPr>
            <w:tcW w:w="914" w:type="dxa"/>
          </w:tcPr>
          <w:p>
            <w:pPr>
              <w:pStyle w:val="TableParagraph"/>
              <w:spacing w:line="198" w:lineRule="exact" w:before="6"/>
              <w:ind w:right="6"/>
              <w:jc w:val="right"/>
              <w:rPr>
                <w:sz w:val="18"/>
              </w:rPr>
            </w:pPr>
            <w:r>
              <w:rPr>
                <w:spacing w:val="-2"/>
                <w:sz w:val="18"/>
              </w:rPr>
              <w:t>0.7243</w:t>
            </w:r>
          </w:p>
        </w:tc>
      </w:tr>
      <w:tr>
        <w:trPr>
          <w:trHeight w:val="224" w:hRule="atLeast"/>
        </w:trPr>
        <w:tc>
          <w:tcPr>
            <w:tcW w:w="2010" w:type="dxa"/>
          </w:tcPr>
          <w:p>
            <w:pPr>
              <w:pStyle w:val="TableParagraph"/>
              <w:spacing w:line="199" w:lineRule="exact" w:before="5"/>
              <w:ind w:left="6" w:right="2"/>
              <w:jc w:val="center"/>
              <w:rPr>
                <w:sz w:val="18"/>
              </w:rPr>
            </w:pPr>
            <w:r>
              <w:rPr>
                <w:spacing w:val="-2"/>
                <w:sz w:val="18"/>
              </w:rPr>
              <w:t>BDIND</w:t>
            </w:r>
          </w:p>
        </w:tc>
        <w:tc>
          <w:tcPr>
            <w:tcW w:w="1206" w:type="dxa"/>
          </w:tcPr>
          <w:p>
            <w:pPr>
              <w:pStyle w:val="TableParagraph"/>
              <w:spacing w:line="199" w:lineRule="exact" w:before="5"/>
              <w:ind w:left="180"/>
              <w:jc w:val="center"/>
              <w:rPr>
                <w:sz w:val="18"/>
              </w:rPr>
            </w:pPr>
            <w:r>
              <w:rPr>
                <w:spacing w:val="-2"/>
                <w:sz w:val="18"/>
              </w:rPr>
              <w:t>-1.254222</w:t>
            </w:r>
          </w:p>
        </w:tc>
        <w:tc>
          <w:tcPr>
            <w:tcW w:w="1300" w:type="dxa"/>
          </w:tcPr>
          <w:p>
            <w:pPr>
              <w:pStyle w:val="TableParagraph"/>
              <w:spacing w:line="199" w:lineRule="exact" w:before="5"/>
              <w:ind w:left="155" w:right="2"/>
              <w:jc w:val="center"/>
              <w:rPr>
                <w:sz w:val="18"/>
              </w:rPr>
            </w:pPr>
            <w:r>
              <w:rPr>
                <w:spacing w:val="-2"/>
                <w:sz w:val="18"/>
              </w:rPr>
              <w:t>0.473747</w:t>
            </w:r>
          </w:p>
        </w:tc>
        <w:tc>
          <w:tcPr>
            <w:tcW w:w="1101" w:type="dxa"/>
          </w:tcPr>
          <w:p>
            <w:pPr>
              <w:pStyle w:val="TableParagraph"/>
              <w:spacing w:line="199" w:lineRule="exact" w:before="5"/>
              <w:ind w:right="90"/>
              <w:jc w:val="right"/>
              <w:rPr>
                <w:sz w:val="18"/>
              </w:rPr>
            </w:pPr>
            <w:r>
              <w:rPr>
                <w:spacing w:val="-2"/>
                <w:sz w:val="18"/>
              </w:rPr>
              <w:t>-2.647450</w:t>
            </w:r>
          </w:p>
        </w:tc>
        <w:tc>
          <w:tcPr>
            <w:tcW w:w="914" w:type="dxa"/>
          </w:tcPr>
          <w:p>
            <w:pPr>
              <w:pStyle w:val="TableParagraph"/>
              <w:spacing w:line="199" w:lineRule="exact" w:before="5"/>
              <w:ind w:right="6"/>
              <w:jc w:val="right"/>
              <w:rPr>
                <w:sz w:val="18"/>
              </w:rPr>
            </w:pPr>
            <w:r>
              <w:rPr>
                <w:spacing w:val="-2"/>
                <w:sz w:val="18"/>
              </w:rPr>
              <w:t>0.0088</w:t>
            </w:r>
          </w:p>
        </w:tc>
      </w:tr>
      <w:tr>
        <w:trPr>
          <w:trHeight w:val="225" w:hRule="atLeast"/>
        </w:trPr>
        <w:tc>
          <w:tcPr>
            <w:tcW w:w="2010" w:type="dxa"/>
          </w:tcPr>
          <w:p>
            <w:pPr>
              <w:pStyle w:val="TableParagraph"/>
              <w:spacing w:line="199" w:lineRule="exact" w:before="6"/>
              <w:ind w:left="6" w:right="1"/>
              <w:jc w:val="center"/>
              <w:rPr>
                <w:sz w:val="18"/>
              </w:rPr>
            </w:pPr>
            <w:r>
              <w:rPr>
                <w:spacing w:val="-2"/>
                <w:sz w:val="18"/>
              </w:rPr>
              <w:t>BFEXP</w:t>
            </w:r>
          </w:p>
        </w:tc>
        <w:tc>
          <w:tcPr>
            <w:tcW w:w="1206" w:type="dxa"/>
          </w:tcPr>
          <w:p>
            <w:pPr>
              <w:pStyle w:val="TableParagraph"/>
              <w:spacing w:line="199" w:lineRule="exact" w:before="6"/>
              <w:ind w:left="240"/>
              <w:jc w:val="center"/>
              <w:rPr>
                <w:sz w:val="18"/>
              </w:rPr>
            </w:pPr>
            <w:r>
              <w:rPr>
                <w:spacing w:val="-2"/>
                <w:sz w:val="18"/>
              </w:rPr>
              <w:t>0.304859</w:t>
            </w:r>
          </w:p>
        </w:tc>
        <w:tc>
          <w:tcPr>
            <w:tcW w:w="1300" w:type="dxa"/>
          </w:tcPr>
          <w:p>
            <w:pPr>
              <w:pStyle w:val="TableParagraph"/>
              <w:spacing w:line="199" w:lineRule="exact" w:before="6"/>
              <w:ind w:left="155" w:right="2"/>
              <w:jc w:val="center"/>
              <w:rPr>
                <w:sz w:val="18"/>
              </w:rPr>
            </w:pPr>
            <w:r>
              <w:rPr>
                <w:spacing w:val="-2"/>
                <w:sz w:val="18"/>
              </w:rPr>
              <w:t>0.950563</w:t>
            </w:r>
          </w:p>
        </w:tc>
        <w:tc>
          <w:tcPr>
            <w:tcW w:w="1101" w:type="dxa"/>
          </w:tcPr>
          <w:p>
            <w:pPr>
              <w:pStyle w:val="TableParagraph"/>
              <w:spacing w:line="199" w:lineRule="exact" w:before="6"/>
              <w:ind w:right="90"/>
              <w:jc w:val="right"/>
              <w:rPr>
                <w:sz w:val="18"/>
              </w:rPr>
            </w:pPr>
            <w:r>
              <w:rPr>
                <w:spacing w:val="-2"/>
                <w:sz w:val="18"/>
              </w:rPr>
              <w:t>0.320715</w:t>
            </w:r>
          </w:p>
        </w:tc>
        <w:tc>
          <w:tcPr>
            <w:tcW w:w="914" w:type="dxa"/>
          </w:tcPr>
          <w:p>
            <w:pPr>
              <w:pStyle w:val="TableParagraph"/>
              <w:spacing w:line="199" w:lineRule="exact" w:before="6"/>
              <w:ind w:right="6"/>
              <w:jc w:val="right"/>
              <w:rPr>
                <w:sz w:val="18"/>
              </w:rPr>
            </w:pPr>
            <w:r>
              <w:rPr>
                <w:spacing w:val="-2"/>
                <w:sz w:val="18"/>
              </w:rPr>
              <w:t>0.7488</w:t>
            </w:r>
          </w:p>
        </w:tc>
      </w:tr>
      <w:tr>
        <w:trPr>
          <w:trHeight w:val="225" w:hRule="atLeast"/>
        </w:trPr>
        <w:tc>
          <w:tcPr>
            <w:tcW w:w="2010" w:type="dxa"/>
          </w:tcPr>
          <w:p>
            <w:pPr>
              <w:pStyle w:val="TableParagraph"/>
              <w:spacing w:line="199" w:lineRule="exact" w:before="6"/>
              <w:ind w:left="6"/>
              <w:jc w:val="center"/>
              <w:rPr>
                <w:sz w:val="18"/>
              </w:rPr>
            </w:pPr>
            <w:r>
              <w:rPr>
                <w:spacing w:val="-4"/>
                <w:sz w:val="18"/>
              </w:rPr>
              <w:t>FAGE</w:t>
            </w:r>
          </w:p>
        </w:tc>
        <w:tc>
          <w:tcPr>
            <w:tcW w:w="1206" w:type="dxa"/>
          </w:tcPr>
          <w:p>
            <w:pPr>
              <w:pStyle w:val="TableParagraph"/>
              <w:spacing w:line="199" w:lineRule="exact" w:before="6"/>
              <w:ind w:left="180"/>
              <w:jc w:val="center"/>
              <w:rPr>
                <w:sz w:val="18"/>
              </w:rPr>
            </w:pPr>
            <w:r>
              <w:rPr>
                <w:spacing w:val="-2"/>
                <w:sz w:val="18"/>
              </w:rPr>
              <w:t>-0.002345</w:t>
            </w:r>
          </w:p>
        </w:tc>
        <w:tc>
          <w:tcPr>
            <w:tcW w:w="1300" w:type="dxa"/>
          </w:tcPr>
          <w:p>
            <w:pPr>
              <w:pStyle w:val="TableParagraph"/>
              <w:spacing w:line="199" w:lineRule="exact" w:before="6"/>
              <w:ind w:left="155" w:right="2"/>
              <w:jc w:val="center"/>
              <w:rPr>
                <w:sz w:val="18"/>
              </w:rPr>
            </w:pPr>
            <w:r>
              <w:rPr>
                <w:spacing w:val="-2"/>
                <w:sz w:val="18"/>
              </w:rPr>
              <w:t>0.008293</w:t>
            </w:r>
          </w:p>
        </w:tc>
        <w:tc>
          <w:tcPr>
            <w:tcW w:w="1101" w:type="dxa"/>
          </w:tcPr>
          <w:p>
            <w:pPr>
              <w:pStyle w:val="TableParagraph"/>
              <w:spacing w:line="199" w:lineRule="exact" w:before="6"/>
              <w:ind w:right="90"/>
              <w:jc w:val="right"/>
              <w:rPr>
                <w:sz w:val="18"/>
              </w:rPr>
            </w:pPr>
            <w:r>
              <w:rPr>
                <w:spacing w:val="-2"/>
                <w:sz w:val="18"/>
              </w:rPr>
              <w:t>-0.282816</w:t>
            </w:r>
          </w:p>
        </w:tc>
        <w:tc>
          <w:tcPr>
            <w:tcW w:w="914" w:type="dxa"/>
          </w:tcPr>
          <w:p>
            <w:pPr>
              <w:pStyle w:val="TableParagraph"/>
              <w:spacing w:line="199" w:lineRule="exact" w:before="6"/>
              <w:ind w:right="6"/>
              <w:jc w:val="right"/>
              <w:rPr>
                <w:sz w:val="18"/>
              </w:rPr>
            </w:pPr>
            <w:r>
              <w:rPr>
                <w:spacing w:val="-2"/>
                <w:sz w:val="18"/>
              </w:rPr>
              <w:t>0.7776</w:t>
            </w:r>
          </w:p>
        </w:tc>
      </w:tr>
      <w:tr>
        <w:trPr>
          <w:trHeight w:val="224" w:hRule="atLeast"/>
        </w:trPr>
        <w:tc>
          <w:tcPr>
            <w:tcW w:w="2010" w:type="dxa"/>
          </w:tcPr>
          <w:p>
            <w:pPr>
              <w:pStyle w:val="TableParagraph"/>
              <w:spacing w:line="198" w:lineRule="exact" w:before="6"/>
              <w:ind w:left="6" w:right="4"/>
              <w:jc w:val="center"/>
              <w:rPr>
                <w:sz w:val="18"/>
              </w:rPr>
            </w:pPr>
            <w:r>
              <w:rPr>
                <w:spacing w:val="-2"/>
                <w:sz w:val="18"/>
              </w:rPr>
              <w:t>FSIZE</w:t>
            </w:r>
          </w:p>
        </w:tc>
        <w:tc>
          <w:tcPr>
            <w:tcW w:w="1206" w:type="dxa"/>
          </w:tcPr>
          <w:p>
            <w:pPr>
              <w:pStyle w:val="TableParagraph"/>
              <w:spacing w:line="198" w:lineRule="exact" w:before="6"/>
              <w:ind w:left="180"/>
              <w:jc w:val="center"/>
              <w:rPr>
                <w:sz w:val="18"/>
              </w:rPr>
            </w:pPr>
            <w:r>
              <w:rPr>
                <w:spacing w:val="-2"/>
                <w:sz w:val="18"/>
              </w:rPr>
              <w:t>-0.083505</w:t>
            </w:r>
          </w:p>
        </w:tc>
        <w:tc>
          <w:tcPr>
            <w:tcW w:w="1300" w:type="dxa"/>
          </w:tcPr>
          <w:p>
            <w:pPr>
              <w:pStyle w:val="TableParagraph"/>
              <w:spacing w:line="198" w:lineRule="exact" w:before="6"/>
              <w:ind w:left="155" w:right="2"/>
              <w:jc w:val="center"/>
              <w:rPr>
                <w:sz w:val="18"/>
              </w:rPr>
            </w:pPr>
            <w:r>
              <w:rPr>
                <w:spacing w:val="-2"/>
                <w:sz w:val="18"/>
              </w:rPr>
              <w:t>0.139649</w:t>
            </w:r>
          </w:p>
        </w:tc>
        <w:tc>
          <w:tcPr>
            <w:tcW w:w="1101" w:type="dxa"/>
          </w:tcPr>
          <w:p>
            <w:pPr>
              <w:pStyle w:val="TableParagraph"/>
              <w:spacing w:line="198" w:lineRule="exact" w:before="6"/>
              <w:ind w:right="90"/>
              <w:jc w:val="right"/>
              <w:rPr>
                <w:sz w:val="18"/>
              </w:rPr>
            </w:pPr>
            <w:r>
              <w:rPr>
                <w:spacing w:val="-2"/>
                <w:sz w:val="18"/>
              </w:rPr>
              <w:t>-0.597966</w:t>
            </w:r>
          </w:p>
        </w:tc>
        <w:tc>
          <w:tcPr>
            <w:tcW w:w="914" w:type="dxa"/>
          </w:tcPr>
          <w:p>
            <w:pPr>
              <w:pStyle w:val="TableParagraph"/>
              <w:spacing w:line="198" w:lineRule="exact" w:before="6"/>
              <w:ind w:right="6"/>
              <w:jc w:val="right"/>
              <w:rPr>
                <w:sz w:val="18"/>
              </w:rPr>
            </w:pPr>
            <w:r>
              <w:rPr>
                <w:spacing w:val="-2"/>
                <w:sz w:val="18"/>
              </w:rPr>
              <w:t>0.5506</w:t>
            </w:r>
          </w:p>
        </w:tc>
      </w:tr>
      <w:tr>
        <w:trPr>
          <w:trHeight w:val="224" w:hRule="atLeast"/>
        </w:trPr>
        <w:tc>
          <w:tcPr>
            <w:tcW w:w="2010" w:type="dxa"/>
          </w:tcPr>
          <w:p>
            <w:pPr>
              <w:pStyle w:val="TableParagraph"/>
              <w:spacing w:line="199" w:lineRule="exact" w:before="5"/>
              <w:ind w:left="523"/>
              <w:rPr>
                <w:sz w:val="18"/>
              </w:rPr>
            </w:pPr>
            <w:r>
              <w:rPr>
                <w:spacing w:val="-2"/>
                <w:sz w:val="18"/>
              </w:rPr>
              <w:t>LEVERAGE</w:t>
            </w:r>
          </w:p>
        </w:tc>
        <w:tc>
          <w:tcPr>
            <w:tcW w:w="1206" w:type="dxa"/>
          </w:tcPr>
          <w:p>
            <w:pPr>
              <w:pStyle w:val="TableParagraph"/>
              <w:spacing w:line="199" w:lineRule="exact" w:before="5"/>
              <w:ind w:left="180"/>
              <w:jc w:val="center"/>
              <w:rPr>
                <w:sz w:val="18"/>
              </w:rPr>
            </w:pPr>
            <w:r>
              <w:rPr>
                <w:spacing w:val="-2"/>
                <w:sz w:val="18"/>
              </w:rPr>
              <w:t>-0.022072</w:t>
            </w:r>
          </w:p>
        </w:tc>
        <w:tc>
          <w:tcPr>
            <w:tcW w:w="1300" w:type="dxa"/>
          </w:tcPr>
          <w:p>
            <w:pPr>
              <w:pStyle w:val="TableParagraph"/>
              <w:spacing w:line="199" w:lineRule="exact" w:before="5"/>
              <w:ind w:left="155" w:right="2"/>
              <w:jc w:val="center"/>
              <w:rPr>
                <w:sz w:val="18"/>
              </w:rPr>
            </w:pPr>
            <w:r>
              <w:rPr>
                <w:spacing w:val="-2"/>
                <w:sz w:val="18"/>
              </w:rPr>
              <w:t>0.032918</w:t>
            </w:r>
          </w:p>
        </w:tc>
        <w:tc>
          <w:tcPr>
            <w:tcW w:w="1101" w:type="dxa"/>
          </w:tcPr>
          <w:p>
            <w:pPr>
              <w:pStyle w:val="TableParagraph"/>
              <w:spacing w:line="199" w:lineRule="exact" w:before="5"/>
              <w:ind w:right="90"/>
              <w:jc w:val="right"/>
              <w:rPr>
                <w:sz w:val="18"/>
              </w:rPr>
            </w:pPr>
            <w:r>
              <w:rPr>
                <w:spacing w:val="-2"/>
                <w:sz w:val="18"/>
              </w:rPr>
              <w:t>-0.670515</w:t>
            </w:r>
          </w:p>
        </w:tc>
        <w:tc>
          <w:tcPr>
            <w:tcW w:w="914" w:type="dxa"/>
          </w:tcPr>
          <w:p>
            <w:pPr>
              <w:pStyle w:val="TableParagraph"/>
              <w:spacing w:line="199" w:lineRule="exact" w:before="5"/>
              <w:ind w:right="6"/>
              <w:jc w:val="right"/>
              <w:rPr>
                <w:sz w:val="18"/>
              </w:rPr>
            </w:pPr>
            <w:r>
              <w:rPr>
                <w:spacing w:val="-2"/>
                <w:sz w:val="18"/>
              </w:rPr>
              <w:t>0.5034</w:t>
            </w:r>
          </w:p>
        </w:tc>
      </w:tr>
      <w:tr>
        <w:trPr>
          <w:trHeight w:val="225" w:hRule="atLeast"/>
        </w:trPr>
        <w:tc>
          <w:tcPr>
            <w:tcW w:w="2010" w:type="dxa"/>
          </w:tcPr>
          <w:p>
            <w:pPr>
              <w:pStyle w:val="TableParagraph"/>
              <w:spacing w:line="199" w:lineRule="exact" w:before="6"/>
              <w:ind w:left="6" w:right="3"/>
              <w:jc w:val="center"/>
              <w:rPr>
                <w:sz w:val="18"/>
              </w:rPr>
            </w:pPr>
            <w:r>
              <w:rPr>
                <w:spacing w:val="-4"/>
                <w:sz w:val="18"/>
              </w:rPr>
              <w:t>IFRS</w:t>
            </w:r>
          </w:p>
        </w:tc>
        <w:tc>
          <w:tcPr>
            <w:tcW w:w="1206" w:type="dxa"/>
          </w:tcPr>
          <w:p>
            <w:pPr>
              <w:pStyle w:val="TableParagraph"/>
              <w:spacing w:line="199" w:lineRule="exact" w:before="6"/>
              <w:ind w:left="180"/>
              <w:jc w:val="center"/>
              <w:rPr>
                <w:sz w:val="18"/>
              </w:rPr>
            </w:pPr>
            <w:r>
              <w:rPr>
                <w:spacing w:val="-2"/>
                <w:sz w:val="18"/>
              </w:rPr>
              <w:t>-0.663175</w:t>
            </w:r>
          </w:p>
        </w:tc>
        <w:tc>
          <w:tcPr>
            <w:tcW w:w="1300" w:type="dxa"/>
          </w:tcPr>
          <w:p>
            <w:pPr>
              <w:pStyle w:val="TableParagraph"/>
              <w:spacing w:line="199" w:lineRule="exact" w:before="6"/>
              <w:ind w:left="155" w:right="2"/>
              <w:jc w:val="center"/>
              <w:rPr>
                <w:sz w:val="18"/>
              </w:rPr>
            </w:pPr>
            <w:r>
              <w:rPr>
                <w:spacing w:val="-2"/>
                <w:sz w:val="18"/>
              </w:rPr>
              <w:t>0.913716</w:t>
            </w:r>
          </w:p>
        </w:tc>
        <w:tc>
          <w:tcPr>
            <w:tcW w:w="1101" w:type="dxa"/>
          </w:tcPr>
          <w:p>
            <w:pPr>
              <w:pStyle w:val="TableParagraph"/>
              <w:spacing w:line="199" w:lineRule="exact" w:before="6"/>
              <w:ind w:right="90"/>
              <w:jc w:val="right"/>
              <w:rPr>
                <w:sz w:val="18"/>
              </w:rPr>
            </w:pPr>
            <w:r>
              <w:rPr>
                <w:spacing w:val="-2"/>
                <w:sz w:val="18"/>
              </w:rPr>
              <w:t>-0.725800</w:t>
            </w:r>
          </w:p>
        </w:tc>
        <w:tc>
          <w:tcPr>
            <w:tcW w:w="914" w:type="dxa"/>
          </w:tcPr>
          <w:p>
            <w:pPr>
              <w:pStyle w:val="TableParagraph"/>
              <w:spacing w:line="199" w:lineRule="exact" w:before="6"/>
              <w:ind w:right="6"/>
              <w:jc w:val="right"/>
              <w:rPr>
                <w:sz w:val="18"/>
              </w:rPr>
            </w:pPr>
            <w:r>
              <w:rPr>
                <w:spacing w:val="-2"/>
                <w:sz w:val="18"/>
              </w:rPr>
              <w:t>0.4689</w:t>
            </w:r>
          </w:p>
        </w:tc>
      </w:tr>
      <w:tr>
        <w:trPr>
          <w:trHeight w:val="225" w:hRule="atLeast"/>
        </w:trPr>
        <w:tc>
          <w:tcPr>
            <w:tcW w:w="2010" w:type="dxa"/>
          </w:tcPr>
          <w:p>
            <w:pPr>
              <w:pStyle w:val="TableParagraph"/>
              <w:spacing w:line="199" w:lineRule="exact" w:before="6"/>
              <w:ind w:left="583"/>
              <w:rPr>
                <w:sz w:val="18"/>
              </w:rPr>
            </w:pPr>
            <w:r>
              <w:rPr>
                <w:spacing w:val="-2"/>
                <w:sz w:val="18"/>
              </w:rPr>
              <w:t>BDS*IFRS</w:t>
            </w:r>
          </w:p>
        </w:tc>
        <w:tc>
          <w:tcPr>
            <w:tcW w:w="1206" w:type="dxa"/>
          </w:tcPr>
          <w:p>
            <w:pPr>
              <w:pStyle w:val="TableParagraph"/>
              <w:spacing w:line="199" w:lineRule="exact" w:before="6"/>
              <w:ind w:left="180"/>
              <w:jc w:val="center"/>
              <w:rPr>
                <w:sz w:val="18"/>
              </w:rPr>
            </w:pPr>
            <w:r>
              <w:rPr>
                <w:spacing w:val="-2"/>
                <w:sz w:val="18"/>
              </w:rPr>
              <w:t>-0.009424</w:t>
            </w:r>
          </w:p>
        </w:tc>
        <w:tc>
          <w:tcPr>
            <w:tcW w:w="1300" w:type="dxa"/>
          </w:tcPr>
          <w:p>
            <w:pPr>
              <w:pStyle w:val="TableParagraph"/>
              <w:spacing w:line="199" w:lineRule="exact" w:before="6"/>
              <w:ind w:left="155" w:right="2"/>
              <w:jc w:val="center"/>
              <w:rPr>
                <w:sz w:val="18"/>
              </w:rPr>
            </w:pPr>
            <w:r>
              <w:rPr>
                <w:spacing w:val="-2"/>
                <w:sz w:val="18"/>
              </w:rPr>
              <w:t>0.017364</w:t>
            </w:r>
          </w:p>
        </w:tc>
        <w:tc>
          <w:tcPr>
            <w:tcW w:w="1101" w:type="dxa"/>
          </w:tcPr>
          <w:p>
            <w:pPr>
              <w:pStyle w:val="TableParagraph"/>
              <w:spacing w:line="199" w:lineRule="exact" w:before="6"/>
              <w:ind w:right="90"/>
              <w:jc w:val="right"/>
              <w:rPr>
                <w:sz w:val="18"/>
              </w:rPr>
            </w:pPr>
            <w:r>
              <w:rPr>
                <w:spacing w:val="-2"/>
                <w:sz w:val="18"/>
              </w:rPr>
              <w:t>-0.542706</w:t>
            </w:r>
          </w:p>
        </w:tc>
        <w:tc>
          <w:tcPr>
            <w:tcW w:w="914" w:type="dxa"/>
          </w:tcPr>
          <w:p>
            <w:pPr>
              <w:pStyle w:val="TableParagraph"/>
              <w:spacing w:line="199" w:lineRule="exact" w:before="6"/>
              <w:ind w:right="6"/>
              <w:jc w:val="right"/>
              <w:rPr>
                <w:sz w:val="18"/>
              </w:rPr>
            </w:pPr>
            <w:r>
              <w:rPr>
                <w:spacing w:val="-2"/>
                <w:sz w:val="18"/>
              </w:rPr>
              <w:t>0.5880</w:t>
            </w:r>
          </w:p>
        </w:tc>
      </w:tr>
      <w:tr>
        <w:trPr>
          <w:trHeight w:val="224" w:hRule="atLeast"/>
        </w:trPr>
        <w:tc>
          <w:tcPr>
            <w:tcW w:w="2010" w:type="dxa"/>
          </w:tcPr>
          <w:p>
            <w:pPr>
              <w:pStyle w:val="TableParagraph"/>
              <w:spacing w:line="198" w:lineRule="exact" w:before="6"/>
              <w:ind w:left="487"/>
              <w:rPr>
                <w:sz w:val="18"/>
              </w:rPr>
            </w:pPr>
            <w:r>
              <w:rPr>
                <w:spacing w:val="-2"/>
                <w:sz w:val="18"/>
              </w:rPr>
              <w:t>BDIND*IFRS</w:t>
            </w:r>
          </w:p>
        </w:tc>
        <w:tc>
          <w:tcPr>
            <w:tcW w:w="1206" w:type="dxa"/>
          </w:tcPr>
          <w:p>
            <w:pPr>
              <w:pStyle w:val="TableParagraph"/>
              <w:spacing w:line="198" w:lineRule="exact" w:before="6"/>
              <w:ind w:left="240"/>
              <w:jc w:val="center"/>
              <w:rPr>
                <w:sz w:val="18"/>
              </w:rPr>
            </w:pPr>
            <w:r>
              <w:rPr>
                <w:spacing w:val="-2"/>
                <w:sz w:val="18"/>
              </w:rPr>
              <w:t>1.511495</w:t>
            </w:r>
          </w:p>
        </w:tc>
        <w:tc>
          <w:tcPr>
            <w:tcW w:w="1300" w:type="dxa"/>
          </w:tcPr>
          <w:p>
            <w:pPr>
              <w:pStyle w:val="TableParagraph"/>
              <w:spacing w:line="198" w:lineRule="exact" w:before="6"/>
              <w:ind w:left="155" w:right="2"/>
              <w:jc w:val="center"/>
              <w:rPr>
                <w:sz w:val="18"/>
              </w:rPr>
            </w:pPr>
            <w:r>
              <w:rPr>
                <w:spacing w:val="-2"/>
                <w:sz w:val="18"/>
              </w:rPr>
              <w:t>0.563953</w:t>
            </w:r>
          </w:p>
        </w:tc>
        <w:tc>
          <w:tcPr>
            <w:tcW w:w="1101" w:type="dxa"/>
          </w:tcPr>
          <w:p>
            <w:pPr>
              <w:pStyle w:val="TableParagraph"/>
              <w:spacing w:line="198" w:lineRule="exact" w:before="6"/>
              <w:ind w:right="90"/>
              <w:jc w:val="right"/>
              <w:rPr>
                <w:sz w:val="18"/>
              </w:rPr>
            </w:pPr>
            <w:r>
              <w:rPr>
                <w:spacing w:val="-2"/>
                <w:sz w:val="18"/>
              </w:rPr>
              <w:t>2.680180</w:t>
            </w:r>
          </w:p>
        </w:tc>
        <w:tc>
          <w:tcPr>
            <w:tcW w:w="914" w:type="dxa"/>
          </w:tcPr>
          <w:p>
            <w:pPr>
              <w:pStyle w:val="TableParagraph"/>
              <w:spacing w:line="198" w:lineRule="exact" w:before="6"/>
              <w:ind w:right="6"/>
              <w:jc w:val="right"/>
              <w:rPr>
                <w:sz w:val="18"/>
              </w:rPr>
            </w:pPr>
            <w:r>
              <w:rPr>
                <w:spacing w:val="-2"/>
                <w:sz w:val="18"/>
              </w:rPr>
              <w:t>0.0080</w:t>
            </w:r>
          </w:p>
        </w:tc>
      </w:tr>
      <w:tr>
        <w:trPr>
          <w:trHeight w:val="302" w:hRule="atLeast"/>
        </w:trPr>
        <w:tc>
          <w:tcPr>
            <w:tcW w:w="2010" w:type="dxa"/>
            <w:tcBorders>
              <w:bottom w:val="double" w:sz="6" w:space="0" w:color="000000"/>
            </w:tcBorders>
          </w:tcPr>
          <w:p>
            <w:pPr>
              <w:pStyle w:val="TableParagraph"/>
              <w:spacing w:before="5"/>
              <w:ind w:left="472"/>
              <w:rPr>
                <w:sz w:val="18"/>
              </w:rPr>
            </w:pPr>
            <w:r>
              <w:rPr>
                <w:spacing w:val="-2"/>
                <w:sz w:val="18"/>
              </w:rPr>
              <w:t>BFEXP*IFRS</w:t>
            </w:r>
          </w:p>
        </w:tc>
        <w:tc>
          <w:tcPr>
            <w:tcW w:w="1206" w:type="dxa"/>
            <w:tcBorders>
              <w:bottom w:val="double" w:sz="6" w:space="0" w:color="000000"/>
            </w:tcBorders>
          </w:tcPr>
          <w:p>
            <w:pPr>
              <w:pStyle w:val="TableParagraph"/>
              <w:spacing w:before="5"/>
              <w:ind w:left="240"/>
              <w:jc w:val="center"/>
              <w:rPr>
                <w:sz w:val="18"/>
              </w:rPr>
            </w:pPr>
            <w:r>
              <w:rPr>
                <w:spacing w:val="-2"/>
                <w:sz w:val="18"/>
              </w:rPr>
              <w:t>0.042857</w:t>
            </w:r>
          </w:p>
        </w:tc>
        <w:tc>
          <w:tcPr>
            <w:tcW w:w="1300" w:type="dxa"/>
            <w:tcBorders>
              <w:bottom w:val="double" w:sz="6" w:space="0" w:color="000000"/>
            </w:tcBorders>
          </w:tcPr>
          <w:p>
            <w:pPr>
              <w:pStyle w:val="TableParagraph"/>
              <w:spacing w:before="5"/>
              <w:ind w:left="155" w:right="2"/>
              <w:jc w:val="center"/>
              <w:rPr>
                <w:sz w:val="18"/>
              </w:rPr>
            </w:pPr>
            <w:r>
              <w:rPr>
                <w:spacing w:val="-2"/>
                <w:sz w:val="18"/>
              </w:rPr>
              <w:t>1.183199</w:t>
            </w:r>
          </w:p>
        </w:tc>
        <w:tc>
          <w:tcPr>
            <w:tcW w:w="1101" w:type="dxa"/>
            <w:tcBorders>
              <w:bottom w:val="double" w:sz="6" w:space="0" w:color="000000"/>
            </w:tcBorders>
          </w:tcPr>
          <w:p>
            <w:pPr>
              <w:pStyle w:val="TableParagraph"/>
              <w:spacing w:before="5"/>
              <w:ind w:right="90"/>
              <w:jc w:val="right"/>
              <w:rPr>
                <w:sz w:val="18"/>
              </w:rPr>
            </w:pPr>
            <w:r>
              <w:rPr>
                <w:spacing w:val="-2"/>
                <w:sz w:val="18"/>
              </w:rPr>
              <w:t>0.036221</w:t>
            </w:r>
          </w:p>
        </w:tc>
        <w:tc>
          <w:tcPr>
            <w:tcW w:w="914" w:type="dxa"/>
            <w:tcBorders>
              <w:bottom w:val="double" w:sz="6" w:space="0" w:color="000000"/>
            </w:tcBorders>
          </w:tcPr>
          <w:p>
            <w:pPr>
              <w:pStyle w:val="TableParagraph"/>
              <w:spacing w:before="5"/>
              <w:ind w:right="6"/>
              <w:jc w:val="right"/>
              <w:rPr>
                <w:sz w:val="18"/>
              </w:rPr>
            </w:pPr>
            <w:r>
              <w:rPr>
                <w:spacing w:val="-2"/>
                <w:sz w:val="18"/>
              </w:rPr>
              <w:t>0.9711</w:t>
            </w:r>
          </w:p>
        </w:tc>
      </w:tr>
      <w:tr>
        <w:trPr>
          <w:trHeight w:val="327" w:hRule="atLeast"/>
        </w:trPr>
        <w:tc>
          <w:tcPr>
            <w:tcW w:w="6531" w:type="dxa"/>
            <w:gridSpan w:val="5"/>
            <w:tcBorders>
              <w:top w:val="double" w:sz="6" w:space="0" w:color="000000"/>
            </w:tcBorders>
          </w:tcPr>
          <w:p>
            <w:pPr>
              <w:pStyle w:val="TableParagraph"/>
              <w:spacing w:line="199" w:lineRule="exact" w:before="108"/>
              <w:ind w:left="3" w:right="187"/>
              <w:jc w:val="center"/>
              <w:rPr>
                <w:sz w:val="18"/>
              </w:rPr>
            </w:pPr>
            <w:r>
              <w:rPr>
                <w:sz w:val="18"/>
              </w:rPr>
              <w:t>Effects </w:t>
            </w:r>
            <w:r>
              <w:rPr>
                <w:spacing w:val="-2"/>
                <w:sz w:val="18"/>
              </w:rPr>
              <w:t>Specification</w:t>
            </w:r>
          </w:p>
        </w:tc>
      </w:tr>
      <w:tr>
        <w:trPr>
          <w:trHeight w:val="301" w:hRule="atLeast"/>
        </w:trPr>
        <w:tc>
          <w:tcPr>
            <w:tcW w:w="2010" w:type="dxa"/>
            <w:tcBorders>
              <w:bottom w:val="double" w:sz="6" w:space="0" w:color="000000"/>
            </w:tcBorders>
          </w:tcPr>
          <w:p>
            <w:pPr>
              <w:pStyle w:val="TableParagraph"/>
              <w:rPr>
                <w:rFonts w:ascii="Times New Roman"/>
                <w:sz w:val="18"/>
              </w:rPr>
            </w:pP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spacing w:before="6"/>
              <w:ind w:right="192"/>
              <w:jc w:val="right"/>
              <w:rPr>
                <w:sz w:val="18"/>
              </w:rPr>
            </w:pPr>
            <w:r>
              <w:rPr>
                <w:spacing w:val="-4"/>
                <w:sz w:val="18"/>
              </w:rPr>
              <w:t>S.D.</w:t>
            </w:r>
          </w:p>
        </w:tc>
        <w:tc>
          <w:tcPr>
            <w:tcW w:w="914" w:type="dxa"/>
            <w:tcBorders>
              <w:bottom w:val="double" w:sz="6" w:space="0" w:color="000000"/>
            </w:tcBorders>
          </w:tcPr>
          <w:p>
            <w:pPr>
              <w:pStyle w:val="TableParagraph"/>
              <w:spacing w:before="6"/>
              <w:ind w:right="106"/>
              <w:jc w:val="right"/>
              <w:rPr>
                <w:sz w:val="18"/>
              </w:rPr>
            </w:pPr>
            <w:r>
              <w:rPr>
                <w:spacing w:val="-5"/>
                <w:sz w:val="18"/>
              </w:rPr>
              <w:t>Rho</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Cross-section</w:t>
            </w:r>
            <w:r>
              <w:rPr>
                <w:spacing w:val="10"/>
                <w:sz w:val="18"/>
              </w:rPr>
              <w:t> </w:t>
            </w:r>
            <w:r>
              <w:rPr>
                <w:spacing w:val="-2"/>
                <w:sz w:val="18"/>
              </w:rPr>
              <w:t>random</w:t>
            </w:r>
          </w:p>
        </w:tc>
        <w:tc>
          <w:tcPr>
            <w:tcW w:w="1206" w:type="dxa"/>
            <w:tcBorders>
              <w:top w:val="double" w:sz="6" w:space="0" w:color="000000"/>
            </w:tcBorders>
          </w:tcPr>
          <w:p>
            <w:pPr>
              <w:pStyle w:val="TableParagraph"/>
              <w:rPr>
                <w:rFonts w:ascii="Times New Roman"/>
                <w:sz w:val="18"/>
              </w:rPr>
            </w:pPr>
          </w:p>
        </w:tc>
        <w:tc>
          <w:tcPr>
            <w:tcW w:w="1300" w:type="dxa"/>
            <w:tcBorders>
              <w:top w:val="double" w:sz="6" w:space="0" w:color="000000"/>
            </w:tcBorders>
          </w:tcPr>
          <w:p>
            <w:pPr>
              <w:pStyle w:val="TableParagraph"/>
              <w:rPr>
                <w:rFonts w:ascii="Times New Roman"/>
                <w:sz w:val="18"/>
              </w:rPr>
            </w:pPr>
          </w:p>
        </w:tc>
        <w:tc>
          <w:tcPr>
            <w:tcW w:w="1101" w:type="dxa"/>
            <w:tcBorders>
              <w:top w:val="double" w:sz="6" w:space="0" w:color="000000"/>
            </w:tcBorders>
          </w:tcPr>
          <w:p>
            <w:pPr>
              <w:pStyle w:val="TableParagraph"/>
              <w:spacing w:line="199" w:lineRule="exact" w:before="108"/>
              <w:ind w:right="90"/>
              <w:jc w:val="right"/>
              <w:rPr>
                <w:sz w:val="18"/>
              </w:rPr>
            </w:pPr>
            <w:r>
              <w:rPr>
                <w:spacing w:val="-2"/>
                <w:sz w:val="18"/>
              </w:rPr>
              <w:t>0.297083</w:t>
            </w:r>
          </w:p>
        </w:tc>
        <w:tc>
          <w:tcPr>
            <w:tcW w:w="914" w:type="dxa"/>
            <w:tcBorders>
              <w:top w:val="double" w:sz="6" w:space="0" w:color="000000"/>
            </w:tcBorders>
          </w:tcPr>
          <w:p>
            <w:pPr>
              <w:pStyle w:val="TableParagraph"/>
              <w:spacing w:line="199" w:lineRule="exact" w:before="108"/>
              <w:ind w:right="6"/>
              <w:jc w:val="right"/>
              <w:rPr>
                <w:sz w:val="18"/>
              </w:rPr>
            </w:pPr>
            <w:r>
              <w:rPr>
                <w:spacing w:val="-2"/>
                <w:sz w:val="18"/>
              </w:rPr>
              <w:t>0.2149</w:t>
            </w:r>
          </w:p>
        </w:tc>
      </w:tr>
      <w:tr>
        <w:trPr>
          <w:trHeight w:val="303" w:hRule="atLeast"/>
        </w:trPr>
        <w:tc>
          <w:tcPr>
            <w:tcW w:w="2010" w:type="dxa"/>
            <w:tcBorders>
              <w:bottom w:val="double" w:sz="6" w:space="0" w:color="000000"/>
            </w:tcBorders>
          </w:tcPr>
          <w:p>
            <w:pPr>
              <w:pStyle w:val="TableParagraph"/>
              <w:spacing w:before="6"/>
              <w:rPr>
                <w:sz w:val="18"/>
              </w:rPr>
            </w:pPr>
            <w:r>
              <w:rPr>
                <w:sz w:val="18"/>
              </w:rPr>
              <w:t>Idiosyncratic</w:t>
            </w:r>
            <w:r>
              <w:rPr>
                <w:spacing w:val="-4"/>
                <w:sz w:val="18"/>
              </w:rPr>
              <w:t> </w:t>
            </w:r>
            <w:r>
              <w:rPr>
                <w:spacing w:val="-2"/>
                <w:sz w:val="18"/>
              </w:rPr>
              <w:t>random</w:t>
            </w: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spacing w:before="6"/>
              <w:ind w:right="90"/>
              <w:jc w:val="right"/>
              <w:rPr>
                <w:sz w:val="18"/>
              </w:rPr>
            </w:pPr>
            <w:r>
              <w:rPr>
                <w:spacing w:val="-2"/>
                <w:sz w:val="18"/>
              </w:rPr>
              <w:t>0.567753</w:t>
            </w:r>
          </w:p>
        </w:tc>
        <w:tc>
          <w:tcPr>
            <w:tcW w:w="914" w:type="dxa"/>
            <w:tcBorders>
              <w:bottom w:val="double" w:sz="6" w:space="0" w:color="000000"/>
            </w:tcBorders>
          </w:tcPr>
          <w:p>
            <w:pPr>
              <w:pStyle w:val="TableParagraph"/>
              <w:spacing w:before="6"/>
              <w:ind w:right="6"/>
              <w:jc w:val="right"/>
              <w:rPr>
                <w:sz w:val="18"/>
              </w:rPr>
            </w:pPr>
            <w:r>
              <w:rPr>
                <w:spacing w:val="-2"/>
                <w:sz w:val="18"/>
              </w:rPr>
              <w:t>0.7851</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6"/>
              <w:ind w:right="187"/>
              <w:jc w:val="center"/>
              <w:rPr>
                <w:sz w:val="18"/>
              </w:rPr>
            </w:pPr>
            <w:r>
              <w:rPr>
                <w:sz w:val="18"/>
              </w:rPr>
              <w:t>Weighted</w:t>
            </w:r>
            <w:r>
              <w:rPr>
                <w:spacing w:val="-3"/>
                <w:sz w:val="18"/>
              </w:rPr>
              <w:t> </w:t>
            </w:r>
            <w:r>
              <w:rPr>
                <w:spacing w:val="-2"/>
                <w:sz w:val="18"/>
              </w:rPr>
              <w:t>Statistics</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R-squared</w:t>
            </w:r>
          </w:p>
        </w:tc>
        <w:tc>
          <w:tcPr>
            <w:tcW w:w="1206" w:type="dxa"/>
            <w:tcBorders>
              <w:top w:val="double" w:sz="6" w:space="0" w:color="000000"/>
            </w:tcBorders>
          </w:tcPr>
          <w:p>
            <w:pPr>
              <w:pStyle w:val="TableParagraph"/>
              <w:spacing w:line="199" w:lineRule="exact" w:before="108"/>
              <w:ind w:left="240"/>
              <w:jc w:val="center"/>
              <w:rPr>
                <w:sz w:val="18"/>
              </w:rPr>
            </w:pPr>
            <w:r>
              <w:rPr>
                <w:spacing w:val="-2"/>
                <w:sz w:val="18"/>
              </w:rPr>
              <w:t>0.033655</w:t>
            </w:r>
          </w:p>
        </w:tc>
        <w:tc>
          <w:tcPr>
            <w:tcW w:w="2401" w:type="dxa"/>
            <w:gridSpan w:val="2"/>
            <w:tcBorders>
              <w:top w:val="double" w:sz="6" w:space="0" w:color="000000"/>
            </w:tcBorders>
          </w:tcPr>
          <w:p>
            <w:pPr>
              <w:pStyle w:val="TableParagraph"/>
              <w:spacing w:line="199"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6"/>
              <w:jc w:val="right"/>
              <w:rPr>
                <w:sz w:val="18"/>
              </w:rPr>
            </w:pPr>
            <w:r>
              <w:rPr>
                <w:spacing w:val="-2"/>
                <w:sz w:val="18"/>
              </w:rPr>
              <w:t>-0.048984</w:t>
            </w:r>
          </w:p>
        </w:tc>
      </w:tr>
      <w:tr>
        <w:trPr>
          <w:trHeight w:val="224" w:hRule="atLeast"/>
        </w:trPr>
        <w:tc>
          <w:tcPr>
            <w:tcW w:w="2010" w:type="dxa"/>
          </w:tcPr>
          <w:p>
            <w:pPr>
              <w:pStyle w:val="TableParagraph"/>
              <w:spacing w:line="198" w:lineRule="exact" w:before="6"/>
              <w:rPr>
                <w:sz w:val="18"/>
              </w:rPr>
            </w:pPr>
            <w:r>
              <w:rPr>
                <w:sz w:val="18"/>
              </w:rPr>
              <w:t>Adjusted</w:t>
            </w:r>
            <w:r>
              <w:rPr>
                <w:spacing w:val="-9"/>
                <w:sz w:val="18"/>
              </w:rPr>
              <w:t> </w:t>
            </w:r>
            <w:r>
              <w:rPr>
                <w:sz w:val="18"/>
              </w:rPr>
              <w:t>R-</w:t>
            </w:r>
            <w:r>
              <w:rPr>
                <w:spacing w:val="-2"/>
                <w:sz w:val="18"/>
              </w:rPr>
              <w:t>squared</w:t>
            </w:r>
          </w:p>
        </w:tc>
        <w:tc>
          <w:tcPr>
            <w:tcW w:w="1206" w:type="dxa"/>
          </w:tcPr>
          <w:p>
            <w:pPr>
              <w:pStyle w:val="TableParagraph"/>
              <w:spacing w:line="198" w:lineRule="exact" w:before="6"/>
              <w:ind w:left="180"/>
              <w:jc w:val="center"/>
              <w:rPr>
                <w:sz w:val="18"/>
              </w:rPr>
            </w:pPr>
            <w:r>
              <w:rPr>
                <w:spacing w:val="-2"/>
                <w:sz w:val="18"/>
              </w:rPr>
              <w:t>-0.018864</w:t>
            </w:r>
          </w:p>
        </w:tc>
        <w:tc>
          <w:tcPr>
            <w:tcW w:w="2401" w:type="dxa"/>
            <w:gridSpan w:val="2"/>
          </w:tcPr>
          <w:p>
            <w:pPr>
              <w:pStyle w:val="TableParagraph"/>
              <w:spacing w:line="198" w:lineRule="exact" w:before="6"/>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8" w:lineRule="exact" w:before="6"/>
              <w:ind w:right="6"/>
              <w:jc w:val="right"/>
              <w:rPr>
                <w:sz w:val="18"/>
              </w:rPr>
            </w:pPr>
            <w:r>
              <w:rPr>
                <w:spacing w:val="-2"/>
                <w:sz w:val="18"/>
              </w:rPr>
              <w:t>0.554199</w:t>
            </w:r>
          </w:p>
        </w:tc>
      </w:tr>
      <w:tr>
        <w:trPr>
          <w:trHeight w:val="224" w:hRule="atLeast"/>
        </w:trPr>
        <w:tc>
          <w:tcPr>
            <w:tcW w:w="2010" w:type="dxa"/>
          </w:tcPr>
          <w:p>
            <w:pPr>
              <w:pStyle w:val="TableParagraph"/>
              <w:spacing w:line="199" w:lineRule="exact" w:before="5"/>
              <w:rPr>
                <w:sz w:val="18"/>
              </w:rPr>
            </w:pPr>
            <w:r>
              <w:rPr>
                <w:sz w:val="18"/>
              </w:rPr>
              <w:t>S.E.</w:t>
            </w:r>
            <w:r>
              <w:rPr>
                <w:spacing w:val="-2"/>
                <w:sz w:val="18"/>
              </w:rPr>
              <w:t> </w:t>
            </w:r>
            <w:r>
              <w:rPr>
                <w:sz w:val="18"/>
              </w:rPr>
              <w:t>of </w:t>
            </w:r>
            <w:r>
              <w:rPr>
                <w:spacing w:val="-2"/>
                <w:sz w:val="18"/>
              </w:rPr>
              <w:t>regression</w:t>
            </w:r>
          </w:p>
        </w:tc>
        <w:tc>
          <w:tcPr>
            <w:tcW w:w="1206" w:type="dxa"/>
          </w:tcPr>
          <w:p>
            <w:pPr>
              <w:pStyle w:val="TableParagraph"/>
              <w:spacing w:line="199" w:lineRule="exact" w:before="5"/>
              <w:ind w:left="240"/>
              <w:jc w:val="center"/>
              <w:rPr>
                <w:sz w:val="18"/>
              </w:rPr>
            </w:pPr>
            <w:r>
              <w:rPr>
                <w:spacing w:val="-2"/>
                <w:sz w:val="18"/>
              </w:rPr>
              <w:t>0.559402</w:t>
            </w:r>
          </w:p>
        </w:tc>
        <w:tc>
          <w:tcPr>
            <w:tcW w:w="2401" w:type="dxa"/>
            <w:gridSpan w:val="2"/>
          </w:tcPr>
          <w:p>
            <w:pPr>
              <w:pStyle w:val="TableParagraph"/>
              <w:spacing w:line="199" w:lineRule="exact" w:before="5"/>
              <w:ind w:left="106"/>
              <w:rPr>
                <w:sz w:val="18"/>
              </w:rPr>
            </w:pPr>
            <w:r>
              <w:rPr>
                <w:sz w:val="18"/>
              </w:rPr>
              <w:t>Sum</w:t>
            </w:r>
            <w:r>
              <w:rPr>
                <w:spacing w:val="-5"/>
                <w:sz w:val="18"/>
              </w:rPr>
              <w:t> </w:t>
            </w:r>
            <w:r>
              <w:rPr>
                <w:sz w:val="18"/>
              </w:rPr>
              <w:t>squared</w:t>
            </w:r>
            <w:r>
              <w:rPr>
                <w:spacing w:val="-2"/>
                <w:sz w:val="18"/>
              </w:rPr>
              <w:t> resid</w:t>
            </w:r>
          </w:p>
        </w:tc>
        <w:tc>
          <w:tcPr>
            <w:tcW w:w="914" w:type="dxa"/>
          </w:tcPr>
          <w:p>
            <w:pPr>
              <w:pStyle w:val="TableParagraph"/>
              <w:spacing w:line="199" w:lineRule="exact" w:before="5"/>
              <w:ind w:right="6"/>
              <w:jc w:val="right"/>
              <w:rPr>
                <w:sz w:val="18"/>
              </w:rPr>
            </w:pPr>
            <w:r>
              <w:rPr>
                <w:spacing w:val="-2"/>
                <w:sz w:val="18"/>
              </w:rPr>
              <w:t>57.57921</w:t>
            </w:r>
          </w:p>
        </w:tc>
      </w:tr>
      <w:tr>
        <w:trPr>
          <w:trHeight w:val="225" w:hRule="atLeast"/>
        </w:trPr>
        <w:tc>
          <w:tcPr>
            <w:tcW w:w="2010" w:type="dxa"/>
          </w:tcPr>
          <w:p>
            <w:pPr>
              <w:pStyle w:val="TableParagraph"/>
              <w:spacing w:line="199" w:lineRule="exact" w:before="6"/>
              <w:rPr>
                <w:sz w:val="18"/>
              </w:rPr>
            </w:pPr>
            <w:r>
              <w:rPr>
                <w:spacing w:val="-2"/>
                <w:sz w:val="18"/>
              </w:rPr>
              <w:t>F-statistic</w:t>
            </w:r>
          </w:p>
        </w:tc>
        <w:tc>
          <w:tcPr>
            <w:tcW w:w="1206" w:type="dxa"/>
          </w:tcPr>
          <w:p>
            <w:pPr>
              <w:pStyle w:val="TableParagraph"/>
              <w:spacing w:line="199" w:lineRule="exact" w:before="6"/>
              <w:ind w:left="240"/>
              <w:jc w:val="center"/>
              <w:rPr>
                <w:sz w:val="18"/>
              </w:rPr>
            </w:pPr>
            <w:r>
              <w:rPr>
                <w:spacing w:val="-2"/>
                <w:sz w:val="18"/>
              </w:rPr>
              <w:t>0.640815</w:t>
            </w:r>
          </w:p>
        </w:tc>
        <w:tc>
          <w:tcPr>
            <w:tcW w:w="2401" w:type="dxa"/>
            <w:gridSpan w:val="2"/>
          </w:tcPr>
          <w:p>
            <w:pPr>
              <w:pStyle w:val="TableParagraph"/>
              <w:spacing w:line="199" w:lineRule="exact" w:before="6"/>
              <w:ind w:left="106"/>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6"/>
              <w:jc w:val="right"/>
              <w:rPr>
                <w:sz w:val="18"/>
              </w:rPr>
            </w:pPr>
            <w:r>
              <w:rPr>
                <w:spacing w:val="-2"/>
                <w:sz w:val="18"/>
              </w:rPr>
              <w:t>1.504970</w:t>
            </w:r>
          </w:p>
        </w:tc>
      </w:tr>
      <w:tr>
        <w:trPr>
          <w:trHeight w:val="303" w:hRule="atLeast"/>
        </w:trPr>
        <w:tc>
          <w:tcPr>
            <w:tcW w:w="2010" w:type="dxa"/>
            <w:tcBorders>
              <w:bottom w:val="double" w:sz="6" w:space="0" w:color="000000"/>
            </w:tcBorders>
          </w:tcPr>
          <w:p>
            <w:pPr>
              <w:pStyle w:val="TableParagraph"/>
              <w:spacing w:before="6"/>
              <w:rPr>
                <w:sz w:val="18"/>
              </w:rPr>
            </w:pPr>
            <w:r>
              <w:rPr/>
              <mc:AlternateContent>
                <mc:Choice Requires="wps">
                  <w:drawing>
                    <wp:anchor distT="0" distB="0" distL="0" distR="0" allowOverlap="1" layoutInCell="1" locked="0" behindDoc="1" simplePos="0" relativeHeight="477788672">
                      <wp:simplePos x="0" y="0"/>
                      <wp:positionH relativeFrom="column">
                        <wp:posOffset>334543</wp:posOffset>
                      </wp:positionH>
                      <wp:positionV relativeFrom="paragraph">
                        <wp:posOffset>116864</wp:posOffset>
                      </wp:positionV>
                      <wp:extent cx="902969" cy="90678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902969" cy="906780"/>
                                <a:chExt cx="902969" cy="906780"/>
                              </a:xfrm>
                            </wpg:grpSpPr>
                            <wps:wsp>
                              <wps:cNvPr id="324" name="Graphic 324"/>
                              <wps:cNvSpPr/>
                              <wps:spPr>
                                <a:xfrm>
                                  <a:off x="0" y="0"/>
                                  <a:ext cx="902969" cy="906780"/>
                                </a:xfrm>
                                <a:custGeom>
                                  <a:avLst/>
                                  <a:gdLst/>
                                  <a:ahLst/>
                                  <a:cxnLst/>
                                  <a:rect l="l" t="t" r="r" b="b"/>
                                  <a:pathLst>
                                    <a:path w="902969" h="906780">
                                      <a:moveTo>
                                        <a:pt x="325551" y="0"/>
                                      </a:moveTo>
                                      <a:lnTo>
                                        <a:pt x="286181" y="24891"/>
                                      </a:lnTo>
                                      <a:lnTo>
                                        <a:pt x="272338" y="50291"/>
                                      </a:lnTo>
                                      <a:lnTo>
                                        <a:pt x="272465" y="53212"/>
                                      </a:lnTo>
                                      <a:lnTo>
                                        <a:pt x="274624" y="59435"/>
                                      </a:lnTo>
                                      <a:lnTo>
                                        <a:pt x="276910" y="62483"/>
                                      </a:lnTo>
                                      <a:lnTo>
                                        <a:pt x="693089" y="478662"/>
                                      </a:lnTo>
                                      <a:lnTo>
                                        <a:pt x="714687" y="501179"/>
                                      </a:lnTo>
                                      <a:lnTo>
                                        <a:pt x="750882" y="544546"/>
                                      </a:lnTo>
                                      <a:lnTo>
                                        <a:pt x="777634" y="585622"/>
                                      </a:lnTo>
                                      <a:lnTo>
                                        <a:pt x="795751" y="624695"/>
                                      </a:lnTo>
                                      <a:lnTo>
                                        <a:pt x="806294" y="678481"/>
                                      </a:lnTo>
                                      <a:lnTo>
                                        <a:pt x="805423" y="695207"/>
                                      </a:lnTo>
                                      <a:lnTo>
                                        <a:pt x="789927" y="741283"/>
                                      </a:lnTo>
                                      <a:lnTo>
                                        <a:pt x="755736" y="779460"/>
                                      </a:lnTo>
                                      <a:lnTo>
                                        <a:pt x="712266" y="800480"/>
                                      </a:lnTo>
                                      <a:lnTo>
                                        <a:pt x="679167" y="804386"/>
                                      </a:lnTo>
                                      <a:lnTo>
                                        <a:pt x="661599" y="803088"/>
                                      </a:lnTo>
                                      <a:lnTo>
                                        <a:pt x="624521" y="793751"/>
                                      </a:lnTo>
                                      <a:lnTo>
                                        <a:pt x="584619" y="775674"/>
                                      </a:lnTo>
                                      <a:lnTo>
                                        <a:pt x="541969" y="747936"/>
                                      </a:lnTo>
                                      <a:lnTo>
                                        <a:pt x="497237" y="710634"/>
                                      </a:lnTo>
                                      <a:lnTo>
                                        <a:pt x="62534" y="276859"/>
                                      </a:lnTo>
                                      <a:lnTo>
                                        <a:pt x="59613" y="274573"/>
                                      </a:lnTo>
                                      <a:lnTo>
                                        <a:pt x="13893" y="297179"/>
                                      </a:lnTo>
                                      <a:lnTo>
                                        <a:pt x="0" y="322706"/>
                                      </a:lnTo>
                                      <a:lnTo>
                                        <a:pt x="139" y="325500"/>
                                      </a:lnTo>
                                      <a:lnTo>
                                        <a:pt x="427151" y="757173"/>
                                      </a:lnTo>
                                      <a:lnTo>
                                        <a:pt x="457943" y="786590"/>
                                      </a:lnTo>
                                      <a:lnTo>
                                        <a:pt x="488413" y="812768"/>
                                      </a:lnTo>
                                      <a:lnTo>
                                        <a:pt x="548436" y="855598"/>
                                      </a:lnTo>
                                      <a:lnTo>
                                        <a:pt x="606094" y="885078"/>
                                      </a:lnTo>
                                      <a:lnTo>
                                        <a:pt x="660323" y="901699"/>
                                      </a:lnTo>
                                      <a:lnTo>
                                        <a:pt x="711584" y="906224"/>
                                      </a:lnTo>
                                      <a:lnTo>
                                        <a:pt x="735886" y="903825"/>
                                      </a:lnTo>
                                      <a:lnTo>
                                        <a:pt x="782049" y="890551"/>
                                      </a:lnTo>
                                      <a:lnTo>
                                        <a:pt x="823125" y="865540"/>
                                      </a:lnTo>
                                      <a:lnTo>
                                        <a:pt x="860055" y="828488"/>
                                      </a:lnTo>
                                      <a:lnTo>
                                        <a:pt x="886883" y="784395"/>
                                      </a:lnTo>
                                      <a:lnTo>
                                        <a:pt x="900522" y="736143"/>
                                      </a:lnTo>
                                      <a:lnTo>
                                        <a:pt x="902782" y="710723"/>
                                      </a:lnTo>
                                      <a:lnTo>
                                        <a:pt x="901828" y="684399"/>
                                      </a:lnTo>
                                      <a:lnTo>
                                        <a:pt x="889850" y="629146"/>
                                      </a:lnTo>
                                      <a:lnTo>
                                        <a:pt x="865732" y="571337"/>
                                      </a:lnTo>
                                      <a:lnTo>
                                        <a:pt x="829023" y="511665"/>
                                      </a:lnTo>
                                      <a:lnTo>
                                        <a:pt x="779961" y="451034"/>
                                      </a:lnTo>
                                      <a:lnTo>
                                        <a:pt x="750620" y="420242"/>
                                      </a:lnTo>
                                      <a:lnTo>
                                        <a:pt x="334822" y="4571"/>
                                      </a:lnTo>
                                      <a:lnTo>
                                        <a:pt x="331901" y="2285"/>
                                      </a:lnTo>
                                      <a:lnTo>
                                        <a:pt x="325551" y="0"/>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6.341999pt;margin-top:9.201895pt;width:71.1pt;height:71.4pt;mso-position-horizontal-relative:column;mso-position-vertical-relative:paragraph;z-index:-25527808" id="docshapegroup130" coordorigin="527,184" coordsize="1422,1428">
                      <v:shape style="position:absolute;left:526;top:184;width:1422;height:1428" id="docshape131" coordorigin="527,184" coordsize="1422,1428" path="m1040,184l978,223,956,263,956,268,959,278,963,282,1618,938,1652,973,1709,1042,1751,1106,1780,1168,1797,1253,1795,1279,1771,1351,1717,1412,1649,1445,1596,1451,1569,1449,1510,1434,1448,1406,1380,1362,1310,1303,625,620,621,616,549,652,527,692,527,697,1200,1376,1248,1423,1296,1464,1391,1531,1481,1578,1567,1604,1647,1611,1686,1607,1758,1586,1823,1547,1881,1489,1924,1419,1945,1343,1949,1303,1947,1262,1928,1175,1890,1084,1832,990,1755,894,1709,846,1054,191,1050,188,1040,184xe" filled="true" fillcolor="#c0c0c0" stroked="false">
                        <v:path arrowok="t"/>
                        <v:fill opacity="32896f" type="solid"/>
                      </v:shape>
                      <w10:wrap type="none"/>
                    </v:group>
                  </w:pict>
                </mc:Fallback>
              </mc:AlternateContent>
            </w:r>
            <w:r>
              <w:rPr>
                <w:spacing w:val="-2"/>
                <w:sz w:val="18"/>
              </w:rPr>
              <w:t>Prob(F-statistic)</w:t>
            </w:r>
          </w:p>
        </w:tc>
        <w:tc>
          <w:tcPr>
            <w:tcW w:w="1206" w:type="dxa"/>
            <w:tcBorders>
              <w:bottom w:val="double" w:sz="6" w:space="0" w:color="000000"/>
            </w:tcBorders>
          </w:tcPr>
          <w:p>
            <w:pPr>
              <w:pStyle w:val="TableParagraph"/>
              <w:spacing w:before="6"/>
              <w:ind w:left="240"/>
              <w:jc w:val="center"/>
              <w:rPr>
                <w:sz w:val="18"/>
              </w:rPr>
            </w:pPr>
            <w:r>
              <w:rPr>
                <w:spacing w:val="-2"/>
                <w:sz w:val="18"/>
              </w:rPr>
              <w:t>0.777498</w:t>
            </w: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3" w:hRule="atLeast"/>
        </w:trPr>
        <w:tc>
          <w:tcPr>
            <w:tcW w:w="6531" w:type="dxa"/>
            <w:gridSpan w:val="5"/>
            <w:tcBorders>
              <w:top w:val="double" w:sz="6" w:space="0" w:color="000000"/>
              <w:bottom w:val="double" w:sz="6" w:space="0" w:color="000000"/>
            </w:tcBorders>
          </w:tcPr>
          <w:p>
            <w:pPr>
              <w:pStyle w:val="TableParagraph"/>
              <w:spacing w:before="106"/>
              <w:ind w:left="2" w:right="187"/>
              <w:jc w:val="center"/>
              <w:rPr>
                <w:sz w:val="18"/>
              </w:rPr>
            </w:pPr>
            <w:r>
              <w:rPr>
                <w:spacing w:val="-2"/>
                <w:sz w:val="18"/>
              </w:rPr>
              <w:t>Unweighted</w:t>
            </w:r>
            <w:r>
              <w:rPr>
                <w:spacing w:val="3"/>
                <w:sz w:val="18"/>
              </w:rPr>
              <w:t> </w:t>
            </w:r>
            <w:r>
              <w:rPr>
                <w:spacing w:val="-2"/>
                <w:sz w:val="18"/>
              </w:rPr>
              <w:t>Statistics</w:t>
            </w:r>
          </w:p>
        </w:tc>
      </w:tr>
      <w:tr>
        <w:trPr>
          <w:trHeight w:val="328" w:hRule="atLeast"/>
        </w:trPr>
        <w:tc>
          <w:tcPr>
            <w:tcW w:w="2010" w:type="dxa"/>
            <w:tcBorders>
              <w:top w:val="double" w:sz="6" w:space="0" w:color="000000"/>
            </w:tcBorders>
          </w:tcPr>
          <w:p>
            <w:pPr>
              <w:pStyle w:val="TableParagraph"/>
              <w:spacing w:line="200" w:lineRule="exact" w:before="108"/>
              <w:rPr>
                <w:sz w:val="18"/>
              </w:rPr>
            </w:pPr>
            <w:r>
              <w:rPr>
                <w:spacing w:val="-2"/>
                <w:sz w:val="18"/>
              </w:rPr>
              <w:t>R-squared</w:t>
            </w:r>
          </w:p>
        </w:tc>
        <w:tc>
          <w:tcPr>
            <w:tcW w:w="1206" w:type="dxa"/>
            <w:tcBorders>
              <w:top w:val="double" w:sz="6" w:space="0" w:color="000000"/>
            </w:tcBorders>
          </w:tcPr>
          <w:p>
            <w:pPr>
              <w:pStyle w:val="TableParagraph"/>
              <w:spacing w:line="200" w:lineRule="exact" w:before="108"/>
              <w:ind w:left="240"/>
              <w:jc w:val="center"/>
              <w:rPr>
                <w:sz w:val="18"/>
              </w:rPr>
            </w:pPr>
            <w:r>
              <w:rPr>
                <w:spacing w:val="-2"/>
                <w:sz w:val="18"/>
              </w:rPr>
              <w:t>0.026903</w:t>
            </w:r>
          </w:p>
        </w:tc>
        <w:tc>
          <w:tcPr>
            <w:tcW w:w="2401" w:type="dxa"/>
            <w:gridSpan w:val="2"/>
            <w:tcBorders>
              <w:top w:val="double" w:sz="6" w:space="0" w:color="000000"/>
            </w:tcBorders>
          </w:tcPr>
          <w:p>
            <w:pPr>
              <w:pStyle w:val="TableParagraph"/>
              <w:spacing w:line="200"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200" w:lineRule="exact" w:before="108"/>
              <w:ind w:right="6"/>
              <w:jc w:val="right"/>
              <w:rPr>
                <w:sz w:val="18"/>
              </w:rPr>
            </w:pPr>
            <w:r>
              <w:rPr>
                <w:spacing w:val="-2"/>
                <w:sz w:val="18"/>
              </w:rPr>
              <w:t>-0.110697</w:t>
            </w:r>
          </w:p>
        </w:tc>
      </w:tr>
      <w:tr>
        <w:trPr>
          <w:trHeight w:val="301" w:hRule="atLeast"/>
        </w:trPr>
        <w:tc>
          <w:tcPr>
            <w:tcW w:w="2010"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06" w:type="dxa"/>
            <w:tcBorders>
              <w:bottom w:val="double" w:sz="6" w:space="0" w:color="000000"/>
            </w:tcBorders>
          </w:tcPr>
          <w:p>
            <w:pPr>
              <w:pStyle w:val="TableParagraph"/>
              <w:spacing w:before="6"/>
              <w:ind w:left="240"/>
              <w:jc w:val="center"/>
              <w:rPr>
                <w:sz w:val="18"/>
              </w:rPr>
            </w:pPr>
            <w:r>
              <w:rPr>
                <w:spacing w:val="-2"/>
                <w:sz w:val="18"/>
              </w:rPr>
              <w:t>65.47388</w:t>
            </w:r>
          </w:p>
        </w:tc>
        <w:tc>
          <w:tcPr>
            <w:tcW w:w="2401" w:type="dxa"/>
            <w:gridSpan w:val="2"/>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914" w:type="dxa"/>
            <w:tcBorders>
              <w:bottom w:val="double" w:sz="6" w:space="0" w:color="000000"/>
            </w:tcBorders>
          </w:tcPr>
          <w:p>
            <w:pPr>
              <w:pStyle w:val="TableParagraph"/>
              <w:spacing w:before="6"/>
              <w:ind w:right="6"/>
              <w:jc w:val="right"/>
              <w:rPr>
                <w:sz w:val="18"/>
              </w:rPr>
            </w:pPr>
            <w:r>
              <w:rPr>
                <w:spacing w:val="-2"/>
                <w:sz w:val="18"/>
              </w:rPr>
              <w:t>1.323504</w:t>
            </w:r>
          </w:p>
        </w:tc>
      </w:tr>
    </w:tbl>
    <w:p>
      <w:pPr>
        <w:spacing w:after="0"/>
        <w:jc w:val="right"/>
        <w:rPr>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89696">
                <wp:simplePos x="0" y="0"/>
                <wp:positionH relativeFrom="page">
                  <wp:posOffset>1095451</wp:posOffset>
                </wp:positionH>
                <wp:positionV relativeFrom="page">
                  <wp:posOffset>7242047</wp:posOffset>
                </wp:positionV>
                <wp:extent cx="721995" cy="72263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6784" id="docshape132"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0208">
                <wp:simplePos x="0" y="0"/>
                <wp:positionH relativeFrom="page">
                  <wp:posOffset>1269060</wp:posOffset>
                </wp:positionH>
                <wp:positionV relativeFrom="page">
                  <wp:posOffset>5648406</wp:posOffset>
                </wp:positionV>
                <wp:extent cx="2014220" cy="2054225"/>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2014220" cy="2054225"/>
                          <a:chExt cx="2014220" cy="2054225"/>
                        </a:xfrm>
                      </wpg:grpSpPr>
                      <wps:wsp>
                        <wps:cNvPr id="327" name="Graphic 327"/>
                        <wps:cNvSpPr/>
                        <wps:spPr>
                          <a:xfrm>
                            <a:off x="0" y="772776"/>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28" name="Image 328"/>
                          <pic:cNvPicPr/>
                        </pic:nvPicPr>
                        <pic:blipFill>
                          <a:blip r:embed="rId9" cstate="print"/>
                          <a:stretch>
                            <a:fillRect/>
                          </a:stretch>
                        </pic:blipFill>
                        <pic:spPr>
                          <a:xfrm>
                            <a:off x="1248333" y="820846"/>
                            <a:ext cx="221995" cy="221614"/>
                          </a:xfrm>
                          <a:prstGeom prst="rect">
                            <a:avLst/>
                          </a:prstGeom>
                        </pic:spPr>
                      </pic:pic>
                      <wps:wsp>
                        <wps:cNvPr id="329" name="Graphic 329"/>
                        <wps:cNvSpPr/>
                        <wps:spPr>
                          <a:xfrm>
                            <a:off x="1117777" y="7"/>
                            <a:ext cx="896619" cy="1024890"/>
                          </a:xfrm>
                          <a:custGeom>
                            <a:avLst/>
                            <a:gdLst/>
                            <a:ahLst/>
                            <a:cxnLst/>
                            <a:rect l="l" t="t" r="r" b="b"/>
                            <a:pathLst>
                              <a:path w="896619" h="1024890">
                                <a:moveTo>
                                  <a:pt x="721741" y="973620"/>
                                </a:moveTo>
                                <a:lnTo>
                                  <a:pt x="721487" y="970699"/>
                                </a:lnTo>
                                <a:lnTo>
                                  <a:pt x="719328" y="964603"/>
                                </a:lnTo>
                                <a:lnTo>
                                  <a:pt x="717042" y="961555"/>
                                </a:lnTo>
                                <a:lnTo>
                                  <a:pt x="714375" y="959015"/>
                                </a:lnTo>
                                <a:lnTo>
                                  <a:pt x="62357" y="306997"/>
                                </a:lnTo>
                                <a:lnTo>
                                  <a:pt x="59436" y="304711"/>
                                </a:lnTo>
                                <a:lnTo>
                                  <a:pt x="53213" y="302425"/>
                                </a:lnTo>
                                <a:lnTo>
                                  <a:pt x="50292" y="302298"/>
                                </a:lnTo>
                                <a:lnTo>
                                  <a:pt x="46355" y="303060"/>
                                </a:lnTo>
                                <a:lnTo>
                                  <a:pt x="13970" y="327063"/>
                                </a:lnTo>
                                <a:lnTo>
                                  <a:pt x="0" y="355638"/>
                                </a:lnTo>
                                <a:lnTo>
                                  <a:pt x="2286" y="361861"/>
                                </a:lnTo>
                                <a:lnTo>
                                  <a:pt x="658749" y="1019848"/>
                                </a:lnTo>
                                <a:lnTo>
                                  <a:pt x="670941" y="1024420"/>
                                </a:lnTo>
                                <a:lnTo>
                                  <a:pt x="674243" y="1023150"/>
                                </a:lnTo>
                                <a:lnTo>
                                  <a:pt x="678307" y="1022388"/>
                                </a:lnTo>
                                <a:lnTo>
                                  <a:pt x="712089" y="993940"/>
                                </a:lnTo>
                                <a:lnTo>
                                  <a:pt x="720344" y="977049"/>
                                </a:lnTo>
                                <a:lnTo>
                                  <a:pt x="721741" y="973620"/>
                                </a:lnTo>
                                <a:close/>
                              </a:path>
                              <a:path w="896619" h="1024890">
                                <a:moveTo>
                                  <a:pt x="896239" y="795947"/>
                                </a:moveTo>
                                <a:lnTo>
                                  <a:pt x="645541" y="540550"/>
                                </a:lnTo>
                                <a:lnTo>
                                  <a:pt x="695325" y="490766"/>
                                </a:lnTo>
                                <a:lnTo>
                                  <a:pt x="729310" y="449046"/>
                                </a:lnTo>
                                <a:lnTo>
                                  <a:pt x="749681" y="405041"/>
                                </a:lnTo>
                                <a:lnTo>
                                  <a:pt x="757631" y="359829"/>
                                </a:lnTo>
                                <a:lnTo>
                                  <a:pt x="757694" y="335356"/>
                                </a:lnTo>
                                <a:lnTo>
                                  <a:pt x="754634" y="311061"/>
                                </a:lnTo>
                                <a:lnTo>
                                  <a:pt x="740511" y="261505"/>
                                </a:lnTo>
                                <a:lnTo>
                                  <a:pt x="716026" y="210604"/>
                                </a:lnTo>
                                <a:lnTo>
                                  <a:pt x="680796" y="159423"/>
                                </a:lnTo>
                                <a:lnTo>
                                  <a:pt x="661314" y="136093"/>
                                </a:lnTo>
                                <a:lnTo>
                                  <a:pt x="661314" y="331343"/>
                                </a:lnTo>
                                <a:lnTo>
                                  <a:pt x="660438" y="345795"/>
                                </a:lnTo>
                                <a:lnTo>
                                  <a:pt x="645807" y="387451"/>
                                </a:lnTo>
                                <a:lnTo>
                                  <a:pt x="571754" y="466763"/>
                                </a:lnTo>
                                <a:lnTo>
                                  <a:pt x="300482" y="195364"/>
                                </a:lnTo>
                                <a:lnTo>
                                  <a:pt x="354330" y="141643"/>
                                </a:lnTo>
                                <a:lnTo>
                                  <a:pt x="388747" y="114465"/>
                                </a:lnTo>
                                <a:lnTo>
                                  <a:pt x="436499" y="101257"/>
                                </a:lnTo>
                                <a:lnTo>
                                  <a:pt x="451167" y="101879"/>
                                </a:lnTo>
                                <a:lnTo>
                                  <a:pt x="502412" y="117767"/>
                                </a:lnTo>
                                <a:lnTo>
                                  <a:pt x="540804" y="141452"/>
                                </a:lnTo>
                                <a:lnTo>
                                  <a:pt x="581406" y="176949"/>
                                </a:lnTo>
                                <a:lnTo>
                                  <a:pt x="609015" y="207860"/>
                                </a:lnTo>
                                <a:lnTo>
                                  <a:pt x="631190" y="239052"/>
                                </a:lnTo>
                                <a:lnTo>
                                  <a:pt x="653580" y="286296"/>
                                </a:lnTo>
                                <a:lnTo>
                                  <a:pt x="661314" y="331343"/>
                                </a:lnTo>
                                <a:lnTo>
                                  <a:pt x="661314" y="136093"/>
                                </a:lnTo>
                                <a:lnTo>
                                  <a:pt x="659422" y="133819"/>
                                </a:lnTo>
                                <a:lnTo>
                                  <a:pt x="635381" y="108242"/>
                                </a:lnTo>
                                <a:lnTo>
                                  <a:pt x="628015" y="101257"/>
                                </a:lnTo>
                                <a:lnTo>
                                  <a:pt x="616153" y="90004"/>
                                </a:lnTo>
                                <a:lnTo>
                                  <a:pt x="577710" y="58521"/>
                                </a:lnTo>
                                <a:lnTo>
                                  <a:pt x="539343" y="33794"/>
                                </a:lnTo>
                                <a:lnTo>
                                  <a:pt x="501675" y="16268"/>
                                </a:lnTo>
                                <a:lnTo>
                                  <a:pt x="464718" y="4673"/>
                                </a:lnTo>
                                <a:lnTo>
                                  <a:pt x="428688" y="0"/>
                                </a:lnTo>
                                <a:lnTo>
                                  <a:pt x="411099" y="38"/>
                                </a:lnTo>
                                <a:lnTo>
                                  <a:pt x="365036" y="8636"/>
                                </a:lnTo>
                                <a:lnTo>
                                  <a:pt x="321881" y="31356"/>
                                </a:lnTo>
                                <a:lnTo>
                                  <a:pt x="291896" y="55676"/>
                                </a:lnTo>
                                <a:lnTo>
                                  <a:pt x="190881" y="156502"/>
                                </a:lnTo>
                                <a:lnTo>
                                  <a:pt x="183692" y="173710"/>
                                </a:lnTo>
                                <a:lnTo>
                                  <a:pt x="183896" y="181140"/>
                                </a:lnTo>
                                <a:lnTo>
                                  <a:pt x="206629" y="218097"/>
                                </a:lnTo>
                                <a:lnTo>
                                  <a:pt x="830961" y="842429"/>
                                </a:lnTo>
                                <a:lnTo>
                                  <a:pt x="833501" y="845096"/>
                                </a:lnTo>
                                <a:lnTo>
                                  <a:pt x="836549" y="847382"/>
                                </a:lnTo>
                                <a:lnTo>
                                  <a:pt x="839597" y="848525"/>
                                </a:lnTo>
                                <a:lnTo>
                                  <a:pt x="842772" y="849414"/>
                                </a:lnTo>
                                <a:lnTo>
                                  <a:pt x="845693" y="849668"/>
                                </a:lnTo>
                                <a:lnTo>
                                  <a:pt x="848995" y="848398"/>
                                </a:lnTo>
                                <a:lnTo>
                                  <a:pt x="853059" y="847636"/>
                                </a:lnTo>
                                <a:lnTo>
                                  <a:pt x="886828" y="819061"/>
                                </a:lnTo>
                                <a:lnTo>
                                  <a:pt x="895096" y="802297"/>
                                </a:lnTo>
                                <a:lnTo>
                                  <a:pt x="896112" y="799249"/>
                                </a:lnTo>
                                <a:lnTo>
                                  <a:pt x="896239" y="79594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44.756378pt;width:158.6pt;height:161.75pt;mso-position-horizontal-relative:page;mso-position-vertical-relative:page;z-index:-25526272" id="docshapegroup133" coordorigin="1999,8895" coordsize="3172,3235">
                <v:shape style="position:absolute;left:1998;top:10112;width:2142;height:2018" id="docshape134"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35" stroked="false">
                  <v:imagedata r:id="rId9" o:title=""/>
                </v:shape>
                <v:shape style="position:absolute;left:3758;top:8895;width:1412;height:1614" id="docshape136" coordorigin="3759,8895" coordsize="1412,1614"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e" filled="true" fillcolor="#c0c0c0" stroked="false">
                  <v:path arrowok="t"/>
                  <v:fill opacity="32896f" type="solid"/>
                </v:shape>
                <w10:wrap type="none"/>
              </v:group>
            </w:pict>
          </mc:Fallback>
        </mc:AlternateContent>
      </w:r>
      <w:r>
        <w:rPr/>
        <mc:AlternateContent>
          <mc:Choice Requires="wps">
            <w:drawing>
              <wp:anchor distT="0" distB="0" distL="0" distR="0" allowOverlap="1" layoutInCell="1" locked="0" behindDoc="1" simplePos="0" relativeHeight="477790720">
                <wp:simplePos x="0" y="0"/>
                <wp:positionH relativeFrom="page">
                  <wp:posOffset>2868549</wp:posOffset>
                </wp:positionH>
                <wp:positionV relativeFrom="page">
                  <wp:posOffset>2726054</wp:posOffset>
                </wp:positionV>
                <wp:extent cx="3333750" cy="3332479"/>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3333750" cy="3332479"/>
                        </a:xfrm>
                        <a:custGeom>
                          <a:avLst/>
                          <a:gdLst/>
                          <a:ahLst/>
                          <a:cxnLst/>
                          <a:rect l="l" t="t" r="r" b="b"/>
                          <a:pathLst>
                            <a:path w="3333750" h="3332479">
                              <a:moveTo>
                                <a:pt x="854583" y="3281299"/>
                              </a:moveTo>
                              <a:lnTo>
                                <a:pt x="854456" y="3278378"/>
                              </a:lnTo>
                              <a:lnTo>
                                <a:pt x="852297" y="3272155"/>
                              </a:lnTo>
                              <a:lnTo>
                                <a:pt x="850011" y="3269234"/>
                              </a:lnTo>
                              <a:lnTo>
                                <a:pt x="260731" y="2679954"/>
                              </a:lnTo>
                              <a:lnTo>
                                <a:pt x="385699" y="2554986"/>
                              </a:lnTo>
                              <a:lnTo>
                                <a:pt x="386829" y="2552827"/>
                              </a:lnTo>
                              <a:lnTo>
                                <a:pt x="386956" y="2549525"/>
                              </a:lnTo>
                              <a:lnTo>
                                <a:pt x="386715" y="2546477"/>
                              </a:lnTo>
                              <a:lnTo>
                                <a:pt x="386067" y="2543048"/>
                              </a:lnTo>
                              <a:lnTo>
                                <a:pt x="383921" y="2538984"/>
                              </a:lnTo>
                              <a:lnTo>
                                <a:pt x="382270" y="2535301"/>
                              </a:lnTo>
                              <a:lnTo>
                                <a:pt x="351028" y="2500757"/>
                              </a:lnTo>
                              <a:lnTo>
                                <a:pt x="317754" y="2477516"/>
                              </a:lnTo>
                              <a:lnTo>
                                <a:pt x="311531" y="2477516"/>
                              </a:lnTo>
                              <a:lnTo>
                                <a:pt x="309372" y="2478659"/>
                              </a:lnTo>
                              <a:lnTo>
                                <a:pt x="1143" y="2786888"/>
                              </a:lnTo>
                              <a:lnTo>
                                <a:pt x="0" y="2789047"/>
                              </a:lnTo>
                              <a:lnTo>
                                <a:pt x="254" y="2791968"/>
                              </a:lnTo>
                              <a:lnTo>
                                <a:pt x="0" y="2795270"/>
                              </a:lnTo>
                              <a:lnTo>
                                <a:pt x="1143" y="2798318"/>
                              </a:lnTo>
                              <a:lnTo>
                                <a:pt x="5334" y="2806573"/>
                              </a:lnTo>
                              <a:lnTo>
                                <a:pt x="8890" y="2811526"/>
                              </a:lnTo>
                              <a:lnTo>
                                <a:pt x="13335" y="2816479"/>
                              </a:lnTo>
                              <a:lnTo>
                                <a:pt x="17780" y="2822448"/>
                              </a:lnTo>
                              <a:lnTo>
                                <a:pt x="23241" y="2828544"/>
                              </a:lnTo>
                              <a:lnTo>
                                <a:pt x="36830" y="2842133"/>
                              </a:lnTo>
                              <a:lnTo>
                                <a:pt x="42926" y="2847594"/>
                              </a:lnTo>
                              <a:lnTo>
                                <a:pt x="48260" y="2851531"/>
                              </a:lnTo>
                              <a:lnTo>
                                <a:pt x="53340" y="2855976"/>
                              </a:lnTo>
                              <a:lnTo>
                                <a:pt x="58166" y="2859405"/>
                              </a:lnTo>
                              <a:lnTo>
                                <a:pt x="66040" y="2863088"/>
                              </a:lnTo>
                              <a:lnTo>
                                <a:pt x="69088" y="2864231"/>
                              </a:lnTo>
                              <a:lnTo>
                                <a:pt x="72390" y="2864104"/>
                              </a:lnTo>
                              <a:lnTo>
                                <a:pt x="75311" y="2864358"/>
                              </a:lnTo>
                              <a:lnTo>
                                <a:pt x="77470" y="2863088"/>
                              </a:lnTo>
                              <a:lnTo>
                                <a:pt x="202438" y="2738120"/>
                              </a:lnTo>
                              <a:lnTo>
                                <a:pt x="791845" y="3327400"/>
                              </a:lnTo>
                              <a:lnTo>
                                <a:pt x="794766" y="3329686"/>
                              </a:lnTo>
                              <a:lnTo>
                                <a:pt x="800989" y="3331845"/>
                              </a:lnTo>
                              <a:lnTo>
                                <a:pt x="803783" y="3332099"/>
                              </a:lnTo>
                              <a:lnTo>
                                <a:pt x="807339" y="3330829"/>
                              </a:lnTo>
                              <a:lnTo>
                                <a:pt x="811276" y="3330067"/>
                              </a:lnTo>
                              <a:lnTo>
                                <a:pt x="845058" y="3301492"/>
                              </a:lnTo>
                              <a:lnTo>
                                <a:pt x="853313" y="3284728"/>
                              </a:lnTo>
                              <a:lnTo>
                                <a:pt x="854583" y="3281299"/>
                              </a:lnTo>
                              <a:close/>
                            </a:path>
                            <a:path w="3333750" h="3332479">
                              <a:moveTo>
                                <a:pt x="1192657" y="2943352"/>
                              </a:moveTo>
                              <a:lnTo>
                                <a:pt x="1192530" y="2940304"/>
                              </a:lnTo>
                              <a:lnTo>
                                <a:pt x="1190244" y="2934208"/>
                              </a:lnTo>
                              <a:lnTo>
                                <a:pt x="1188085" y="2931160"/>
                              </a:lnTo>
                              <a:lnTo>
                                <a:pt x="598678" y="2341880"/>
                              </a:lnTo>
                              <a:lnTo>
                                <a:pt x="723646" y="2216912"/>
                              </a:lnTo>
                              <a:lnTo>
                                <a:pt x="724916" y="2214753"/>
                              </a:lnTo>
                              <a:lnTo>
                                <a:pt x="725043" y="2211451"/>
                              </a:lnTo>
                              <a:lnTo>
                                <a:pt x="724027" y="2205101"/>
                              </a:lnTo>
                              <a:lnTo>
                                <a:pt x="720344" y="2197354"/>
                              </a:lnTo>
                              <a:lnTo>
                                <a:pt x="716915" y="2192401"/>
                              </a:lnTo>
                              <a:lnTo>
                                <a:pt x="712343" y="2187448"/>
                              </a:lnTo>
                              <a:lnTo>
                                <a:pt x="702691" y="2176272"/>
                              </a:lnTo>
                              <a:lnTo>
                                <a:pt x="695833" y="2169541"/>
                              </a:lnTo>
                              <a:lnTo>
                                <a:pt x="689102" y="2162683"/>
                              </a:lnTo>
                              <a:lnTo>
                                <a:pt x="672338" y="2147951"/>
                              </a:lnTo>
                              <a:lnTo>
                                <a:pt x="667512" y="2144522"/>
                              </a:lnTo>
                              <a:lnTo>
                                <a:pt x="659257" y="2140204"/>
                              </a:lnTo>
                              <a:lnTo>
                                <a:pt x="655701" y="2139569"/>
                              </a:lnTo>
                              <a:lnTo>
                                <a:pt x="652780" y="2139315"/>
                              </a:lnTo>
                              <a:lnTo>
                                <a:pt x="649605" y="2139442"/>
                              </a:lnTo>
                              <a:lnTo>
                                <a:pt x="647319" y="2140712"/>
                              </a:lnTo>
                              <a:lnTo>
                                <a:pt x="339217" y="2448814"/>
                              </a:lnTo>
                              <a:lnTo>
                                <a:pt x="337947" y="2451100"/>
                              </a:lnTo>
                              <a:lnTo>
                                <a:pt x="338201" y="2454021"/>
                              </a:lnTo>
                              <a:lnTo>
                                <a:pt x="338074" y="2457196"/>
                              </a:lnTo>
                              <a:lnTo>
                                <a:pt x="339217" y="2460371"/>
                              </a:lnTo>
                              <a:lnTo>
                                <a:pt x="343408" y="2468626"/>
                              </a:lnTo>
                              <a:lnTo>
                                <a:pt x="346837" y="2473452"/>
                              </a:lnTo>
                              <a:lnTo>
                                <a:pt x="351282" y="2478532"/>
                              </a:lnTo>
                              <a:lnTo>
                                <a:pt x="355854" y="2484501"/>
                              </a:lnTo>
                              <a:lnTo>
                                <a:pt x="361188" y="2490597"/>
                              </a:lnTo>
                              <a:lnTo>
                                <a:pt x="374777" y="2504186"/>
                              </a:lnTo>
                              <a:lnTo>
                                <a:pt x="380873" y="2509520"/>
                              </a:lnTo>
                              <a:lnTo>
                                <a:pt x="386334" y="2513584"/>
                              </a:lnTo>
                              <a:lnTo>
                                <a:pt x="391287" y="2518029"/>
                              </a:lnTo>
                              <a:lnTo>
                                <a:pt x="396240" y="2521458"/>
                              </a:lnTo>
                              <a:lnTo>
                                <a:pt x="403987" y="2525141"/>
                              </a:lnTo>
                              <a:lnTo>
                                <a:pt x="407035" y="2526157"/>
                              </a:lnTo>
                              <a:lnTo>
                                <a:pt x="410337" y="2526157"/>
                              </a:lnTo>
                              <a:lnTo>
                                <a:pt x="413258" y="2526411"/>
                              </a:lnTo>
                              <a:lnTo>
                                <a:pt x="415404" y="2525141"/>
                              </a:lnTo>
                              <a:lnTo>
                                <a:pt x="540512" y="2400173"/>
                              </a:lnTo>
                              <a:lnTo>
                                <a:pt x="1129792" y="2989453"/>
                              </a:lnTo>
                              <a:lnTo>
                                <a:pt x="1132840" y="2991739"/>
                              </a:lnTo>
                              <a:lnTo>
                                <a:pt x="1138936" y="2993898"/>
                              </a:lnTo>
                              <a:lnTo>
                                <a:pt x="1141857" y="2994152"/>
                              </a:lnTo>
                              <a:lnTo>
                                <a:pt x="1145286" y="2992755"/>
                              </a:lnTo>
                              <a:lnTo>
                                <a:pt x="1149223" y="2992120"/>
                              </a:lnTo>
                              <a:lnTo>
                                <a:pt x="1186307" y="2959227"/>
                              </a:lnTo>
                              <a:lnTo>
                                <a:pt x="1191387" y="2946781"/>
                              </a:lnTo>
                              <a:lnTo>
                                <a:pt x="1192657" y="2943352"/>
                              </a:lnTo>
                              <a:close/>
                            </a:path>
                            <a:path w="3333750" h="3332479">
                              <a:moveTo>
                                <a:pt x="1641106" y="2409596"/>
                              </a:moveTo>
                              <a:lnTo>
                                <a:pt x="1628140" y="2340483"/>
                              </a:lnTo>
                              <a:lnTo>
                                <a:pt x="1598701" y="2267801"/>
                              </a:lnTo>
                              <a:lnTo>
                                <a:pt x="1578127" y="2230069"/>
                              </a:lnTo>
                              <a:lnTo>
                                <a:pt x="1553464" y="2191385"/>
                              </a:lnTo>
                              <a:lnTo>
                                <a:pt x="1541564" y="2174900"/>
                              </a:lnTo>
                              <a:lnTo>
                                <a:pt x="1541564" y="2395855"/>
                              </a:lnTo>
                              <a:lnTo>
                                <a:pt x="1541272" y="2420239"/>
                              </a:lnTo>
                              <a:lnTo>
                                <a:pt x="1528673" y="2465794"/>
                              </a:lnTo>
                              <a:lnTo>
                                <a:pt x="1498854" y="2506472"/>
                              </a:lnTo>
                              <a:lnTo>
                                <a:pt x="1458442" y="2536787"/>
                              </a:lnTo>
                              <a:lnTo>
                                <a:pt x="1414526" y="2550033"/>
                              </a:lnTo>
                              <a:lnTo>
                                <a:pt x="1391272" y="2551353"/>
                              </a:lnTo>
                              <a:lnTo>
                                <a:pt x="1367282" y="2549296"/>
                              </a:lnTo>
                              <a:lnTo>
                                <a:pt x="1316990" y="2534539"/>
                              </a:lnTo>
                              <a:lnTo>
                                <a:pt x="1264373" y="2507856"/>
                              </a:lnTo>
                              <a:lnTo>
                                <a:pt x="1209294" y="2469642"/>
                              </a:lnTo>
                              <a:lnTo>
                                <a:pt x="1151953" y="2421953"/>
                              </a:lnTo>
                              <a:lnTo>
                                <a:pt x="1122705" y="2395105"/>
                              </a:lnTo>
                              <a:lnTo>
                                <a:pt x="1093089" y="2366264"/>
                              </a:lnTo>
                              <a:lnTo>
                                <a:pt x="1042200" y="2311831"/>
                              </a:lnTo>
                              <a:lnTo>
                                <a:pt x="996950" y="2256536"/>
                              </a:lnTo>
                              <a:lnTo>
                                <a:pt x="960475" y="2201799"/>
                              </a:lnTo>
                              <a:lnTo>
                                <a:pt x="934593" y="2148205"/>
                              </a:lnTo>
                              <a:lnTo>
                                <a:pt x="919962" y="2096960"/>
                              </a:lnTo>
                              <a:lnTo>
                                <a:pt x="917422" y="2072233"/>
                              </a:lnTo>
                              <a:lnTo>
                                <a:pt x="917829" y="2048002"/>
                              </a:lnTo>
                              <a:lnTo>
                                <a:pt x="929982" y="2002663"/>
                              </a:lnTo>
                              <a:lnTo>
                                <a:pt x="959485" y="1962277"/>
                              </a:lnTo>
                              <a:lnTo>
                                <a:pt x="999464" y="1932406"/>
                              </a:lnTo>
                              <a:lnTo>
                                <a:pt x="1043559" y="1919097"/>
                              </a:lnTo>
                              <a:lnTo>
                                <a:pt x="1067015" y="1918068"/>
                              </a:lnTo>
                              <a:lnTo>
                                <a:pt x="1091120" y="1920201"/>
                              </a:lnTo>
                              <a:lnTo>
                                <a:pt x="1141349" y="1934337"/>
                              </a:lnTo>
                              <a:lnTo>
                                <a:pt x="1194244" y="1960918"/>
                              </a:lnTo>
                              <a:lnTo>
                                <a:pt x="1249045" y="1997964"/>
                              </a:lnTo>
                              <a:lnTo>
                                <a:pt x="1305585" y="2044814"/>
                              </a:lnTo>
                              <a:lnTo>
                                <a:pt x="1334122" y="2070963"/>
                              </a:lnTo>
                              <a:lnTo>
                                <a:pt x="1362710" y="2098802"/>
                              </a:lnTo>
                              <a:lnTo>
                                <a:pt x="1389367" y="2126310"/>
                              </a:lnTo>
                              <a:lnTo>
                                <a:pt x="1437894" y="2181695"/>
                              </a:lnTo>
                              <a:lnTo>
                                <a:pt x="1480019" y="2237359"/>
                              </a:lnTo>
                              <a:lnTo>
                                <a:pt x="1511655" y="2291994"/>
                              </a:lnTo>
                              <a:lnTo>
                                <a:pt x="1532966" y="2344915"/>
                              </a:lnTo>
                              <a:lnTo>
                                <a:pt x="1541564" y="2395855"/>
                              </a:lnTo>
                              <a:lnTo>
                                <a:pt x="1541564" y="2174900"/>
                              </a:lnTo>
                              <a:lnTo>
                                <a:pt x="1493012" y="2112073"/>
                              </a:lnTo>
                              <a:lnTo>
                                <a:pt x="1457375" y="2071738"/>
                              </a:lnTo>
                              <a:lnTo>
                                <a:pt x="1418082" y="2030857"/>
                              </a:lnTo>
                              <a:lnTo>
                                <a:pt x="1377378" y="1991601"/>
                              </a:lnTo>
                              <a:lnTo>
                                <a:pt x="1337589" y="1956104"/>
                              </a:lnTo>
                              <a:lnTo>
                                <a:pt x="1298702" y="1924405"/>
                              </a:lnTo>
                              <a:lnTo>
                                <a:pt x="1260729" y="1896491"/>
                              </a:lnTo>
                              <a:lnTo>
                                <a:pt x="1223657" y="1872564"/>
                              </a:lnTo>
                              <a:lnTo>
                                <a:pt x="1187551" y="1852841"/>
                              </a:lnTo>
                              <a:lnTo>
                                <a:pt x="1152474" y="1837169"/>
                              </a:lnTo>
                              <a:lnTo>
                                <a:pt x="1085621" y="1817751"/>
                              </a:lnTo>
                              <a:lnTo>
                                <a:pt x="1053858" y="1814499"/>
                              </a:lnTo>
                              <a:lnTo>
                                <a:pt x="1023061" y="1815325"/>
                              </a:lnTo>
                              <a:lnTo>
                                <a:pt x="964412" y="1828647"/>
                              </a:lnTo>
                              <a:lnTo>
                                <a:pt x="911047" y="1859737"/>
                              </a:lnTo>
                              <a:lnTo>
                                <a:pt x="863511" y="1907641"/>
                              </a:lnTo>
                              <a:lnTo>
                                <a:pt x="831938" y="1963788"/>
                              </a:lnTo>
                              <a:lnTo>
                                <a:pt x="819137" y="2025954"/>
                              </a:lnTo>
                              <a:lnTo>
                                <a:pt x="818921" y="2058835"/>
                              </a:lnTo>
                              <a:lnTo>
                                <a:pt x="822845" y="2092617"/>
                              </a:lnTo>
                              <a:lnTo>
                                <a:pt x="843953" y="2163254"/>
                              </a:lnTo>
                              <a:lnTo>
                                <a:pt x="860374" y="2200122"/>
                              </a:lnTo>
                              <a:lnTo>
                                <a:pt x="880630" y="2237803"/>
                              </a:lnTo>
                              <a:lnTo>
                                <a:pt x="904875" y="2276221"/>
                              </a:lnTo>
                              <a:lnTo>
                                <a:pt x="932980" y="2315273"/>
                              </a:lnTo>
                              <a:lnTo>
                                <a:pt x="964539" y="2354643"/>
                              </a:lnTo>
                              <a:lnTo>
                                <a:pt x="999502" y="2394318"/>
                              </a:lnTo>
                              <a:lnTo>
                                <a:pt x="1037844" y="2434209"/>
                              </a:lnTo>
                              <a:lnTo>
                                <a:pt x="1079246" y="2474214"/>
                              </a:lnTo>
                              <a:lnTo>
                                <a:pt x="1119543" y="2510180"/>
                              </a:lnTo>
                              <a:lnTo>
                                <a:pt x="1158900" y="2542286"/>
                              </a:lnTo>
                              <a:lnTo>
                                <a:pt x="1197356" y="2570607"/>
                              </a:lnTo>
                              <a:lnTo>
                                <a:pt x="1234732" y="2594978"/>
                              </a:lnTo>
                              <a:lnTo>
                                <a:pt x="1271028" y="2615158"/>
                              </a:lnTo>
                              <a:lnTo>
                                <a:pt x="1306207" y="2631186"/>
                              </a:lnTo>
                              <a:lnTo>
                                <a:pt x="1372958" y="2651048"/>
                              </a:lnTo>
                              <a:lnTo>
                                <a:pt x="1404823" y="2654579"/>
                              </a:lnTo>
                              <a:lnTo>
                                <a:pt x="1435760" y="2653931"/>
                              </a:lnTo>
                              <a:lnTo>
                                <a:pt x="1494790" y="2640863"/>
                              </a:lnTo>
                              <a:lnTo>
                                <a:pt x="1548866" y="2609545"/>
                              </a:lnTo>
                              <a:lnTo>
                                <a:pt x="1596847" y="2561234"/>
                              </a:lnTo>
                              <a:lnTo>
                                <a:pt x="1628254" y="2504833"/>
                              </a:lnTo>
                              <a:lnTo>
                                <a:pt x="1640979" y="2442514"/>
                              </a:lnTo>
                              <a:lnTo>
                                <a:pt x="1641106" y="2409596"/>
                              </a:lnTo>
                              <a:close/>
                            </a:path>
                            <a:path w="3333750" h="3332479">
                              <a:moveTo>
                                <a:pt x="2245995" y="1820926"/>
                              </a:moveTo>
                              <a:lnTo>
                                <a:pt x="2241931" y="1781048"/>
                              </a:lnTo>
                              <a:lnTo>
                                <a:pt x="2210054" y="1739773"/>
                              </a:lnTo>
                              <a:lnTo>
                                <a:pt x="2175383" y="1709674"/>
                              </a:lnTo>
                              <a:lnTo>
                                <a:pt x="2168906" y="1706626"/>
                              </a:lnTo>
                              <a:lnTo>
                                <a:pt x="2164842" y="1706626"/>
                              </a:lnTo>
                              <a:lnTo>
                                <a:pt x="2162937" y="1707388"/>
                              </a:lnTo>
                              <a:lnTo>
                                <a:pt x="2157857" y="1712468"/>
                              </a:lnTo>
                              <a:lnTo>
                                <a:pt x="2156079" y="1720469"/>
                              </a:lnTo>
                              <a:lnTo>
                                <a:pt x="2157349" y="1733042"/>
                              </a:lnTo>
                              <a:lnTo>
                                <a:pt x="2157907" y="1742833"/>
                              </a:lnTo>
                              <a:lnTo>
                                <a:pt x="2155736" y="1790687"/>
                              </a:lnTo>
                              <a:lnTo>
                                <a:pt x="2145792" y="1833245"/>
                              </a:lnTo>
                              <a:lnTo>
                                <a:pt x="2121979" y="1875840"/>
                              </a:lnTo>
                              <a:lnTo>
                                <a:pt x="2093836" y="1903031"/>
                              </a:lnTo>
                              <a:lnTo>
                                <a:pt x="2057412" y="1922272"/>
                              </a:lnTo>
                              <a:lnTo>
                                <a:pt x="2015998" y="1929790"/>
                              </a:lnTo>
                              <a:lnTo>
                                <a:pt x="1993722" y="1929218"/>
                              </a:lnTo>
                              <a:lnTo>
                                <a:pt x="1945767" y="1918335"/>
                              </a:lnTo>
                              <a:lnTo>
                                <a:pt x="1893697" y="1896033"/>
                              </a:lnTo>
                              <a:lnTo>
                                <a:pt x="1837436" y="1861439"/>
                              </a:lnTo>
                              <a:lnTo>
                                <a:pt x="1777568" y="1815312"/>
                              </a:lnTo>
                              <a:lnTo>
                                <a:pt x="1746542" y="1787791"/>
                              </a:lnTo>
                              <a:lnTo>
                                <a:pt x="1714754" y="1757172"/>
                              </a:lnTo>
                              <a:lnTo>
                                <a:pt x="1683753" y="1724990"/>
                              </a:lnTo>
                              <a:lnTo>
                                <a:pt x="1655826" y="1693494"/>
                              </a:lnTo>
                              <a:lnTo>
                                <a:pt x="1630845" y="1662557"/>
                              </a:lnTo>
                              <a:lnTo>
                                <a:pt x="1589595" y="1602892"/>
                              </a:lnTo>
                              <a:lnTo>
                                <a:pt x="1560195" y="1547228"/>
                              </a:lnTo>
                              <a:lnTo>
                                <a:pt x="1541792" y="1495412"/>
                              </a:lnTo>
                              <a:lnTo>
                                <a:pt x="1535861" y="1448181"/>
                              </a:lnTo>
                              <a:lnTo>
                                <a:pt x="1537208" y="1426464"/>
                              </a:lnTo>
                              <a:lnTo>
                                <a:pt x="1549057" y="1387754"/>
                              </a:lnTo>
                              <a:lnTo>
                                <a:pt x="1573022" y="1355229"/>
                              </a:lnTo>
                              <a:lnTo>
                                <a:pt x="1614373" y="1324686"/>
                              </a:lnTo>
                              <a:lnTo>
                                <a:pt x="1657629" y="1312062"/>
                              </a:lnTo>
                              <a:lnTo>
                                <a:pt x="1696643" y="1308544"/>
                              </a:lnTo>
                              <a:lnTo>
                                <a:pt x="1718665" y="1308862"/>
                              </a:lnTo>
                              <a:lnTo>
                                <a:pt x="1728470" y="1309509"/>
                              </a:lnTo>
                              <a:lnTo>
                                <a:pt x="1741043" y="1310640"/>
                              </a:lnTo>
                              <a:lnTo>
                                <a:pt x="1749044" y="1309878"/>
                              </a:lnTo>
                              <a:lnTo>
                                <a:pt x="1753743" y="1305052"/>
                              </a:lnTo>
                              <a:lnTo>
                                <a:pt x="1754378" y="1302385"/>
                              </a:lnTo>
                              <a:lnTo>
                                <a:pt x="1754251" y="1299464"/>
                              </a:lnTo>
                              <a:lnTo>
                                <a:pt x="1729867" y="1263015"/>
                              </a:lnTo>
                              <a:lnTo>
                                <a:pt x="1701546" y="1235964"/>
                              </a:lnTo>
                              <a:lnTo>
                                <a:pt x="1697228" y="1233043"/>
                              </a:lnTo>
                              <a:lnTo>
                                <a:pt x="1693291" y="1229614"/>
                              </a:lnTo>
                              <a:lnTo>
                                <a:pt x="1651342" y="1217066"/>
                              </a:lnTo>
                              <a:lnTo>
                                <a:pt x="1631442" y="1217295"/>
                              </a:lnTo>
                              <a:lnTo>
                                <a:pt x="1584960" y="1225042"/>
                              </a:lnTo>
                              <a:lnTo>
                                <a:pt x="1537589" y="1244092"/>
                              </a:lnTo>
                              <a:lnTo>
                                <a:pt x="1505127" y="1266621"/>
                              </a:lnTo>
                              <a:lnTo>
                                <a:pt x="1475752" y="1298308"/>
                              </a:lnTo>
                              <a:lnTo>
                                <a:pt x="1448562" y="1349425"/>
                              </a:lnTo>
                              <a:lnTo>
                                <a:pt x="1437716" y="1408658"/>
                              </a:lnTo>
                              <a:lnTo>
                                <a:pt x="1437779" y="1440586"/>
                              </a:lnTo>
                              <a:lnTo>
                                <a:pt x="1449959" y="1508506"/>
                              </a:lnTo>
                              <a:lnTo>
                                <a:pt x="1462379" y="1544840"/>
                              </a:lnTo>
                              <a:lnTo>
                                <a:pt x="1478470" y="1582191"/>
                              </a:lnTo>
                              <a:lnTo>
                                <a:pt x="1498460" y="1620507"/>
                              </a:lnTo>
                              <a:lnTo>
                                <a:pt x="1522603" y="1659763"/>
                              </a:lnTo>
                              <a:lnTo>
                                <a:pt x="1550530" y="1700022"/>
                              </a:lnTo>
                              <a:lnTo>
                                <a:pt x="1582483" y="1740877"/>
                              </a:lnTo>
                              <a:lnTo>
                                <a:pt x="1618424" y="1782229"/>
                              </a:lnTo>
                              <a:lnTo>
                                <a:pt x="1658366" y="1823974"/>
                              </a:lnTo>
                              <a:lnTo>
                                <a:pt x="1699107" y="1863077"/>
                              </a:lnTo>
                              <a:lnTo>
                                <a:pt x="1739036" y="1897976"/>
                              </a:lnTo>
                              <a:lnTo>
                                <a:pt x="1778165" y="1928799"/>
                              </a:lnTo>
                              <a:lnTo>
                                <a:pt x="1816481" y="1955673"/>
                              </a:lnTo>
                              <a:lnTo>
                                <a:pt x="1853933" y="1978990"/>
                              </a:lnTo>
                              <a:lnTo>
                                <a:pt x="1890306" y="1998052"/>
                              </a:lnTo>
                              <a:lnTo>
                                <a:pt x="1925612" y="2013127"/>
                              </a:lnTo>
                              <a:lnTo>
                                <a:pt x="1992642" y="2032203"/>
                              </a:lnTo>
                              <a:lnTo>
                                <a:pt x="2024138" y="2035619"/>
                              </a:lnTo>
                              <a:lnTo>
                                <a:pt x="2054313" y="2035048"/>
                              </a:lnTo>
                              <a:lnTo>
                                <a:pt x="2110435" y="2022957"/>
                              </a:lnTo>
                              <a:lnTo>
                                <a:pt x="2159914" y="1995424"/>
                              </a:lnTo>
                              <a:lnTo>
                                <a:pt x="2193937" y="1963369"/>
                              </a:lnTo>
                              <a:lnTo>
                                <a:pt x="2221103" y="1923415"/>
                              </a:lnTo>
                              <a:lnTo>
                                <a:pt x="2236736" y="1881987"/>
                              </a:lnTo>
                              <a:lnTo>
                                <a:pt x="2244547" y="1843811"/>
                              </a:lnTo>
                              <a:lnTo>
                                <a:pt x="2245741" y="1832127"/>
                              </a:lnTo>
                              <a:lnTo>
                                <a:pt x="2245995" y="1820926"/>
                              </a:lnTo>
                              <a:close/>
                            </a:path>
                            <a:path w="3333750" h="3332479">
                              <a:moveTo>
                                <a:pt x="2627020" y="1423746"/>
                              </a:moveTo>
                              <a:lnTo>
                                <a:pt x="2614168" y="1354582"/>
                              </a:lnTo>
                              <a:lnTo>
                                <a:pt x="2601277" y="1318704"/>
                              </a:lnTo>
                              <a:lnTo>
                                <a:pt x="2584640" y="1281874"/>
                              </a:lnTo>
                              <a:lnTo>
                                <a:pt x="2564079" y="1244104"/>
                              </a:lnTo>
                              <a:lnTo>
                                <a:pt x="2539492" y="1205357"/>
                              </a:lnTo>
                              <a:lnTo>
                                <a:pt x="2527465" y="1188770"/>
                              </a:lnTo>
                              <a:lnTo>
                                <a:pt x="2527465" y="1409928"/>
                              </a:lnTo>
                              <a:lnTo>
                                <a:pt x="2527173" y="1434338"/>
                              </a:lnTo>
                              <a:lnTo>
                                <a:pt x="2514625" y="1479892"/>
                              </a:lnTo>
                              <a:lnTo>
                                <a:pt x="2484755" y="1520571"/>
                              </a:lnTo>
                              <a:lnTo>
                                <a:pt x="2444331" y="1550949"/>
                              </a:lnTo>
                              <a:lnTo>
                                <a:pt x="2400300" y="1564259"/>
                              </a:lnTo>
                              <a:lnTo>
                                <a:pt x="2377148" y="1565490"/>
                              </a:lnTo>
                              <a:lnTo>
                                <a:pt x="2353208" y="1563357"/>
                              </a:lnTo>
                              <a:lnTo>
                                <a:pt x="2302891" y="1548638"/>
                              </a:lnTo>
                              <a:lnTo>
                                <a:pt x="2250376" y="1521955"/>
                              </a:lnTo>
                              <a:lnTo>
                                <a:pt x="2195195" y="1483741"/>
                              </a:lnTo>
                              <a:lnTo>
                                <a:pt x="2137854" y="1436065"/>
                              </a:lnTo>
                              <a:lnTo>
                                <a:pt x="2108606" y="1409204"/>
                              </a:lnTo>
                              <a:lnTo>
                                <a:pt x="2078990" y="1380363"/>
                              </a:lnTo>
                              <a:lnTo>
                                <a:pt x="2028101" y="1325930"/>
                              </a:lnTo>
                              <a:lnTo>
                                <a:pt x="1982851" y="1270635"/>
                              </a:lnTo>
                              <a:lnTo>
                                <a:pt x="1946376" y="1215898"/>
                              </a:lnTo>
                              <a:lnTo>
                                <a:pt x="1920494" y="1162304"/>
                              </a:lnTo>
                              <a:lnTo>
                                <a:pt x="1905914" y="1111059"/>
                              </a:lnTo>
                              <a:lnTo>
                                <a:pt x="1903374" y="1086294"/>
                              </a:lnTo>
                              <a:lnTo>
                                <a:pt x="1903730" y="1062101"/>
                              </a:lnTo>
                              <a:lnTo>
                                <a:pt x="1915833" y="1016787"/>
                              </a:lnTo>
                              <a:lnTo>
                                <a:pt x="1945386" y="976503"/>
                              </a:lnTo>
                              <a:lnTo>
                                <a:pt x="1985327" y="946569"/>
                              </a:lnTo>
                              <a:lnTo>
                                <a:pt x="2029460" y="933196"/>
                              </a:lnTo>
                              <a:lnTo>
                                <a:pt x="2052916" y="932218"/>
                              </a:lnTo>
                              <a:lnTo>
                                <a:pt x="2077021" y="934326"/>
                              </a:lnTo>
                              <a:lnTo>
                                <a:pt x="2127250" y="948309"/>
                              </a:lnTo>
                              <a:lnTo>
                                <a:pt x="2180145" y="975004"/>
                              </a:lnTo>
                              <a:lnTo>
                                <a:pt x="2234946" y="1012063"/>
                              </a:lnTo>
                              <a:lnTo>
                                <a:pt x="2291486" y="1058913"/>
                              </a:lnTo>
                              <a:lnTo>
                                <a:pt x="2320023" y="1085062"/>
                              </a:lnTo>
                              <a:lnTo>
                                <a:pt x="2348611" y="1112901"/>
                              </a:lnTo>
                              <a:lnTo>
                                <a:pt x="2375268" y="1140409"/>
                              </a:lnTo>
                              <a:lnTo>
                                <a:pt x="2423795" y="1195793"/>
                              </a:lnTo>
                              <a:lnTo>
                                <a:pt x="2465921" y="1251458"/>
                              </a:lnTo>
                              <a:lnTo>
                                <a:pt x="2497556" y="1306093"/>
                              </a:lnTo>
                              <a:lnTo>
                                <a:pt x="2518867" y="1358963"/>
                              </a:lnTo>
                              <a:lnTo>
                                <a:pt x="2527465" y="1409928"/>
                              </a:lnTo>
                              <a:lnTo>
                                <a:pt x="2527465" y="1188770"/>
                              </a:lnTo>
                              <a:lnTo>
                                <a:pt x="2478925" y="1126159"/>
                              </a:lnTo>
                              <a:lnTo>
                                <a:pt x="2443276" y="1085824"/>
                              </a:lnTo>
                              <a:lnTo>
                                <a:pt x="2403983" y="1044956"/>
                              </a:lnTo>
                              <a:lnTo>
                                <a:pt x="2363279" y="1005700"/>
                              </a:lnTo>
                              <a:lnTo>
                                <a:pt x="2323490" y="970203"/>
                              </a:lnTo>
                              <a:lnTo>
                                <a:pt x="2284603" y="938504"/>
                              </a:lnTo>
                              <a:lnTo>
                                <a:pt x="2246630" y="910590"/>
                              </a:lnTo>
                              <a:lnTo>
                                <a:pt x="2209533" y="886663"/>
                              </a:lnTo>
                              <a:lnTo>
                                <a:pt x="2173414" y="866940"/>
                              </a:lnTo>
                              <a:lnTo>
                                <a:pt x="2138324" y="851268"/>
                              </a:lnTo>
                              <a:lnTo>
                                <a:pt x="2071509" y="831850"/>
                              </a:lnTo>
                              <a:lnTo>
                                <a:pt x="2039708" y="828611"/>
                              </a:lnTo>
                              <a:lnTo>
                                <a:pt x="2008911" y="829475"/>
                              </a:lnTo>
                              <a:lnTo>
                                <a:pt x="1950313" y="842860"/>
                              </a:lnTo>
                              <a:lnTo>
                                <a:pt x="1896948" y="873861"/>
                              </a:lnTo>
                              <a:lnTo>
                                <a:pt x="1849399" y="921740"/>
                              </a:lnTo>
                              <a:lnTo>
                                <a:pt x="1817738" y="977887"/>
                              </a:lnTo>
                              <a:lnTo>
                                <a:pt x="1804974" y="1040053"/>
                              </a:lnTo>
                              <a:lnTo>
                                <a:pt x="1804784" y="1072946"/>
                              </a:lnTo>
                              <a:lnTo>
                                <a:pt x="1808695" y="1106766"/>
                              </a:lnTo>
                              <a:lnTo>
                                <a:pt x="1829727" y="1177404"/>
                              </a:lnTo>
                              <a:lnTo>
                                <a:pt x="1846160" y="1214234"/>
                              </a:lnTo>
                              <a:lnTo>
                                <a:pt x="1866455" y="1251902"/>
                              </a:lnTo>
                              <a:lnTo>
                                <a:pt x="1890776" y="1290320"/>
                              </a:lnTo>
                              <a:lnTo>
                                <a:pt x="1918868" y="1329372"/>
                              </a:lnTo>
                              <a:lnTo>
                                <a:pt x="1950377" y="1368742"/>
                              </a:lnTo>
                              <a:lnTo>
                                <a:pt x="1985302" y="1408417"/>
                              </a:lnTo>
                              <a:lnTo>
                                <a:pt x="2023618" y="1448308"/>
                              </a:lnTo>
                              <a:lnTo>
                                <a:pt x="2065070" y="1488313"/>
                              </a:lnTo>
                              <a:lnTo>
                                <a:pt x="2105418" y="1524317"/>
                              </a:lnTo>
                              <a:lnTo>
                                <a:pt x="2144750" y="1556435"/>
                              </a:lnTo>
                              <a:lnTo>
                                <a:pt x="2183130" y="1584706"/>
                              </a:lnTo>
                              <a:lnTo>
                                <a:pt x="2220582" y="1609077"/>
                              </a:lnTo>
                              <a:lnTo>
                                <a:pt x="2256917" y="1629257"/>
                              </a:lnTo>
                              <a:lnTo>
                                <a:pt x="2292096" y="1645297"/>
                              </a:lnTo>
                              <a:lnTo>
                                <a:pt x="2358860" y="1665147"/>
                              </a:lnTo>
                              <a:lnTo>
                                <a:pt x="2390724" y="1668691"/>
                              </a:lnTo>
                              <a:lnTo>
                                <a:pt x="2421661" y="1668081"/>
                              </a:lnTo>
                              <a:lnTo>
                                <a:pt x="2480691" y="1655089"/>
                              </a:lnTo>
                              <a:lnTo>
                                <a:pt x="2534767" y="1623720"/>
                              </a:lnTo>
                              <a:lnTo>
                                <a:pt x="2582735" y="1575333"/>
                              </a:lnTo>
                              <a:lnTo>
                                <a:pt x="2614104" y="1518932"/>
                              </a:lnTo>
                              <a:lnTo>
                                <a:pt x="2626880" y="1456677"/>
                              </a:lnTo>
                              <a:lnTo>
                                <a:pt x="2627020" y="1423746"/>
                              </a:lnTo>
                              <a:close/>
                            </a:path>
                            <a:path w="3333750" h="3332479">
                              <a:moveTo>
                                <a:pt x="2893949" y="1238885"/>
                              </a:moveTo>
                              <a:lnTo>
                                <a:pt x="2892933" y="1235837"/>
                              </a:lnTo>
                              <a:lnTo>
                                <a:pt x="2891790" y="1232789"/>
                              </a:lnTo>
                              <a:lnTo>
                                <a:pt x="2889504" y="1229741"/>
                              </a:lnTo>
                              <a:lnTo>
                                <a:pt x="2643251" y="983488"/>
                              </a:lnTo>
                              <a:lnTo>
                                <a:pt x="2693035" y="933704"/>
                              </a:lnTo>
                              <a:lnTo>
                                <a:pt x="2711691" y="913079"/>
                              </a:lnTo>
                              <a:lnTo>
                                <a:pt x="2714129" y="909701"/>
                              </a:lnTo>
                              <a:lnTo>
                                <a:pt x="2727033" y="891921"/>
                              </a:lnTo>
                              <a:lnTo>
                                <a:pt x="2747518" y="847852"/>
                              </a:lnTo>
                              <a:lnTo>
                                <a:pt x="2755379" y="802767"/>
                              </a:lnTo>
                              <a:lnTo>
                                <a:pt x="2755455" y="778319"/>
                              </a:lnTo>
                              <a:lnTo>
                                <a:pt x="2752471" y="753999"/>
                              </a:lnTo>
                              <a:lnTo>
                                <a:pt x="2738285" y="704456"/>
                              </a:lnTo>
                              <a:lnTo>
                                <a:pt x="2713736" y="653669"/>
                              </a:lnTo>
                              <a:lnTo>
                                <a:pt x="2678531" y="602348"/>
                              </a:lnTo>
                              <a:lnTo>
                                <a:pt x="2659075" y="579158"/>
                              </a:lnTo>
                              <a:lnTo>
                                <a:pt x="2659075" y="774280"/>
                              </a:lnTo>
                              <a:lnTo>
                                <a:pt x="2658173" y="788733"/>
                              </a:lnTo>
                              <a:lnTo>
                                <a:pt x="2643568" y="830376"/>
                              </a:lnTo>
                              <a:lnTo>
                                <a:pt x="2569464" y="909701"/>
                              </a:lnTo>
                              <a:lnTo>
                                <a:pt x="2298065" y="638429"/>
                              </a:lnTo>
                              <a:lnTo>
                                <a:pt x="2352052" y="584441"/>
                              </a:lnTo>
                              <a:lnTo>
                                <a:pt x="2386584" y="557403"/>
                              </a:lnTo>
                              <a:lnTo>
                                <a:pt x="2434209" y="544068"/>
                              </a:lnTo>
                              <a:lnTo>
                                <a:pt x="2448928" y="544715"/>
                              </a:lnTo>
                              <a:lnTo>
                                <a:pt x="2500249" y="560705"/>
                              </a:lnTo>
                              <a:lnTo>
                                <a:pt x="2538552" y="584454"/>
                              </a:lnTo>
                              <a:lnTo>
                                <a:pt x="2579116" y="619887"/>
                              </a:lnTo>
                              <a:lnTo>
                                <a:pt x="2606738" y="650608"/>
                              </a:lnTo>
                              <a:lnTo>
                                <a:pt x="2629027" y="681990"/>
                              </a:lnTo>
                              <a:lnTo>
                                <a:pt x="2651290" y="729234"/>
                              </a:lnTo>
                              <a:lnTo>
                                <a:pt x="2659075" y="774280"/>
                              </a:lnTo>
                              <a:lnTo>
                                <a:pt x="2659075" y="579158"/>
                              </a:lnTo>
                              <a:lnTo>
                                <a:pt x="2657094" y="576795"/>
                              </a:lnTo>
                              <a:lnTo>
                                <a:pt x="2632964" y="551307"/>
                              </a:lnTo>
                              <a:lnTo>
                                <a:pt x="2625394" y="544068"/>
                              </a:lnTo>
                              <a:lnTo>
                                <a:pt x="2613825" y="532993"/>
                              </a:lnTo>
                              <a:lnTo>
                                <a:pt x="2575522" y="501472"/>
                              </a:lnTo>
                              <a:lnTo>
                                <a:pt x="2537104" y="476669"/>
                              </a:lnTo>
                              <a:lnTo>
                                <a:pt x="2499385" y="459130"/>
                              </a:lnTo>
                              <a:lnTo>
                                <a:pt x="2462441" y="447548"/>
                              </a:lnTo>
                              <a:lnTo>
                                <a:pt x="2408936" y="442849"/>
                              </a:lnTo>
                              <a:lnTo>
                                <a:pt x="2392045" y="444538"/>
                              </a:lnTo>
                              <a:lnTo>
                                <a:pt x="2350135" y="456692"/>
                              </a:lnTo>
                              <a:lnTo>
                                <a:pt x="2311527" y="479679"/>
                              </a:lnTo>
                              <a:lnTo>
                                <a:pt x="2282571" y="505460"/>
                              </a:lnTo>
                              <a:lnTo>
                                <a:pt x="2188718" y="599313"/>
                              </a:lnTo>
                              <a:lnTo>
                                <a:pt x="2181479" y="616623"/>
                              </a:lnTo>
                              <a:lnTo>
                                <a:pt x="2181606" y="624205"/>
                              </a:lnTo>
                              <a:lnTo>
                                <a:pt x="2204339" y="661035"/>
                              </a:lnTo>
                              <a:lnTo>
                                <a:pt x="2828671" y="1285367"/>
                              </a:lnTo>
                              <a:lnTo>
                                <a:pt x="2831211" y="1288034"/>
                              </a:lnTo>
                              <a:lnTo>
                                <a:pt x="2834259" y="1290193"/>
                              </a:lnTo>
                              <a:lnTo>
                                <a:pt x="2840355" y="1292479"/>
                              </a:lnTo>
                              <a:lnTo>
                                <a:pt x="2843403" y="1292606"/>
                              </a:lnTo>
                              <a:lnTo>
                                <a:pt x="2846832" y="1291336"/>
                              </a:lnTo>
                              <a:lnTo>
                                <a:pt x="2850769" y="1290574"/>
                              </a:lnTo>
                              <a:lnTo>
                                <a:pt x="2884551" y="1261999"/>
                              </a:lnTo>
                              <a:lnTo>
                                <a:pt x="2892806" y="1245235"/>
                              </a:lnTo>
                              <a:lnTo>
                                <a:pt x="2893822" y="1242187"/>
                              </a:lnTo>
                              <a:lnTo>
                                <a:pt x="2893949" y="1238885"/>
                              </a:lnTo>
                              <a:close/>
                            </a:path>
                            <a:path w="3333750" h="3332479">
                              <a:moveTo>
                                <a:pt x="3333750" y="802259"/>
                              </a:moveTo>
                              <a:lnTo>
                                <a:pt x="3333623" y="799211"/>
                              </a:lnTo>
                              <a:lnTo>
                                <a:pt x="3331464" y="793115"/>
                              </a:lnTo>
                              <a:lnTo>
                                <a:pt x="3329178" y="790067"/>
                              </a:lnTo>
                              <a:lnTo>
                                <a:pt x="3077083" y="538099"/>
                              </a:lnTo>
                              <a:lnTo>
                                <a:pt x="3029953" y="446278"/>
                              </a:lnTo>
                              <a:lnTo>
                                <a:pt x="2889935" y="170192"/>
                              </a:lnTo>
                              <a:lnTo>
                                <a:pt x="2819400" y="32385"/>
                              </a:lnTo>
                              <a:lnTo>
                                <a:pt x="2789047" y="0"/>
                              </a:lnTo>
                              <a:lnTo>
                                <a:pt x="2783967" y="1905"/>
                              </a:lnTo>
                              <a:lnTo>
                                <a:pt x="2752471" y="29210"/>
                              </a:lnTo>
                              <a:lnTo>
                                <a:pt x="2737612" y="57658"/>
                              </a:lnTo>
                              <a:lnTo>
                                <a:pt x="2739136" y="61341"/>
                              </a:lnTo>
                              <a:lnTo>
                                <a:pt x="2740406" y="65278"/>
                              </a:lnTo>
                              <a:lnTo>
                                <a:pt x="2742057" y="68961"/>
                              </a:lnTo>
                              <a:lnTo>
                                <a:pt x="2745105" y="73279"/>
                              </a:lnTo>
                              <a:lnTo>
                                <a:pt x="2767660" y="116001"/>
                              </a:lnTo>
                              <a:lnTo>
                                <a:pt x="2834652" y="244411"/>
                              </a:lnTo>
                              <a:lnTo>
                                <a:pt x="2879598" y="329819"/>
                              </a:lnTo>
                              <a:lnTo>
                                <a:pt x="2942539" y="442645"/>
                              </a:lnTo>
                              <a:lnTo>
                                <a:pt x="2964434" y="480314"/>
                              </a:lnTo>
                              <a:lnTo>
                                <a:pt x="2963799" y="480949"/>
                              </a:lnTo>
                              <a:lnTo>
                                <a:pt x="2810764" y="395605"/>
                              </a:lnTo>
                              <a:lnTo>
                                <a:pt x="2768282" y="373176"/>
                              </a:lnTo>
                              <a:lnTo>
                                <a:pt x="2555494" y="261747"/>
                              </a:lnTo>
                              <a:lnTo>
                                <a:pt x="2550795" y="259080"/>
                              </a:lnTo>
                              <a:lnTo>
                                <a:pt x="2546858" y="257937"/>
                              </a:lnTo>
                              <a:lnTo>
                                <a:pt x="2543302" y="256286"/>
                              </a:lnTo>
                              <a:lnTo>
                                <a:pt x="2539746" y="255524"/>
                              </a:lnTo>
                              <a:lnTo>
                                <a:pt x="2494788" y="286893"/>
                              </a:lnTo>
                              <a:lnTo>
                                <a:pt x="2480183" y="307721"/>
                              </a:lnTo>
                              <a:lnTo>
                                <a:pt x="2482215" y="316357"/>
                              </a:lnTo>
                              <a:lnTo>
                                <a:pt x="2513203" y="338582"/>
                              </a:lnTo>
                              <a:lnTo>
                                <a:pt x="2604973" y="385762"/>
                              </a:lnTo>
                              <a:lnTo>
                                <a:pt x="2881084" y="525754"/>
                              </a:lnTo>
                              <a:lnTo>
                                <a:pt x="3018917" y="596265"/>
                              </a:lnTo>
                              <a:lnTo>
                                <a:pt x="3270885" y="848360"/>
                              </a:lnTo>
                              <a:lnTo>
                                <a:pt x="3273933" y="850646"/>
                              </a:lnTo>
                              <a:lnTo>
                                <a:pt x="3276981" y="851789"/>
                              </a:lnTo>
                              <a:lnTo>
                                <a:pt x="3279648" y="853186"/>
                              </a:lnTo>
                              <a:lnTo>
                                <a:pt x="3282950" y="853059"/>
                              </a:lnTo>
                              <a:lnTo>
                                <a:pt x="3286379" y="851662"/>
                              </a:lnTo>
                              <a:lnTo>
                                <a:pt x="3290443" y="850900"/>
                              </a:lnTo>
                              <a:lnTo>
                                <a:pt x="3323844" y="822706"/>
                              </a:lnTo>
                              <a:lnTo>
                                <a:pt x="3332480" y="805561"/>
                              </a:lnTo>
                              <a:lnTo>
                                <a:pt x="3333750" y="80225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5.87001pt;margin-top:214.649948pt;width:262.5pt;height:262.4pt;mso-position-horizontal-relative:page;mso-position-vertical-relative:page;z-index:-25525760" id="docshape137" coordorigin="4517,4293" coordsize="5250,5248" path="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w10:wrap type="none"/>
              </v:shape>
            </w:pict>
          </mc:Fallback>
        </mc:AlternateContent>
      </w:r>
      <w:r>
        <w:rPr>
          <w:b/>
          <w:sz w:val="24"/>
        </w:rPr>
        <w:t>Appendix</w:t>
      </w:r>
      <w:r>
        <w:rPr>
          <w:b/>
          <w:spacing w:val="-1"/>
          <w:sz w:val="24"/>
        </w:rPr>
        <w:t> </w:t>
      </w:r>
      <w:r>
        <w:rPr>
          <w:b/>
          <w:sz w:val="24"/>
        </w:rPr>
        <w:t>15:</w:t>
      </w:r>
      <w:r>
        <w:rPr>
          <w:b/>
          <w:spacing w:val="-1"/>
          <w:sz w:val="24"/>
        </w:rPr>
        <w:t> </w:t>
      </w:r>
      <w:r>
        <w:rPr>
          <w:b/>
          <w:sz w:val="24"/>
        </w:rPr>
        <w:t>Table</w:t>
      </w:r>
      <w:r>
        <w:rPr>
          <w:b/>
          <w:spacing w:val="-1"/>
          <w:sz w:val="24"/>
        </w:rPr>
        <w:t> </w:t>
      </w:r>
      <w:r>
        <w:rPr>
          <w:b/>
          <w:sz w:val="24"/>
        </w:rPr>
        <w:t>4.8:</w:t>
      </w:r>
      <w:r>
        <w:rPr>
          <w:b/>
          <w:spacing w:val="-2"/>
          <w:sz w:val="24"/>
        </w:rPr>
        <w:t> </w:t>
      </w:r>
      <w:r>
        <w:rPr>
          <w:b/>
          <w:sz w:val="24"/>
        </w:rPr>
        <w:t>DISACC</w:t>
      </w:r>
      <w:r>
        <w:rPr>
          <w:b/>
          <w:spacing w:val="-2"/>
          <w:sz w:val="24"/>
        </w:rPr>
        <w:t> </w:t>
      </w:r>
      <w:r>
        <w:rPr>
          <w:b/>
          <w:sz w:val="24"/>
        </w:rPr>
        <w:t>and</w:t>
      </w:r>
      <w:r>
        <w:rPr>
          <w:b/>
          <w:spacing w:val="-1"/>
          <w:sz w:val="24"/>
        </w:rPr>
        <w:t> </w:t>
      </w:r>
      <w:r>
        <w:rPr>
          <w:b/>
          <w:sz w:val="24"/>
        </w:rPr>
        <w:t>Board</w:t>
      </w:r>
      <w:r>
        <w:rPr>
          <w:b/>
          <w:spacing w:val="-1"/>
          <w:sz w:val="24"/>
        </w:rPr>
        <w:t> </w:t>
      </w:r>
      <w:r>
        <w:rPr>
          <w:b/>
          <w:sz w:val="24"/>
        </w:rPr>
        <w:t>Structure Regression</w:t>
      </w:r>
      <w:r>
        <w:rPr>
          <w:b/>
          <w:spacing w:val="-1"/>
          <w:sz w:val="24"/>
        </w:rPr>
        <w:t> </w:t>
      </w:r>
      <w:r>
        <w:rPr>
          <w:b/>
          <w:sz w:val="24"/>
        </w:rPr>
        <w:t>Result</w:t>
      </w:r>
      <w:r>
        <w:rPr>
          <w:b/>
          <w:spacing w:val="-1"/>
          <w:sz w:val="24"/>
        </w:rPr>
        <w:t> </w:t>
      </w:r>
      <w:r>
        <w:rPr>
          <w:b/>
          <w:spacing w:val="-2"/>
          <w:sz w:val="24"/>
        </w:rPr>
        <w:t>(DID)</w:t>
      </w:r>
    </w:p>
    <w:p>
      <w:pPr>
        <w:pStyle w:val="BodyText"/>
        <w:rPr>
          <w:b/>
          <w:sz w:val="20"/>
        </w:rPr>
      </w:pPr>
    </w:p>
    <w:p>
      <w:pPr>
        <w:pStyle w:val="BodyText"/>
        <w:rPr>
          <w:b/>
          <w:sz w:val="20"/>
        </w:rPr>
      </w:pPr>
    </w:p>
    <w:p>
      <w:pPr>
        <w:pStyle w:val="BodyText"/>
        <w:spacing w:before="43"/>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10"/>
        <w:gridCol w:w="91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0" w:type="dxa"/>
            <w:gridSpan w:val="5"/>
          </w:tcPr>
          <w:p>
            <w:pPr>
              <w:pStyle w:val="TableParagraph"/>
              <w:spacing w:line="198" w:lineRule="exact" w:before="6"/>
              <w:rPr>
                <w:sz w:val="18"/>
              </w:rPr>
            </w:pPr>
            <w:r>
              <w:rPr>
                <w:sz w:val="18"/>
              </w:rPr>
              <w:t>Method:</w:t>
            </w:r>
            <w:r>
              <w:rPr>
                <w:spacing w:val="-5"/>
                <w:sz w:val="18"/>
              </w:rPr>
              <w:t> </w:t>
            </w:r>
            <w:r>
              <w:rPr>
                <w:sz w:val="18"/>
              </w:rPr>
              <w:t>ARMA</w:t>
            </w:r>
            <w:r>
              <w:rPr>
                <w:spacing w:val="-6"/>
                <w:sz w:val="18"/>
              </w:rPr>
              <w:t> </w:t>
            </w:r>
            <w:r>
              <w:rPr>
                <w:sz w:val="18"/>
              </w:rPr>
              <w:t>Maximum</w:t>
            </w:r>
            <w:r>
              <w:rPr>
                <w:spacing w:val="-2"/>
                <w:sz w:val="18"/>
              </w:rPr>
              <w:t> </w:t>
            </w:r>
            <w:r>
              <w:rPr>
                <w:sz w:val="18"/>
              </w:rPr>
              <w:t>Likelihood</w:t>
            </w:r>
            <w:r>
              <w:rPr>
                <w:spacing w:val="-3"/>
                <w:sz w:val="18"/>
              </w:rPr>
              <w:t> </w:t>
            </w:r>
            <w:r>
              <w:rPr>
                <w:sz w:val="18"/>
              </w:rPr>
              <w:t>(OPG</w:t>
            </w:r>
            <w:r>
              <w:rPr>
                <w:spacing w:val="-1"/>
                <w:sz w:val="18"/>
              </w:rPr>
              <w:t> </w:t>
            </w:r>
            <w:r>
              <w:rPr>
                <w:sz w:val="18"/>
              </w:rPr>
              <w:t>-</w:t>
            </w:r>
            <w:r>
              <w:rPr>
                <w:spacing w:val="-2"/>
                <w:sz w:val="18"/>
              </w:rPr>
              <w:t> </w:t>
            </w:r>
            <w:r>
              <w:rPr>
                <w:spacing w:val="-4"/>
                <w:sz w:val="18"/>
              </w:rPr>
              <w:t>BHHH)</w:t>
            </w:r>
          </w:p>
        </w:tc>
      </w:tr>
      <w:tr>
        <w:trPr>
          <w:trHeight w:val="224" w:hRule="atLeast"/>
        </w:trPr>
        <w:tc>
          <w:tcPr>
            <w:tcW w:w="6530" w:type="dxa"/>
            <w:gridSpan w:val="5"/>
          </w:tcPr>
          <w:p>
            <w:pPr>
              <w:pStyle w:val="TableParagraph"/>
              <w:spacing w:line="199" w:lineRule="exact" w:before="5"/>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05:51</w:t>
            </w:r>
          </w:p>
        </w:tc>
      </w:tr>
      <w:tr>
        <w:trPr>
          <w:trHeight w:val="225" w:hRule="atLeast"/>
        </w:trPr>
        <w:tc>
          <w:tcPr>
            <w:tcW w:w="192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9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8" w:lineRule="exact" w:before="6"/>
              <w:rPr>
                <w:sz w:val="18"/>
              </w:rPr>
            </w:pPr>
            <w:r>
              <w:rPr>
                <w:sz w:val="18"/>
              </w:rPr>
              <w:t>Convergence</w:t>
            </w:r>
            <w:r>
              <w:rPr>
                <w:spacing w:val="-9"/>
                <w:sz w:val="18"/>
              </w:rPr>
              <w:t> </w:t>
            </w:r>
            <w:r>
              <w:rPr>
                <w:sz w:val="18"/>
              </w:rPr>
              <w:t>achieved</w:t>
            </w:r>
            <w:r>
              <w:rPr>
                <w:spacing w:val="-10"/>
                <w:sz w:val="18"/>
              </w:rPr>
              <w:t> </w:t>
            </w:r>
            <w:r>
              <w:rPr>
                <w:sz w:val="18"/>
              </w:rPr>
              <w:t>after</w:t>
            </w:r>
            <w:r>
              <w:rPr>
                <w:spacing w:val="-10"/>
                <w:sz w:val="18"/>
              </w:rPr>
              <w:t> </w:t>
            </w:r>
            <w:r>
              <w:rPr>
                <w:sz w:val="18"/>
              </w:rPr>
              <w:t>22</w:t>
            </w:r>
            <w:r>
              <w:rPr>
                <w:spacing w:val="-10"/>
                <w:sz w:val="18"/>
              </w:rPr>
              <w:t> </w:t>
            </w:r>
            <w:r>
              <w:rPr>
                <w:spacing w:val="-2"/>
                <w:sz w:val="18"/>
              </w:rPr>
              <w:t>iterations</w:t>
            </w:r>
          </w:p>
        </w:tc>
      </w:tr>
      <w:tr>
        <w:trPr>
          <w:trHeight w:val="302" w:hRule="atLeast"/>
        </w:trPr>
        <w:tc>
          <w:tcPr>
            <w:tcW w:w="6530" w:type="dxa"/>
            <w:gridSpan w:val="5"/>
            <w:tcBorders>
              <w:bottom w:val="double" w:sz="6" w:space="0" w:color="000000"/>
            </w:tcBorders>
          </w:tcPr>
          <w:p>
            <w:pPr>
              <w:pStyle w:val="TableParagraph"/>
              <w:spacing w:before="5"/>
              <w:rPr>
                <w:sz w:val="18"/>
              </w:rPr>
            </w:pPr>
            <w:r>
              <w:rPr>
                <w:sz w:val="18"/>
              </w:rPr>
              <w:t>Coefficient</w:t>
            </w:r>
            <w:r>
              <w:rPr>
                <w:spacing w:val="-10"/>
                <w:sz w:val="18"/>
              </w:rPr>
              <w:t> </w:t>
            </w:r>
            <w:r>
              <w:rPr>
                <w:sz w:val="18"/>
              </w:rPr>
              <w:t>covariance</w:t>
            </w:r>
            <w:r>
              <w:rPr>
                <w:spacing w:val="-11"/>
                <w:sz w:val="18"/>
              </w:rPr>
              <w:t> </w:t>
            </w:r>
            <w:r>
              <w:rPr>
                <w:sz w:val="18"/>
              </w:rPr>
              <w:t>computed</w:t>
            </w:r>
            <w:r>
              <w:rPr>
                <w:spacing w:val="-9"/>
                <w:sz w:val="18"/>
              </w:rPr>
              <w:t> </w:t>
            </w:r>
            <w:r>
              <w:rPr>
                <w:sz w:val="18"/>
              </w:rPr>
              <w:t>using</w:t>
            </w:r>
            <w:r>
              <w:rPr>
                <w:spacing w:val="-11"/>
                <w:sz w:val="18"/>
              </w:rPr>
              <w:t> </w:t>
            </w:r>
            <w:r>
              <w:rPr>
                <w:sz w:val="18"/>
              </w:rPr>
              <w:t>outer</w:t>
            </w:r>
            <w:r>
              <w:rPr>
                <w:spacing w:val="-10"/>
                <w:sz w:val="18"/>
              </w:rPr>
              <w:t> </w:t>
            </w:r>
            <w:r>
              <w:rPr>
                <w:sz w:val="18"/>
              </w:rPr>
              <w:t>product</w:t>
            </w:r>
            <w:r>
              <w:rPr>
                <w:spacing w:val="-9"/>
                <w:sz w:val="18"/>
              </w:rPr>
              <w:t> </w:t>
            </w:r>
            <w:r>
              <w:rPr>
                <w:sz w:val="18"/>
              </w:rPr>
              <w:t>of</w:t>
            </w:r>
            <w:r>
              <w:rPr>
                <w:spacing w:val="-11"/>
                <w:sz w:val="18"/>
              </w:rPr>
              <w:t> </w:t>
            </w:r>
            <w:r>
              <w:rPr>
                <w:spacing w:val="-2"/>
                <w:sz w:val="18"/>
              </w:rPr>
              <w:t>gradients</w:t>
            </w:r>
          </w:p>
        </w:tc>
      </w:tr>
      <w:tr>
        <w:trPr>
          <w:trHeight w:val="403"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left="33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8" w:hRule="atLeast"/>
        </w:trPr>
        <w:tc>
          <w:tcPr>
            <w:tcW w:w="1925" w:type="dxa"/>
            <w:tcBorders>
              <w:top w:val="double" w:sz="6" w:space="0" w:color="000000"/>
            </w:tcBorders>
          </w:tcPr>
          <w:p>
            <w:pPr>
              <w:pStyle w:val="TableParagraph"/>
              <w:spacing w:line="200" w:lineRule="exact" w:before="108"/>
              <w:ind w:left="92" w:right="1"/>
              <w:jc w:val="center"/>
              <w:rPr>
                <w:sz w:val="18"/>
              </w:rPr>
            </w:pPr>
            <w:r>
              <w:rPr>
                <w:spacing w:val="-10"/>
                <w:sz w:val="18"/>
              </w:rPr>
              <w:t>C</w:t>
            </w:r>
          </w:p>
        </w:tc>
        <w:tc>
          <w:tcPr>
            <w:tcW w:w="1290" w:type="dxa"/>
            <w:tcBorders>
              <w:top w:val="double" w:sz="6" w:space="0" w:color="000000"/>
            </w:tcBorders>
          </w:tcPr>
          <w:p>
            <w:pPr>
              <w:pStyle w:val="TableParagraph"/>
              <w:spacing w:line="200" w:lineRule="exact" w:before="108"/>
              <w:ind w:left="432"/>
              <w:rPr>
                <w:sz w:val="18"/>
              </w:rPr>
            </w:pPr>
            <w:r>
              <w:rPr>
                <w:spacing w:val="-2"/>
                <w:sz w:val="18"/>
              </w:rPr>
              <w:t>1.703155</w:t>
            </w:r>
          </w:p>
        </w:tc>
        <w:tc>
          <w:tcPr>
            <w:tcW w:w="1491" w:type="dxa"/>
            <w:tcBorders>
              <w:top w:val="double" w:sz="6" w:space="0" w:color="000000"/>
            </w:tcBorders>
          </w:tcPr>
          <w:p>
            <w:pPr>
              <w:pStyle w:val="TableParagraph"/>
              <w:spacing w:line="200" w:lineRule="exact" w:before="108"/>
              <w:ind w:left="351"/>
              <w:rPr>
                <w:sz w:val="18"/>
              </w:rPr>
            </w:pPr>
            <w:r>
              <w:rPr>
                <w:spacing w:val="-2"/>
                <w:sz w:val="18"/>
              </w:rPr>
              <w:t>4.947404</w:t>
            </w:r>
          </w:p>
        </w:tc>
        <w:tc>
          <w:tcPr>
            <w:tcW w:w="910" w:type="dxa"/>
            <w:tcBorders>
              <w:top w:val="double" w:sz="6" w:space="0" w:color="000000"/>
            </w:tcBorders>
          </w:tcPr>
          <w:p>
            <w:pPr>
              <w:pStyle w:val="TableParagraph"/>
              <w:spacing w:line="200" w:lineRule="exact" w:before="108"/>
              <w:ind w:right="89"/>
              <w:jc w:val="right"/>
              <w:rPr>
                <w:sz w:val="18"/>
              </w:rPr>
            </w:pPr>
            <w:r>
              <w:rPr>
                <w:spacing w:val="-2"/>
                <w:sz w:val="18"/>
              </w:rPr>
              <w:t>0.344252</w:t>
            </w:r>
          </w:p>
        </w:tc>
        <w:tc>
          <w:tcPr>
            <w:tcW w:w="914" w:type="dxa"/>
            <w:tcBorders>
              <w:top w:val="double" w:sz="6" w:space="0" w:color="000000"/>
            </w:tcBorders>
          </w:tcPr>
          <w:p>
            <w:pPr>
              <w:pStyle w:val="TableParagraph"/>
              <w:spacing w:line="200" w:lineRule="exact" w:before="108"/>
              <w:ind w:right="5"/>
              <w:jc w:val="right"/>
              <w:rPr>
                <w:sz w:val="18"/>
              </w:rPr>
            </w:pPr>
            <w:r>
              <w:rPr>
                <w:spacing w:val="-2"/>
                <w:sz w:val="18"/>
              </w:rPr>
              <w:t>0.7311</w:t>
            </w:r>
          </w:p>
        </w:tc>
      </w:tr>
      <w:tr>
        <w:trPr>
          <w:trHeight w:val="225" w:hRule="atLeast"/>
        </w:trPr>
        <w:tc>
          <w:tcPr>
            <w:tcW w:w="1925" w:type="dxa"/>
          </w:tcPr>
          <w:p>
            <w:pPr>
              <w:pStyle w:val="TableParagraph"/>
              <w:spacing w:line="199" w:lineRule="exact" w:before="6"/>
              <w:ind w:left="92" w:right="4"/>
              <w:jc w:val="center"/>
              <w:rPr>
                <w:sz w:val="18"/>
              </w:rPr>
            </w:pPr>
            <w:r>
              <w:rPr>
                <w:spacing w:val="-4"/>
                <w:sz w:val="18"/>
              </w:rPr>
              <w:t>IFRS</w:t>
            </w:r>
          </w:p>
        </w:tc>
        <w:tc>
          <w:tcPr>
            <w:tcW w:w="1290" w:type="dxa"/>
          </w:tcPr>
          <w:p>
            <w:pPr>
              <w:pStyle w:val="TableParagraph"/>
              <w:spacing w:line="199" w:lineRule="exact" w:before="6"/>
              <w:ind w:left="432"/>
              <w:rPr>
                <w:sz w:val="18"/>
              </w:rPr>
            </w:pPr>
            <w:r>
              <w:rPr>
                <w:spacing w:val="-2"/>
                <w:sz w:val="18"/>
              </w:rPr>
              <w:t>0.093613</w:t>
            </w:r>
          </w:p>
        </w:tc>
        <w:tc>
          <w:tcPr>
            <w:tcW w:w="1491" w:type="dxa"/>
          </w:tcPr>
          <w:p>
            <w:pPr>
              <w:pStyle w:val="TableParagraph"/>
              <w:spacing w:line="199" w:lineRule="exact" w:before="6"/>
              <w:ind w:left="351"/>
              <w:rPr>
                <w:sz w:val="18"/>
              </w:rPr>
            </w:pPr>
            <w:r>
              <w:rPr>
                <w:spacing w:val="-2"/>
                <w:sz w:val="18"/>
              </w:rPr>
              <w:t>4.839639</w:t>
            </w:r>
          </w:p>
        </w:tc>
        <w:tc>
          <w:tcPr>
            <w:tcW w:w="910" w:type="dxa"/>
          </w:tcPr>
          <w:p>
            <w:pPr>
              <w:pStyle w:val="TableParagraph"/>
              <w:spacing w:line="199" w:lineRule="exact" w:before="6"/>
              <w:ind w:right="89"/>
              <w:jc w:val="right"/>
              <w:rPr>
                <w:sz w:val="18"/>
              </w:rPr>
            </w:pPr>
            <w:r>
              <w:rPr>
                <w:spacing w:val="-2"/>
                <w:sz w:val="18"/>
              </w:rPr>
              <w:t>0.019343</w:t>
            </w:r>
          </w:p>
        </w:tc>
        <w:tc>
          <w:tcPr>
            <w:tcW w:w="914" w:type="dxa"/>
          </w:tcPr>
          <w:p>
            <w:pPr>
              <w:pStyle w:val="TableParagraph"/>
              <w:spacing w:line="199" w:lineRule="exact" w:before="6"/>
              <w:ind w:right="5"/>
              <w:jc w:val="right"/>
              <w:rPr>
                <w:sz w:val="18"/>
              </w:rPr>
            </w:pPr>
            <w:r>
              <w:rPr>
                <w:spacing w:val="-2"/>
                <w:sz w:val="18"/>
              </w:rPr>
              <w:t>0.9846</w:t>
            </w:r>
          </w:p>
        </w:tc>
      </w:tr>
      <w:tr>
        <w:trPr>
          <w:trHeight w:val="225" w:hRule="atLeast"/>
        </w:trPr>
        <w:tc>
          <w:tcPr>
            <w:tcW w:w="1925" w:type="dxa"/>
          </w:tcPr>
          <w:p>
            <w:pPr>
              <w:pStyle w:val="TableParagraph"/>
              <w:spacing w:line="199" w:lineRule="exact" w:before="6"/>
              <w:ind w:left="92"/>
              <w:jc w:val="center"/>
              <w:rPr>
                <w:sz w:val="18"/>
              </w:rPr>
            </w:pPr>
            <w:r>
              <w:rPr>
                <w:spacing w:val="-5"/>
                <w:sz w:val="18"/>
              </w:rPr>
              <w:t>TG</w:t>
            </w:r>
          </w:p>
        </w:tc>
        <w:tc>
          <w:tcPr>
            <w:tcW w:w="1290" w:type="dxa"/>
          </w:tcPr>
          <w:p>
            <w:pPr>
              <w:pStyle w:val="TableParagraph"/>
              <w:spacing w:line="199" w:lineRule="exact" w:before="6"/>
              <w:ind w:left="372"/>
              <w:rPr>
                <w:sz w:val="18"/>
              </w:rPr>
            </w:pPr>
            <w:r>
              <w:rPr>
                <w:spacing w:val="-2"/>
                <w:sz w:val="18"/>
              </w:rPr>
              <w:t>-0.048204</w:t>
            </w:r>
          </w:p>
        </w:tc>
        <w:tc>
          <w:tcPr>
            <w:tcW w:w="1491" w:type="dxa"/>
          </w:tcPr>
          <w:p>
            <w:pPr>
              <w:pStyle w:val="TableParagraph"/>
              <w:spacing w:line="199" w:lineRule="exact" w:before="6"/>
              <w:ind w:left="351"/>
              <w:rPr>
                <w:sz w:val="18"/>
              </w:rPr>
            </w:pPr>
            <w:r>
              <w:rPr>
                <w:spacing w:val="-2"/>
                <w:sz w:val="18"/>
              </w:rPr>
              <w:t>4.836561</w:t>
            </w:r>
          </w:p>
        </w:tc>
        <w:tc>
          <w:tcPr>
            <w:tcW w:w="910" w:type="dxa"/>
          </w:tcPr>
          <w:p>
            <w:pPr>
              <w:pStyle w:val="TableParagraph"/>
              <w:spacing w:line="199" w:lineRule="exact" w:before="6"/>
              <w:ind w:right="89"/>
              <w:jc w:val="right"/>
              <w:rPr>
                <w:sz w:val="18"/>
              </w:rPr>
            </w:pPr>
            <w:r>
              <w:rPr>
                <w:spacing w:val="-2"/>
                <w:sz w:val="18"/>
              </w:rPr>
              <w:t>-0.009967</w:t>
            </w:r>
          </w:p>
        </w:tc>
        <w:tc>
          <w:tcPr>
            <w:tcW w:w="914" w:type="dxa"/>
          </w:tcPr>
          <w:p>
            <w:pPr>
              <w:pStyle w:val="TableParagraph"/>
              <w:spacing w:line="199" w:lineRule="exact" w:before="6"/>
              <w:ind w:right="5"/>
              <w:jc w:val="right"/>
              <w:rPr>
                <w:sz w:val="18"/>
              </w:rPr>
            </w:pPr>
            <w:r>
              <w:rPr>
                <w:spacing w:val="-2"/>
                <w:sz w:val="18"/>
              </w:rPr>
              <w:t>0.9921</w:t>
            </w:r>
          </w:p>
        </w:tc>
      </w:tr>
      <w:tr>
        <w:trPr>
          <w:trHeight w:val="224" w:hRule="atLeast"/>
        </w:trPr>
        <w:tc>
          <w:tcPr>
            <w:tcW w:w="1925" w:type="dxa"/>
          </w:tcPr>
          <w:p>
            <w:pPr>
              <w:pStyle w:val="TableParagraph"/>
              <w:spacing w:line="198" w:lineRule="exact" w:before="6"/>
              <w:ind w:left="643"/>
              <w:rPr>
                <w:sz w:val="18"/>
              </w:rPr>
            </w:pPr>
            <w:r>
              <w:rPr>
                <w:spacing w:val="-2"/>
                <w:sz w:val="18"/>
              </w:rPr>
              <w:t>IFRS*TG</w:t>
            </w:r>
          </w:p>
        </w:tc>
        <w:tc>
          <w:tcPr>
            <w:tcW w:w="1290" w:type="dxa"/>
          </w:tcPr>
          <w:p>
            <w:pPr>
              <w:pStyle w:val="TableParagraph"/>
              <w:spacing w:line="198" w:lineRule="exact" w:before="6"/>
              <w:ind w:left="372"/>
              <w:rPr>
                <w:sz w:val="18"/>
              </w:rPr>
            </w:pPr>
            <w:r>
              <w:rPr>
                <w:spacing w:val="-2"/>
                <w:sz w:val="18"/>
              </w:rPr>
              <w:t>-0.218323</w:t>
            </w:r>
          </w:p>
        </w:tc>
        <w:tc>
          <w:tcPr>
            <w:tcW w:w="1491" w:type="dxa"/>
          </w:tcPr>
          <w:p>
            <w:pPr>
              <w:pStyle w:val="TableParagraph"/>
              <w:spacing w:line="198" w:lineRule="exact" w:before="6"/>
              <w:ind w:left="351"/>
              <w:rPr>
                <w:sz w:val="18"/>
              </w:rPr>
            </w:pPr>
            <w:r>
              <w:rPr>
                <w:spacing w:val="-2"/>
                <w:sz w:val="18"/>
              </w:rPr>
              <w:t>5.061507</w:t>
            </w:r>
          </w:p>
        </w:tc>
        <w:tc>
          <w:tcPr>
            <w:tcW w:w="910" w:type="dxa"/>
          </w:tcPr>
          <w:p>
            <w:pPr>
              <w:pStyle w:val="TableParagraph"/>
              <w:spacing w:line="198" w:lineRule="exact" w:before="6"/>
              <w:ind w:right="89"/>
              <w:jc w:val="right"/>
              <w:rPr>
                <w:sz w:val="18"/>
              </w:rPr>
            </w:pPr>
            <w:r>
              <w:rPr>
                <w:spacing w:val="-2"/>
                <w:sz w:val="18"/>
              </w:rPr>
              <w:t>-0.043134</w:t>
            </w:r>
          </w:p>
        </w:tc>
        <w:tc>
          <w:tcPr>
            <w:tcW w:w="914" w:type="dxa"/>
          </w:tcPr>
          <w:p>
            <w:pPr>
              <w:pStyle w:val="TableParagraph"/>
              <w:spacing w:line="198" w:lineRule="exact" w:before="6"/>
              <w:ind w:right="5"/>
              <w:jc w:val="right"/>
              <w:rPr>
                <w:sz w:val="18"/>
              </w:rPr>
            </w:pPr>
            <w:r>
              <w:rPr>
                <w:spacing w:val="-2"/>
                <w:sz w:val="18"/>
              </w:rPr>
              <w:t>0.9656</w:t>
            </w:r>
          </w:p>
        </w:tc>
      </w:tr>
      <w:tr>
        <w:trPr>
          <w:trHeight w:val="224" w:hRule="atLeast"/>
        </w:trPr>
        <w:tc>
          <w:tcPr>
            <w:tcW w:w="1925" w:type="dxa"/>
          </w:tcPr>
          <w:p>
            <w:pPr>
              <w:pStyle w:val="TableParagraph"/>
              <w:spacing w:line="199" w:lineRule="exact" w:before="5"/>
              <w:ind w:left="92" w:right="1"/>
              <w:jc w:val="center"/>
              <w:rPr>
                <w:sz w:val="18"/>
              </w:rPr>
            </w:pPr>
            <w:r>
              <w:rPr>
                <w:spacing w:val="-5"/>
                <w:sz w:val="18"/>
              </w:rPr>
              <w:t>BDS</w:t>
            </w:r>
          </w:p>
        </w:tc>
        <w:tc>
          <w:tcPr>
            <w:tcW w:w="1290" w:type="dxa"/>
          </w:tcPr>
          <w:p>
            <w:pPr>
              <w:pStyle w:val="TableParagraph"/>
              <w:spacing w:line="199" w:lineRule="exact" w:before="5"/>
              <w:ind w:left="372"/>
              <w:rPr>
                <w:sz w:val="18"/>
              </w:rPr>
            </w:pPr>
            <w:r>
              <w:rPr>
                <w:spacing w:val="-2"/>
                <w:sz w:val="18"/>
              </w:rPr>
              <w:t>-0.010923</w:t>
            </w:r>
          </w:p>
        </w:tc>
        <w:tc>
          <w:tcPr>
            <w:tcW w:w="1491" w:type="dxa"/>
          </w:tcPr>
          <w:p>
            <w:pPr>
              <w:pStyle w:val="TableParagraph"/>
              <w:spacing w:line="199" w:lineRule="exact" w:before="5"/>
              <w:ind w:left="351"/>
              <w:rPr>
                <w:sz w:val="18"/>
              </w:rPr>
            </w:pPr>
            <w:r>
              <w:rPr>
                <w:spacing w:val="-2"/>
                <w:sz w:val="18"/>
              </w:rPr>
              <w:t>0.018252</w:t>
            </w:r>
          </w:p>
        </w:tc>
        <w:tc>
          <w:tcPr>
            <w:tcW w:w="910" w:type="dxa"/>
          </w:tcPr>
          <w:p>
            <w:pPr>
              <w:pStyle w:val="TableParagraph"/>
              <w:spacing w:line="199" w:lineRule="exact" w:before="5"/>
              <w:ind w:right="89"/>
              <w:jc w:val="right"/>
              <w:rPr>
                <w:sz w:val="18"/>
              </w:rPr>
            </w:pPr>
            <w:r>
              <w:rPr>
                <w:spacing w:val="-2"/>
                <w:sz w:val="18"/>
              </w:rPr>
              <w:t>-0.598487</w:t>
            </w:r>
          </w:p>
        </w:tc>
        <w:tc>
          <w:tcPr>
            <w:tcW w:w="914" w:type="dxa"/>
          </w:tcPr>
          <w:p>
            <w:pPr>
              <w:pStyle w:val="TableParagraph"/>
              <w:spacing w:line="199" w:lineRule="exact" w:before="5"/>
              <w:ind w:right="5"/>
              <w:jc w:val="right"/>
              <w:rPr>
                <w:sz w:val="18"/>
              </w:rPr>
            </w:pPr>
            <w:r>
              <w:rPr>
                <w:spacing w:val="-2"/>
                <w:sz w:val="18"/>
              </w:rPr>
              <w:t>0.5503</w:t>
            </w:r>
          </w:p>
        </w:tc>
      </w:tr>
      <w:tr>
        <w:trPr>
          <w:trHeight w:val="225" w:hRule="atLeast"/>
        </w:trPr>
        <w:tc>
          <w:tcPr>
            <w:tcW w:w="1925" w:type="dxa"/>
          </w:tcPr>
          <w:p>
            <w:pPr>
              <w:pStyle w:val="TableParagraph"/>
              <w:spacing w:line="199" w:lineRule="exact" w:before="6"/>
              <w:ind w:left="727"/>
              <w:rPr>
                <w:sz w:val="18"/>
              </w:rPr>
            </w:pPr>
            <w:r>
              <w:rPr>
                <w:spacing w:val="-2"/>
                <w:sz w:val="18"/>
              </w:rPr>
              <w:t>BDIND</w:t>
            </w:r>
          </w:p>
        </w:tc>
        <w:tc>
          <w:tcPr>
            <w:tcW w:w="1290" w:type="dxa"/>
          </w:tcPr>
          <w:p>
            <w:pPr>
              <w:pStyle w:val="TableParagraph"/>
              <w:spacing w:line="199" w:lineRule="exact" w:before="6"/>
              <w:ind w:left="372"/>
              <w:rPr>
                <w:sz w:val="18"/>
              </w:rPr>
            </w:pPr>
            <w:r>
              <w:rPr>
                <w:spacing w:val="-2"/>
                <w:sz w:val="18"/>
              </w:rPr>
              <w:t>-0.263260</w:t>
            </w:r>
          </w:p>
        </w:tc>
        <w:tc>
          <w:tcPr>
            <w:tcW w:w="1491" w:type="dxa"/>
          </w:tcPr>
          <w:p>
            <w:pPr>
              <w:pStyle w:val="TableParagraph"/>
              <w:spacing w:line="199" w:lineRule="exact" w:before="6"/>
              <w:ind w:left="351"/>
              <w:rPr>
                <w:sz w:val="18"/>
              </w:rPr>
            </w:pPr>
            <w:r>
              <w:rPr>
                <w:spacing w:val="-2"/>
                <w:sz w:val="18"/>
              </w:rPr>
              <w:t>0.490761</w:t>
            </w:r>
          </w:p>
        </w:tc>
        <w:tc>
          <w:tcPr>
            <w:tcW w:w="910" w:type="dxa"/>
          </w:tcPr>
          <w:p>
            <w:pPr>
              <w:pStyle w:val="TableParagraph"/>
              <w:spacing w:line="199" w:lineRule="exact" w:before="6"/>
              <w:ind w:right="89"/>
              <w:jc w:val="right"/>
              <w:rPr>
                <w:sz w:val="18"/>
              </w:rPr>
            </w:pPr>
            <w:r>
              <w:rPr>
                <w:spacing w:val="-2"/>
                <w:sz w:val="18"/>
              </w:rPr>
              <w:t>-0.536433</w:t>
            </w:r>
          </w:p>
        </w:tc>
        <w:tc>
          <w:tcPr>
            <w:tcW w:w="914" w:type="dxa"/>
          </w:tcPr>
          <w:p>
            <w:pPr>
              <w:pStyle w:val="TableParagraph"/>
              <w:spacing w:line="199" w:lineRule="exact" w:before="6"/>
              <w:ind w:right="5"/>
              <w:jc w:val="right"/>
              <w:rPr>
                <w:sz w:val="18"/>
              </w:rPr>
            </w:pPr>
            <w:r>
              <w:rPr>
                <w:spacing w:val="-2"/>
                <w:sz w:val="18"/>
              </w:rPr>
              <w:t>0.5923</w:t>
            </w:r>
          </w:p>
        </w:tc>
      </w:tr>
      <w:tr>
        <w:trPr>
          <w:trHeight w:val="225" w:hRule="atLeast"/>
        </w:trPr>
        <w:tc>
          <w:tcPr>
            <w:tcW w:w="1925" w:type="dxa"/>
          </w:tcPr>
          <w:p>
            <w:pPr>
              <w:pStyle w:val="TableParagraph"/>
              <w:spacing w:line="199" w:lineRule="exact" w:before="6"/>
              <w:ind w:left="712"/>
              <w:rPr>
                <w:sz w:val="18"/>
              </w:rPr>
            </w:pPr>
            <w:r>
              <w:rPr>
                <w:spacing w:val="-2"/>
                <w:sz w:val="18"/>
              </w:rPr>
              <w:t>BFEXP</w:t>
            </w:r>
          </w:p>
        </w:tc>
        <w:tc>
          <w:tcPr>
            <w:tcW w:w="1290" w:type="dxa"/>
          </w:tcPr>
          <w:p>
            <w:pPr>
              <w:pStyle w:val="TableParagraph"/>
              <w:spacing w:line="199" w:lineRule="exact" w:before="6"/>
              <w:ind w:left="432"/>
              <w:rPr>
                <w:sz w:val="18"/>
              </w:rPr>
            </w:pPr>
            <w:r>
              <w:rPr>
                <w:spacing w:val="-2"/>
                <w:sz w:val="18"/>
              </w:rPr>
              <w:t>0.139528</w:t>
            </w:r>
          </w:p>
        </w:tc>
        <w:tc>
          <w:tcPr>
            <w:tcW w:w="1491" w:type="dxa"/>
          </w:tcPr>
          <w:p>
            <w:pPr>
              <w:pStyle w:val="TableParagraph"/>
              <w:spacing w:line="199" w:lineRule="exact" w:before="6"/>
              <w:ind w:left="351"/>
              <w:rPr>
                <w:sz w:val="18"/>
              </w:rPr>
            </w:pPr>
            <w:r>
              <w:rPr>
                <w:spacing w:val="-2"/>
                <w:sz w:val="18"/>
              </w:rPr>
              <w:t>0.456115</w:t>
            </w:r>
          </w:p>
        </w:tc>
        <w:tc>
          <w:tcPr>
            <w:tcW w:w="910" w:type="dxa"/>
          </w:tcPr>
          <w:p>
            <w:pPr>
              <w:pStyle w:val="TableParagraph"/>
              <w:spacing w:line="199" w:lineRule="exact" w:before="6"/>
              <w:ind w:right="89"/>
              <w:jc w:val="right"/>
              <w:rPr>
                <w:sz w:val="18"/>
              </w:rPr>
            </w:pPr>
            <w:r>
              <w:rPr>
                <w:spacing w:val="-2"/>
                <w:sz w:val="18"/>
              </w:rPr>
              <w:t>0.305905</w:t>
            </w:r>
          </w:p>
        </w:tc>
        <w:tc>
          <w:tcPr>
            <w:tcW w:w="914" w:type="dxa"/>
          </w:tcPr>
          <w:p>
            <w:pPr>
              <w:pStyle w:val="TableParagraph"/>
              <w:spacing w:line="199" w:lineRule="exact" w:before="6"/>
              <w:ind w:right="5"/>
              <w:jc w:val="right"/>
              <w:rPr>
                <w:sz w:val="18"/>
              </w:rPr>
            </w:pPr>
            <w:r>
              <w:rPr>
                <w:spacing w:val="-2"/>
                <w:sz w:val="18"/>
              </w:rPr>
              <w:t>0.7600</w:t>
            </w:r>
          </w:p>
        </w:tc>
      </w:tr>
      <w:tr>
        <w:trPr>
          <w:trHeight w:val="224" w:hRule="atLeast"/>
        </w:trPr>
        <w:tc>
          <w:tcPr>
            <w:tcW w:w="1925" w:type="dxa"/>
          </w:tcPr>
          <w:p>
            <w:pPr>
              <w:pStyle w:val="TableParagraph"/>
              <w:spacing w:line="198" w:lineRule="exact" w:before="6"/>
              <w:ind w:left="92" w:right="1"/>
              <w:jc w:val="center"/>
              <w:rPr>
                <w:sz w:val="18"/>
              </w:rPr>
            </w:pPr>
            <w:r>
              <w:rPr>
                <w:spacing w:val="-4"/>
                <w:sz w:val="18"/>
              </w:rPr>
              <w:t>FAGE</w:t>
            </w:r>
          </w:p>
        </w:tc>
        <w:tc>
          <w:tcPr>
            <w:tcW w:w="1290" w:type="dxa"/>
          </w:tcPr>
          <w:p>
            <w:pPr>
              <w:pStyle w:val="TableParagraph"/>
              <w:spacing w:line="198" w:lineRule="exact" w:before="6"/>
              <w:ind w:left="372"/>
              <w:rPr>
                <w:sz w:val="18"/>
              </w:rPr>
            </w:pPr>
            <w:r>
              <w:rPr>
                <w:spacing w:val="-2"/>
                <w:sz w:val="18"/>
              </w:rPr>
              <w:t>-0.005020</w:t>
            </w:r>
          </w:p>
        </w:tc>
        <w:tc>
          <w:tcPr>
            <w:tcW w:w="1491" w:type="dxa"/>
          </w:tcPr>
          <w:p>
            <w:pPr>
              <w:pStyle w:val="TableParagraph"/>
              <w:spacing w:line="198" w:lineRule="exact" w:before="6"/>
              <w:ind w:left="351"/>
              <w:rPr>
                <w:sz w:val="18"/>
              </w:rPr>
            </w:pPr>
            <w:r>
              <w:rPr>
                <w:spacing w:val="-2"/>
                <w:sz w:val="18"/>
              </w:rPr>
              <w:t>0.006306</w:t>
            </w:r>
          </w:p>
        </w:tc>
        <w:tc>
          <w:tcPr>
            <w:tcW w:w="910" w:type="dxa"/>
          </w:tcPr>
          <w:p>
            <w:pPr>
              <w:pStyle w:val="TableParagraph"/>
              <w:spacing w:line="198" w:lineRule="exact" w:before="6"/>
              <w:ind w:right="89"/>
              <w:jc w:val="right"/>
              <w:rPr>
                <w:sz w:val="18"/>
              </w:rPr>
            </w:pPr>
            <w:r>
              <w:rPr>
                <w:spacing w:val="-2"/>
                <w:sz w:val="18"/>
              </w:rPr>
              <w:t>-0.796163</w:t>
            </w:r>
          </w:p>
        </w:tc>
        <w:tc>
          <w:tcPr>
            <w:tcW w:w="914" w:type="dxa"/>
          </w:tcPr>
          <w:p>
            <w:pPr>
              <w:pStyle w:val="TableParagraph"/>
              <w:spacing w:line="198" w:lineRule="exact" w:before="6"/>
              <w:ind w:right="5"/>
              <w:jc w:val="right"/>
              <w:rPr>
                <w:sz w:val="18"/>
              </w:rPr>
            </w:pPr>
            <w:r>
              <w:rPr>
                <w:spacing w:val="-2"/>
                <w:sz w:val="18"/>
              </w:rPr>
              <w:t>0.4270</w:t>
            </w:r>
          </w:p>
        </w:tc>
      </w:tr>
      <w:tr>
        <w:trPr>
          <w:trHeight w:val="224" w:hRule="atLeast"/>
        </w:trPr>
        <w:tc>
          <w:tcPr>
            <w:tcW w:w="1925" w:type="dxa"/>
          </w:tcPr>
          <w:p>
            <w:pPr>
              <w:pStyle w:val="TableParagraph"/>
              <w:spacing w:line="199" w:lineRule="exact" w:before="5"/>
              <w:ind w:left="92" w:right="5"/>
              <w:jc w:val="center"/>
              <w:rPr>
                <w:sz w:val="18"/>
              </w:rPr>
            </w:pPr>
            <w:r>
              <w:rPr>
                <w:spacing w:val="-2"/>
                <w:sz w:val="18"/>
              </w:rPr>
              <w:t>FSIZE</w:t>
            </w:r>
          </w:p>
        </w:tc>
        <w:tc>
          <w:tcPr>
            <w:tcW w:w="1290" w:type="dxa"/>
          </w:tcPr>
          <w:p>
            <w:pPr>
              <w:pStyle w:val="TableParagraph"/>
              <w:spacing w:line="199" w:lineRule="exact" w:before="5"/>
              <w:ind w:left="372"/>
              <w:rPr>
                <w:sz w:val="18"/>
              </w:rPr>
            </w:pPr>
            <w:r>
              <w:rPr>
                <w:spacing w:val="-2"/>
                <w:sz w:val="18"/>
              </w:rPr>
              <w:t>-0.163322</w:t>
            </w:r>
          </w:p>
        </w:tc>
        <w:tc>
          <w:tcPr>
            <w:tcW w:w="1491" w:type="dxa"/>
          </w:tcPr>
          <w:p>
            <w:pPr>
              <w:pStyle w:val="TableParagraph"/>
              <w:spacing w:line="199" w:lineRule="exact" w:before="5"/>
              <w:ind w:left="351"/>
              <w:rPr>
                <w:sz w:val="18"/>
              </w:rPr>
            </w:pPr>
            <w:r>
              <w:rPr>
                <w:spacing w:val="-2"/>
                <w:sz w:val="18"/>
              </w:rPr>
              <w:t>0.120095</w:t>
            </w:r>
          </w:p>
        </w:tc>
        <w:tc>
          <w:tcPr>
            <w:tcW w:w="910" w:type="dxa"/>
          </w:tcPr>
          <w:p>
            <w:pPr>
              <w:pStyle w:val="TableParagraph"/>
              <w:spacing w:line="199" w:lineRule="exact" w:before="5"/>
              <w:ind w:right="89"/>
              <w:jc w:val="right"/>
              <w:rPr>
                <w:sz w:val="18"/>
              </w:rPr>
            </w:pPr>
            <w:r>
              <w:rPr>
                <w:spacing w:val="-2"/>
                <w:sz w:val="18"/>
              </w:rPr>
              <w:t>-1.359940</w:t>
            </w:r>
          </w:p>
        </w:tc>
        <w:tc>
          <w:tcPr>
            <w:tcW w:w="914" w:type="dxa"/>
          </w:tcPr>
          <w:p>
            <w:pPr>
              <w:pStyle w:val="TableParagraph"/>
              <w:spacing w:line="199" w:lineRule="exact" w:before="5"/>
              <w:ind w:right="5"/>
              <w:jc w:val="right"/>
              <w:rPr>
                <w:sz w:val="18"/>
              </w:rPr>
            </w:pPr>
            <w:r>
              <w:rPr>
                <w:spacing w:val="-2"/>
                <w:sz w:val="18"/>
              </w:rPr>
              <w:t>0.1755</w:t>
            </w:r>
          </w:p>
        </w:tc>
      </w:tr>
      <w:tr>
        <w:trPr>
          <w:trHeight w:val="225" w:hRule="atLeast"/>
        </w:trPr>
        <w:tc>
          <w:tcPr>
            <w:tcW w:w="1925" w:type="dxa"/>
          </w:tcPr>
          <w:p>
            <w:pPr>
              <w:pStyle w:val="TableParagraph"/>
              <w:spacing w:line="199" w:lineRule="exact" w:before="6"/>
              <w:ind w:left="523"/>
              <w:rPr>
                <w:sz w:val="18"/>
              </w:rPr>
            </w:pPr>
            <w:r>
              <w:rPr>
                <w:spacing w:val="-2"/>
                <w:sz w:val="18"/>
              </w:rPr>
              <w:t>LEVERAGE</w:t>
            </w:r>
          </w:p>
        </w:tc>
        <w:tc>
          <w:tcPr>
            <w:tcW w:w="1290" w:type="dxa"/>
          </w:tcPr>
          <w:p>
            <w:pPr>
              <w:pStyle w:val="TableParagraph"/>
              <w:spacing w:line="199" w:lineRule="exact" w:before="6"/>
              <w:ind w:left="372"/>
              <w:rPr>
                <w:sz w:val="18"/>
              </w:rPr>
            </w:pPr>
            <w:r>
              <w:rPr>
                <w:spacing w:val="-2"/>
                <w:sz w:val="18"/>
              </w:rPr>
              <w:t>-0.001119</w:t>
            </w:r>
          </w:p>
        </w:tc>
        <w:tc>
          <w:tcPr>
            <w:tcW w:w="1491" w:type="dxa"/>
          </w:tcPr>
          <w:p>
            <w:pPr>
              <w:pStyle w:val="TableParagraph"/>
              <w:spacing w:line="199" w:lineRule="exact" w:before="6"/>
              <w:ind w:left="351"/>
              <w:rPr>
                <w:sz w:val="18"/>
              </w:rPr>
            </w:pPr>
            <w:r>
              <w:rPr>
                <w:spacing w:val="-2"/>
                <w:sz w:val="18"/>
              </w:rPr>
              <w:t>0.098861</w:t>
            </w:r>
          </w:p>
        </w:tc>
        <w:tc>
          <w:tcPr>
            <w:tcW w:w="910" w:type="dxa"/>
          </w:tcPr>
          <w:p>
            <w:pPr>
              <w:pStyle w:val="TableParagraph"/>
              <w:spacing w:line="199" w:lineRule="exact" w:before="6"/>
              <w:ind w:right="89"/>
              <w:jc w:val="right"/>
              <w:rPr>
                <w:sz w:val="18"/>
              </w:rPr>
            </w:pPr>
            <w:r>
              <w:rPr>
                <w:spacing w:val="-2"/>
                <w:sz w:val="18"/>
              </w:rPr>
              <w:t>-0.011319</w:t>
            </w:r>
          </w:p>
        </w:tc>
        <w:tc>
          <w:tcPr>
            <w:tcW w:w="914" w:type="dxa"/>
          </w:tcPr>
          <w:p>
            <w:pPr>
              <w:pStyle w:val="TableParagraph"/>
              <w:spacing w:line="199" w:lineRule="exact" w:before="6"/>
              <w:ind w:right="5"/>
              <w:jc w:val="right"/>
              <w:rPr>
                <w:sz w:val="18"/>
              </w:rPr>
            </w:pPr>
            <w:r>
              <w:rPr>
                <w:spacing w:val="-2"/>
                <w:sz w:val="18"/>
              </w:rPr>
              <w:t>0.9910</w:t>
            </w:r>
          </w:p>
        </w:tc>
      </w:tr>
      <w:tr>
        <w:trPr>
          <w:trHeight w:val="225" w:hRule="atLeast"/>
        </w:trPr>
        <w:tc>
          <w:tcPr>
            <w:tcW w:w="1925" w:type="dxa"/>
          </w:tcPr>
          <w:p>
            <w:pPr>
              <w:pStyle w:val="TableParagraph"/>
              <w:spacing w:line="199" w:lineRule="exact" w:before="6"/>
              <w:ind w:left="92" w:right="2"/>
              <w:jc w:val="center"/>
              <w:rPr>
                <w:sz w:val="18"/>
              </w:rPr>
            </w:pPr>
            <w:r>
              <w:rPr>
                <w:spacing w:val="-2"/>
                <w:sz w:val="18"/>
              </w:rPr>
              <w:t>AR(1)</w:t>
            </w:r>
          </w:p>
        </w:tc>
        <w:tc>
          <w:tcPr>
            <w:tcW w:w="1290" w:type="dxa"/>
          </w:tcPr>
          <w:p>
            <w:pPr>
              <w:pStyle w:val="TableParagraph"/>
              <w:spacing w:line="199" w:lineRule="exact" w:before="6"/>
              <w:ind w:left="432"/>
              <w:rPr>
                <w:sz w:val="18"/>
              </w:rPr>
            </w:pPr>
            <w:r>
              <w:rPr>
                <w:spacing w:val="-2"/>
                <w:sz w:val="18"/>
              </w:rPr>
              <w:t>0.291754</w:t>
            </w:r>
          </w:p>
        </w:tc>
        <w:tc>
          <w:tcPr>
            <w:tcW w:w="1491" w:type="dxa"/>
          </w:tcPr>
          <w:p>
            <w:pPr>
              <w:pStyle w:val="TableParagraph"/>
              <w:spacing w:line="199" w:lineRule="exact" w:before="6"/>
              <w:ind w:left="351"/>
              <w:rPr>
                <w:sz w:val="18"/>
              </w:rPr>
            </w:pPr>
            <w:r>
              <w:rPr>
                <w:spacing w:val="-2"/>
                <w:sz w:val="18"/>
              </w:rPr>
              <w:t>0.061050</w:t>
            </w:r>
          </w:p>
        </w:tc>
        <w:tc>
          <w:tcPr>
            <w:tcW w:w="910" w:type="dxa"/>
          </w:tcPr>
          <w:p>
            <w:pPr>
              <w:pStyle w:val="TableParagraph"/>
              <w:spacing w:line="199" w:lineRule="exact" w:before="6"/>
              <w:ind w:right="89"/>
              <w:jc w:val="right"/>
              <w:rPr>
                <w:sz w:val="18"/>
              </w:rPr>
            </w:pPr>
            <w:r>
              <w:rPr>
                <w:spacing w:val="-2"/>
                <w:sz w:val="18"/>
              </w:rPr>
              <w:t>4.778934</w:t>
            </w:r>
          </w:p>
        </w:tc>
        <w:tc>
          <w:tcPr>
            <w:tcW w:w="914" w:type="dxa"/>
          </w:tcPr>
          <w:p>
            <w:pPr>
              <w:pStyle w:val="TableParagraph"/>
              <w:spacing w:line="199" w:lineRule="exact" w:before="6"/>
              <w:ind w:right="5"/>
              <w:jc w:val="right"/>
              <w:rPr>
                <w:sz w:val="18"/>
              </w:rPr>
            </w:pPr>
            <w:r>
              <w:rPr>
                <w:spacing w:val="-2"/>
                <w:sz w:val="18"/>
              </w:rPr>
              <w:t>0.0000</w:t>
            </w:r>
          </w:p>
        </w:tc>
      </w:tr>
      <w:tr>
        <w:trPr>
          <w:trHeight w:val="301" w:hRule="atLeast"/>
        </w:trPr>
        <w:tc>
          <w:tcPr>
            <w:tcW w:w="1925" w:type="dxa"/>
            <w:tcBorders>
              <w:bottom w:val="double" w:sz="6" w:space="0" w:color="000000"/>
            </w:tcBorders>
          </w:tcPr>
          <w:p>
            <w:pPr>
              <w:pStyle w:val="TableParagraph"/>
              <w:spacing w:before="6"/>
              <w:ind w:left="587"/>
              <w:rPr>
                <w:sz w:val="18"/>
              </w:rPr>
            </w:pPr>
            <w:r>
              <w:rPr>
                <w:spacing w:val="-2"/>
                <w:sz w:val="18"/>
              </w:rPr>
              <w:t>SIGMASQ</w:t>
            </w:r>
          </w:p>
        </w:tc>
        <w:tc>
          <w:tcPr>
            <w:tcW w:w="1290" w:type="dxa"/>
            <w:tcBorders>
              <w:bottom w:val="double" w:sz="6" w:space="0" w:color="000000"/>
            </w:tcBorders>
          </w:tcPr>
          <w:p>
            <w:pPr>
              <w:pStyle w:val="TableParagraph"/>
              <w:spacing w:before="6"/>
              <w:ind w:left="432"/>
              <w:rPr>
                <w:sz w:val="18"/>
              </w:rPr>
            </w:pPr>
            <w:r>
              <w:rPr>
                <w:spacing w:val="-2"/>
                <w:sz w:val="18"/>
              </w:rPr>
              <w:t>0.314381</w:t>
            </w:r>
          </w:p>
        </w:tc>
        <w:tc>
          <w:tcPr>
            <w:tcW w:w="1491" w:type="dxa"/>
            <w:tcBorders>
              <w:bottom w:val="double" w:sz="6" w:space="0" w:color="000000"/>
            </w:tcBorders>
          </w:tcPr>
          <w:p>
            <w:pPr>
              <w:pStyle w:val="TableParagraph"/>
              <w:spacing w:before="6"/>
              <w:ind w:left="351"/>
              <w:rPr>
                <w:sz w:val="18"/>
              </w:rPr>
            </w:pPr>
            <w:r>
              <w:rPr>
                <w:spacing w:val="-2"/>
                <w:sz w:val="18"/>
              </w:rPr>
              <w:t>0.018415</w:t>
            </w:r>
          </w:p>
        </w:tc>
        <w:tc>
          <w:tcPr>
            <w:tcW w:w="910" w:type="dxa"/>
            <w:tcBorders>
              <w:bottom w:val="double" w:sz="6" w:space="0" w:color="000000"/>
            </w:tcBorders>
          </w:tcPr>
          <w:p>
            <w:pPr>
              <w:pStyle w:val="TableParagraph"/>
              <w:spacing w:before="6"/>
              <w:ind w:right="89"/>
              <w:jc w:val="right"/>
              <w:rPr>
                <w:sz w:val="18"/>
              </w:rPr>
            </w:pPr>
            <w:r>
              <w:rPr>
                <w:spacing w:val="-2"/>
                <w:sz w:val="18"/>
              </w:rPr>
              <w:t>17.07216</w:t>
            </w:r>
          </w:p>
        </w:tc>
        <w:tc>
          <w:tcPr>
            <w:tcW w:w="914" w:type="dxa"/>
            <w:tcBorders>
              <w:bottom w:val="double" w:sz="6" w:space="0" w:color="000000"/>
            </w:tcBorders>
          </w:tcPr>
          <w:p>
            <w:pPr>
              <w:pStyle w:val="TableParagraph"/>
              <w:spacing w:before="6"/>
              <w:ind w:right="5"/>
              <w:jc w:val="right"/>
              <w:rPr>
                <w:sz w:val="18"/>
              </w:rPr>
            </w:pPr>
            <w:r>
              <w:rPr>
                <w:spacing w:val="-2"/>
                <w:sz w:val="18"/>
              </w:rPr>
              <w:t>0.0000</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left="432"/>
              <w:rPr>
                <w:sz w:val="18"/>
              </w:rPr>
            </w:pPr>
            <w:r>
              <w:rPr>
                <w:spacing w:val="-2"/>
                <w:sz w:val="18"/>
              </w:rPr>
              <w:t>0.094117</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-0.117725</w:t>
            </w:r>
          </w:p>
        </w:tc>
      </w:tr>
      <w:tr>
        <w:trPr>
          <w:trHeight w:val="225" w:hRule="atLeast"/>
        </w:trPr>
        <w:tc>
          <w:tcPr>
            <w:tcW w:w="192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9" w:lineRule="exact" w:before="6"/>
              <w:ind w:left="432"/>
              <w:rPr>
                <w:sz w:val="18"/>
              </w:rPr>
            </w:pPr>
            <w:r>
              <w:rPr>
                <w:spacing w:val="-2"/>
                <w:sz w:val="18"/>
              </w:rPr>
              <w:t>0.039665</w:t>
            </w:r>
          </w:p>
        </w:tc>
        <w:tc>
          <w:tcPr>
            <w:tcW w:w="240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5"/>
              <w:jc w:val="right"/>
              <w:rPr>
                <w:sz w:val="18"/>
              </w:rPr>
            </w:pPr>
            <w:r>
              <w:rPr>
                <w:spacing w:val="-2"/>
                <w:sz w:val="18"/>
              </w:rPr>
              <w:t>0.590621</w:t>
            </w:r>
          </w:p>
        </w:tc>
      </w:tr>
      <w:tr>
        <w:trPr>
          <w:trHeight w:val="224" w:hRule="atLeast"/>
        </w:trPr>
        <w:tc>
          <w:tcPr>
            <w:tcW w:w="1925"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8" w:lineRule="exact" w:before="6"/>
              <w:ind w:left="432"/>
              <w:rPr>
                <w:sz w:val="18"/>
              </w:rPr>
            </w:pPr>
            <w:r>
              <w:rPr>
                <w:spacing w:val="-2"/>
                <w:sz w:val="18"/>
              </w:rPr>
              <w:t>0.578789</w:t>
            </w:r>
          </w:p>
        </w:tc>
        <w:tc>
          <w:tcPr>
            <w:tcW w:w="2401" w:type="dxa"/>
            <w:gridSpan w:val="2"/>
          </w:tcPr>
          <w:p>
            <w:pPr>
              <w:pStyle w:val="TableParagraph"/>
              <w:spacing w:line="198" w:lineRule="exact" w:before="6"/>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8" w:lineRule="exact" w:before="6"/>
              <w:ind w:right="5"/>
              <w:jc w:val="right"/>
              <w:rPr>
                <w:sz w:val="18"/>
              </w:rPr>
            </w:pPr>
            <w:r>
              <w:rPr>
                <w:spacing w:val="-2"/>
                <w:sz w:val="18"/>
              </w:rPr>
              <w:t>1.804261</w:t>
            </w:r>
          </w:p>
        </w:tc>
      </w:tr>
      <w:tr>
        <w:trPr>
          <w:trHeight w:val="224" w:hRule="atLeast"/>
        </w:trPr>
        <w:tc>
          <w:tcPr>
            <w:tcW w:w="1925" w:type="dxa"/>
          </w:tcPr>
          <w:p>
            <w:pPr>
              <w:pStyle w:val="TableParagraph"/>
              <w:spacing w:line="199" w:lineRule="exact"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line="199" w:lineRule="exact" w:before="5"/>
              <w:ind w:left="432"/>
              <w:rPr>
                <w:sz w:val="18"/>
              </w:rPr>
            </w:pPr>
            <w:r>
              <w:rPr>
                <w:spacing w:val="-2"/>
                <w:sz w:val="18"/>
              </w:rPr>
              <w:t>61.30430</w:t>
            </w:r>
          </w:p>
        </w:tc>
        <w:tc>
          <w:tcPr>
            <w:tcW w:w="1491" w:type="dxa"/>
          </w:tcPr>
          <w:p>
            <w:pPr>
              <w:pStyle w:val="TableParagraph"/>
              <w:spacing w:line="199" w:lineRule="exact" w:before="5"/>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5"/>
              <w:ind w:right="5"/>
              <w:jc w:val="right"/>
              <w:rPr>
                <w:sz w:val="18"/>
              </w:rPr>
            </w:pPr>
            <w:r>
              <w:rPr>
                <w:spacing w:val="-2"/>
                <w:sz w:val="18"/>
              </w:rPr>
              <w:t>2.005676</w:t>
            </w:r>
          </w:p>
        </w:tc>
      </w:tr>
      <w:tr>
        <w:trPr>
          <w:trHeight w:val="225" w:hRule="atLeast"/>
        </w:trPr>
        <w:tc>
          <w:tcPr>
            <w:tcW w:w="192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90" w:type="dxa"/>
          </w:tcPr>
          <w:p>
            <w:pPr>
              <w:pStyle w:val="TableParagraph"/>
              <w:spacing w:line="199" w:lineRule="exact" w:before="6"/>
              <w:ind w:left="372"/>
              <w:rPr>
                <w:sz w:val="18"/>
              </w:rPr>
            </w:pPr>
            <w:r>
              <w:rPr>
                <w:spacing w:val="-2"/>
                <w:sz w:val="18"/>
              </w:rPr>
              <w:t>-163.9154</w:t>
            </w:r>
          </w:p>
        </w:tc>
        <w:tc>
          <w:tcPr>
            <w:tcW w:w="240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6"/>
              <w:ind w:right="5"/>
              <w:jc w:val="right"/>
              <w:rPr>
                <w:sz w:val="18"/>
              </w:rPr>
            </w:pPr>
            <w:r>
              <w:rPr>
                <w:spacing w:val="-2"/>
                <w:sz w:val="18"/>
              </w:rPr>
              <w:t>1.885811</w:t>
            </w:r>
          </w:p>
        </w:tc>
      </w:tr>
      <w:tr>
        <w:trPr>
          <w:trHeight w:val="225" w:hRule="atLeast"/>
        </w:trPr>
        <w:tc>
          <w:tcPr>
            <w:tcW w:w="1925" w:type="dxa"/>
          </w:tcPr>
          <w:p>
            <w:pPr>
              <w:pStyle w:val="TableParagraph"/>
              <w:spacing w:line="199" w:lineRule="exact" w:before="6"/>
              <w:rPr>
                <w:sz w:val="18"/>
              </w:rPr>
            </w:pPr>
            <w:r>
              <w:rPr>
                <w:spacing w:val="-2"/>
                <w:sz w:val="18"/>
              </w:rPr>
              <w:t>F-statistic</w:t>
            </w:r>
          </w:p>
        </w:tc>
        <w:tc>
          <w:tcPr>
            <w:tcW w:w="1290" w:type="dxa"/>
          </w:tcPr>
          <w:p>
            <w:pPr>
              <w:pStyle w:val="TableParagraph"/>
              <w:spacing w:line="199" w:lineRule="exact" w:before="6"/>
              <w:ind w:left="432"/>
              <w:rPr>
                <w:sz w:val="18"/>
              </w:rPr>
            </w:pPr>
            <w:r>
              <w:rPr>
                <w:spacing w:val="-2"/>
                <w:sz w:val="18"/>
              </w:rPr>
              <w:t>1.728441</w:t>
            </w:r>
          </w:p>
        </w:tc>
        <w:tc>
          <w:tcPr>
            <w:tcW w:w="240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5"/>
              <w:jc w:val="right"/>
              <w:rPr>
                <w:sz w:val="18"/>
              </w:rPr>
            </w:pPr>
            <w:r>
              <w:rPr>
                <w:spacing w:val="-2"/>
                <w:sz w:val="18"/>
              </w:rPr>
              <w:t>1.982439</w:t>
            </w:r>
          </w:p>
        </w:tc>
      </w:tr>
      <w:tr>
        <w:trPr>
          <w:trHeight w:val="301" w:hRule="atLeast"/>
        </w:trPr>
        <w:tc>
          <w:tcPr>
            <w:tcW w:w="1925" w:type="dxa"/>
            <w:tcBorders>
              <w:bottom w:val="double" w:sz="6" w:space="0" w:color="000000"/>
            </w:tcBorders>
          </w:tcPr>
          <w:p>
            <w:pPr>
              <w:pStyle w:val="TableParagraph"/>
              <w:spacing w:before="6"/>
              <w:rPr>
                <w:sz w:val="18"/>
              </w:rPr>
            </w:pPr>
            <w:r>
              <w:rPr>
                <w:spacing w:val="-2"/>
                <w:sz w:val="18"/>
              </w:rPr>
              <w:t>Prob(F-statistic)</w:t>
            </w:r>
          </w:p>
        </w:tc>
        <w:tc>
          <w:tcPr>
            <w:tcW w:w="1290" w:type="dxa"/>
            <w:tcBorders>
              <w:bottom w:val="double" w:sz="6" w:space="0" w:color="000000"/>
            </w:tcBorders>
          </w:tcPr>
          <w:p>
            <w:pPr>
              <w:pStyle w:val="TableParagraph"/>
              <w:spacing w:before="6"/>
              <w:ind w:left="432"/>
              <w:rPr>
                <w:sz w:val="18"/>
              </w:rPr>
            </w:pPr>
            <w:r>
              <w:rPr>
                <w:spacing w:val="-2"/>
                <w:sz w:val="18"/>
              </w:rPr>
              <w:t>0.070126</w:t>
            </w:r>
          </w:p>
        </w:tc>
        <w:tc>
          <w:tcPr>
            <w:tcW w:w="2401" w:type="dxa"/>
            <w:gridSpan w:val="2"/>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1925" w:type="dxa"/>
            <w:tcBorders>
              <w:top w:val="double" w:sz="6" w:space="0" w:color="000000"/>
              <w:bottom w:val="double" w:sz="6" w:space="0" w:color="000000"/>
            </w:tcBorders>
          </w:tcPr>
          <w:p>
            <w:pPr>
              <w:pStyle w:val="TableParagraph"/>
              <w:spacing w:before="108"/>
              <w:rPr>
                <w:sz w:val="18"/>
              </w:rPr>
            </w:pPr>
            <w:r>
              <w:rPr>
                <w:sz w:val="18"/>
              </w:rPr>
              <w:t>Inverted</w:t>
            </w:r>
            <w:r>
              <w:rPr>
                <w:spacing w:val="-3"/>
                <w:sz w:val="18"/>
              </w:rPr>
              <w:t> </w:t>
            </w:r>
            <w:r>
              <w:rPr>
                <w:sz w:val="18"/>
              </w:rPr>
              <w:t>AR</w:t>
            </w:r>
            <w:r>
              <w:rPr>
                <w:spacing w:val="-2"/>
                <w:sz w:val="18"/>
              </w:rPr>
              <w:t> Roots</w:t>
            </w:r>
          </w:p>
        </w:tc>
        <w:tc>
          <w:tcPr>
            <w:tcW w:w="1290" w:type="dxa"/>
            <w:tcBorders>
              <w:top w:val="double" w:sz="6" w:space="0" w:color="000000"/>
              <w:bottom w:val="double" w:sz="6" w:space="0" w:color="000000"/>
            </w:tcBorders>
          </w:tcPr>
          <w:p>
            <w:pPr>
              <w:pStyle w:val="TableParagraph"/>
              <w:spacing w:before="108"/>
              <w:ind w:left="393"/>
              <w:rPr>
                <w:sz w:val="18"/>
              </w:rPr>
            </w:pPr>
            <w:r>
              <w:rPr>
                <w:spacing w:val="-5"/>
                <w:sz w:val="18"/>
              </w:rPr>
              <w:t>.29</w:t>
            </w:r>
          </w:p>
        </w:tc>
        <w:tc>
          <w:tcPr>
            <w:tcW w:w="2401" w:type="dxa"/>
            <w:gridSpan w:val="2"/>
            <w:tcBorders>
              <w:top w:val="double" w:sz="6" w:space="0" w:color="000000"/>
              <w:bottom w:val="double" w:sz="6" w:space="0" w:color="000000"/>
            </w:tcBorders>
          </w:tcPr>
          <w:p>
            <w:pPr>
              <w:pStyle w:val="TableParagraph"/>
              <w:rPr>
                <w:rFonts w:ascii="Times New Roman"/>
                <w:sz w:val="18"/>
              </w:rPr>
            </w:pPr>
          </w:p>
        </w:tc>
        <w:tc>
          <w:tcPr>
            <w:tcW w:w="914" w:type="dxa"/>
            <w:tcBorders>
              <w:top w:val="double" w:sz="6" w:space="0" w:color="000000"/>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91232">
                <wp:simplePos x="0" y="0"/>
                <wp:positionH relativeFrom="page">
                  <wp:posOffset>1095451</wp:posOffset>
                </wp:positionH>
                <wp:positionV relativeFrom="page">
                  <wp:posOffset>7242047</wp:posOffset>
                </wp:positionV>
                <wp:extent cx="721995" cy="722630"/>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5248" id="docshape138"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1744">
                <wp:simplePos x="0" y="0"/>
                <wp:positionH relativeFrom="page">
                  <wp:posOffset>1269060</wp:posOffset>
                </wp:positionH>
                <wp:positionV relativeFrom="page">
                  <wp:posOffset>6421183</wp:posOffset>
                </wp:positionV>
                <wp:extent cx="1360170" cy="128143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505.60498pt;width:107.1pt;height:100.9pt;mso-position-horizontal-relative:page;mso-position-vertical-relative:page;z-index:-25524736" id="docshape139"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2256">
                <wp:simplePos x="0" y="0"/>
                <wp:positionH relativeFrom="page">
                  <wp:posOffset>2386838</wp:posOffset>
                </wp:positionH>
                <wp:positionV relativeFrom="page">
                  <wp:posOffset>2726054</wp:posOffset>
                </wp:positionV>
                <wp:extent cx="3815715" cy="396494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3815715" cy="3964940"/>
                          <a:chExt cx="3815715" cy="3964940"/>
                        </a:xfrm>
                      </wpg:grpSpPr>
                      <pic:pic>
                        <pic:nvPicPr>
                          <pic:cNvPr id="334" name="Image 334"/>
                          <pic:cNvPicPr/>
                        </pic:nvPicPr>
                        <pic:blipFill>
                          <a:blip r:embed="rId9" cstate="print"/>
                          <a:stretch>
                            <a:fillRect/>
                          </a:stretch>
                        </pic:blipFill>
                        <pic:spPr>
                          <a:xfrm>
                            <a:off x="130555" y="3743197"/>
                            <a:ext cx="221995" cy="221614"/>
                          </a:xfrm>
                          <a:prstGeom prst="rect">
                            <a:avLst/>
                          </a:prstGeom>
                        </pic:spPr>
                      </pic:pic>
                      <wps:wsp>
                        <wps:cNvPr id="335" name="Graphic 335"/>
                        <wps:cNvSpPr/>
                        <wps:spPr>
                          <a:xfrm>
                            <a:off x="0"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87.940002pt;margin-top:214.649979pt;width:300.45pt;height:312.2pt;mso-position-horizontal-relative:page;mso-position-vertical-relative:page;z-index:-25524224" id="docshapegroup140" coordorigin="3759,4293" coordsize="6009,6244">
                <v:shape style="position:absolute;left:3964;top:10187;width:350;height:349" type="#_x0000_t75" id="docshape141" stroked="false">
                  <v:imagedata r:id="rId9" o:title=""/>
                </v:shape>
                <v:shape style="position:absolute;left:3758;top:4293;width:6009;height:6216" id="docshape142"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16:</w:t>
      </w:r>
      <w:r>
        <w:rPr>
          <w:b/>
          <w:spacing w:val="-1"/>
          <w:sz w:val="24"/>
        </w:rPr>
        <w:t> </w:t>
      </w:r>
      <w:r>
        <w:rPr>
          <w:b/>
          <w:sz w:val="24"/>
        </w:rPr>
        <w:t>Table</w:t>
      </w:r>
      <w:r>
        <w:rPr>
          <w:b/>
          <w:spacing w:val="-1"/>
          <w:sz w:val="24"/>
        </w:rPr>
        <w:t> </w:t>
      </w:r>
      <w:r>
        <w:rPr>
          <w:b/>
          <w:sz w:val="24"/>
        </w:rPr>
        <w:t>4.8:</w:t>
      </w:r>
      <w:r>
        <w:rPr>
          <w:b/>
          <w:spacing w:val="-2"/>
          <w:sz w:val="24"/>
        </w:rPr>
        <w:t> </w:t>
      </w:r>
      <w:r>
        <w:rPr>
          <w:b/>
          <w:sz w:val="24"/>
        </w:rPr>
        <w:t>DISACC</w:t>
      </w:r>
      <w:r>
        <w:rPr>
          <w:b/>
          <w:spacing w:val="-2"/>
          <w:sz w:val="24"/>
        </w:rPr>
        <w:t> </w:t>
      </w:r>
      <w:r>
        <w:rPr>
          <w:b/>
          <w:sz w:val="24"/>
        </w:rPr>
        <w:t>and</w:t>
      </w:r>
      <w:r>
        <w:rPr>
          <w:b/>
          <w:spacing w:val="-2"/>
          <w:sz w:val="24"/>
        </w:rPr>
        <w:t> </w:t>
      </w:r>
      <w:r>
        <w:rPr>
          <w:b/>
          <w:sz w:val="24"/>
        </w:rPr>
        <w:t>Board</w:t>
      </w:r>
      <w:r>
        <w:rPr>
          <w:b/>
          <w:spacing w:val="-1"/>
          <w:sz w:val="24"/>
        </w:rPr>
        <w:t> </w:t>
      </w:r>
      <w:r>
        <w:rPr>
          <w:b/>
          <w:sz w:val="24"/>
        </w:rPr>
        <w:t>Structure Regression</w:t>
      </w:r>
      <w:r>
        <w:rPr>
          <w:b/>
          <w:spacing w:val="-1"/>
          <w:sz w:val="24"/>
        </w:rPr>
        <w:t> </w:t>
      </w:r>
      <w:r>
        <w:rPr>
          <w:b/>
          <w:sz w:val="24"/>
        </w:rPr>
        <w:t>Result</w:t>
      </w:r>
      <w:r>
        <w:rPr>
          <w:b/>
          <w:spacing w:val="-1"/>
          <w:sz w:val="24"/>
        </w:rPr>
        <w:t> </w:t>
      </w:r>
      <w:r>
        <w:rPr>
          <w:b/>
          <w:sz w:val="24"/>
        </w:rPr>
        <w:t>(fixed</w:t>
      </w:r>
      <w:r>
        <w:rPr>
          <w:b/>
          <w:spacing w:val="-1"/>
          <w:sz w:val="24"/>
        </w:rPr>
        <w:t> </w:t>
      </w:r>
      <w:r>
        <w:rPr>
          <w:b/>
          <w:spacing w:val="-2"/>
          <w:sz w:val="24"/>
        </w:rPr>
        <w:t>effects)</w:t>
      </w:r>
    </w:p>
    <w:p>
      <w:pPr>
        <w:pStyle w:val="BodyText"/>
        <w:rPr>
          <w:b/>
          <w:sz w:val="20"/>
        </w:rPr>
      </w:pPr>
    </w:p>
    <w:p>
      <w:pPr>
        <w:pStyle w:val="BodyText"/>
        <w:spacing w:before="66" w:after="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300"/>
        <w:gridCol w:w="1101"/>
        <w:gridCol w:w="914"/>
      </w:tblGrid>
      <w:tr>
        <w:trPr>
          <w:trHeight w:val="212" w:hRule="atLeast"/>
        </w:trPr>
        <w:tc>
          <w:tcPr>
            <w:tcW w:w="6530" w:type="dxa"/>
            <w:gridSpan w:val="5"/>
          </w:tcPr>
          <w:p>
            <w:pPr>
              <w:pStyle w:val="TableParagraph"/>
              <w:spacing w:line="192"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0" w:type="dxa"/>
            <w:gridSpan w:val="5"/>
          </w:tcPr>
          <w:p>
            <w:pPr>
              <w:pStyle w:val="TableParagraph"/>
              <w:spacing w:line="199" w:lineRule="exact" w:before="5"/>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05/01/21</w:t>
            </w:r>
            <w:r>
              <w:rPr>
                <w:spacing w:val="65"/>
                <w:w w:val="150"/>
                <w:sz w:val="18"/>
              </w:rPr>
              <w:t> </w:t>
            </w:r>
            <w:r>
              <w:rPr>
                <w:sz w:val="18"/>
              </w:rPr>
              <w:t>Time:</w:t>
            </w:r>
            <w:r>
              <w:rPr>
                <w:spacing w:val="-2"/>
                <w:sz w:val="18"/>
              </w:rPr>
              <w:t> </w:t>
            </w:r>
            <w:r>
              <w:rPr>
                <w:spacing w:val="-4"/>
                <w:sz w:val="18"/>
              </w:rPr>
              <w:t>20:16</w:t>
            </w:r>
          </w:p>
        </w:tc>
      </w:tr>
      <w:tr>
        <w:trPr>
          <w:trHeight w:val="225" w:hRule="atLeast"/>
        </w:trPr>
        <w:tc>
          <w:tcPr>
            <w:tcW w:w="1925"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90"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1925" w:type="dxa"/>
          </w:tcPr>
          <w:p>
            <w:pPr>
              <w:pStyle w:val="TableParagraph"/>
              <w:spacing w:line="198"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90"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0" w:type="dxa"/>
            <w:gridSpan w:val="5"/>
          </w:tcPr>
          <w:p>
            <w:pPr>
              <w:pStyle w:val="TableParagraph"/>
              <w:spacing w:line="199" w:lineRule="exact" w:before="5"/>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0" w:type="dxa"/>
            <w:gridSpan w:val="5"/>
          </w:tcPr>
          <w:p>
            <w:pPr>
              <w:pStyle w:val="TableParagraph"/>
              <w:spacing w:line="199" w:lineRule="exact" w:before="6"/>
              <w:rPr>
                <w:sz w:val="18"/>
              </w:rPr>
            </w:pPr>
            <w:r>
              <w:rPr>
                <w:sz w:val="18"/>
              </w:rPr>
              <w:t>Total</w:t>
            </w:r>
            <w:r>
              <w:rPr>
                <w:spacing w:val="-6"/>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225" w:hRule="atLeast"/>
        </w:trPr>
        <w:tc>
          <w:tcPr>
            <w:tcW w:w="6530" w:type="dxa"/>
            <w:gridSpan w:val="5"/>
          </w:tcPr>
          <w:p>
            <w:pPr>
              <w:pStyle w:val="TableParagraph"/>
              <w:spacing w:line="199" w:lineRule="exact" w:before="6"/>
              <w:rPr>
                <w:sz w:val="18"/>
              </w:rPr>
            </w:pPr>
            <w:r>
              <w:rPr>
                <w:sz w:val="18"/>
              </w:rPr>
              <w:t>Linear</w:t>
            </w:r>
            <w:r>
              <w:rPr>
                <w:spacing w:val="-9"/>
                <w:sz w:val="18"/>
              </w:rPr>
              <w:t> </w:t>
            </w:r>
            <w:r>
              <w:rPr>
                <w:sz w:val="18"/>
              </w:rPr>
              <w:t>estimation</w:t>
            </w:r>
            <w:r>
              <w:rPr>
                <w:spacing w:val="-4"/>
                <w:sz w:val="18"/>
              </w:rPr>
              <w:t> </w:t>
            </w:r>
            <w:r>
              <w:rPr>
                <w:sz w:val="18"/>
              </w:rPr>
              <w:t>after</w:t>
            </w:r>
            <w:r>
              <w:rPr>
                <w:spacing w:val="-4"/>
                <w:sz w:val="18"/>
              </w:rPr>
              <w:t> </w:t>
            </w:r>
            <w:r>
              <w:rPr>
                <w:sz w:val="18"/>
              </w:rPr>
              <w:t>one-step</w:t>
            </w:r>
            <w:r>
              <w:rPr>
                <w:spacing w:val="-4"/>
                <w:sz w:val="18"/>
              </w:rPr>
              <w:t> </w:t>
            </w:r>
            <w:r>
              <w:rPr>
                <w:sz w:val="18"/>
              </w:rPr>
              <w:t>weighting</w:t>
            </w:r>
            <w:r>
              <w:rPr>
                <w:spacing w:val="-4"/>
                <w:sz w:val="18"/>
              </w:rPr>
              <w:t> </w:t>
            </w:r>
            <w:r>
              <w:rPr>
                <w:spacing w:val="-2"/>
                <w:sz w:val="18"/>
              </w:rPr>
              <w:t>matrix</w:t>
            </w:r>
          </w:p>
        </w:tc>
      </w:tr>
      <w:tr>
        <w:trPr>
          <w:trHeight w:val="301" w:hRule="atLeast"/>
        </w:trPr>
        <w:tc>
          <w:tcPr>
            <w:tcW w:w="6530" w:type="dxa"/>
            <w:gridSpan w:val="5"/>
            <w:tcBorders>
              <w:bottom w:val="double" w:sz="6" w:space="0" w:color="000000"/>
            </w:tcBorders>
          </w:tcPr>
          <w:p>
            <w:pPr>
              <w:pStyle w:val="TableParagraph"/>
              <w:spacing w:before="6"/>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406"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18"/>
              <w:jc w:val="center"/>
              <w:rPr>
                <w:sz w:val="18"/>
              </w:rPr>
            </w:pPr>
            <w:r>
              <w:rPr>
                <w:sz w:val="18"/>
              </w:rPr>
              <w:t>Std.</w:t>
            </w:r>
            <w:r>
              <w:rPr>
                <w:spacing w:val="-2"/>
                <w:sz w:val="18"/>
              </w:rPr>
              <w:t> Error</w:t>
            </w:r>
          </w:p>
        </w:tc>
        <w:tc>
          <w:tcPr>
            <w:tcW w:w="1101" w:type="dxa"/>
            <w:tcBorders>
              <w:top w:val="double" w:sz="6" w:space="0" w:color="000000"/>
              <w:bottom w:val="double" w:sz="6" w:space="0" w:color="000000"/>
            </w:tcBorders>
          </w:tcPr>
          <w:p>
            <w:pPr>
              <w:pStyle w:val="TableParagraph"/>
              <w:spacing w:before="108"/>
              <w:ind w:left="177"/>
              <w:jc w:val="center"/>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line="198" w:lineRule="exact" w:before="109"/>
              <w:ind w:left="92" w:right="1"/>
              <w:jc w:val="center"/>
              <w:rPr>
                <w:sz w:val="18"/>
              </w:rPr>
            </w:pPr>
            <w:r>
              <w:rPr>
                <w:color w:val="000000"/>
                <w:spacing w:val="-10"/>
                <w:sz w:val="18"/>
                <w:highlight w:val="yellow"/>
              </w:rPr>
              <w:t>C</w:t>
            </w:r>
          </w:p>
        </w:tc>
        <w:tc>
          <w:tcPr>
            <w:tcW w:w="1290" w:type="dxa"/>
            <w:tcBorders>
              <w:top w:val="double" w:sz="6" w:space="0" w:color="000000"/>
            </w:tcBorders>
          </w:tcPr>
          <w:p>
            <w:pPr>
              <w:pStyle w:val="TableParagraph"/>
              <w:spacing w:line="198" w:lineRule="exact" w:before="109"/>
              <w:ind w:right="103"/>
              <w:jc w:val="right"/>
              <w:rPr>
                <w:sz w:val="18"/>
              </w:rPr>
            </w:pPr>
            <w:r>
              <w:rPr>
                <w:color w:val="000000"/>
                <w:spacing w:val="-2"/>
                <w:sz w:val="18"/>
                <w:highlight w:val="yellow"/>
              </w:rPr>
              <w:t>2.110931</w:t>
            </w:r>
          </w:p>
        </w:tc>
        <w:tc>
          <w:tcPr>
            <w:tcW w:w="1300" w:type="dxa"/>
            <w:tcBorders>
              <w:top w:val="double" w:sz="6" w:space="0" w:color="000000"/>
            </w:tcBorders>
          </w:tcPr>
          <w:p>
            <w:pPr>
              <w:pStyle w:val="TableParagraph"/>
              <w:spacing w:line="198" w:lineRule="exact" w:before="109"/>
              <w:ind w:left="155"/>
              <w:jc w:val="center"/>
              <w:rPr>
                <w:sz w:val="18"/>
              </w:rPr>
            </w:pPr>
            <w:r>
              <w:rPr>
                <w:color w:val="000000"/>
                <w:spacing w:val="-2"/>
                <w:sz w:val="18"/>
                <w:highlight w:val="yellow"/>
              </w:rPr>
              <w:t>0.790009</w:t>
            </w:r>
          </w:p>
        </w:tc>
        <w:tc>
          <w:tcPr>
            <w:tcW w:w="1101" w:type="dxa"/>
            <w:tcBorders>
              <w:top w:val="double" w:sz="6" w:space="0" w:color="000000"/>
            </w:tcBorders>
          </w:tcPr>
          <w:p>
            <w:pPr>
              <w:pStyle w:val="TableParagraph"/>
              <w:spacing w:line="198" w:lineRule="exact" w:before="109"/>
              <w:ind w:left="177" w:right="12"/>
              <w:jc w:val="center"/>
              <w:rPr>
                <w:sz w:val="18"/>
              </w:rPr>
            </w:pPr>
            <w:r>
              <w:rPr>
                <w:color w:val="000000"/>
                <w:spacing w:val="-2"/>
                <w:sz w:val="18"/>
                <w:highlight w:val="yellow"/>
              </w:rPr>
              <w:t>2.672033</w:t>
            </w:r>
          </w:p>
        </w:tc>
        <w:tc>
          <w:tcPr>
            <w:tcW w:w="914" w:type="dxa"/>
            <w:tcBorders>
              <w:top w:val="double" w:sz="6" w:space="0" w:color="000000"/>
            </w:tcBorders>
          </w:tcPr>
          <w:p>
            <w:pPr>
              <w:pStyle w:val="TableParagraph"/>
              <w:spacing w:line="198" w:lineRule="exact" w:before="109"/>
              <w:ind w:right="5"/>
              <w:jc w:val="right"/>
              <w:rPr>
                <w:sz w:val="18"/>
              </w:rPr>
            </w:pPr>
            <w:r>
              <w:rPr>
                <w:color w:val="000000"/>
                <w:spacing w:val="-2"/>
                <w:sz w:val="18"/>
                <w:highlight w:val="yellow"/>
              </w:rPr>
              <w:t>0.0083</w:t>
            </w:r>
          </w:p>
        </w:tc>
      </w:tr>
      <w:tr>
        <w:trPr>
          <w:trHeight w:val="224" w:hRule="atLeast"/>
        </w:trPr>
        <w:tc>
          <w:tcPr>
            <w:tcW w:w="1925" w:type="dxa"/>
          </w:tcPr>
          <w:p>
            <w:pPr>
              <w:pStyle w:val="TableParagraph"/>
              <w:spacing w:line="199" w:lineRule="exact" w:before="5"/>
              <w:ind w:left="92" w:right="1"/>
              <w:jc w:val="center"/>
              <w:rPr>
                <w:sz w:val="18"/>
              </w:rPr>
            </w:pPr>
            <w:r>
              <w:rPr>
                <w:spacing w:val="-5"/>
                <w:sz w:val="18"/>
              </w:rPr>
              <w:t>BDS</w:t>
            </w:r>
          </w:p>
        </w:tc>
        <w:tc>
          <w:tcPr>
            <w:tcW w:w="1290" w:type="dxa"/>
          </w:tcPr>
          <w:p>
            <w:pPr>
              <w:pStyle w:val="TableParagraph"/>
              <w:spacing w:line="199" w:lineRule="exact" w:before="5"/>
              <w:ind w:right="103"/>
              <w:jc w:val="right"/>
              <w:rPr>
                <w:sz w:val="18"/>
              </w:rPr>
            </w:pPr>
            <w:r>
              <w:rPr>
                <w:spacing w:val="-2"/>
                <w:sz w:val="18"/>
              </w:rPr>
              <w:t>-0.028272</w:t>
            </w:r>
          </w:p>
        </w:tc>
        <w:tc>
          <w:tcPr>
            <w:tcW w:w="1300" w:type="dxa"/>
          </w:tcPr>
          <w:p>
            <w:pPr>
              <w:pStyle w:val="TableParagraph"/>
              <w:spacing w:line="199" w:lineRule="exact" w:before="5"/>
              <w:ind w:left="155"/>
              <w:jc w:val="center"/>
              <w:rPr>
                <w:sz w:val="18"/>
              </w:rPr>
            </w:pPr>
            <w:r>
              <w:rPr>
                <w:spacing w:val="-2"/>
                <w:sz w:val="18"/>
              </w:rPr>
              <w:t>0.017750</w:t>
            </w:r>
          </w:p>
        </w:tc>
        <w:tc>
          <w:tcPr>
            <w:tcW w:w="1101" w:type="dxa"/>
          </w:tcPr>
          <w:p>
            <w:pPr>
              <w:pStyle w:val="TableParagraph"/>
              <w:spacing w:line="199" w:lineRule="exact" w:before="5"/>
              <w:ind w:left="177" w:right="72"/>
              <w:jc w:val="center"/>
              <w:rPr>
                <w:sz w:val="18"/>
              </w:rPr>
            </w:pPr>
            <w:r>
              <w:rPr>
                <w:spacing w:val="-2"/>
                <w:sz w:val="18"/>
              </w:rPr>
              <w:t>-1.592787</w:t>
            </w:r>
          </w:p>
        </w:tc>
        <w:tc>
          <w:tcPr>
            <w:tcW w:w="914" w:type="dxa"/>
          </w:tcPr>
          <w:p>
            <w:pPr>
              <w:pStyle w:val="TableParagraph"/>
              <w:spacing w:line="199" w:lineRule="exact" w:before="5"/>
              <w:ind w:right="5"/>
              <w:jc w:val="right"/>
              <w:rPr>
                <w:sz w:val="18"/>
              </w:rPr>
            </w:pPr>
            <w:r>
              <w:rPr>
                <w:spacing w:val="-2"/>
                <w:sz w:val="18"/>
              </w:rPr>
              <w:t>0.1130</w:t>
            </w:r>
          </w:p>
        </w:tc>
      </w:tr>
      <w:tr>
        <w:trPr>
          <w:trHeight w:val="225" w:hRule="atLeast"/>
        </w:trPr>
        <w:tc>
          <w:tcPr>
            <w:tcW w:w="1925" w:type="dxa"/>
          </w:tcPr>
          <w:p>
            <w:pPr>
              <w:pStyle w:val="TableParagraph"/>
              <w:spacing w:line="199" w:lineRule="exact" w:before="6"/>
              <w:ind w:left="727"/>
              <w:rPr>
                <w:sz w:val="18"/>
              </w:rPr>
            </w:pPr>
            <w:r>
              <w:rPr>
                <w:spacing w:val="-2"/>
                <w:sz w:val="18"/>
              </w:rPr>
              <w:t>BDIND</w:t>
            </w:r>
          </w:p>
        </w:tc>
        <w:tc>
          <w:tcPr>
            <w:tcW w:w="1290" w:type="dxa"/>
          </w:tcPr>
          <w:p>
            <w:pPr>
              <w:pStyle w:val="TableParagraph"/>
              <w:spacing w:line="199" w:lineRule="exact" w:before="6"/>
              <w:ind w:right="103"/>
              <w:jc w:val="right"/>
              <w:rPr>
                <w:sz w:val="18"/>
              </w:rPr>
            </w:pPr>
            <w:r>
              <w:rPr>
                <w:spacing w:val="-2"/>
                <w:sz w:val="18"/>
              </w:rPr>
              <w:t>-1.230748</w:t>
            </w:r>
          </w:p>
        </w:tc>
        <w:tc>
          <w:tcPr>
            <w:tcW w:w="1300" w:type="dxa"/>
          </w:tcPr>
          <w:p>
            <w:pPr>
              <w:pStyle w:val="TableParagraph"/>
              <w:spacing w:line="199" w:lineRule="exact" w:before="6"/>
              <w:ind w:left="155"/>
              <w:jc w:val="center"/>
              <w:rPr>
                <w:sz w:val="18"/>
              </w:rPr>
            </w:pPr>
            <w:r>
              <w:rPr>
                <w:spacing w:val="-2"/>
                <w:sz w:val="18"/>
              </w:rPr>
              <w:t>0.506683</w:t>
            </w:r>
          </w:p>
        </w:tc>
        <w:tc>
          <w:tcPr>
            <w:tcW w:w="1101" w:type="dxa"/>
          </w:tcPr>
          <w:p>
            <w:pPr>
              <w:pStyle w:val="TableParagraph"/>
              <w:spacing w:line="199" w:lineRule="exact" w:before="6"/>
              <w:ind w:left="177" w:right="72"/>
              <w:jc w:val="center"/>
              <w:rPr>
                <w:sz w:val="18"/>
              </w:rPr>
            </w:pPr>
            <w:r>
              <w:rPr>
                <w:spacing w:val="-2"/>
                <w:sz w:val="18"/>
              </w:rPr>
              <w:t>-2.429032</w:t>
            </w:r>
          </w:p>
        </w:tc>
        <w:tc>
          <w:tcPr>
            <w:tcW w:w="914" w:type="dxa"/>
          </w:tcPr>
          <w:p>
            <w:pPr>
              <w:pStyle w:val="TableParagraph"/>
              <w:spacing w:line="199" w:lineRule="exact" w:before="6"/>
              <w:ind w:right="5"/>
              <w:jc w:val="right"/>
              <w:rPr>
                <w:sz w:val="18"/>
              </w:rPr>
            </w:pPr>
            <w:r>
              <w:rPr>
                <w:spacing w:val="-2"/>
                <w:sz w:val="18"/>
              </w:rPr>
              <w:t>0.0162</w:t>
            </w:r>
          </w:p>
        </w:tc>
      </w:tr>
      <w:tr>
        <w:trPr>
          <w:trHeight w:val="225" w:hRule="atLeast"/>
        </w:trPr>
        <w:tc>
          <w:tcPr>
            <w:tcW w:w="1925" w:type="dxa"/>
          </w:tcPr>
          <w:p>
            <w:pPr>
              <w:pStyle w:val="TableParagraph"/>
              <w:spacing w:line="199" w:lineRule="exact" w:before="6"/>
              <w:ind w:left="712"/>
              <w:rPr>
                <w:sz w:val="18"/>
              </w:rPr>
            </w:pPr>
            <w:r>
              <w:rPr>
                <w:spacing w:val="-2"/>
                <w:sz w:val="18"/>
              </w:rPr>
              <w:t>BFEXP</w:t>
            </w:r>
          </w:p>
        </w:tc>
        <w:tc>
          <w:tcPr>
            <w:tcW w:w="1290" w:type="dxa"/>
          </w:tcPr>
          <w:p>
            <w:pPr>
              <w:pStyle w:val="TableParagraph"/>
              <w:spacing w:line="199" w:lineRule="exact" w:before="6"/>
              <w:ind w:right="103"/>
              <w:jc w:val="right"/>
              <w:rPr>
                <w:sz w:val="18"/>
              </w:rPr>
            </w:pPr>
            <w:r>
              <w:rPr>
                <w:spacing w:val="-2"/>
                <w:sz w:val="18"/>
              </w:rPr>
              <w:t>0.641119</w:t>
            </w:r>
          </w:p>
        </w:tc>
        <w:tc>
          <w:tcPr>
            <w:tcW w:w="1300" w:type="dxa"/>
          </w:tcPr>
          <w:p>
            <w:pPr>
              <w:pStyle w:val="TableParagraph"/>
              <w:spacing w:line="199" w:lineRule="exact" w:before="6"/>
              <w:ind w:left="155"/>
              <w:jc w:val="center"/>
              <w:rPr>
                <w:sz w:val="18"/>
              </w:rPr>
            </w:pPr>
            <w:r>
              <w:rPr>
                <w:spacing w:val="-2"/>
                <w:sz w:val="18"/>
              </w:rPr>
              <w:t>0.679534</w:t>
            </w:r>
          </w:p>
        </w:tc>
        <w:tc>
          <w:tcPr>
            <w:tcW w:w="1101" w:type="dxa"/>
          </w:tcPr>
          <w:p>
            <w:pPr>
              <w:pStyle w:val="TableParagraph"/>
              <w:spacing w:line="199" w:lineRule="exact" w:before="6"/>
              <w:ind w:left="177" w:right="12"/>
              <w:jc w:val="center"/>
              <w:rPr>
                <w:sz w:val="18"/>
              </w:rPr>
            </w:pPr>
            <w:r>
              <w:rPr>
                <w:spacing w:val="-2"/>
                <w:sz w:val="18"/>
              </w:rPr>
              <w:t>0.943468</w:t>
            </w:r>
          </w:p>
        </w:tc>
        <w:tc>
          <w:tcPr>
            <w:tcW w:w="914" w:type="dxa"/>
          </w:tcPr>
          <w:p>
            <w:pPr>
              <w:pStyle w:val="TableParagraph"/>
              <w:spacing w:line="199" w:lineRule="exact" w:before="6"/>
              <w:ind w:right="5"/>
              <w:jc w:val="right"/>
              <w:rPr>
                <w:sz w:val="18"/>
              </w:rPr>
            </w:pPr>
            <w:r>
              <w:rPr>
                <w:spacing w:val="-2"/>
                <w:sz w:val="18"/>
              </w:rPr>
              <w:t>0.3468</w:t>
            </w:r>
          </w:p>
        </w:tc>
      </w:tr>
      <w:tr>
        <w:trPr>
          <w:trHeight w:val="224" w:hRule="atLeast"/>
        </w:trPr>
        <w:tc>
          <w:tcPr>
            <w:tcW w:w="1925" w:type="dxa"/>
          </w:tcPr>
          <w:p>
            <w:pPr>
              <w:pStyle w:val="TableParagraph"/>
              <w:spacing w:line="198" w:lineRule="exact" w:before="6"/>
              <w:ind w:left="92" w:right="1"/>
              <w:jc w:val="center"/>
              <w:rPr>
                <w:sz w:val="18"/>
              </w:rPr>
            </w:pPr>
            <w:r>
              <w:rPr>
                <w:spacing w:val="-4"/>
                <w:sz w:val="18"/>
              </w:rPr>
              <w:t>FAGE</w:t>
            </w:r>
          </w:p>
        </w:tc>
        <w:tc>
          <w:tcPr>
            <w:tcW w:w="1290" w:type="dxa"/>
          </w:tcPr>
          <w:p>
            <w:pPr>
              <w:pStyle w:val="TableParagraph"/>
              <w:spacing w:line="198" w:lineRule="exact" w:before="6"/>
              <w:ind w:right="103"/>
              <w:jc w:val="right"/>
              <w:rPr>
                <w:sz w:val="18"/>
              </w:rPr>
            </w:pPr>
            <w:r>
              <w:rPr>
                <w:spacing w:val="-2"/>
                <w:sz w:val="18"/>
              </w:rPr>
              <w:t>0.037103</w:t>
            </w:r>
          </w:p>
        </w:tc>
        <w:tc>
          <w:tcPr>
            <w:tcW w:w="1300" w:type="dxa"/>
          </w:tcPr>
          <w:p>
            <w:pPr>
              <w:pStyle w:val="TableParagraph"/>
              <w:spacing w:line="198" w:lineRule="exact" w:before="6"/>
              <w:ind w:left="155"/>
              <w:jc w:val="center"/>
              <w:rPr>
                <w:sz w:val="18"/>
              </w:rPr>
            </w:pPr>
            <w:r>
              <w:rPr>
                <w:spacing w:val="-2"/>
                <w:sz w:val="18"/>
              </w:rPr>
              <w:t>0.012500</w:t>
            </w:r>
          </w:p>
        </w:tc>
        <w:tc>
          <w:tcPr>
            <w:tcW w:w="1101" w:type="dxa"/>
          </w:tcPr>
          <w:p>
            <w:pPr>
              <w:pStyle w:val="TableParagraph"/>
              <w:spacing w:line="198" w:lineRule="exact" w:before="6"/>
              <w:ind w:left="177" w:right="12"/>
              <w:jc w:val="center"/>
              <w:rPr>
                <w:sz w:val="18"/>
              </w:rPr>
            </w:pPr>
            <w:r>
              <w:rPr>
                <w:spacing w:val="-2"/>
                <w:sz w:val="18"/>
              </w:rPr>
              <w:t>2.968138</w:t>
            </w:r>
          </w:p>
        </w:tc>
        <w:tc>
          <w:tcPr>
            <w:tcW w:w="914" w:type="dxa"/>
          </w:tcPr>
          <w:p>
            <w:pPr>
              <w:pStyle w:val="TableParagraph"/>
              <w:spacing w:line="198" w:lineRule="exact" w:before="6"/>
              <w:ind w:right="5"/>
              <w:jc w:val="right"/>
              <w:rPr>
                <w:sz w:val="18"/>
              </w:rPr>
            </w:pPr>
            <w:r>
              <w:rPr>
                <w:spacing w:val="-2"/>
                <w:sz w:val="18"/>
              </w:rPr>
              <w:t>0.0034</w:t>
            </w:r>
          </w:p>
        </w:tc>
      </w:tr>
      <w:tr>
        <w:trPr>
          <w:trHeight w:val="224" w:hRule="atLeast"/>
        </w:trPr>
        <w:tc>
          <w:tcPr>
            <w:tcW w:w="1925" w:type="dxa"/>
          </w:tcPr>
          <w:p>
            <w:pPr>
              <w:pStyle w:val="TableParagraph"/>
              <w:spacing w:line="199" w:lineRule="exact" w:before="5"/>
              <w:ind w:left="92" w:right="5"/>
              <w:jc w:val="center"/>
              <w:rPr>
                <w:sz w:val="18"/>
              </w:rPr>
            </w:pPr>
            <w:r>
              <w:rPr>
                <w:spacing w:val="-2"/>
                <w:sz w:val="18"/>
              </w:rPr>
              <w:t>FSIZE</w:t>
            </w:r>
          </w:p>
        </w:tc>
        <w:tc>
          <w:tcPr>
            <w:tcW w:w="1290" w:type="dxa"/>
          </w:tcPr>
          <w:p>
            <w:pPr>
              <w:pStyle w:val="TableParagraph"/>
              <w:spacing w:line="199" w:lineRule="exact" w:before="5"/>
              <w:ind w:right="103"/>
              <w:jc w:val="right"/>
              <w:rPr>
                <w:sz w:val="18"/>
              </w:rPr>
            </w:pPr>
            <w:r>
              <w:rPr>
                <w:spacing w:val="-2"/>
                <w:sz w:val="18"/>
              </w:rPr>
              <w:t>-0.287931</w:t>
            </w:r>
          </w:p>
        </w:tc>
        <w:tc>
          <w:tcPr>
            <w:tcW w:w="1300" w:type="dxa"/>
          </w:tcPr>
          <w:p>
            <w:pPr>
              <w:pStyle w:val="TableParagraph"/>
              <w:spacing w:line="199" w:lineRule="exact" w:before="5"/>
              <w:ind w:left="155"/>
              <w:jc w:val="center"/>
              <w:rPr>
                <w:sz w:val="18"/>
              </w:rPr>
            </w:pPr>
            <w:r>
              <w:rPr>
                <w:spacing w:val="-2"/>
                <w:sz w:val="18"/>
              </w:rPr>
              <w:t>0.089295</w:t>
            </w:r>
          </w:p>
        </w:tc>
        <w:tc>
          <w:tcPr>
            <w:tcW w:w="1101" w:type="dxa"/>
          </w:tcPr>
          <w:p>
            <w:pPr>
              <w:pStyle w:val="TableParagraph"/>
              <w:spacing w:line="199" w:lineRule="exact" w:before="5"/>
              <w:ind w:left="177" w:right="72"/>
              <w:jc w:val="center"/>
              <w:rPr>
                <w:sz w:val="18"/>
              </w:rPr>
            </w:pPr>
            <w:r>
              <w:rPr>
                <w:spacing w:val="-2"/>
                <w:sz w:val="18"/>
              </w:rPr>
              <w:t>-3.224493</w:t>
            </w:r>
          </w:p>
        </w:tc>
        <w:tc>
          <w:tcPr>
            <w:tcW w:w="914" w:type="dxa"/>
          </w:tcPr>
          <w:p>
            <w:pPr>
              <w:pStyle w:val="TableParagraph"/>
              <w:spacing w:line="199" w:lineRule="exact" w:before="5"/>
              <w:ind w:right="5"/>
              <w:jc w:val="right"/>
              <w:rPr>
                <w:sz w:val="18"/>
              </w:rPr>
            </w:pPr>
            <w:r>
              <w:rPr>
                <w:spacing w:val="-2"/>
                <w:sz w:val="18"/>
              </w:rPr>
              <w:t>0.0015</w:t>
            </w:r>
          </w:p>
        </w:tc>
      </w:tr>
      <w:tr>
        <w:trPr>
          <w:trHeight w:val="225" w:hRule="atLeast"/>
        </w:trPr>
        <w:tc>
          <w:tcPr>
            <w:tcW w:w="1925" w:type="dxa"/>
          </w:tcPr>
          <w:p>
            <w:pPr>
              <w:pStyle w:val="TableParagraph"/>
              <w:spacing w:line="199" w:lineRule="exact" w:before="6"/>
              <w:ind w:left="523"/>
              <w:rPr>
                <w:sz w:val="18"/>
              </w:rPr>
            </w:pPr>
            <w:r>
              <w:rPr>
                <w:spacing w:val="-2"/>
                <w:sz w:val="18"/>
              </w:rPr>
              <w:t>LEVERAGE</w:t>
            </w:r>
          </w:p>
        </w:tc>
        <w:tc>
          <w:tcPr>
            <w:tcW w:w="1290" w:type="dxa"/>
          </w:tcPr>
          <w:p>
            <w:pPr>
              <w:pStyle w:val="TableParagraph"/>
              <w:spacing w:line="199" w:lineRule="exact" w:before="6"/>
              <w:ind w:right="103"/>
              <w:jc w:val="right"/>
              <w:rPr>
                <w:sz w:val="18"/>
              </w:rPr>
            </w:pPr>
            <w:r>
              <w:rPr>
                <w:spacing w:val="-2"/>
                <w:sz w:val="18"/>
              </w:rPr>
              <w:t>-0.036158</w:t>
            </w:r>
          </w:p>
        </w:tc>
        <w:tc>
          <w:tcPr>
            <w:tcW w:w="1300" w:type="dxa"/>
          </w:tcPr>
          <w:p>
            <w:pPr>
              <w:pStyle w:val="TableParagraph"/>
              <w:spacing w:line="199" w:lineRule="exact" w:before="6"/>
              <w:ind w:left="155"/>
              <w:jc w:val="center"/>
              <w:rPr>
                <w:sz w:val="18"/>
              </w:rPr>
            </w:pPr>
            <w:r>
              <w:rPr>
                <w:spacing w:val="-2"/>
                <w:sz w:val="18"/>
              </w:rPr>
              <w:t>0.025934</w:t>
            </w:r>
          </w:p>
        </w:tc>
        <w:tc>
          <w:tcPr>
            <w:tcW w:w="1101" w:type="dxa"/>
          </w:tcPr>
          <w:p>
            <w:pPr>
              <w:pStyle w:val="TableParagraph"/>
              <w:spacing w:line="199" w:lineRule="exact" w:before="6"/>
              <w:ind w:left="177" w:right="72"/>
              <w:jc w:val="center"/>
              <w:rPr>
                <w:sz w:val="18"/>
              </w:rPr>
            </w:pPr>
            <w:r>
              <w:rPr>
                <w:spacing w:val="-2"/>
                <w:sz w:val="18"/>
              </w:rPr>
              <w:t>-1.394236</w:t>
            </w:r>
          </w:p>
        </w:tc>
        <w:tc>
          <w:tcPr>
            <w:tcW w:w="914" w:type="dxa"/>
          </w:tcPr>
          <w:p>
            <w:pPr>
              <w:pStyle w:val="TableParagraph"/>
              <w:spacing w:line="199" w:lineRule="exact" w:before="6"/>
              <w:ind w:right="5"/>
              <w:jc w:val="right"/>
              <w:rPr>
                <w:sz w:val="18"/>
              </w:rPr>
            </w:pPr>
            <w:r>
              <w:rPr>
                <w:spacing w:val="-2"/>
                <w:sz w:val="18"/>
              </w:rPr>
              <w:t>0.1650</w:t>
            </w:r>
          </w:p>
        </w:tc>
      </w:tr>
      <w:tr>
        <w:trPr>
          <w:trHeight w:val="225" w:hRule="atLeast"/>
        </w:trPr>
        <w:tc>
          <w:tcPr>
            <w:tcW w:w="1925" w:type="dxa"/>
          </w:tcPr>
          <w:p>
            <w:pPr>
              <w:pStyle w:val="TableParagraph"/>
              <w:spacing w:line="199" w:lineRule="exact" w:before="6"/>
              <w:ind w:left="92" w:right="4"/>
              <w:jc w:val="center"/>
              <w:rPr>
                <w:sz w:val="18"/>
              </w:rPr>
            </w:pPr>
            <w:r>
              <w:rPr>
                <w:spacing w:val="-4"/>
                <w:sz w:val="18"/>
              </w:rPr>
              <w:t>IFRS</w:t>
            </w:r>
          </w:p>
        </w:tc>
        <w:tc>
          <w:tcPr>
            <w:tcW w:w="1290" w:type="dxa"/>
          </w:tcPr>
          <w:p>
            <w:pPr>
              <w:pStyle w:val="TableParagraph"/>
              <w:spacing w:line="199" w:lineRule="exact" w:before="6"/>
              <w:ind w:right="103"/>
              <w:jc w:val="right"/>
              <w:rPr>
                <w:sz w:val="18"/>
              </w:rPr>
            </w:pPr>
            <w:r>
              <w:rPr>
                <w:spacing w:val="-2"/>
                <w:sz w:val="18"/>
              </w:rPr>
              <w:t>-0.566940</w:t>
            </w:r>
          </w:p>
        </w:tc>
        <w:tc>
          <w:tcPr>
            <w:tcW w:w="1300" w:type="dxa"/>
          </w:tcPr>
          <w:p>
            <w:pPr>
              <w:pStyle w:val="TableParagraph"/>
              <w:spacing w:line="199" w:lineRule="exact" w:before="6"/>
              <w:ind w:left="155"/>
              <w:jc w:val="center"/>
              <w:rPr>
                <w:sz w:val="18"/>
              </w:rPr>
            </w:pPr>
            <w:r>
              <w:rPr>
                <w:spacing w:val="-2"/>
                <w:sz w:val="18"/>
              </w:rPr>
              <w:t>0.624259</w:t>
            </w:r>
          </w:p>
        </w:tc>
        <w:tc>
          <w:tcPr>
            <w:tcW w:w="1101" w:type="dxa"/>
          </w:tcPr>
          <w:p>
            <w:pPr>
              <w:pStyle w:val="TableParagraph"/>
              <w:spacing w:line="199" w:lineRule="exact" w:before="6"/>
              <w:ind w:left="177" w:right="72"/>
              <w:jc w:val="center"/>
              <w:rPr>
                <w:sz w:val="18"/>
              </w:rPr>
            </w:pPr>
            <w:r>
              <w:rPr>
                <w:spacing w:val="-2"/>
                <w:sz w:val="18"/>
              </w:rPr>
              <w:t>-0.908182</w:t>
            </w:r>
          </w:p>
        </w:tc>
        <w:tc>
          <w:tcPr>
            <w:tcW w:w="914" w:type="dxa"/>
          </w:tcPr>
          <w:p>
            <w:pPr>
              <w:pStyle w:val="TableParagraph"/>
              <w:spacing w:line="199" w:lineRule="exact" w:before="6"/>
              <w:ind w:right="5"/>
              <w:jc w:val="right"/>
              <w:rPr>
                <w:sz w:val="18"/>
              </w:rPr>
            </w:pPr>
            <w:r>
              <w:rPr>
                <w:spacing w:val="-2"/>
                <w:sz w:val="18"/>
              </w:rPr>
              <w:t>0.3651</w:t>
            </w:r>
          </w:p>
        </w:tc>
      </w:tr>
      <w:tr>
        <w:trPr>
          <w:trHeight w:val="224" w:hRule="atLeast"/>
        </w:trPr>
        <w:tc>
          <w:tcPr>
            <w:tcW w:w="1925" w:type="dxa"/>
          </w:tcPr>
          <w:p>
            <w:pPr>
              <w:pStyle w:val="TableParagraph"/>
              <w:spacing w:line="198" w:lineRule="exact" w:before="6"/>
              <w:ind w:left="583"/>
              <w:rPr>
                <w:sz w:val="18"/>
              </w:rPr>
            </w:pPr>
            <w:r>
              <w:rPr>
                <w:spacing w:val="-2"/>
                <w:sz w:val="18"/>
              </w:rPr>
              <w:t>BDS*IFRS</w:t>
            </w:r>
          </w:p>
        </w:tc>
        <w:tc>
          <w:tcPr>
            <w:tcW w:w="1290" w:type="dxa"/>
          </w:tcPr>
          <w:p>
            <w:pPr>
              <w:pStyle w:val="TableParagraph"/>
              <w:spacing w:line="198" w:lineRule="exact" w:before="6"/>
              <w:ind w:right="103"/>
              <w:jc w:val="right"/>
              <w:rPr>
                <w:sz w:val="18"/>
              </w:rPr>
            </w:pPr>
            <w:r>
              <w:rPr>
                <w:spacing w:val="-2"/>
                <w:sz w:val="18"/>
              </w:rPr>
              <w:t>-0.006009</w:t>
            </w:r>
          </w:p>
        </w:tc>
        <w:tc>
          <w:tcPr>
            <w:tcW w:w="1300" w:type="dxa"/>
          </w:tcPr>
          <w:p>
            <w:pPr>
              <w:pStyle w:val="TableParagraph"/>
              <w:spacing w:line="198" w:lineRule="exact" w:before="6"/>
              <w:ind w:left="155"/>
              <w:jc w:val="center"/>
              <w:rPr>
                <w:sz w:val="18"/>
              </w:rPr>
            </w:pPr>
            <w:r>
              <w:rPr>
                <w:spacing w:val="-2"/>
                <w:sz w:val="18"/>
              </w:rPr>
              <w:t>0.017117</w:t>
            </w:r>
          </w:p>
        </w:tc>
        <w:tc>
          <w:tcPr>
            <w:tcW w:w="1101" w:type="dxa"/>
          </w:tcPr>
          <w:p>
            <w:pPr>
              <w:pStyle w:val="TableParagraph"/>
              <w:spacing w:line="198" w:lineRule="exact" w:before="6"/>
              <w:ind w:left="177" w:right="72"/>
              <w:jc w:val="center"/>
              <w:rPr>
                <w:sz w:val="18"/>
              </w:rPr>
            </w:pPr>
            <w:r>
              <w:rPr>
                <w:spacing w:val="-2"/>
                <w:sz w:val="18"/>
              </w:rPr>
              <w:t>-0.351067</w:t>
            </w:r>
          </w:p>
        </w:tc>
        <w:tc>
          <w:tcPr>
            <w:tcW w:w="914" w:type="dxa"/>
          </w:tcPr>
          <w:p>
            <w:pPr>
              <w:pStyle w:val="TableParagraph"/>
              <w:spacing w:line="198" w:lineRule="exact" w:before="6"/>
              <w:ind w:right="5"/>
              <w:jc w:val="right"/>
              <w:rPr>
                <w:sz w:val="18"/>
              </w:rPr>
            </w:pPr>
            <w:r>
              <w:rPr>
                <w:spacing w:val="-2"/>
                <w:sz w:val="18"/>
              </w:rPr>
              <w:t>0.7260</w:t>
            </w:r>
          </w:p>
        </w:tc>
      </w:tr>
      <w:tr>
        <w:trPr>
          <w:trHeight w:val="224" w:hRule="atLeast"/>
        </w:trPr>
        <w:tc>
          <w:tcPr>
            <w:tcW w:w="1925" w:type="dxa"/>
          </w:tcPr>
          <w:p>
            <w:pPr>
              <w:pStyle w:val="TableParagraph"/>
              <w:spacing w:line="199" w:lineRule="exact" w:before="5"/>
              <w:ind w:left="487"/>
              <w:rPr>
                <w:sz w:val="18"/>
              </w:rPr>
            </w:pPr>
            <w:r>
              <w:rPr>
                <w:spacing w:val="-2"/>
                <w:sz w:val="18"/>
              </w:rPr>
              <w:t>BDIND*IFRS</w:t>
            </w:r>
          </w:p>
        </w:tc>
        <w:tc>
          <w:tcPr>
            <w:tcW w:w="1290" w:type="dxa"/>
          </w:tcPr>
          <w:p>
            <w:pPr>
              <w:pStyle w:val="TableParagraph"/>
              <w:spacing w:line="199" w:lineRule="exact" w:before="5"/>
              <w:ind w:right="103"/>
              <w:jc w:val="right"/>
              <w:rPr>
                <w:sz w:val="18"/>
              </w:rPr>
            </w:pPr>
            <w:r>
              <w:rPr>
                <w:spacing w:val="-2"/>
                <w:sz w:val="18"/>
              </w:rPr>
              <w:t>1.417306</w:t>
            </w:r>
          </w:p>
        </w:tc>
        <w:tc>
          <w:tcPr>
            <w:tcW w:w="1300" w:type="dxa"/>
          </w:tcPr>
          <w:p>
            <w:pPr>
              <w:pStyle w:val="TableParagraph"/>
              <w:spacing w:line="199" w:lineRule="exact" w:before="5"/>
              <w:ind w:left="155"/>
              <w:jc w:val="center"/>
              <w:rPr>
                <w:sz w:val="18"/>
              </w:rPr>
            </w:pPr>
            <w:r>
              <w:rPr>
                <w:spacing w:val="-2"/>
                <w:sz w:val="18"/>
              </w:rPr>
              <w:t>0.513342</w:t>
            </w:r>
          </w:p>
        </w:tc>
        <w:tc>
          <w:tcPr>
            <w:tcW w:w="1101" w:type="dxa"/>
          </w:tcPr>
          <w:p>
            <w:pPr>
              <w:pStyle w:val="TableParagraph"/>
              <w:spacing w:line="199" w:lineRule="exact" w:before="5"/>
              <w:ind w:left="177" w:right="12"/>
              <w:jc w:val="center"/>
              <w:rPr>
                <w:sz w:val="18"/>
              </w:rPr>
            </w:pPr>
            <w:r>
              <w:rPr>
                <w:spacing w:val="-2"/>
                <w:sz w:val="18"/>
              </w:rPr>
              <w:t>2.760940</w:t>
            </w:r>
          </w:p>
        </w:tc>
        <w:tc>
          <w:tcPr>
            <w:tcW w:w="914" w:type="dxa"/>
          </w:tcPr>
          <w:p>
            <w:pPr>
              <w:pStyle w:val="TableParagraph"/>
              <w:spacing w:line="199" w:lineRule="exact" w:before="5"/>
              <w:ind w:right="5"/>
              <w:jc w:val="right"/>
              <w:rPr>
                <w:sz w:val="18"/>
              </w:rPr>
            </w:pPr>
            <w:r>
              <w:rPr>
                <w:spacing w:val="-2"/>
                <w:sz w:val="18"/>
              </w:rPr>
              <w:t>0.0064</w:t>
            </w:r>
          </w:p>
        </w:tc>
      </w:tr>
      <w:tr>
        <w:trPr>
          <w:trHeight w:val="303" w:hRule="atLeast"/>
        </w:trPr>
        <w:tc>
          <w:tcPr>
            <w:tcW w:w="1925" w:type="dxa"/>
            <w:tcBorders>
              <w:bottom w:val="double" w:sz="6" w:space="0" w:color="000000"/>
            </w:tcBorders>
          </w:tcPr>
          <w:p>
            <w:pPr>
              <w:pStyle w:val="TableParagraph"/>
              <w:spacing w:before="6"/>
              <w:ind w:left="472"/>
              <w:rPr>
                <w:sz w:val="18"/>
              </w:rPr>
            </w:pPr>
            <w:r>
              <w:rPr>
                <w:spacing w:val="-2"/>
                <w:sz w:val="18"/>
              </w:rPr>
              <w:t>BFEXP*IFRS</w:t>
            </w:r>
          </w:p>
        </w:tc>
        <w:tc>
          <w:tcPr>
            <w:tcW w:w="1290" w:type="dxa"/>
            <w:tcBorders>
              <w:bottom w:val="double" w:sz="6" w:space="0" w:color="000000"/>
            </w:tcBorders>
          </w:tcPr>
          <w:p>
            <w:pPr>
              <w:pStyle w:val="TableParagraph"/>
              <w:spacing w:before="6"/>
              <w:ind w:right="103"/>
              <w:jc w:val="right"/>
              <w:rPr>
                <w:sz w:val="18"/>
              </w:rPr>
            </w:pPr>
            <w:r>
              <w:rPr>
                <w:spacing w:val="-2"/>
                <w:sz w:val="18"/>
              </w:rPr>
              <w:t>-0.377418</w:t>
            </w:r>
          </w:p>
        </w:tc>
        <w:tc>
          <w:tcPr>
            <w:tcW w:w="1300" w:type="dxa"/>
            <w:tcBorders>
              <w:bottom w:val="double" w:sz="6" w:space="0" w:color="000000"/>
            </w:tcBorders>
          </w:tcPr>
          <w:p>
            <w:pPr>
              <w:pStyle w:val="TableParagraph"/>
              <w:spacing w:before="6"/>
              <w:ind w:left="155"/>
              <w:jc w:val="center"/>
              <w:rPr>
                <w:sz w:val="18"/>
              </w:rPr>
            </w:pPr>
            <w:r>
              <w:rPr>
                <w:spacing w:val="-2"/>
                <w:sz w:val="18"/>
              </w:rPr>
              <w:t>0.751577</w:t>
            </w:r>
          </w:p>
        </w:tc>
        <w:tc>
          <w:tcPr>
            <w:tcW w:w="1101" w:type="dxa"/>
            <w:tcBorders>
              <w:bottom w:val="double" w:sz="6" w:space="0" w:color="000000"/>
            </w:tcBorders>
          </w:tcPr>
          <w:p>
            <w:pPr>
              <w:pStyle w:val="TableParagraph"/>
              <w:spacing w:before="6"/>
              <w:ind w:left="177" w:right="72"/>
              <w:jc w:val="center"/>
              <w:rPr>
                <w:sz w:val="18"/>
              </w:rPr>
            </w:pPr>
            <w:r>
              <w:rPr>
                <w:spacing w:val="-2"/>
                <w:sz w:val="18"/>
              </w:rPr>
              <w:t>-0.502168</w:t>
            </w:r>
          </w:p>
        </w:tc>
        <w:tc>
          <w:tcPr>
            <w:tcW w:w="914" w:type="dxa"/>
            <w:tcBorders>
              <w:bottom w:val="double" w:sz="6" w:space="0" w:color="000000"/>
            </w:tcBorders>
          </w:tcPr>
          <w:p>
            <w:pPr>
              <w:pStyle w:val="TableParagraph"/>
              <w:spacing w:before="6"/>
              <w:ind w:right="5"/>
              <w:jc w:val="right"/>
              <w:rPr>
                <w:sz w:val="18"/>
              </w:rPr>
            </w:pPr>
            <w:r>
              <w:rPr>
                <w:spacing w:val="-2"/>
                <w:sz w:val="18"/>
              </w:rPr>
              <w:t>0.6162</w:t>
            </w:r>
          </w:p>
        </w:tc>
      </w:tr>
      <w:tr>
        <w:trPr>
          <w:trHeight w:val="403" w:hRule="atLeast"/>
        </w:trPr>
        <w:tc>
          <w:tcPr>
            <w:tcW w:w="6530" w:type="dxa"/>
            <w:gridSpan w:val="5"/>
            <w:tcBorders>
              <w:top w:val="double" w:sz="6" w:space="0" w:color="000000"/>
              <w:bottom w:val="double" w:sz="6" w:space="0" w:color="000000"/>
            </w:tcBorders>
          </w:tcPr>
          <w:p>
            <w:pPr>
              <w:pStyle w:val="TableParagraph"/>
              <w:spacing w:before="108"/>
              <w:ind w:left="4" w:right="186"/>
              <w:jc w:val="center"/>
              <w:rPr>
                <w:sz w:val="18"/>
              </w:rPr>
            </w:pPr>
            <w:r>
              <w:rPr>
                <w:sz w:val="18"/>
              </w:rPr>
              <w:t>Effects </w:t>
            </w:r>
            <w:r>
              <w:rPr>
                <w:spacing w:val="-2"/>
                <w:sz w:val="18"/>
              </w:rPr>
              <w:t>Specification</w:t>
            </w:r>
          </w:p>
        </w:tc>
      </w:tr>
      <w:tr>
        <w:trPr>
          <w:trHeight w:val="406" w:hRule="atLeast"/>
        </w:trPr>
        <w:tc>
          <w:tcPr>
            <w:tcW w:w="6530" w:type="dxa"/>
            <w:gridSpan w:val="5"/>
            <w:tcBorders>
              <w:top w:val="double" w:sz="6" w:space="0" w:color="000000"/>
              <w:bottom w:val="double" w:sz="6" w:space="0" w:color="000000"/>
            </w:tcBorders>
          </w:tcPr>
          <w:p>
            <w:pPr>
              <w:pStyle w:val="TableParagraph"/>
              <w:spacing w:before="108"/>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3" w:hRule="atLeast"/>
        </w:trPr>
        <w:tc>
          <w:tcPr>
            <w:tcW w:w="6530" w:type="dxa"/>
            <w:gridSpan w:val="5"/>
            <w:tcBorders>
              <w:top w:val="double" w:sz="6" w:space="0" w:color="000000"/>
              <w:bottom w:val="double" w:sz="6" w:space="0" w:color="000000"/>
            </w:tcBorders>
          </w:tcPr>
          <w:p>
            <w:pPr>
              <w:pStyle w:val="TableParagraph"/>
              <w:spacing w:before="108"/>
              <w:ind w:right="186"/>
              <w:jc w:val="center"/>
              <w:rPr>
                <w:sz w:val="18"/>
              </w:rPr>
            </w:pPr>
            <w:r>
              <w:rPr>
                <w:sz w:val="18"/>
              </w:rPr>
              <w:t>Weighted</w:t>
            </w:r>
            <w:r>
              <w:rPr>
                <w:spacing w:val="-3"/>
                <w:sz w:val="18"/>
              </w:rPr>
              <w:t> </w:t>
            </w:r>
            <w:r>
              <w:rPr>
                <w:spacing w:val="-2"/>
                <w:sz w:val="18"/>
              </w:rPr>
              <w:t>Statistics</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right="103"/>
              <w:jc w:val="right"/>
              <w:rPr>
                <w:sz w:val="18"/>
              </w:rPr>
            </w:pPr>
            <w:r>
              <w:rPr>
                <w:spacing w:val="-2"/>
                <w:sz w:val="18"/>
              </w:rPr>
              <w:t>0.280351</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-0.204750</w:t>
            </w:r>
          </w:p>
        </w:tc>
      </w:tr>
      <w:tr>
        <w:trPr>
          <w:trHeight w:val="225" w:hRule="atLeast"/>
        </w:trPr>
        <w:tc>
          <w:tcPr>
            <w:tcW w:w="192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9" w:lineRule="exact" w:before="6"/>
              <w:ind w:right="103"/>
              <w:jc w:val="right"/>
              <w:rPr>
                <w:sz w:val="18"/>
              </w:rPr>
            </w:pPr>
            <w:r>
              <w:rPr>
                <w:spacing w:val="-2"/>
                <w:sz w:val="18"/>
              </w:rPr>
              <w:t>0.188303</w:t>
            </w:r>
          </w:p>
        </w:tc>
        <w:tc>
          <w:tcPr>
            <w:tcW w:w="240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5"/>
              <w:jc w:val="right"/>
              <w:rPr>
                <w:sz w:val="18"/>
              </w:rPr>
            </w:pPr>
            <w:r>
              <w:rPr>
                <w:spacing w:val="-2"/>
                <w:sz w:val="18"/>
              </w:rPr>
              <w:t>0.644478</w:t>
            </w:r>
          </w:p>
        </w:tc>
      </w:tr>
      <w:tr>
        <w:trPr>
          <w:trHeight w:val="224" w:hRule="atLeast"/>
        </w:trPr>
        <w:tc>
          <w:tcPr>
            <w:tcW w:w="1925" w:type="dxa"/>
          </w:tcPr>
          <w:p>
            <w:pPr>
              <w:pStyle w:val="TableParagraph"/>
              <w:spacing w:line="198" w:lineRule="exact" w:before="6"/>
              <w:rPr>
                <w:sz w:val="18"/>
              </w:rPr>
            </w:pPr>
            <w:r>
              <w:rPr>
                <w:sz w:val="18"/>
              </w:rPr>
              <w:t>S.E.</w:t>
            </w:r>
            <w:r>
              <w:rPr>
                <w:spacing w:val="-2"/>
                <w:sz w:val="18"/>
              </w:rPr>
              <w:t> </w:t>
            </w:r>
            <w:r>
              <w:rPr>
                <w:sz w:val="18"/>
              </w:rPr>
              <w:t>of</w:t>
            </w:r>
            <w:r>
              <w:rPr>
                <w:spacing w:val="1"/>
                <w:sz w:val="18"/>
              </w:rPr>
              <w:t> </w:t>
            </w:r>
            <w:r>
              <w:rPr>
                <w:spacing w:val="-2"/>
                <w:sz w:val="18"/>
              </w:rPr>
              <w:t>regression</w:t>
            </w:r>
          </w:p>
        </w:tc>
        <w:tc>
          <w:tcPr>
            <w:tcW w:w="1290" w:type="dxa"/>
          </w:tcPr>
          <w:p>
            <w:pPr>
              <w:pStyle w:val="TableParagraph"/>
              <w:spacing w:line="198" w:lineRule="exact" w:before="6"/>
              <w:ind w:right="103"/>
              <w:jc w:val="right"/>
              <w:rPr>
                <w:sz w:val="18"/>
              </w:rPr>
            </w:pPr>
            <w:r>
              <w:rPr>
                <w:spacing w:val="-2"/>
                <w:sz w:val="18"/>
              </w:rPr>
              <w:t>0.559801</w:t>
            </w:r>
          </w:p>
        </w:tc>
        <w:tc>
          <w:tcPr>
            <w:tcW w:w="2401" w:type="dxa"/>
            <w:gridSpan w:val="2"/>
          </w:tcPr>
          <w:p>
            <w:pPr>
              <w:pStyle w:val="TableParagraph"/>
              <w:spacing w:line="198" w:lineRule="exact" w:before="6"/>
              <w:ind w:left="107"/>
              <w:rPr>
                <w:sz w:val="18"/>
              </w:rPr>
            </w:pPr>
            <w:r>
              <w:rPr>
                <w:sz w:val="18"/>
              </w:rPr>
              <w:t>Sum</w:t>
            </w:r>
            <w:r>
              <w:rPr>
                <w:spacing w:val="-5"/>
                <w:sz w:val="18"/>
              </w:rPr>
              <w:t> </w:t>
            </w:r>
            <w:r>
              <w:rPr>
                <w:sz w:val="18"/>
              </w:rPr>
              <w:t>squared</w:t>
            </w:r>
            <w:r>
              <w:rPr>
                <w:spacing w:val="-2"/>
                <w:sz w:val="18"/>
              </w:rPr>
              <w:t> resid</w:t>
            </w:r>
          </w:p>
        </w:tc>
        <w:tc>
          <w:tcPr>
            <w:tcW w:w="914" w:type="dxa"/>
          </w:tcPr>
          <w:p>
            <w:pPr>
              <w:pStyle w:val="TableParagraph"/>
              <w:spacing w:line="198" w:lineRule="exact" w:before="6"/>
              <w:ind w:right="5"/>
              <w:jc w:val="right"/>
              <w:rPr>
                <w:sz w:val="18"/>
              </w:rPr>
            </w:pPr>
            <w:r>
              <w:rPr>
                <w:spacing w:val="-2"/>
                <w:sz w:val="18"/>
              </w:rPr>
              <w:t>53.90095</w:t>
            </w:r>
          </w:p>
        </w:tc>
      </w:tr>
      <w:tr>
        <w:trPr>
          <w:trHeight w:val="224" w:hRule="atLeast"/>
        </w:trPr>
        <w:tc>
          <w:tcPr>
            <w:tcW w:w="1925" w:type="dxa"/>
          </w:tcPr>
          <w:p>
            <w:pPr>
              <w:pStyle w:val="TableParagraph"/>
              <w:spacing w:line="199" w:lineRule="exact" w:before="5"/>
              <w:rPr>
                <w:sz w:val="18"/>
              </w:rPr>
            </w:pPr>
            <w:r>
              <w:rPr>
                <w:spacing w:val="-2"/>
                <w:sz w:val="18"/>
              </w:rPr>
              <w:t>F-statistic</w:t>
            </w:r>
          </w:p>
        </w:tc>
        <w:tc>
          <w:tcPr>
            <w:tcW w:w="1290" w:type="dxa"/>
          </w:tcPr>
          <w:p>
            <w:pPr>
              <w:pStyle w:val="TableParagraph"/>
              <w:spacing w:line="199" w:lineRule="exact" w:before="5"/>
              <w:ind w:right="103"/>
              <w:jc w:val="right"/>
              <w:rPr>
                <w:sz w:val="18"/>
              </w:rPr>
            </w:pPr>
            <w:r>
              <w:rPr>
                <w:spacing w:val="-2"/>
                <w:sz w:val="18"/>
              </w:rPr>
              <w:t>3.045697</w:t>
            </w:r>
          </w:p>
        </w:tc>
        <w:tc>
          <w:tcPr>
            <w:tcW w:w="2401" w:type="dxa"/>
            <w:gridSpan w:val="2"/>
          </w:tcPr>
          <w:p>
            <w:pPr>
              <w:pStyle w:val="TableParagraph"/>
              <w:spacing w:line="199" w:lineRule="exact" w:before="5"/>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5"/>
              <w:ind w:right="5"/>
              <w:jc w:val="right"/>
              <w:rPr>
                <w:sz w:val="18"/>
              </w:rPr>
            </w:pPr>
            <w:r>
              <w:rPr>
                <w:spacing w:val="-2"/>
                <w:sz w:val="18"/>
              </w:rPr>
              <w:t>1.604459</w:t>
            </w:r>
          </w:p>
        </w:tc>
      </w:tr>
      <w:tr>
        <w:trPr>
          <w:trHeight w:val="303" w:hRule="atLeast"/>
        </w:trPr>
        <w:tc>
          <w:tcPr>
            <w:tcW w:w="1925" w:type="dxa"/>
            <w:tcBorders>
              <w:bottom w:val="double" w:sz="6" w:space="0" w:color="000000"/>
            </w:tcBorders>
          </w:tcPr>
          <w:p>
            <w:pPr>
              <w:pStyle w:val="TableParagraph"/>
              <w:spacing w:before="6"/>
              <w:rPr>
                <w:sz w:val="18"/>
              </w:rPr>
            </w:pPr>
            <w:r>
              <w:rPr>
                <w:spacing w:val="-2"/>
                <w:sz w:val="18"/>
              </w:rPr>
              <w:t>Prob(F-statistic)</w:t>
            </w:r>
          </w:p>
        </w:tc>
        <w:tc>
          <w:tcPr>
            <w:tcW w:w="1290" w:type="dxa"/>
            <w:tcBorders>
              <w:bottom w:val="double" w:sz="6" w:space="0" w:color="000000"/>
            </w:tcBorders>
          </w:tcPr>
          <w:p>
            <w:pPr>
              <w:pStyle w:val="TableParagraph"/>
              <w:spacing w:before="6"/>
              <w:ind w:right="103"/>
              <w:jc w:val="right"/>
              <w:rPr>
                <w:sz w:val="18"/>
              </w:rPr>
            </w:pPr>
            <w:r>
              <w:rPr>
                <w:spacing w:val="-2"/>
                <w:sz w:val="18"/>
              </w:rPr>
              <w:t>0.000024</w:t>
            </w: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3" w:hRule="atLeast"/>
        </w:trPr>
        <w:tc>
          <w:tcPr>
            <w:tcW w:w="6530" w:type="dxa"/>
            <w:gridSpan w:val="5"/>
            <w:tcBorders>
              <w:top w:val="double" w:sz="6" w:space="0" w:color="000000"/>
              <w:bottom w:val="double" w:sz="6" w:space="0" w:color="000000"/>
            </w:tcBorders>
          </w:tcPr>
          <w:p>
            <w:pPr>
              <w:pStyle w:val="TableParagraph"/>
              <w:spacing w:before="108"/>
              <w:ind w:left="2" w:right="186"/>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right="103"/>
              <w:jc w:val="right"/>
              <w:rPr>
                <w:sz w:val="18"/>
              </w:rPr>
            </w:pPr>
            <w:r>
              <w:rPr>
                <w:spacing w:val="-2"/>
                <w:sz w:val="18"/>
              </w:rPr>
              <w:t>0.163906</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-0.110697</w:t>
            </w:r>
          </w:p>
        </w:tc>
      </w:tr>
      <w:tr>
        <w:trPr>
          <w:trHeight w:val="303" w:hRule="atLeast"/>
        </w:trPr>
        <w:tc>
          <w:tcPr>
            <w:tcW w:w="1925" w:type="dxa"/>
            <w:tcBorders>
              <w:bottom w:val="double" w:sz="6" w:space="0" w:color="000000"/>
            </w:tcBorders>
          </w:tcPr>
          <w:p>
            <w:pPr>
              <w:pStyle w:val="TableParagraph"/>
              <w:spacing w:before="6"/>
              <w:rPr>
                <w:sz w:val="18"/>
              </w:rPr>
            </w:pPr>
            <w:r>
              <w:rPr>
                <w:sz w:val="18"/>
              </w:rPr>
              <w:t>Sum</w:t>
            </w:r>
            <w:r>
              <w:rPr>
                <w:spacing w:val="-3"/>
                <w:sz w:val="18"/>
              </w:rPr>
              <w:t> </w:t>
            </w:r>
            <w:r>
              <w:rPr>
                <w:sz w:val="18"/>
              </w:rPr>
              <w:t>squared</w:t>
            </w:r>
            <w:r>
              <w:rPr>
                <w:spacing w:val="-2"/>
                <w:sz w:val="18"/>
              </w:rPr>
              <w:t> resid</w:t>
            </w:r>
          </w:p>
        </w:tc>
        <w:tc>
          <w:tcPr>
            <w:tcW w:w="1290" w:type="dxa"/>
            <w:tcBorders>
              <w:bottom w:val="double" w:sz="6" w:space="0" w:color="000000"/>
            </w:tcBorders>
          </w:tcPr>
          <w:p>
            <w:pPr>
              <w:pStyle w:val="TableParagraph"/>
              <w:spacing w:before="6"/>
              <w:ind w:right="103"/>
              <w:jc w:val="right"/>
              <w:rPr>
                <w:sz w:val="18"/>
              </w:rPr>
            </w:pPr>
            <w:r>
              <w:rPr>
                <w:spacing w:val="-2"/>
                <w:sz w:val="18"/>
              </w:rPr>
              <w:t>56.25579</w:t>
            </w:r>
          </w:p>
        </w:tc>
        <w:tc>
          <w:tcPr>
            <w:tcW w:w="2401" w:type="dxa"/>
            <w:gridSpan w:val="2"/>
            <w:tcBorders>
              <w:bottom w:val="double" w:sz="6" w:space="0" w:color="000000"/>
            </w:tcBorders>
          </w:tcPr>
          <w:p>
            <w:pPr>
              <w:pStyle w:val="TableParagraph"/>
              <w:spacing w:before="6"/>
              <w:ind w:left="107"/>
              <w:rPr>
                <w:sz w:val="18"/>
              </w:rPr>
            </w:pPr>
            <w:r>
              <w:rPr>
                <w:spacing w:val="-2"/>
                <w:sz w:val="18"/>
              </w:rPr>
              <w:t>Durbin-Watson</w:t>
            </w:r>
            <w:r>
              <w:rPr>
                <w:spacing w:val="13"/>
                <w:sz w:val="18"/>
              </w:rPr>
              <w:t> </w:t>
            </w:r>
            <w:r>
              <w:rPr>
                <w:spacing w:val="-4"/>
                <w:sz w:val="18"/>
              </w:rPr>
              <w:t>stat</w:t>
            </w:r>
          </w:p>
        </w:tc>
        <w:tc>
          <w:tcPr>
            <w:tcW w:w="914" w:type="dxa"/>
            <w:tcBorders>
              <w:bottom w:val="double" w:sz="6" w:space="0" w:color="000000"/>
            </w:tcBorders>
          </w:tcPr>
          <w:p>
            <w:pPr>
              <w:pStyle w:val="TableParagraph"/>
              <w:spacing w:before="6"/>
              <w:ind w:right="5"/>
              <w:jc w:val="right"/>
              <w:rPr>
                <w:sz w:val="18"/>
              </w:rPr>
            </w:pPr>
            <w:r>
              <w:rPr>
                <w:spacing w:val="-2"/>
                <w:sz w:val="18"/>
              </w:rPr>
              <w:t>1.537687</w:t>
            </w:r>
          </w:p>
        </w:tc>
      </w:tr>
    </w:tbl>
    <w:p>
      <w:pPr>
        <w:spacing w:after="0"/>
        <w:jc w:val="right"/>
        <w:rPr>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92768">
                <wp:simplePos x="0" y="0"/>
                <wp:positionH relativeFrom="page">
                  <wp:posOffset>1095451</wp:posOffset>
                </wp:positionH>
                <wp:positionV relativeFrom="page">
                  <wp:posOffset>7242047</wp:posOffset>
                </wp:positionV>
                <wp:extent cx="721995" cy="72263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3712" id="docshape143"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3280">
                <wp:simplePos x="0" y="0"/>
                <wp:positionH relativeFrom="page">
                  <wp:posOffset>1269060</wp:posOffset>
                </wp:positionH>
                <wp:positionV relativeFrom="page">
                  <wp:posOffset>5203570</wp:posOffset>
                </wp:positionV>
                <wp:extent cx="2454275" cy="249936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2454275" cy="2499360"/>
                          <a:chExt cx="2454275" cy="2499360"/>
                        </a:xfrm>
                      </wpg:grpSpPr>
                      <wps:wsp>
                        <wps:cNvPr id="338" name="Graphic 338"/>
                        <wps:cNvSpPr/>
                        <wps:spPr>
                          <a:xfrm>
                            <a:off x="0" y="1217612"/>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39" name="Image 339"/>
                          <pic:cNvPicPr/>
                        </pic:nvPicPr>
                        <pic:blipFill>
                          <a:blip r:embed="rId9" cstate="print"/>
                          <a:stretch>
                            <a:fillRect/>
                          </a:stretch>
                        </pic:blipFill>
                        <pic:spPr>
                          <a:xfrm>
                            <a:off x="1248333" y="1265682"/>
                            <a:ext cx="221995" cy="221614"/>
                          </a:xfrm>
                          <a:prstGeom prst="rect">
                            <a:avLst/>
                          </a:prstGeom>
                        </pic:spPr>
                      </pic:pic>
                      <wps:wsp>
                        <wps:cNvPr id="340" name="Graphic 340"/>
                        <wps:cNvSpPr/>
                        <wps:spPr>
                          <a:xfrm>
                            <a:off x="1117777" y="0"/>
                            <a:ext cx="1336675" cy="1469390"/>
                          </a:xfrm>
                          <a:custGeom>
                            <a:avLst/>
                            <a:gdLst/>
                            <a:ahLst/>
                            <a:cxnLst/>
                            <a:rect l="l" t="t" r="r" b="b"/>
                            <a:pathLst>
                              <a:path w="1336675" h="1469390">
                                <a:moveTo>
                                  <a:pt x="721741" y="1418463"/>
                                </a:moveTo>
                                <a:lnTo>
                                  <a:pt x="721487" y="1415542"/>
                                </a:lnTo>
                                <a:lnTo>
                                  <a:pt x="719328" y="1409446"/>
                                </a:lnTo>
                                <a:lnTo>
                                  <a:pt x="717042" y="1406398"/>
                                </a:lnTo>
                                <a:lnTo>
                                  <a:pt x="714375" y="1403858"/>
                                </a:lnTo>
                                <a:lnTo>
                                  <a:pt x="62357" y="751840"/>
                                </a:lnTo>
                                <a:lnTo>
                                  <a:pt x="59436" y="749554"/>
                                </a:lnTo>
                                <a:lnTo>
                                  <a:pt x="53213" y="747268"/>
                                </a:lnTo>
                                <a:lnTo>
                                  <a:pt x="50292" y="747141"/>
                                </a:lnTo>
                                <a:lnTo>
                                  <a:pt x="46355" y="747903"/>
                                </a:lnTo>
                                <a:lnTo>
                                  <a:pt x="13970" y="771906"/>
                                </a:lnTo>
                                <a:lnTo>
                                  <a:pt x="0" y="800481"/>
                                </a:lnTo>
                                <a:lnTo>
                                  <a:pt x="2286" y="806704"/>
                                </a:lnTo>
                                <a:lnTo>
                                  <a:pt x="658749" y="1464691"/>
                                </a:lnTo>
                                <a:lnTo>
                                  <a:pt x="670941" y="1469263"/>
                                </a:lnTo>
                                <a:lnTo>
                                  <a:pt x="674243" y="1467993"/>
                                </a:lnTo>
                                <a:lnTo>
                                  <a:pt x="678307" y="1467231"/>
                                </a:lnTo>
                                <a:lnTo>
                                  <a:pt x="712089" y="1438783"/>
                                </a:lnTo>
                                <a:lnTo>
                                  <a:pt x="720344" y="1421892"/>
                                </a:lnTo>
                                <a:lnTo>
                                  <a:pt x="721741" y="1418463"/>
                                </a:lnTo>
                                <a:close/>
                              </a:path>
                              <a:path w="1336675" h="1469390">
                                <a:moveTo>
                                  <a:pt x="896239" y="1240790"/>
                                </a:moveTo>
                                <a:lnTo>
                                  <a:pt x="645541" y="985393"/>
                                </a:lnTo>
                                <a:lnTo>
                                  <a:pt x="695325" y="935609"/>
                                </a:lnTo>
                                <a:lnTo>
                                  <a:pt x="729310" y="893889"/>
                                </a:lnTo>
                                <a:lnTo>
                                  <a:pt x="749681" y="849884"/>
                                </a:lnTo>
                                <a:lnTo>
                                  <a:pt x="757631" y="804672"/>
                                </a:lnTo>
                                <a:lnTo>
                                  <a:pt x="757694" y="780199"/>
                                </a:lnTo>
                                <a:lnTo>
                                  <a:pt x="754634" y="755904"/>
                                </a:lnTo>
                                <a:lnTo>
                                  <a:pt x="740511" y="706348"/>
                                </a:lnTo>
                                <a:lnTo>
                                  <a:pt x="716026" y="655447"/>
                                </a:lnTo>
                                <a:lnTo>
                                  <a:pt x="680796" y="604266"/>
                                </a:lnTo>
                                <a:lnTo>
                                  <a:pt x="661314" y="580936"/>
                                </a:lnTo>
                                <a:lnTo>
                                  <a:pt x="661314" y="776185"/>
                                </a:lnTo>
                                <a:lnTo>
                                  <a:pt x="660438" y="790638"/>
                                </a:lnTo>
                                <a:lnTo>
                                  <a:pt x="645807" y="832294"/>
                                </a:lnTo>
                                <a:lnTo>
                                  <a:pt x="571754" y="911606"/>
                                </a:lnTo>
                                <a:lnTo>
                                  <a:pt x="300482" y="640207"/>
                                </a:lnTo>
                                <a:lnTo>
                                  <a:pt x="354330" y="586486"/>
                                </a:lnTo>
                                <a:lnTo>
                                  <a:pt x="388747" y="559308"/>
                                </a:lnTo>
                                <a:lnTo>
                                  <a:pt x="436499" y="546100"/>
                                </a:lnTo>
                                <a:lnTo>
                                  <a:pt x="451167" y="546722"/>
                                </a:lnTo>
                                <a:lnTo>
                                  <a:pt x="502412" y="562610"/>
                                </a:lnTo>
                                <a:lnTo>
                                  <a:pt x="540804" y="586295"/>
                                </a:lnTo>
                                <a:lnTo>
                                  <a:pt x="581406" y="621792"/>
                                </a:lnTo>
                                <a:lnTo>
                                  <a:pt x="609015" y="652703"/>
                                </a:lnTo>
                                <a:lnTo>
                                  <a:pt x="631190" y="683895"/>
                                </a:lnTo>
                                <a:lnTo>
                                  <a:pt x="653580" y="731139"/>
                                </a:lnTo>
                                <a:lnTo>
                                  <a:pt x="661314" y="776185"/>
                                </a:lnTo>
                                <a:lnTo>
                                  <a:pt x="661314" y="580936"/>
                                </a:lnTo>
                                <a:lnTo>
                                  <a:pt x="659422" y="578662"/>
                                </a:lnTo>
                                <a:lnTo>
                                  <a:pt x="635381" y="553085"/>
                                </a:lnTo>
                                <a:lnTo>
                                  <a:pt x="628015" y="546100"/>
                                </a:lnTo>
                                <a:lnTo>
                                  <a:pt x="616153" y="534847"/>
                                </a:lnTo>
                                <a:lnTo>
                                  <a:pt x="577710" y="503364"/>
                                </a:lnTo>
                                <a:lnTo>
                                  <a:pt x="539343" y="478637"/>
                                </a:lnTo>
                                <a:lnTo>
                                  <a:pt x="501675" y="461111"/>
                                </a:lnTo>
                                <a:lnTo>
                                  <a:pt x="464718" y="449516"/>
                                </a:lnTo>
                                <a:lnTo>
                                  <a:pt x="428688" y="444842"/>
                                </a:lnTo>
                                <a:lnTo>
                                  <a:pt x="411099" y="444881"/>
                                </a:lnTo>
                                <a:lnTo>
                                  <a:pt x="365036" y="453478"/>
                                </a:lnTo>
                                <a:lnTo>
                                  <a:pt x="321881" y="476199"/>
                                </a:lnTo>
                                <a:lnTo>
                                  <a:pt x="291896" y="500519"/>
                                </a:lnTo>
                                <a:lnTo>
                                  <a:pt x="190881" y="601345"/>
                                </a:lnTo>
                                <a:lnTo>
                                  <a:pt x="183692" y="618553"/>
                                </a:lnTo>
                                <a:lnTo>
                                  <a:pt x="183896" y="625983"/>
                                </a:lnTo>
                                <a:lnTo>
                                  <a:pt x="206629" y="662940"/>
                                </a:lnTo>
                                <a:lnTo>
                                  <a:pt x="830961" y="1287272"/>
                                </a:lnTo>
                                <a:lnTo>
                                  <a:pt x="833501" y="1289939"/>
                                </a:lnTo>
                                <a:lnTo>
                                  <a:pt x="836549" y="1292225"/>
                                </a:lnTo>
                                <a:lnTo>
                                  <a:pt x="839597" y="1293368"/>
                                </a:lnTo>
                                <a:lnTo>
                                  <a:pt x="842772" y="1294257"/>
                                </a:lnTo>
                                <a:lnTo>
                                  <a:pt x="845693" y="1294511"/>
                                </a:lnTo>
                                <a:lnTo>
                                  <a:pt x="848995" y="1293241"/>
                                </a:lnTo>
                                <a:lnTo>
                                  <a:pt x="853059" y="1292479"/>
                                </a:lnTo>
                                <a:lnTo>
                                  <a:pt x="886828" y="1263904"/>
                                </a:lnTo>
                                <a:lnTo>
                                  <a:pt x="895096" y="1247140"/>
                                </a:lnTo>
                                <a:lnTo>
                                  <a:pt x="896112" y="1244092"/>
                                </a:lnTo>
                                <a:lnTo>
                                  <a:pt x="896239" y="1240790"/>
                                </a:lnTo>
                                <a:close/>
                              </a:path>
                              <a:path w="1336675" h="1469390">
                                <a:moveTo>
                                  <a:pt x="1336294" y="803783"/>
                                </a:moveTo>
                                <a:lnTo>
                                  <a:pt x="1336167" y="800862"/>
                                </a:lnTo>
                                <a:lnTo>
                                  <a:pt x="1334008" y="794639"/>
                                </a:lnTo>
                                <a:lnTo>
                                  <a:pt x="1331722" y="791718"/>
                                </a:lnTo>
                                <a:lnTo>
                                  <a:pt x="742442" y="202438"/>
                                </a:lnTo>
                                <a:lnTo>
                                  <a:pt x="867410" y="77470"/>
                                </a:lnTo>
                                <a:lnTo>
                                  <a:pt x="868540" y="75311"/>
                                </a:lnTo>
                                <a:lnTo>
                                  <a:pt x="868667" y="72009"/>
                                </a:lnTo>
                                <a:lnTo>
                                  <a:pt x="868426" y="68961"/>
                                </a:lnTo>
                                <a:lnTo>
                                  <a:pt x="867778" y="65532"/>
                                </a:lnTo>
                                <a:lnTo>
                                  <a:pt x="865632" y="61468"/>
                                </a:lnTo>
                                <a:lnTo>
                                  <a:pt x="863981" y="57785"/>
                                </a:lnTo>
                                <a:lnTo>
                                  <a:pt x="832739" y="23241"/>
                                </a:lnTo>
                                <a:lnTo>
                                  <a:pt x="799465" y="0"/>
                                </a:lnTo>
                                <a:lnTo>
                                  <a:pt x="793242" y="0"/>
                                </a:lnTo>
                                <a:lnTo>
                                  <a:pt x="791083" y="1143"/>
                                </a:lnTo>
                                <a:lnTo>
                                  <a:pt x="482854" y="309372"/>
                                </a:lnTo>
                                <a:lnTo>
                                  <a:pt x="481711" y="311531"/>
                                </a:lnTo>
                                <a:lnTo>
                                  <a:pt x="481965" y="314452"/>
                                </a:lnTo>
                                <a:lnTo>
                                  <a:pt x="481711" y="317754"/>
                                </a:lnTo>
                                <a:lnTo>
                                  <a:pt x="482854" y="320802"/>
                                </a:lnTo>
                                <a:lnTo>
                                  <a:pt x="487045" y="329057"/>
                                </a:lnTo>
                                <a:lnTo>
                                  <a:pt x="490601" y="334010"/>
                                </a:lnTo>
                                <a:lnTo>
                                  <a:pt x="495046" y="338963"/>
                                </a:lnTo>
                                <a:lnTo>
                                  <a:pt x="499491" y="344932"/>
                                </a:lnTo>
                                <a:lnTo>
                                  <a:pt x="504952" y="351028"/>
                                </a:lnTo>
                                <a:lnTo>
                                  <a:pt x="518541" y="364617"/>
                                </a:lnTo>
                                <a:lnTo>
                                  <a:pt x="524637" y="370078"/>
                                </a:lnTo>
                                <a:lnTo>
                                  <a:pt x="529971" y="374015"/>
                                </a:lnTo>
                                <a:lnTo>
                                  <a:pt x="535051" y="378460"/>
                                </a:lnTo>
                                <a:lnTo>
                                  <a:pt x="539877" y="381889"/>
                                </a:lnTo>
                                <a:lnTo>
                                  <a:pt x="547751" y="385572"/>
                                </a:lnTo>
                                <a:lnTo>
                                  <a:pt x="550799" y="386715"/>
                                </a:lnTo>
                                <a:lnTo>
                                  <a:pt x="554101" y="386588"/>
                                </a:lnTo>
                                <a:lnTo>
                                  <a:pt x="557022" y="386842"/>
                                </a:lnTo>
                                <a:lnTo>
                                  <a:pt x="559181" y="385572"/>
                                </a:lnTo>
                                <a:lnTo>
                                  <a:pt x="684149" y="260604"/>
                                </a:lnTo>
                                <a:lnTo>
                                  <a:pt x="1273556" y="849884"/>
                                </a:lnTo>
                                <a:lnTo>
                                  <a:pt x="1276477" y="852170"/>
                                </a:lnTo>
                                <a:lnTo>
                                  <a:pt x="1282700" y="854329"/>
                                </a:lnTo>
                                <a:lnTo>
                                  <a:pt x="1285494" y="854583"/>
                                </a:lnTo>
                                <a:lnTo>
                                  <a:pt x="1289050" y="853313"/>
                                </a:lnTo>
                                <a:lnTo>
                                  <a:pt x="1292987" y="852551"/>
                                </a:lnTo>
                                <a:lnTo>
                                  <a:pt x="1326769" y="823976"/>
                                </a:lnTo>
                                <a:lnTo>
                                  <a:pt x="1335024" y="807212"/>
                                </a:lnTo>
                                <a:lnTo>
                                  <a:pt x="1336294" y="803783"/>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09.72998pt;width:193.25pt;height:196.8pt;mso-position-horizontal-relative:page;mso-position-vertical-relative:page;z-index:-25523200" id="docshapegroup144" coordorigin="1999,8195" coordsize="3865,3936">
                <v:shape style="position:absolute;left:1998;top:10112;width:2142;height:2018" id="docshape145"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46" stroked="false">
                  <v:imagedata r:id="rId9" o:title=""/>
                </v:shape>
                <v:shape style="position:absolute;left:3758;top:8194;width:2105;height:2314" id="docshape147" coordorigin="3759,8195" coordsize="2105,2314"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e" filled="true" fillcolor="#c0c0c0" stroked="false">
                  <v:path arrowok="t"/>
                  <v:fill opacity="32896f" type="solid"/>
                </v:shape>
                <w10:wrap type="none"/>
              </v:group>
            </w:pict>
          </mc:Fallback>
        </mc:AlternateContent>
      </w:r>
      <w:r>
        <w:rPr/>
        <mc:AlternateContent>
          <mc:Choice Requires="wps">
            <w:drawing>
              <wp:anchor distT="0" distB="0" distL="0" distR="0" allowOverlap="1" layoutInCell="1" locked="0" behindDoc="1" simplePos="0" relativeHeight="477793792">
                <wp:simplePos x="0" y="0"/>
                <wp:positionH relativeFrom="page">
                  <wp:posOffset>3206496</wp:posOffset>
                </wp:positionH>
                <wp:positionV relativeFrom="page">
                  <wp:posOffset>2726054</wp:posOffset>
                </wp:positionV>
                <wp:extent cx="2995930" cy="299466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2995930" cy="2994660"/>
                        </a:xfrm>
                        <a:custGeom>
                          <a:avLst/>
                          <a:gdLst/>
                          <a:ahLst/>
                          <a:cxnLst/>
                          <a:rect l="l" t="t" r="r" b="b"/>
                          <a:pathLst>
                            <a:path w="2995930" h="2994660">
                              <a:moveTo>
                                <a:pt x="854710" y="2943352"/>
                              </a:moveTo>
                              <a:lnTo>
                                <a:pt x="854583" y="2940304"/>
                              </a:lnTo>
                              <a:lnTo>
                                <a:pt x="852297" y="2934208"/>
                              </a:lnTo>
                              <a:lnTo>
                                <a:pt x="850138" y="2931160"/>
                              </a:lnTo>
                              <a:lnTo>
                                <a:pt x="260731" y="2341880"/>
                              </a:lnTo>
                              <a:lnTo>
                                <a:pt x="385699" y="2216912"/>
                              </a:lnTo>
                              <a:lnTo>
                                <a:pt x="386969" y="2214753"/>
                              </a:lnTo>
                              <a:lnTo>
                                <a:pt x="387096" y="2211451"/>
                              </a:lnTo>
                              <a:lnTo>
                                <a:pt x="386080" y="2205101"/>
                              </a:lnTo>
                              <a:lnTo>
                                <a:pt x="382397" y="2197354"/>
                              </a:lnTo>
                              <a:lnTo>
                                <a:pt x="378968" y="2192401"/>
                              </a:lnTo>
                              <a:lnTo>
                                <a:pt x="374396" y="2187448"/>
                              </a:lnTo>
                              <a:lnTo>
                                <a:pt x="364744" y="2176272"/>
                              </a:lnTo>
                              <a:lnTo>
                                <a:pt x="357886" y="2169541"/>
                              </a:lnTo>
                              <a:lnTo>
                                <a:pt x="351155" y="2162683"/>
                              </a:lnTo>
                              <a:lnTo>
                                <a:pt x="334391" y="2147951"/>
                              </a:lnTo>
                              <a:lnTo>
                                <a:pt x="329565" y="2144522"/>
                              </a:lnTo>
                              <a:lnTo>
                                <a:pt x="321310" y="2140204"/>
                              </a:lnTo>
                              <a:lnTo>
                                <a:pt x="317754" y="2139569"/>
                              </a:lnTo>
                              <a:lnTo>
                                <a:pt x="314833" y="2139315"/>
                              </a:lnTo>
                              <a:lnTo>
                                <a:pt x="311658" y="2139442"/>
                              </a:lnTo>
                              <a:lnTo>
                                <a:pt x="309372" y="2140712"/>
                              </a:lnTo>
                              <a:lnTo>
                                <a:pt x="1270" y="2448814"/>
                              </a:lnTo>
                              <a:lnTo>
                                <a:pt x="0" y="2451100"/>
                              </a:lnTo>
                              <a:lnTo>
                                <a:pt x="254" y="2454021"/>
                              </a:lnTo>
                              <a:lnTo>
                                <a:pt x="127" y="2457196"/>
                              </a:lnTo>
                              <a:lnTo>
                                <a:pt x="1270" y="2460371"/>
                              </a:lnTo>
                              <a:lnTo>
                                <a:pt x="5461" y="2468626"/>
                              </a:lnTo>
                              <a:lnTo>
                                <a:pt x="8890" y="2473452"/>
                              </a:lnTo>
                              <a:lnTo>
                                <a:pt x="13335" y="2478532"/>
                              </a:lnTo>
                              <a:lnTo>
                                <a:pt x="17907" y="2484501"/>
                              </a:lnTo>
                              <a:lnTo>
                                <a:pt x="23241" y="2490597"/>
                              </a:lnTo>
                              <a:lnTo>
                                <a:pt x="36830" y="2504186"/>
                              </a:lnTo>
                              <a:lnTo>
                                <a:pt x="42926" y="2509520"/>
                              </a:lnTo>
                              <a:lnTo>
                                <a:pt x="48387" y="2513584"/>
                              </a:lnTo>
                              <a:lnTo>
                                <a:pt x="53340" y="2518029"/>
                              </a:lnTo>
                              <a:lnTo>
                                <a:pt x="58293" y="2521458"/>
                              </a:lnTo>
                              <a:lnTo>
                                <a:pt x="66040" y="2525141"/>
                              </a:lnTo>
                              <a:lnTo>
                                <a:pt x="69088" y="2526157"/>
                              </a:lnTo>
                              <a:lnTo>
                                <a:pt x="72390" y="2526157"/>
                              </a:lnTo>
                              <a:lnTo>
                                <a:pt x="75311" y="2526411"/>
                              </a:lnTo>
                              <a:lnTo>
                                <a:pt x="77457" y="2525141"/>
                              </a:lnTo>
                              <a:lnTo>
                                <a:pt x="202565" y="2400173"/>
                              </a:lnTo>
                              <a:lnTo>
                                <a:pt x="791845" y="2989453"/>
                              </a:lnTo>
                              <a:lnTo>
                                <a:pt x="794893" y="2991739"/>
                              </a:lnTo>
                              <a:lnTo>
                                <a:pt x="800989" y="2993898"/>
                              </a:lnTo>
                              <a:lnTo>
                                <a:pt x="803910" y="2994152"/>
                              </a:lnTo>
                              <a:lnTo>
                                <a:pt x="807339" y="2992755"/>
                              </a:lnTo>
                              <a:lnTo>
                                <a:pt x="811276" y="2992120"/>
                              </a:lnTo>
                              <a:lnTo>
                                <a:pt x="848360" y="2959227"/>
                              </a:lnTo>
                              <a:lnTo>
                                <a:pt x="853440" y="2946781"/>
                              </a:lnTo>
                              <a:lnTo>
                                <a:pt x="854710" y="2943352"/>
                              </a:lnTo>
                              <a:close/>
                            </a:path>
                            <a:path w="2995930" h="2994660">
                              <a:moveTo>
                                <a:pt x="1303159" y="2409596"/>
                              </a:moveTo>
                              <a:lnTo>
                                <a:pt x="1290193" y="2340483"/>
                              </a:lnTo>
                              <a:lnTo>
                                <a:pt x="1260754" y="2267801"/>
                              </a:lnTo>
                              <a:lnTo>
                                <a:pt x="1240180" y="2230069"/>
                              </a:lnTo>
                              <a:lnTo>
                                <a:pt x="1215517" y="2191385"/>
                              </a:lnTo>
                              <a:lnTo>
                                <a:pt x="1203617" y="2174900"/>
                              </a:lnTo>
                              <a:lnTo>
                                <a:pt x="1203617" y="2395855"/>
                              </a:lnTo>
                              <a:lnTo>
                                <a:pt x="1203325" y="2420239"/>
                              </a:lnTo>
                              <a:lnTo>
                                <a:pt x="1190726" y="2465794"/>
                              </a:lnTo>
                              <a:lnTo>
                                <a:pt x="1160907" y="2506472"/>
                              </a:lnTo>
                              <a:lnTo>
                                <a:pt x="1120495" y="2536787"/>
                              </a:lnTo>
                              <a:lnTo>
                                <a:pt x="1076579" y="2550033"/>
                              </a:lnTo>
                              <a:lnTo>
                                <a:pt x="1053325" y="2551353"/>
                              </a:lnTo>
                              <a:lnTo>
                                <a:pt x="1029335" y="2549296"/>
                              </a:lnTo>
                              <a:lnTo>
                                <a:pt x="979043" y="2534539"/>
                              </a:lnTo>
                              <a:lnTo>
                                <a:pt x="926426" y="2507856"/>
                              </a:lnTo>
                              <a:lnTo>
                                <a:pt x="871347" y="2469642"/>
                              </a:lnTo>
                              <a:lnTo>
                                <a:pt x="814006" y="2421953"/>
                              </a:lnTo>
                              <a:lnTo>
                                <a:pt x="784758" y="2395105"/>
                              </a:lnTo>
                              <a:lnTo>
                                <a:pt x="755142" y="2366264"/>
                              </a:lnTo>
                              <a:lnTo>
                                <a:pt x="704253" y="2311831"/>
                              </a:lnTo>
                              <a:lnTo>
                                <a:pt x="659003" y="2256536"/>
                              </a:lnTo>
                              <a:lnTo>
                                <a:pt x="622528" y="2201799"/>
                              </a:lnTo>
                              <a:lnTo>
                                <a:pt x="596646" y="2148205"/>
                              </a:lnTo>
                              <a:lnTo>
                                <a:pt x="582015" y="2096960"/>
                              </a:lnTo>
                              <a:lnTo>
                                <a:pt x="579475" y="2072233"/>
                              </a:lnTo>
                              <a:lnTo>
                                <a:pt x="579882" y="2048002"/>
                              </a:lnTo>
                              <a:lnTo>
                                <a:pt x="592035" y="2002663"/>
                              </a:lnTo>
                              <a:lnTo>
                                <a:pt x="621538" y="1962277"/>
                              </a:lnTo>
                              <a:lnTo>
                                <a:pt x="661517" y="1932406"/>
                              </a:lnTo>
                              <a:lnTo>
                                <a:pt x="705612" y="1919097"/>
                              </a:lnTo>
                              <a:lnTo>
                                <a:pt x="729068" y="1918068"/>
                              </a:lnTo>
                              <a:lnTo>
                                <a:pt x="753173" y="1920201"/>
                              </a:lnTo>
                              <a:lnTo>
                                <a:pt x="803402" y="1934337"/>
                              </a:lnTo>
                              <a:lnTo>
                                <a:pt x="856297" y="1960918"/>
                              </a:lnTo>
                              <a:lnTo>
                                <a:pt x="911098" y="1997964"/>
                              </a:lnTo>
                              <a:lnTo>
                                <a:pt x="967638" y="2044814"/>
                              </a:lnTo>
                              <a:lnTo>
                                <a:pt x="996175" y="2070963"/>
                              </a:lnTo>
                              <a:lnTo>
                                <a:pt x="1024763" y="2098802"/>
                              </a:lnTo>
                              <a:lnTo>
                                <a:pt x="1051420" y="2126310"/>
                              </a:lnTo>
                              <a:lnTo>
                                <a:pt x="1099947" y="2181695"/>
                              </a:lnTo>
                              <a:lnTo>
                                <a:pt x="1142072" y="2237359"/>
                              </a:lnTo>
                              <a:lnTo>
                                <a:pt x="1173708" y="2291994"/>
                              </a:lnTo>
                              <a:lnTo>
                                <a:pt x="1195019" y="2344915"/>
                              </a:lnTo>
                              <a:lnTo>
                                <a:pt x="1203617" y="2395855"/>
                              </a:lnTo>
                              <a:lnTo>
                                <a:pt x="1203617" y="2174900"/>
                              </a:lnTo>
                              <a:lnTo>
                                <a:pt x="1155065" y="2112073"/>
                              </a:lnTo>
                              <a:lnTo>
                                <a:pt x="1119428" y="2071738"/>
                              </a:lnTo>
                              <a:lnTo>
                                <a:pt x="1080135" y="2030857"/>
                              </a:lnTo>
                              <a:lnTo>
                                <a:pt x="1039431" y="1991601"/>
                              </a:lnTo>
                              <a:lnTo>
                                <a:pt x="999642" y="1956104"/>
                              </a:lnTo>
                              <a:lnTo>
                                <a:pt x="960755" y="1924405"/>
                              </a:lnTo>
                              <a:lnTo>
                                <a:pt x="922782" y="1896491"/>
                              </a:lnTo>
                              <a:lnTo>
                                <a:pt x="885710" y="1872564"/>
                              </a:lnTo>
                              <a:lnTo>
                                <a:pt x="849604" y="1852841"/>
                              </a:lnTo>
                              <a:lnTo>
                                <a:pt x="814527" y="1837169"/>
                              </a:lnTo>
                              <a:lnTo>
                                <a:pt x="747674" y="1817751"/>
                              </a:lnTo>
                              <a:lnTo>
                                <a:pt x="715911" y="1814499"/>
                              </a:lnTo>
                              <a:lnTo>
                                <a:pt x="685114" y="1815325"/>
                              </a:lnTo>
                              <a:lnTo>
                                <a:pt x="626465" y="1828647"/>
                              </a:lnTo>
                              <a:lnTo>
                                <a:pt x="573100" y="1859737"/>
                              </a:lnTo>
                              <a:lnTo>
                                <a:pt x="525564" y="1907641"/>
                              </a:lnTo>
                              <a:lnTo>
                                <a:pt x="493991" y="1963788"/>
                              </a:lnTo>
                              <a:lnTo>
                                <a:pt x="481190" y="2025954"/>
                              </a:lnTo>
                              <a:lnTo>
                                <a:pt x="480974" y="2058835"/>
                              </a:lnTo>
                              <a:lnTo>
                                <a:pt x="484898" y="2092617"/>
                              </a:lnTo>
                              <a:lnTo>
                                <a:pt x="506006" y="2163254"/>
                              </a:lnTo>
                              <a:lnTo>
                                <a:pt x="522427" y="2200122"/>
                              </a:lnTo>
                              <a:lnTo>
                                <a:pt x="542683" y="2237803"/>
                              </a:lnTo>
                              <a:lnTo>
                                <a:pt x="566928" y="2276221"/>
                              </a:lnTo>
                              <a:lnTo>
                                <a:pt x="595033" y="2315273"/>
                              </a:lnTo>
                              <a:lnTo>
                                <a:pt x="626592" y="2354643"/>
                              </a:lnTo>
                              <a:lnTo>
                                <a:pt x="661555" y="2394318"/>
                              </a:lnTo>
                              <a:lnTo>
                                <a:pt x="699897" y="2434209"/>
                              </a:lnTo>
                              <a:lnTo>
                                <a:pt x="741299" y="2474214"/>
                              </a:lnTo>
                              <a:lnTo>
                                <a:pt x="781596" y="2510180"/>
                              </a:lnTo>
                              <a:lnTo>
                                <a:pt x="820953" y="2542286"/>
                              </a:lnTo>
                              <a:lnTo>
                                <a:pt x="859409" y="2570607"/>
                              </a:lnTo>
                              <a:lnTo>
                                <a:pt x="896785" y="2594978"/>
                              </a:lnTo>
                              <a:lnTo>
                                <a:pt x="933081" y="2615158"/>
                              </a:lnTo>
                              <a:lnTo>
                                <a:pt x="968260" y="2631186"/>
                              </a:lnTo>
                              <a:lnTo>
                                <a:pt x="1035011" y="2651048"/>
                              </a:lnTo>
                              <a:lnTo>
                                <a:pt x="1066876" y="2654579"/>
                              </a:lnTo>
                              <a:lnTo>
                                <a:pt x="1097813" y="2653931"/>
                              </a:lnTo>
                              <a:lnTo>
                                <a:pt x="1156843" y="2640863"/>
                              </a:lnTo>
                              <a:lnTo>
                                <a:pt x="1210919" y="2609545"/>
                              </a:lnTo>
                              <a:lnTo>
                                <a:pt x="1258900" y="2561234"/>
                              </a:lnTo>
                              <a:lnTo>
                                <a:pt x="1290307" y="2504833"/>
                              </a:lnTo>
                              <a:lnTo>
                                <a:pt x="1303032" y="2442514"/>
                              </a:lnTo>
                              <a:lnTo>
                                <a:pt x="1303159" y="2409596"/>
                              </a:lnTo>
                              <a:close/>
                            </a:path>
                            <a:path w="2995930" h="2994660">
                              <a:moveTo>
                                <a:pt x="1908048" y="1820926"/>
                              </a:moveTo>
                              <a:lnTo>
                                <a:pt x="1903984" y="1781048"/>
                              </a:lnTo>
                              <a:lnTo>
                                <a:pt x="1872107" y="1739773"/>
                              </a:lnTo>
                              <a:lnTo>
                                <a:pt x="1837436" y="1709674"/>
                              </a:lnTo>
                              <a:lnTo>
                                <a:pt x="1830959" y="1706626"/>
                              </a:lnTo>
                              <a:lnTo>
                                <a:pt x="1826895" y="1706626"/>
                              </a:lnTo>
                              <a:lnTo>
                                <a:pt x="1824990" y="1707388"/>
                              </a:lnTo>
                              <a:lnTo>
                                <a:pt x="1819910" y="1712468"/>
                              </a:lnTo>
                              <a:lnTo>
                                <a:pt x="1818132" y="1720469"/>
                              </a:lnTo>
                              <a:lnTo>
                                <a:pt x="1819402" y="1733042"/>
                              </a:lnTo>
                              <a:lnTo>
                                <a:pt x="1819960" y="1742833"/>
                              </a:lnTo>
                              <a:lnTo>
                                <a:pt x="1817789" y="1790687"/>
                              </a:lnTo>
                              <a:lnTo>
                                <a:pt x="1807845" y="1833245"/>
                              </a:lnTo>
                              <a:lnTo>
                                <a:pt x="1784032" y="1875840"/>
                              </a:lnTo>
                              <a:lnTo>
                                <a:pt x="1755889" y="1903031"/>
                              </a:lnTo>
                              <a:lnTo>
                                <a:pt x="1719465" y="1922272"/>
                              </a:lnTo>
                              <a:lnTo>
                                <a:pt x="1678051" y="1929790"/>
                              </a:lnTo>
                              <a:lnTo>
                                <a:pt x="1655775" y="1929218"/>
                              </a:lnTo>
                              <a:lnTo>
                                <a:pt x="1607820" y="1918335"/>
                              </a:lnTo>
                              <a:lnTo>
                                <a:pt x="1555750" y="1896033"/>
                              </a:lnTo>
                              <a:lnTo>
                                <a:pt x="1499489" y="1861439"/>
                              </a:lnTo>
                              <a:lnTo>
                                <a:pt x="1439621" y="1815312"/>
                              </a:lnTo>
                              <a:lnTo>
                                <a:pt x="1408595" y="1787791"/>
                              </a:lnTo>
                              <a:lnTo>
                                <a:pt x="1376807" y="1757172"/>
                              </a:lnTo>
                              <a:lnTo>
                                <a:pt x="1345806" y="1724990"/>
                              </a:lnTo>
                              <a:lnTo>
                                <a:pt x="1317879" y="1693494"/>
                              </a:lnTo>
                              <a:lnTo>
                                <a:pt x="1292898" y="1662557"/>
                              </a:lnTo>
                              <a:lnTo>
                                <a:pt x="1251648" y="1602892"/>
                              </a:lnTo>
                              <a:lnTo>
                                <a:pt x="1222248" y="1547228"/>
                              </a:lnTo>
                              <a:lnTo>
                                <a:pt x="1203845" y="1495412"/>
                              </a:lnTo>
                              <a:lnTo>
                                <a:pt x="1197914" y="1448181"/>
                              </a:lnTo>
                              <a:lnTo>
                                <a:pt x="1199261" y="1426464"/>
                              </a:lnTo>
                              <a:lnTo>
                                <a:pt x="1211110" y="1387754"/>
                              </a:lnTo>
                              <a:lnTo>
                                <a:pt x="1235075" y="1355229"/>
                              </a:lnTo>
                              <a:lnTo>
                                <a:pt x="1276426" y="1324686"/>
                              </a:lnTo>
                              <a:lnTo>
                                <a:pt x="1319682" y="1312062"/>
                              </a:lnTo>
                              <a:lnTo>
                                <a:pt x="1358696" y="1308544"/>
                              </a:lnTo>
                              <a:lnTo>
                                <a:pt x="1380718" y="1308862"/>
                              </a:lnTo>
                              <a:lnTo>
                                <a:pt x="1390523" y="1309509"/>
                              </a:lnTo>
                              <a:lnTo>
                                <a:pt x="1403096" y="1310640"/>
                              </a:lnTo>
                              <a:lnTo>
                                <a:pt x="1411097" y="1309878"/>
                              </a:lnTo>
                              <a:lnTo>
                                <a:pt x="1415796" y="1305052"/>
                              </a:lnTo>
                              <a:lnTo>
                                <a:pt x="1416431" y="1302385"/>
                              </a:lnTo>
                              <a:lnTo>
                                <a:pt x="1416304" y="1299464"/>
                              </a:lnTo>
                              <a:lnTo>
                                <a:pt x="1391920" y="1263015"/>
                              </a:lnTo>
                              <a:lnTo>
                                <a:pt x="1363599" y="1235964"/>
                              </a:lnTo>
                              <a:lnTo>
                                <a:pt x="1359281" y="1233043"/>
                              </a:lnTo>
                              <a:lnTo>
                                <a:pt x="1355344" y="1229614"/>
                              </a:lnTo>
                              <a:lnTo>
                                <a:pt x="1313395" y="1217066"/>
                              </a:lnTo>
                              <a:lnTo>
                                <a:pt x="1293495" y="1217295"/>
                              </a:lnTo>
                              <a:lnTo>
                                <a:pt x="1247013" y="1225042"/>
                              </a:lnTo>
                              <a:lnTo>
                                <a:pt x="1199642" y="1244092"/>
                              </a:lnTo>
                              <a:lnTo>
                                <a:pt x="1167180" y="1266621"/>
                              </a:lnTo>
                              <a:lnTo>
                                <a:pt x="1137805" y="1298308"/>
                              </a:lnTo>
                              <a:lnTo>
                                <a:pt x="1110615" y="1349425"/>
                              </a:lnTo>
                              <a:lnTo>
                                <a:pt x="1099769" y="1408658"/>
                              </a:lnTo>
                              <a:lnTo>
                                <a:pt x="1099832" y="1440586"/>
                              </a:lnTo>
                              <a:lnTo>
                                <a:pt x="1112012" y="1508506"/>
                              </a:lnTo>
                              <a:lnTo>
                                <a:pt x="1124432" y="1544840"/>
                              </a:lnTo>
                              <a:lnTo>
                                <a:pt x="1140523" y="1582191"/>
                              </a:lnTo>
                              <a:lnTo>
                                <a:pt x="1160513" y="1620507"/>
                              </a:lnTo>
                              <a:lnTo>
                                <a:pt x="1184656" y="1659763"/>
                              </a:lnTo>
                              <a:lnTo>
                                <a:pt x="1212583" y="1700022"/>
                              </a:lnTo>
                              <a:lnTo>
                                <a:pt x="1244536" y="1740877"/>
                              </a:lnTo>
                              <a:lnTo>
                                <a:pt x="1280477" y="1782229"/>
                              </a:lnTo>
                              <a:lnTo>
                                <a:pt x="1320419" y="1823974"/>
                              </a:lnTo>
                              <a:lnTo>
                                <a:pt x="1361160" y="1863077"/>
                              </a:lnTo>
                              <a:lnTo>
                                <a:pt x="1401089" y="1897976"/>
                              </a:lnTo>
                              <a:lnTo>
                                <a:pt x="1440218" y="1928799"/>
                              </a:lnTo>
                              <a:lnTo>
                                <a:pt x="1478534" y="1955673"/>
                              </a:lnTo>
                              <a:lnTo>
                                <a:pt x="1515986" y="1978990"/>
                              </a:lnTo>
                              <a:lnTo>
                                <a:pt x="1552359" y="1998052"/>
                              </a:lnTo>
                              <a:lnTo>
                                <a:pt x="1587665" y="2013127"/>
                              </a:lnTo>
                              <a:lnTo>
                                <a:pt x="1654695" y="2032203"/>
                              </a:lnTo>
                              <a:lnTo>
                                <a:pt x="1686191" y="2035619"/>
                              </a:lnTo>
                              <a:lnTo>
                                <a:pt x="1716366" y="2035048"/>
                              </a:lnTo>
                              <a:lnTo>
                                <a:pt x="1772488" y="2022957"/>
                              </a:lnTo>
                              <a:lnTo>
                                <a:pt x="1821967" y="1995424"/>
                              </a:lnTo>
                              <a:lnTo>
                                <a:pt x="1855990" y="1963369"/>
                              </a:lnTo>
                              <a:lnTo>
                                <a:pt x="1883156" y="1923415"/>
                              </a:lnTo>
                              <a:lnTo>
                                <a:pt x="1898789" y="1881987"/>
                              </a:lnTo>
                              <a:lnTo>
                                <a:pt x="1906600" y="1843811"/>
                              </a:lnTo>
                              <a:lnTo>
                                <a:pt x="1907794" y="1832127"/>
                              </a:lnTo>
                              <a:lnTo>
                                <a:pt x="1908048" y="1820926"/>
                              </a:lnTo>
                              <a:close/>
                            </a:path>
                            <a:path w="2995930" h="2994660">
                              <a:moveTo>
                                <a:pt x="2289073" y="1423746"/>
                              </a:moveTo>
                              <a:lnTo>
                                <a:pt x="2276221" y="1354582"/>
                              </a:lnTo>
                              <a:lnTo>
                                <a:pt x="2263330" y="1318704"/>
                              </a:lnTo>
                              <a:lnTo>
                                <a:pt x="2246693" y="1281874"/>
                              </a:lnTo>
                              <a:lnTo>
                                <a:pt x="2226132" y="1244104"/>
                              </a:lnTo>
                              <a:lnTo>
                                <a:pt x="2201545" y="1205357"/>
                              </a:lnTo>
                              <a:lnTo>
                                <a:pt x="2189518" y="1188770"/>
                              </a:lnTo>
                              <a:lnTo>
                                <a:pt x="2189518" y="1409928"/>
                              </a:lnTo>
                              <a:lnTo>
                                <a:pt x="2189226" y="1434338"/>
                              </a:lnTo>
                              <a:lnTo>
                                <a:pt x="2176678" y="1479892"/>
                              </a:lnTo>
                              <a:lnTo>
                                <a:pt x="2146808" y="1520571"/>
                              </a:lnTo>
                              <a:lnTo>
                                <a:pt x="2106384" y="1550949"/>
                              </a:lnTo>
                              <a:lnTo>
                                <a:pt x="2062353" y="1564259"/>
                              </a:lnTo>
                              <a:lnTo>
                                <a:pt x="2039200" y="1565490"/>
                              </a:lnTo>
                              <a:lnTo>
                                <a:pt x="2015261" y="1563357"/>
                              </a:lnTo>
                              <a:lnTo>
                                <a:pt x="1964944" y="1548638"/>
                              </a:lnTo>
                              <a:lnTo>
                                <a:pt x="1912429" y="1521955"/>
                              </a:lnTo>
                              <a:lnTo>
                                <a:pt x="1857248" y="1483741"/>
                              </a:lnTo>
                              <a:lnTo>
                                <a:pt x="1799907" y="1436065"/>
                              </a:lnTo>
                              <a:lnTo>
                                <a:pt x="1770659" y="1409204"/>
                              </a:lnTo>
                              <a:lnTo>
                                <a:pt x="1741043" y="1380363"/>
                              </a:lnTo>
                              <a:lnTo>
                                <a:pt x="1690154" y="1325930"/>
                              </a:lnTo>
                              <a:lnTo>
                                <a:pt x="1644904" y="1270635"/>
                              </a:lnTo>
                              <a:lnTo>
                                <a:pt x="1608429" y="1215898"/>
                              </a:lnTo>
                              <a:lnTo>
                                <a:pt x="1582547" y="1162304"/>
                              </a:lnTo>
                              <a:lnTo>
                                <a:pt x="1567967" y="1111059"/>
                              </a:lnTo>
                              <a:lnTo>
                                <a:pt x="1565427" y="1086294"/>
                              </a:lnTo>
                              <a:lnTo>
                                <a:pt x="1565783" y="1062101"/>
                              </a:lnTo>
                              <a:lnTo>
                                <a:pt x="1577886" y="1016787"/>
                              </a:lnTo>
                              <a:lnTo>
                                <a:pt x="1607439" y="976503"/>
                              </a:lnTo>
                              <a:lnTo>
                                <a:pt x="1647380" y="946569"/>
                              </a:lnTo>
                              <a:lnTo>
                                <a:pt x="1691513" y="933196"/>
                              </a:lnTo>
                              <a:lnTo>
                                <a:pt x="1714969" y="932218"/>
                              </a:lnTo>
                              <a:lnTo>
                                <a:pt x="1739074" y="934326"/>
                              </a:lnTo>
                              <a:lnTo>
                                <a:pt x="1789303" y="948309"/>
                              </a:lnTo>
                              <a:lnTo>
                                <a:pt x="1842198" y="975004"/>
                              </a:lnTo>
                              <a:lnTo>
                                <a:pt x="1896999" y="1012063"/>
                              </a:lnTo>
                              <a:lnTo>
                                <a:pt x="1953539" y="1058913"/>
                              </a:lnTo>
                              <a:lnTo>
                                <a:pt x="1982076" y="1085062"/>
                              </a:lnTo>
                              <a:lnTo>
                                <a:pt x="2010664" y="1112901"/>
                              </a:lnTo>
                              <a:lnTo>
                                <a:pt x="2037321" y="1140409"/>
                              </a:lnTo>
                              <a:lnTo>
                                <a:pt x="2085848" y="1195793"/>
                              </a:lnTo>
                              <a:lnTo>
                                <a:pt x="2127974" y="1251458"/>
                              </a:lnTo>
                              <a:lnTo>
                                <a:pt x="2159609" y="1306093"/>
                              </a:lnTo>
                              <a:lnTo>
                                <a:pt x="2180920" y="1358963"/>
                              </a:lnTo>
                              <a:lnTo>
                                <a:pt x="2189518" y="1409928"/>
                              </a:lnTo>
                              <a:lnTo>
                                <a:pt x="2189518" y="1188770"/>
                              </a:lnTo>
                              <a:lnTo>
                                <a:pt x="2140978" y="1126159"/>
                              </a:lnTo>
                              <a:lnTo>
                                <a:pt x="2105329" y="1085824"/>
                              </a:lnTo>
                              <a:lnTo>
                                <a:pt x="2066036" y="1044956"/>
                              </a:lnTo>
                              <a:lnTo>
                                <a:pt x="2025332" y="1005700"/>
                              </a:lnTo>
                              <a:lnTo>
                                <a:pt x="1985543" y="970203"/>
                              </a:lnTo>
                              <a:lnTo>
                                <a:pt x="1946656" y="938504"/>
                              </a:lnTo>
                              <a:lnTo>
                                <a:pt x="1908683" y="910590"/>
                              </a:lnTo>
                              <a:lnTo>
                                <a:pt x="1871586" y="886663"/>
                              </a:lnTo>
                              <a:lnTo>
                                <a:pt x="1835467" y="866940"/>
                              </a:lnTo>
                              <a:lnTo>
                                <a:pt x="1800377" y="851268"/>
                              </a:lnTo>
                              <a:lnTo>
                                <a:pt x="1733562" y="831850"/>
                              </a:lnTo>
                              <a:lnTo>
                                <a:pt x="1701761" y="828611"/>
                              </a:lnTo>
                              <a:lnTo>
                                <a:pt x="1670964" y="829475"/>
                              </a:lnTo>
                              <a:lnTo>
                                <a:pt x="1612366" y="842860"/>
                              </a:lnTo>
                              <a:lnTo>
                                <a:pt x="1559001" y="873861"/>
                              </a:lnTo>
                              <a:lnTo>
                                <a:pt x="1511452" y="921740"/>
                              </a:lnTo>
                              <a:lnTo>
                                <a:pt x="1479791" y="977887"/>
                              </a:lnTo>
                              <a:lnTo>
                                <a:pt x="1467027" y="1040053"/>
                              </a:lnTo>
                              <a:lnTo>
                                <a:pt x="1466837" y="1072946"/>
                              </a:lnTo>
                              <a:lnTo>
                                <a:pt x="1470748" y="1106766"/>
                              </a:lnTo>
                              <a:lnTo>
                                <a:pt x="1491780" y="1177404"/>
                              </a:lnTo>
                              <a:lnTo>
                                <a:pt x="1508213" y="1214234"/>
                              </a:lnTo>
                              <a:lnTo>
                                <a:pt x="1528508" y="1251902"/>
                              </a:lnTo>
                              <a:lnTo>
                                <a:pt x="1552829" y="1290320"/>
                              </a:lnTo>
                              <a:lnTo>
                                <a:pt x="1580921" y="1329372"/>
                              </a:lnTo>
                              <a:lnTo>
                                <a:pt x="1612430" y="1368742"/>
                              </a:lnTo>
                              <a:lnTo>
                                <a:pt x="1647355" y="1408417"/>
                              </a:lnTo>
                              <a:lnTo>
                                <a:pt x="1685671" y="1448308"/>
                              </a:lnTo>
                              <a:lnTo>
                                <a:pt x="1727123" y="1488313"/>
                              </a:lnTo>
                              <a:lnTo>
                                <a:pt x="1767471" y="1524317"/>
                              </a:lnTo>
                              <a:lnTo>
                                <a:pt x="1806803" y="1556435"/>
                              </a:lnTo>
                              <a:lnTo>
                                <a:pt x="1845183" y="1584706"/>
                              </a:lnTo>
                              <a:lnTo>
                                <a:pt x="1882635" y="1609077"/>
                              </a:lnTo>
                              <a:lnTo>
                                <a:pt x="1918970" y="1629257"/>
                              </a:lnTo>
                              <a:lnTo>
                                <a:pt x="1954149" y="1645297"/>
                              </a:lnTo>
                              <a:lnTo>
                                <a:pt x="2020912" y="1665147"/>
                              </a:lnTo>
                              <a:lnTo>
                                <a:pt x="2052777" y="1668691"/>
                              </a:lnTo>
                              <a:lnTo>
                                <a:pt x="2083714" y="1668081"/>
                              </a:lnTo>
                              <a:lnTo>
                                <a:pt x="2142744" y="1655089"/>
                              </a:lnTo>
                              <a:lnTo>
                                <a:pt x="2196820" y="1623720"/>
                              </a:lnTo>
                              <a:lnTo>
                                <a:pt x="2244788" y="1575333"/>
                              </a:lnTo>
                              <a:lnTo>
                                <a:pt x="2276157" y="1518932"/>
                              </a:lnTo>
                              <a:lnTo>
                                <a:pt x="2288933" y="1456677"/>
                              </a:lnTo>
                              <a:lnTo>
                                <a:pt x="2289073" y="1423746"/>
                              </a:lnTo>
                              <a:close/>
                            </a:path>
                            <a:path w="2995930" h="2994660">
                              <a:moveTo>
                                <a:pt x="2556002" y="1238885"/>
                              </a:moveTo>
                              <a:lnTo>
                                <a:pt x="2554986" y="1235837"/>
                              </a:lnTo>
                              <a:lnTo>
                                <a:pt x="2553843" y="1232789"/>
                              </a:lnTo>
                              <a:lnTo>
                                <a:pt x="2551557" y="1229741"/>
                              </a:lnTo>
                              <a:lnTo>
                                <a:pt x="2305304" y="983488"/>
                              </a:lnTo>
                              <a:lnTo>
                                <a:pt x="2355088" y="933704"/>
                              </a:lnTo>
                              <a:lnTo>
                                <a:pt x="2373744" y="913079"/>
                              </a:lnTo>
                              <a:lnTo>
                                <a:pt x="2376182" y="909701"/>
                              </a:lnTo>
                              <a:lnTo>
                                <a:pt x="2389086" y="891921"/>
                              </a:lnTo>
                              <a:lnTo>
                                <a:pt x="2409571" y="847852"/>
                              </a:lnTo>
                              <a:lnTo>
                                <a:pt x="2417432" y="802767"/>
                              </a:lnTo>
                              <a:lnTo>
                                <a:pt x="2417508" y="778319"/>
                              </a:lnTo>
                              <a:lnTo>
                                <a:pt x="2414524" y="753999"/>
                              </a:lnTo>
                              <a:lnTo>
                                <a:pt x="2400338" y="704456"/>
                              </a:lnTo>
                              <a:lnTo>
                                <a:pt x="2375789" y="653669"/>
                              </a:lnTo>
                              <a:lnTo>
                                <a:pt x="2340584" y="602348"/>
                              </a:lnTo>
                              <a:lnTo>
                                <a:pt x="2321128" y="579158"/>
                              </a:lnTo>
                              <a:lnTo>
                                <a:pt x="2321128" y="774280"/>
                              </a:lnTo>
                              <a:lnTo>
                                <a:pt x="2320226" y="788733"/>
                              </a:lnTo>
                              <a:lnTo>
                                <a:pt x="2305621" y="830376"/>
                              </a:lnTo>
                              <a:lnTo>
                                <a:pt x="2231517" y="909701"/>
                              </a:lnTo>
                              <a:lnTo>
                                <a:pt x="1960118" y="638429"/>
                              </a:lnTo>
                              <a:lnTo>
                                <a:pt x="2014105" y="584441"/>
                              </a:lnTo>
                              <a:lnTo>
                                <a:pt x="2048637" y="557403"/>
                              </a:lnTo>
                              <a:lnTo>
                                <a:pt x="2096262" y="544068"/>
                              </a:lnTo>
                              <a:lnTo>
                                <a:pt x="2110981" y="544715"/>
                              </a:lnTo>
                              <a:lnTo>
                                <a:pt x="2162302" y="560705"/>
                              </a:lnTo>
                              <a:lnTo>
                                <a:pt x="2200605" y="584454"/>
                              </a:lnTo>
                              <a:lnTo>
                                <a:pt x="2241169" y="619887"/>
                              </a:lnTo>
                              <a:lnTo>
                                <a:pt x="2268791" y="650608"/>
                              </a:lnTo>
                              <a:lnTo>
                                <a:pt x="2291080" y="681990"/>
                              </a:lnTo>
                              <a:lnTo>
                                <a:pt x="2313343" y="729234"/>
                              </a:lnTo>
                              <a:lnTo>
                                <a:pt x="2321128" y="774280"/>
                              </a:lnTo>
                              <a:lnTo>
                                <a:pt x="2321128" y="579158"/>
                              </a:lnTo>
                              <a:lnTo>
                                <a:pt x="2319147" y="576795"/>
                              </a:lnTo>
                              <a:lnTo>
                                <a:pt x="2295017" y="551307"/>
                              </a:lnTo>
                              <a:lnTo>
                                <a:pt x="2287447" y="544068"/>
                              </a:lnTo>
                              <a:lnTo>
                                <a:pt x="2275878" y="532993"/>
                              </a:lnTo>
                              <a:lnTo>
                                <a:pt x="2237575" y="501472"/>
                              </a:lnTo>
                              <a:lnTo>
                                <a:pt x="2199157" y="476669"/>
                              </a:lnTo>
                              <a:lnTo>
                                <a:pt x="2161438" y="459130"/>
                              </a:lnTo>
                              <a:lnTo>
                                <a:pt x="2124494" y="447548"/>
                              </a:lnTo>
                              <a:lnTo>
                                <a:pt x="2070989" y="442849"/>
                              </a:lnTo>
                              <a:lnTo>
                                <a:pt x="2054098" y="444538"/>
                              </a:lnTo>
                              <a:lnTo>
                                <a:pt x="2012188" y="456692"/>
                              </a:lnTo>
                              <a:lnTo>
                                <a:pt x="1973580" y="479679"/>
                              </a:lnTo>
                              <a:lnTo>
                                <a:pt x="1944624" y="505460"/>
                              </a:lnTo>
                              <a:lnTo>
                                <a:pt x="1850771" y="599313"/>
                              </a:lnTo>
                              <a:lnTo>
                                <a:pt x="1843532" y="616623"/>
                              </a:lnTo>
                              <a:lnTo>
                                <a:pt x="1843659" y="624205"/>
                              </a:lnTo>
                              <a:lnTo>
                                <a:pt x="1866392" y="661035"/>
                              </a:lnTo>
                              <a:lnTo>
                                <a:pt x="2490724" y="1285367"/>
                              </a:lnTo>
                              <a:lnTo>
                                <a:pt x="2493264" y="1288034"/>
                              </a:lnTo>
                              <a:lnTo>
                                <a:pt x="2496312" y="1290193"/>
                              </a:lnTo>
                              <a:lnTo>
                                <a:pt x="2502408" y="1292479"/>
                              </a:lnTo>
                              <a:lnTo>
                                <a:pt x="2505456" y="1292606"/>
                              </a:lnTo>
                              <a:lnTo>
                                <a:pt x="2508885" y="1291336"/>
                              </a:lnTo>
                              <a:lnTo>
                                <a:pt x="2512822" y="1290574"/>
                              </a:lnTo>
                              <a:lnTo>
                                <a:pt x="2546604" y="1261999"/>
                              </a:lnTo>
                              <a:lnTo>
                                <a:pt x="2554859" y="1245235"/>
                              </a:lnTo>
                              <a:lnTo>
                                <a:pt x="2555875" y="1242187"/>
                              </a:lnTo>
                              <a:lnTo>
                                <a:pt x="2556002" y="1238885"/>
                              </a:lnTo>
                              <a:close/>
                            </a:path>
                            <a:path w="2995930" h="2994660">
                              <a:moveTo>
                                <a:pt x="2995803" y="802259"/>
                              </a:moveTo>
                              <a:lnTo>
                                <a:pt x="2995676" y="799211"/>
                              </a:lnTo>
                              <a:lnTo>
                                <a:pt x="2993517" y="793115"/>
                              </a:lnTo>
                              <a:lnTo>
                                <a:pt x="2991231" y="790067"/>
                              </a:lnTo>
                              <a:lnTo>
                                <a:pt x="2739136" y="538099"/>
                              </a:lnTo>
                              <a:lnTo>
                                <a:pt x="2692006" y="446278"/>
                              </a:lnTo>
                              <a:lnTo>
                                <a:pt x="2551988" y="170192"/>
                              </a:lnTo>
                              <a:lnTo>
                                <a:pt x="2481453" y="32385"/>
                              </a:lnTo>
                              <a:lnTo>
                                <a:pt x="2451100" y="0"/>
                              </a:lnTo>
                              <a:lnTo>
                                <a:pt x="2446020" y="1905"/>
                              </a:lnTo>
                              <a:lnTo>
                                <a:pt x="2414524" y="29210"/>
                              </a:lnTo>
                              <a:lnTo>
                                <a:pt x="2399665" y="57658"/>
                              </a:lnTo>
                              <a:lnTo>
                                <a:pt x="2401189" y="61341"/>
                              </a:lnTo>
                              <a:lnTo>
                                <a:pt x="2402459" y="65278"/>
                              </a:lnTo>
                              <a:lnTo>
                                <a:pt x="2404110" y="68961"/>
                              </a:lnTo>
                              <a:lnTo>
                                <a:pt x="2407158" y="73279"/>
                              </a:lnTo>
                              <a:lnTo>
                                <a:pt x="2429713" y="116001"/>
                              </a:lnTo>
                              <a:lnTo>
                                <a:pt x="2496705" y="244411"/>
                              </a:lnTo>
                              <a:lnTo>
                                <a:pt x="2541651" y="329819"/>
                              </a:lnTo>
                              <a:lnTo>
                                <a:pt x="2604592" y="442645"/>
                              </a:lnTo>
                              <a:lnTo>
                                <a:pt x="2626487" y="480314"/>
                              </a:lnTo>
                              <a:lnTo>
                                <a:pt x="2625852" y="480949"/>
                              </a:lnTo>
                              <a:lnTo>
                                <a:pt x="2472817" y="395605"/>
                              </a:lnTo>
                              <a:lnTo>
                                <a:pt x="2430335" y="373176"/>
                              </a:lnTo>
                              <a:lnTo>
                                <a:pt x="2217547" y="261747"/>
                              </a:lnTo>
                              <a:lnTo>
                                <a:pt x="2212848" y="259080"/>
                              </a:lnTo>
                              <a:lnTo>
                                <a:pt x="2208911" y="257937"/>
                              </a:lnTo>
                              <a:lnTo>
                                <a:pt x="2205355" y="256286"/>
                              </a:lnTo>
                              <a:lnTo>
                                <a:pt x="2201799" y="255524"/>
                              </a:lnTo>
                              <a:lnTo>
                                <a:pt x="2156841" y="286893"/>
                              </a:lnTo>
                              <a:lnTo>
                                <a:pt x="2142236" y="307721"/>
                              </a:lnTo>
                              <a:lnTo>
                                <a:pt x="2144268" y="316357"/>
                              </a:lnTo>
                              <a:lnTo>
                                <a:pt x="2175256" y="338582"/>
                              </a:lnTo>
                              <a:lnTo>
                                <a:pt x="2267026" y="385762"/>
                              </a:lnTo>
                              <a:lnTo>
                                <a:pt x="2543137" y="525754"/>
                              </a:lnTo>
                              <a:lnTo>
                                <a:pt x="2680970" y="596265"/>
                              </a:lnTo>
                              <a:lnTo>
                                <a:pt x="2932938" y="848360"/>
                              </a:lnTo>
                              <a:lnTo>
                                <a:pt x="2935986" y="850646"/>
                              </a:lnTo>
                              <a:lnTo>
                                <a:pt x="2939034" y="851789"/>
                              </a:lnTo>
                              <a:lnTo>
                                <a:pt x="2941701" y="853186"/>
                              </a:lnTo>
                              <a:lnTo>
                                <a:pt x="2945003" y="853059"/>
                              </a:lnTo>
                              <a:lnTo>
                                <a:pt x="2948432" y="851662"/>
                              </a:lnTo>
                              <a:lnTo>
                                <a:pt x="2952496" y="850900"/>
                              </a:lnTo>
                              <a:lnTo>
                                <a:pt x="2985897" y="822706"/>
                              </a:lnTo>
                              <a:lnTo>
                                <a:pt x="2994533" y="805561"/>
                              </a:lnTo>
                              <a:lnTo>
                                <a:pt x="2995803" y="80225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2.480011pt;margin-top:214.649948pt;width:235.9pt;height:235.8pt;mso-position-horizontal-relative:page;mso-position-vertical-relative:page;z-index:-25522688" id="docshape148" coordorigin="5050,4293" coordsize="4718,4716" path="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w10:wrap type="none"/>
              </v:shape>
            </w:pict>
          </mc:Fallback>
        </mc:AlternateContent>
      </w:r>
      <w:r>
        <w:rPr>
          <w:b/>
          <w:sz w:val="24"/>
        </w:rPr>
        <w:t>Appendix</w:t>
      </w:r>
      <w:r>
        <w:rPr>
          <w:b/>
          <w:spacing w:val="-3"/>
          <w:sz w:val="24"/>
        </w:rPr>
        <w:t> </w:t>
      </w:r>
      <w:r>
        <w:rPr>
          <w:b/>
          <w:sz w:val="24"/>
        </w:rPr>
        <w:t>17:</w:t>
      </w:r>
      <w:r>
        <w:rPr>
          <w:b/>
          <w:spacing w:val="-1"/>
          <w:sz w:val="24"/>
        </w:rPr>
        <w:t> </w:t>
      </w:r>
      <w:r>
        <w:rPr>
          <w:b/>
          <w:sz w:val="24"/>
        </w:rPr>
        <w:t>Table</w:t>
      </w:r>
      <w:r>
        <w:rPr>
          <w:b/>
          <w:spacing w:val="-1"/>
          <w:sz w:val="24"/>
        </w:rPr>
        <w:t> </w:t>
      </w:r>
      <w:r>
        <w:rPr>
          <w:b/>
          <w:sz w:val="24"/>
        </w:rPr>
        <w:t>4.9:</w:t>
      </w:r>
      <w:r>
        <w:rPr>
          <w:b/>
          <w:spacing w:val="57"/>
          <w:sz w:val="24"/>
        </w:rPr>
        <w:t> </w:t>
      </w:r>
      <w:r>
        <w:rPr>
          <w:b/>
          <w:sz w:val="24"/>
        </w:rPr>
        <w:t>DISACC</w:t>
      </w:r>
      <w:r>
        <w:rPr>
          <w:b/>
          <w:spacing w:val="-2"/>
          <w:sz w:val="24"/>
        </w:rPr>
        <w:t> </w:t>
      </w:r>
      <w:r>
        <w:rPr>
          <w:b/>
          <w:sz w:val="24"/>
        </w:rPr>
        <w:t>and</w:t>
      </w:r>
      <w:r>
        <w:rPr>
          <w:b/>
          <w:spacing w:val="-1"/>
          <w:sz w:val="24"/>
        </w:rPr>
        <w:t> </w:t>
      </w:r>
      <w:r>
        <w:rPr>
          <w:b/>
          <w:sz w:val="24"/>
        </w:rPr>
        <w:t>Ownership Structure</w:t>
      </w:r>
      <w:r>
        <w:rPr>
          <w:b/>
          <w:spacing w:val="-2"/>
          <w:sz w:val="24"/>
        </w:rPr>
        <w:t> </w:t>
      </w:r>
      <w:r>
        <w:rPr>
          <w:b/>
          <w:sz w:val="24"/>
        </w:rPr>
        <w:t>Regression</w:t>
      </w:r>
      <w:r>
        <w:rPr>
          <w:b/>
          <w:spacing w:val="-1"/>
          <w:sz w:val="24"/>
        </w:rPr>
        <w:t> </w:t>
      </w:r>
      <w:r>
        <w:rPr>
          <w:b/>
          <w:sz w:val="24"/>
        </w:rPr>
        <w:t>Result</w:t>
      </w:r>
      <w:r>
        <w:rPr>
          <w:b/>
          <w:spacing w:val="-1"/>
          <w:sz w:val="24"/>
        </w:rPr>
        <w:t> </w:t>
      </w:r>
      <w:r>
        <w:rPr>
          <w:b/>
          <w:spacing w:val="-2"/>
          <w:sz w:val="24"/>
        </w:rPr>
        <w:t>(DID)</w:t>
      </w:r>
    </w:p>
    <w:p>
      <w:pPr>
        <w:pStyle w:val="BodyText"/>
        <w:spacing w:before="200" w:after="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10"/>
        <w:gridCol w:w="91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0" w:type="dxa"/>
            <w:gridSpan w:val="5"/>
          </w:tcPr>
          <w:p>
            <w:pPr>
              <w:pStyle w:val="TableParagraph"/>
              <w:spacing w:line="198" w:lineRule="exact" w:before="6"/>
              <w:rPr>
                <w:sz w:val="18"/>
              </w:rPr>
            </w:pPr>
            <w:r>
              <w:rPr>
                <w:sz w:val="18"/>
              </w:rPr>
              <w:t>Method:</w:t>
            </w:r>
            <w:r>
              <w:rPr>
                <w:spacing w:val="-5"/>
                <w:sz w:val="18"/>
              </w:rPr>
              <w:t> </w:t>
            </w:r>
            <w:r>
              <w:rPr>
                <w:sz w:val="18"/>
              </w:rPr>
              <w:t>ARMA</w:t>
            </w:r>
            <w:r>
              <w:rPr>
                <w:spacing w:val="-6"/>
                <w:sz w:val="18"/>
              </w:rPr>
              <w:t> </w:t>
            </w:r>
            <w:r>
              <w:rPr>
                <w:sz w:val="18"/>
              </w:rPr>
              <w:t>Maximum</w:t>
            </w:r>
            <w:r>
              <w:rPr>
                <w:spacing w:val="-2"/>
                <w:sz w:val="18"/>
              </w:rPr>
              <w:t> </w:t>
            </w:r>
            <w:r>
              <w:rPr>
                <w:sz w:val="18"/>
              </w:rPr>
              <w:t>Likelihood</w:t>
            </w:r>
            <w:r>
              <w:rPr>
                <w:spacing w:val="-3"/>
                <w:sz w:val="18"/>
              </w:rPr>
              <w:t> </w:t>
            </w:r>
            <w:r>
              <w:rPr>
                <w:sz w:val="18"/>
              </w:rPr>
              <w:t>(OPG</w:t>
            </w:r>
            <w:r>
              <w:rPr>
                <w:spacing w:val="-1"/>
                <w:sz w:val="18"/>
              </w:rPr>
              <w:t> </w:t>
            </w:r>
            <w:r>
              <w:rPr>
                <w:sz w:val="18"/>
              </w:rPr>
              <w:t>-</w:t>
            </w:r>
            <w:r>
              <w:rPr>
                <w:spacing w:val="-2"/>
                <w:sz w:val="18"/>
              </w:rPr>
              <w:t> </w:t>
            </w:r>
            <w:r>
              <w:rPr>
                <w:spacing w:val="-4"/>
                <w:sz w:val="18"/>
              </w:rPr>
              <w:t>BHHH)</w:t>
            </w:r>
          </w:p>
        </w:tc>
      </w:tr>
      <w:tr>
        <w:trPr>
          <w:trHeight w:val="224" w:hRule="atLeast"/>
        </w:trPr>
        <w:tc>
          <w:tcPr>
            <w:tcW w:w="6530" w:type="dxa"/>
            <w:gridSpan w:val="5"/>
          </w:tcPr>
          <w:p>
            <w:pPr>
              <w:pStyle w:val="TableParagraph"/>
              <w:spacing w:line="199" w:lineRule="exact" w:before="5"/>
              <w:rPr>
                <w:sz w:val="18"/>
              </w:rPr>
            </w:pPr>
            <w:r>
              <w:rPr>
                <w:sz w:val="18"/>
              </w:rPr>
              <w:t>Date:</w:t>
            </w:r>
            <w:r>
              <w:rPr>
                <w:spacing w:val="-2"/>
                <w:sz w:val="18"/>
              </w:rPr>
              <w:t> </w:t>
            </w:r>
            <w:r>
              <w:rPr>
                <w:sz w:val="18"/>
              </w:rPr>
              <w:t>04/30/21</w:t>
            </w:r>
            <w:r>
              <w:rPr>
                <w:spacing w:val="65"/>
                <w:w w:val="150"/>
                <w:sz w:val="18"/>
              </w:rPr>
              <w:t> </w:t>
            </w:r>
            <w:r>
              <w:rPr>
                <w:sz w:val="18"/>
              </w:rPr>
              <w:t>Time:</w:t>
            </w:r>
            <w:r>
              <w:rPr>
                <w:spacing w:val="-2"/>
                <w:sz w:val="18"/>
              </w:rPr>
              <w:t> </w:t>
            </w:r>
            <w:r>
              <w:rPr>
                <w:spacing w:val="-4"/>
                <w:sz w:val="18"/>
              </w:rPr>
              <w:t>06:06</w:t>
            </w:r>
          </w:p>
        </w:tc>
      </w:tr>
      <w:tr>
        <w:trPr>
          <w:trHeight w:val="225" w:hRule="atLeast"/>
        </w:trPr>
        <w:tc>
          <w:tcPr>
            <w:tcW w:w="192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90" w:type="dxa"/>
          </w:tcPr>
          <w:p>
            <w:pPr>
              <w:pStyle w:val="TableParagraph"/>
              <w:rPr>
                <w:rFonts w:ascii="Times New Roman"/>
                <w:sz w:val="16"/>
              </w:rPr>
            </w:pPr>
          </w:p>
        </w:tc>
        <w:tc>
          <w:tcPr>
            <w:tcW w:w="1491" w:type="dxa"/>
          </w:tcPr>
          <w:p>
            <w:pPr>
              <w:pStyle w:val="TableParagraph"/>
              <w:rPr>
                <w:rFonts w:ascii="Times New Roman"/>
                <w:sz w:val="16"/>
              </w:rPr>
            </w:pPr>
          </w:p>
        </w:tc>
        <w:tc>
          <w:tcPr>
            <w:tcW w:w="910"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8" w:lineRule="exact" w:before="6"/>
              <w:rPr>
                <w:sz w:val="18"/>
              </w:rPr>
            </w:pPr>
            <w:r>
              <w:rPr>
                <w:sz w:val="18"/>
              </w:rPr>
              <w:t>Convergence</w:t>
            </w:r>
            <w:r>
              <w:rPr>
                <w:spacing w:val="-10"/>
                <w:sz w:val="18"/>
              </w:rPr>
              <w:t> </w:t>
            </w:r>
            <w:r>
              <w:rPr>
                <w:sz w:val="18"/>
              </w:rPr>
              <w:t>achieved</w:t>
            </w:r>
            <w:r>
              <w:rPr>
                <w:spacing w:val="-10"/>
                <w:sz w:val="18"/>
              </w:rPr>
              <w:t> </w:t>
            </w:r>
            <w:r>
              <w:rPr>
                <w:sz w:val="18"/>
              </w:rPr>
              <w:t>after</w:t>
            </w:r>
            <w:r>
              <w:rPr>
                <w:spacing w:val="-10"/>
                <w:sz w:val="18"/>
              </w:rPr>
              <w:t> </w:t>
            </w:r>
            <w:r>
              <w:rPr>
                <w:sz w:val="18"/>
              </w:rPr>
              <w:t>13</w:t>
            </w:r>
            <w:r>
              <w:rPr>
                <w:spacing w:val="-10"/>
                <w:sz w:val="18"/>
              </w:rPr>
              <w:t> </w:t>
            </w:r>
            <w:r>
              <w:rPr>
                <w:spacing w:val="-2"/>
                <w:sz w:val="18"/>
              </w:rPr>
              <w:t>iterations</w:t>
            </w:r>
          </w:p>
        </w:tc>
      </w:tr>
      <w:tr>
        <w:trPr>
          <w:trHeight w:val="302" w:hRule="atLeast"/>
        </w:trPr>
        <w:tc>
          <w:tcPr>
            <w:tcW w:w="6530" w:type="dxa"/>
            <w:gridSpan w:val="5"/>
            <w:tcBorders>
              <w:bottom w:val="double" w:sz="6" w:space="0" w:color="000000"/>
            </w:tcBorders>
          </w:tcPr>
          <w:p>
            <w:pPr>
              <w:pStyle w:val="TableParagraph"/>
              <w:spacing w:before="5"/>
              <w:rPr>
                <w:sz w:val="18"/>
              </w:rPr>
            </w:pPr>
            <w:r>
              <w:rPr>
                <w:sz w:val="18"/>
              </w:rPr>
              <w:t>Coefficient</w:t>
            </w:r>
            <w:r>
              <w:rPr>
                <w:spacing w:val="-10"/>
                <w:sz w:val="18"/>
              </w:rPr>
              <w:t> </w:t>
            </w:r>
            <w:r>
              <w:rPr>
                <w:sz w:val="18"/>
              </w:rPr>
              <w:t>covariance</w:t>
            </w:r>
            <w:r>
              <w:rPr>
                <w:spacing w:val="-11"/>
                <w:sz w:val="18"/>
              </w:rPr>
              <w:t> </w:t>
            </w:r>
            <w:r>
              <w:rPr>
                <w:sz w:val="18"/>
              </w:rPr>
              <w:t>computed</w:t>
            </w:r>
            <w:r>
              <w:rPr>
                <w:spacing w:val="-9"/>
                <w:sz w:val="18"/>
              </w:rPr>
              <w:t> </w:t>
            </w:r>
            <w:r>
              <w:rPr>
                <w:sz w:val="18"/>
              </w:rPr>
              <w:t>using</w:t>
            </w:r>
            <w:r>
              <w:rPr>
                <w:spacing w:val="-11"/>
                <w:sz w:val="18"/>
              </w:rPr>
              <w:t> </w:t>
            </w:r>
            <w:r>
              <w:rPr>
                <w:sz w:val="18"/>
              </w:rPr>
              <w:t>outer</w:t>
            </w:r>
            <w:r>
              <w:rPr>
                <w:spacing w:val="-10"/>
                <w:sz w:val="18"/>
              </w:rPr>
              <w:t> </w:t>
            </w:r>
            <w:r>
              <w:rPr>
                <w:sz w:val="18"/>
              </w:rPr>
              <w:t>product</w:t>
            </w:r>
            <w:r>
              <w:rPr>
                <w:spacing w:val="-9"/>
                <w:sz w:val="18"/>
              </w:rPr>
              <w:t> </w:t>
            </w:r>
            <w:r>
              <w:rPr>
                <w:sz w:val="18"/>
              </w:rPr>
              <w:t>of</w:t>
            </w:r>
            <w:r>
              <w:rPr>
                <w:spacing w:val="-11"/>
                <w:sz w:val="18"/>
              </w:rPr>
              <w:t> </w:t>
            </w:r>
            <w:r>
              <w:rPr>
                <w:spacing w:val="-2"/>
                <w:sz w:val="18"/>
              </w:rPr>
              <w:t>gradients</w:t>
            </w:r>
          </w:p>
        </w:tc>
      </w:tr>
      <w:tr>
        <w:trPr>
          <w:trHeight w:val="406"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left="33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10" w:type="dxa"/>
            <w:tcBorders>
              <w:top w:val="double" w:sz="6" w:space="0" w:color="000000"/>
              <w:bottom w:val="double" w:sz="6" w:space="0" w:color="000000"/>
            </w:tcBorders>
          </w:tcPr>
          <w:p>
            <w:pPr>
              <w:pStyle w:val="TableParagraph"/>
              <w:spacing w:before="108"/>
              <w:ind w:right="90"/>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5"/>
              <w:rPr>
                <w:sz w:val="18"/>
              </w:rPr>
            </w:pPr>
            <w:r>
              <w:rPr>
                <w:spacing w:val="-2"/>
                <w:sz w:val="18"/>
              </w:rPr>
              <w:t>Prob.</w:t>
            </w:r>
          </w:p>
        </w:tc>
      </w:tr>
      <w:tr>
        <w:trPr>
          <w:trHeight w:val="325" w:hRule="atLeast"/>
        </w:trPr>
        <w:tc>
          <w:tcPr>
            <w:tcW w:w="1925" w:type="dxa"/>
            <w:tcBorders>
              <w:top w:val="double" w:sz="6" w:space="0" w:color="000000"/>
            </w:tcBorders>
          </w:tcPr>
          <w:p>
            <w:pPr>
              <w:pStyle w:val="TableParagraph"/>
              <w:spacing w:line="199" w:lineRule="exact" w:before="106"/>
              <w:ind w:left="92" w:right="1"/>
              <w:jc w:val="center"/>
              <w:rPr>
                <w:sz w:val="18"/>
              </w:rPr>
            </w:pPr>
            <w:r>
              <w:rPr>
                <w:spacing w:val="-10"/>
                <w:sz w:val="18"/>
              </w:rPr>
              <w:t>C</w:t>
            </w:r>
          </w:p>
        </w:tc>
        <w:tc>
          <w:tcPr>
            <w:tcW w:w="1290" w:type="dxa"/>
            <w:tcBorders>
              <w:top w:val="double" w:sz="6" w:space="0" w:color="000000"/>
            </w:tcBorders>
          </w:tcPr>
          <w:p>
            <w:pPr>
              <w:pStyle w:val="TableParagraph"/>
              <w:spacing w:line="199" w:lineRule="exact" w:before="106"/>
              <w:ind w:left="432"/>
              <w:rPr>
                <w:sz w:val="18"/>
              </w:rPr>
            </w:pPr>
            <w:r>
              <w:rPr>
                <w:spacing w:val="-2"/>
                <w:sz w:val="18"/>
              </w:rPr>
              <w:t>0.407938</w:t>
            </w:r>
          </w:p>
        </w:tc>
        <w:tc>
          <w:tcPr>
            <w:tcW w:w="1491" w:type="dxa"/>
            <w:tcBorders>
              <w:top w:val="double" w:sz="6" w:space="0" w:color="000000"/>
            </w:tcBorders>
          </w:tcPr>
          <w:p>
            <w:pPr>
              <w:pStyle w:val="TableParagraph"/>
              <w:spacing w:line="199" w:lineRule="exact" w:before="106"/>
              <w:ind w:left="351"/>
              <w:rPr>
                <w:sz w:val="18"/>
              </w:rPr>
            </w:pPr>
            <w:r>
              <w:rPr>
                <w:spacing w:val="-2"/>
                <w:sz w:val="18"/>
              </w:rPr>
              <w:t>1.031646</w:t>
            </w:r>
          </w:p>
        </w:tc>
        <w:tc>
          <w:tcPr>
            <w:tcW w:w="910" w:type="dxa"/>
            <w:tcBorders>
              <w:top w:val="double" w:sz="6" w:space="0" w:color="000000"/>
            </w:tcBorders>
          </w:tcPr>
          <w:p>
            <w:pPr>
              <w:pStyle w:val="TableParagraph"/>
              <w:spacing w:line="199" w:lineRule="exact" w:before="106"/>
              <w:ind w:right="89"/>
              <w:jc w:val="right"/>
              <w:rPr>
                <w:sz w:val="18"/>
              </w:rPr>
            </w:pPr>
            <w:r>
              <w:rPr>
                <w:spacing w:val="-2"/>
                <w:sz w:val="18"/>
              </w:rPr>
              <w:t>0.395425</w:t>
            </w:r>
          </w:p>
        </w:tc>
        <w:tc>
          <w:tcPr>
            <w:tcW w:w="914" w:type="dxa"/>
            <w:tcBorders>
              <w:top w:val="double" w:sz="6" w:space="0" w:color="000000"/>
            </w:tcBorders>
          </w:tcPr>
          <w:p>
            <w:pPr>
              <w:pStyle w:val="TableParagraph"/>
              <w:spacing w:line="199" w:lineRule="exact" w:before="106"/>
              <w:ind w:right="5"/>
              <w:jc w:val="right"/>
              <w:rPr>
                <w:sz w:val="18"/>
              </w:rPr>
            </w:pPr>
            <w:r>
              <w:rPr>
                <w:spacing w:val="-2"/>
                <w:sz w:val="18"/>
              </w:rPr>
              <w:t>0.6930</w:t>
            </w:r>
          </w:p>
        </w:tc>
      </w:tr>
      <w:tr>
        <w:trPr>
          <w:trHeight w:val="225" w:hRule="atLeast"/>
        </w:trPr>
        <w:tc>
          <w:tcPr>
            <w:tcW w:w="1925" w:type="dxa"/>
          </w:tcPr>
          <w:p>
            <w:pPr>
              <w:pStyle w:val="TableParagraph"/>
              <w:spacing w:line="200" w:lineRule="exact" w:before="6"/>
              <w:ind w:left="92" w:right="4"/>
              <w:jc w:val="center"/>
              <w:rPr>
                <w:sz w:val="18"/>
              </w:rPr>
            </w:pPr>
            <w:r>
              <w:rPr>
                <w:spacing w:val="-4"/>
                <w:sz w:val="18"/>
              </w:rPr>
              <w:t>IFRS</w:t>
            </w:r>
          </w:p>
        </w:tc>
        <w:tc>
          <w:tcPr>
            <w:tcW w:w="1290" w:type="dxa"/>
          </w:tcPr>
          <w:p>
            <w:pPr>
              <w:pStyle w:val="TableParagraph"/>
              <w:spacing w:line="200" w:lineRule="exact" w:before="6"/>
              <w:ind w:left="432"/>
              <w:rPr>
                <w:sz w:val="18"/>
              </w:rPr>
            </w:pPr>
            <w:r>
              <w:rPr>
                <w:spacing w:val="-2"/>
                <w:sz w:val="18"/>
              </w:rPr>
              <w:t>0.131152</w:t>
            </w:r>
          </w:p>
        </w:tc>
        <w:tc>
          <w:tcPr>
            <w:tcW w:w="1491" w:type="dxa"/>
          </w:tcPr>
          <w:p>
            <w:pPr>
              <w:pStyle w:val="TableParagraph"/>
              <w:spacing w:line="200" w:lineRule="exact" w:before="6"/>
              <w:ind w:left="351"/>
              <w:rPr>
                <w:sz w:val="18"/>
              </w:rPr>
            </w:pPr>
            <w:r>
              <w:rPr>
                <w:spacing w:val="-2"/>
                <w:sz w:val="18"/>
              </w:rPr>
              <w:t>0.145482</w:t>
            </w:r>
          </w:p>
        </w:tc>
        <w:tc>
          <w:tcPr>
            <w:tcW w:w="910" w:type="dxa"/>
          </w:tcPr>
          <w:p>
            <w:pPr>
              <w:pStyle w:val="TableParagraph"/>
              <w:spacing w:line="200" w:lineRule="exact" w:before="6"/>
              <w:ind w:right="89"/>
              <w:jc w:val="right"/>
              <w:rPr>
                <w:sz w:val="18"/>
              </w:rPr>
            </w:pPr>
            <w:r>
              <w:rPr>
                <w:spacing w:val="-2"/>
                <w:sz w:val="18"/>
              </w:rPr>
              <w:t>0.901501</w:t>
            </w:r>
          </w:p>
        </w:tc>
        <w:tc>
          <w:tcPr>
            <w:tcW w:w="914" w:type="dxa"/>
          </w:tcPr>
          <w:p>
            <w:pPr>
              <w:pStyle w:val="TableParagraph"/>
              <w:spacing w:line="200" w:lineRule="exact" w:before="6"/>
              <w:ind w:right="5"/>
              <w:jc w:val="right"/>
              <w:rPr>
                <w:sz w:val="18"/>
              </w:rPr>
            </w:pPr>
            <w:r>
              <w:rPr>
                <w:spacing w:val="-2"/>
                <w:sz w:val="18"/>
              </w:rPr>
              <w:t>0.3685</w:t>
            </w:r>
          </w:p>
        </w:tc>
      </w:tr>
      <w:tr>
        <w:trPr>
          <w:trHeight w:val="225" w:hRule="atLeast"/>
        </w:trPr>
        <w:tc>
          <w:tcPr>
            <w:tcW w:w="1925" w:type="dxa"/>
          </w:tcPr>
          <w:p>
            <w:pPr>
              <w:pStyle w:val="TableParagraph"/>
              <w:spacing w:line="199" w:lineRule="exact" w:before="6"/>
              <w:ind w:left="643"/>
              <w:rPr>
                <w:sz w:val="18"/>
              </w:rPr>
            </w:pPr>
            <w:r>
              <w:rPr>
                <w:spacing w:val="-2"/>
                <w:sz w:val="18"/>
              </w:rPr>
              <w:t>IFRS*TG</w:t>
            </w:r>
          </w:p>
        </w:tc>
        <w:tc>
          <w:tcPr>
            <w:tcW w:w="1290" w:type="dxa"/>
          </w:tcPr>
          <w:p>
            <w:pPr>
              <w:pStyle w:val="TableParagraph"/>
              <w:spacing w:line="199" w:lineRule="exact" w:before="6"/>
              <w:ind w:left="432"/>
              <w:rPr>
                <w:sz w:val="18"/>
              </w:rPr>
            </w:pPr>
            <w:r>
              <w:rPr>
                <w:spacing w:val="-2"/>
                <w:sz w:val="18"/>
              </w:rPr>
              <w:t>0.923631</w:t>
            </w:r>
          </w:p>
        </w:tc>
        <w:tc>
          <w:tcPr>
            <w:tcW w:w="1491" w:type="dxa"/>
          </w:tcPr>
          <w:p>
            <w:pPr>
              <w:pStyle w:val="TableParagraph"/>
              <w:spacing w:line="199" w:lineRule="exact" w:before="6"/>
              <w:ind w:left="351"/>
              <w:rPr>
                <w:sz w:val="18"/>
              </w:rPr>
            </w:pPr>
            <w:r>
              <w:rPr>
                <w:spacing w:val="-2"/>
                <w:sz w:val="18"/>
              </w:rPr>
              <w:t>0.378008</w:t>
            </w:r>
          </w:p>
        </w:tc>
        <w:tc>
          <w:tcPr>
            <w:tcW w:w="910" w:type="dxa"/>
          </w:tcPr>
          <w:p>
            <w:pPr>
              <w:pStyle w:val="TableParagraph"/>
              <w:spacing w:line="199" w:lineRule="exact" w:before="6"/>
              <w:ind w:right="89"/>
              <w:jc w:val="right"/>
              <w:rPr>
                <w:sz w:val="18"/>
              </w:rPr>
            </w:pPr>
            <w:r>
              <w:rPr>
                <w:spacing w:val="-2"/>
                <w:sz w:val="18"/>
              </w:rPr>
              <w:t>2.443416</w:t>
            </w:r>
          </w:p>
        </w:tc>
        <w:tc>
          <w:tcPr>
            <w:tcW w:w="914" w:type="dxa"/>
          </w:tcPr>
          <w:p>
            <w:pPr>
              <w:pStyle w:val="TableParagraph"/>
              <w:spacing w:line="199" w:lineRule="exact" w:before="6"/>
              <w:ind w:right="5"/>
              <w:jc w:val="right"/>
              <w:rPr>
                <w:sz w:val="18"/>
              </w:rPr>
            </w:pPr>
            <w:r>
              <w:rPr>
                <w:spacing w:val="-2"/>
                <w:sz w:val="18"/>
              </w:rPr>
              <w:t>0.0155</w:t>
            </w:r>
          </w:p>
        </w:tc>
      </w:tr>
      <w:tr>
        <w:trPr>
          <w:trHeight w:val="224" w:hRule="atLeast"/>
        </w:trPr>
        <w:tc>
          <w:tcPr>
            <w:tcW w:w="1925" w:type="dxa"/>
          </w:tcPr>
          <w:p>
            <w:pPr>
              <w:pStyle w:val="TableParagraph"/>
              <w:spacing w:line="198" w:lineRule="exact" w:before="6"/>
              <w:ind w:left="676"/>
              <w:rPr>
                <w:sz w:val="18"/>
              </w:rPr>
            </w:pPr>
            <w:r>
              <w:rPr>
                <w:spacing w:val="-2"/>
                <w:sz w:val="18"/>
              </w:rPr>
              <w:t>BLOWN</w:t>
            </w:r>
          </w:p>
        </w:tc>
        <w:tc>
          <w:tcPr>
            <w:tcW w:w="1290" w:type="dxa"/>
          </w:tcPr>
          <w:p>
            <w:pPr>
              <w:pStyle w:val="TableParagraph"/>
              <w:spacing w:line="198" w:lineRule="exact" w:before="6"/>
              <w:ind w:left="432"/>
              <w:rPr>
                <w:sz w:val="18"/>
              </w:rPr>
            </w:pPr>
            <w:r>
              <w:rPr>
                <w:spacing w:val="-2"/>
                <w:sz w:val="18"/>
              </w:rPr>
              <w:t>0.000448</w:t>
            </w:r>
          </w:p>
        </w:tc>
        <w:tc>
          <w:tcPr>
            <w:tcW w:w="1491" w:type="dxa"/>
          </w:tcPr>
          <w:p>
            <w:pPr>
              <w:pStyle w:val="TableParagraph"/>
              <w:spacing w:line="198" w:lineRule="exact" w:before="6"/>
              <w:ind w:left="351"/>
              <w:rPr>
                <w:sz w:val="18"/>
              </w:rPr>
            </w:pPr>
            <w:r>
              <w:rPr>
                <w:spacing w:val="-2"/>
                <w:sz w:val="18"/>
              </w:rPr>
              <w:t>0.005696</w:t>
            </w:r>
          </w:p>
        </w:tc>
        <w:tc>
          <w:tcPr>
            <w:tcW w:w="910" w:type="dxa"/>
          </w:tcPr>
          <w:p>
            <w:pPr>
              <w:pStyle w:val="TableParagraph"/>
              <w:spacing w:line="198" w:lineRule="exact" w:before="6"/>
              <w:ind w:right="89"/>
              <w:jc w:val="right"/>
              <w:rPr>
                <w:sz w:val="18"/>
              </w:rPr>
            </w:pPr>
            <w:r>
              <w:rPr>
                <w:spacing w:val="-2"/>
                <w:sz w:val="18"/>
              </w:rPr>
              <w:t>0.078707</w:t>
            </w:r>
          </w:p>
        </w:tc>
        <w:tc>
          <w:tcPr>
            <w:tcW w:w="914" w:type="dxa"/>
          </w:tcPr>
          <w:p>
            <w:pPr>
              <w:pStyle w:val="TableParagraph"/>
              <w:spacing w:line="198" w:lineRule="exact" w:before="6"/>
              <w:ind w:right="5"/>
              <w:jc w:val="right"/>
              <w:rPr>
                <w:sz w:val="18"/>
              </w:rPr>
            </w:pPr>
            <w:r>
              <w:rPr>
                <w:spacing w:val="-2"/>
                <w:sz w:val="18"/>
              </w:rPr>
              <w:t>0.9374</w:t>
            </w:r>
          </w:p>
        </w:tc>
      </w:tr>
      <w:tr>
        <w:trPr>
          <w:trHeight w:val="224" w:hRule="atLeast"/>
        </w:trPr>
        <w:tc>
          <w:tcPr>
            <w:tcW w:w="1925" w:type="dxa"/>
          </w:tcPr>
          <w:p>
            <w:pPr>
              <w:pStyle w:val="TableParagraph"/>
              <w:spacing w:line="199" w:lineRule="exact" w:before="5"/>
              <w:ind w:left="92" w:right="4"/>
              <w:jc w:val="center"/>
              <w:rPr>
                <w:sz w:val="18"/>
              </w:rPr>
            </w:pPr>
            <w:r>
              <w:rPr>
                <w:spacing w:val="-4"/>
                <w:sz w:val="18"/>
              </w:rPr>
              <w:t>FOWN</w:t>
            </w:r>
          </w:p>
        </w:tc>
        <w:tc>
          <w:tcPr>
            <w:tcW w:w="1290" w:type="dxa"/>
          </w:tcPr>
          <w:p>
            <w:pPr>
              <w:pStyle w:val="TableParagraph"/>
              <w:spacing w:line="199" w:lineRule="exact" w:before="5"/>
              <w:ind w:left="432"/>
              <w:rPr>
                <w:sz w:val="18"/>
              </w:rPr>
            </w:pPr>
            <w:r>
              <w:rPr>
                <w:spacing w:val="-2"/>
                <w:sz w:val="18"/>
              </w:rPr>
              <w:t>0.007358</w:t>
            </w:r>
          </w:p>
        </w:tc>
        <w:tc>
          <w:tcPr>
            <w:tcW w:w="1491" w:type="dxa"/>
          </w:tcPr>
          <w:p>
            <w:pPr>
              <w:pStyle w:val="TableParagraph"/>
              <w:spacing w:line="199" w:lineRule="exact" w:before="5"/>
              <w:ind w:left="351"/>
              <w:rPr>
                <w:sz w:val="18"/>
              </w:rPr>
            </w:pPr>
            <w:r>
              <w:rPr>
                <w:spacing w:val="-2"/>
                <w:sz w:val="18"/>
              </w:rPr>
              <w:t>0.003632</w:t>
            </w:r>
          </w:p>
        </w:tc>
        <w:tc>
          <w:tcPr>
            <w:tcW w:w="910" w:type="dxa"/>
          </w:tcPr>
          <w:p>
            <w:pPr>
              <w:pStyle w:val="TableParagraph"/>
              <w:spacing w:line="199" w:lineRule="exact" w:before="5"/>
              <w:ind w:right="89"/>
              <w:jc w:val="right"/>
              <w:rPr>
                <w:sz w:val="18"/>
              </w:rPr>
            </w:pPr>
            <w:r>
              <w:rPr>
                <w:spacing w:val="-2"/>
                <w:sz w:val="18"/>
              </w:rPr>
              <w:t>2.025839</w:t>
            </w:r>
          </w:p>
        </w:tc>
        <w:tc>
          <w:tcPr>
            <w:tcW w:w="914" w:type="dxa"/>
          </w:tcPr>
          <w:p>
            <w:pPr>
              <w:pStyle w:val="TableParagraph"/>
              <w:spacing w:line="199" w:lineRule="exact" w:before="5"/>
              <w:ind w:right="5"/>
              <w:jc w:val="right"/>
              <w:rPr>
                <w:sz w:val="18"/>
              </w:rPr>
            </w:pPr>
            <w:r>
              <w:rPr>
                <w:spacing w:val="-2"/>
                <w:sz w:val="18"/>
              </w:rPr>
              <w:t>0.0442</w:t>
            </w:r>
          </w:p>
        </w:tc>
      </w:tr>
      <w:tr>
        <w:trPr>
          <w:trHeight w:val="225" w:hRule="atLeast"/>
        </w:trPr>
        <w:tc>
          <w:tcPr>
            <w:tcW w:w="1925" w:type="dxa"/>
          </w:tcPr>
          <w:p>
            <w:pPr>
              <w:pStyle w:val="TableParagraph"/>
              <w:spacing w:line="199" w:lineRule="exact" w:before="6"/>
              <w:ind w:left="583"/>
              <w:rPr>
                <w:sz w:val="18"/>
              </w:rPr>
            </w:pPr>
            <w:r>
              <w:rPr>
                <w:spacing w:val="-2"/>
                <w:sz w:val="18"/>
              </w:rPr>
              <w:t>INSTOWN</w:t>
            </w:r>
          </w:p>
        </w:tc>
        <w:tc>
          <w:tcPr>
            <w:tcW w:w="1290" w:type="dxa"/>
          </w:tcPr>
          <w:p>
            <w:pPr>
              <w:pStyle w:val="TableParagraph"/>
              <w:spacing w:line="199" w:lineRule="exact" w:before="6"/>
              <w:ind w:left="372"/>
              <w:rPr>
                <w:sz w:val="18"/>
              </w:rPr>
            </w:pPr>
            <w:r>
              <w:rPr>
                <w:spacing w:val="-2"/>
                <w:sz w:val="18"/>
              </w:rPr>
              <w:t>-0.008361</w:t>
            </w:r>
          </w:p>
        </w:tc>
        <w:tc>
          <w:tcPr>
            <w:tcW w:w="1491" w:type="dxa"/>
          </w:tcPr>
          <w:p>
            <w:pPr>
              <w:pStyle w:val="TableParagraph"/>
              <w:spacing w:line="199" w:lineRule="exact" w:before="6"/>
              <w:ind w:left="351"/>
              <w:rPr>
                <w:sz w:val="18"/>
              </w:rPr>
            </w:pPr>
            <w:r>
              <w:rPr>
                <w:spacing w:val="-2"/>
                <w:sz w:val="18"/>
              </w:rPr>
              <w:t>0.007491</w:t>
            </w:r>
          </w:p>
        </w:tc>
        <w:tc>
          <w:tcPr>
            <w:tcW w:w="910" w:type="dxa"/>
          </w:tcPr>
          <w:p>
            <w:pPr>
              <w:pStyle w:val="TableParagraph"/>
              <w:spacing w:line="199" w:lineRule="exact" w:before="6"/>
              <w:ind w:right="89"/>
              <w:jc w:val="right"/>
              <w:rPr>
                <w:sz w:val="18"/>
              </w:rPr>
            </w:pPr>
            <w:r>
              <w:rPr>
                <w:spacing w:val="-2"/>
                <w:sz w:val="18"/>
              </w:rPr>
              <w:t>-1.116150</w:t>
            </w:r>
          </w:p>
        </w:tc>
        <w:tc>
          <w:tcPr>
            <w:tcW w:w="914" w:type="dxa"/>
          </w:tcPr>
          <w:p>
            <w:pPr>
              <w:pStyle w:val="TableParagraph"/>
              <w:spacing w:line="199" w:lineRule="exact" w:before="6"/>
              <w:ind w:right="5"/>
              <w:jc w:val="right"/>
              <w:rPr>
                <w:sz w:val="18"/>
              </w:rPr>
            </w:pPr>
            <w:r>
              <w:rPr>
                <w:spacing w:val="-2"/>
                <w:sz w:val="18"/>
              </w:rPr>
              <w:t>0.2658</w:t>
            </w:r>
          </w:p>
        </w:tc>
      </w:tr>
      <w:tr>
        <w:trPr>
          <w:trHeight w:val="225" w:hRule="atLeast"/>
        </w:trPr>
        <w:tc>
          <w:tcPr>
            <w:tcW w:w="1925" w:type="dxa"/>
          </w:tcPr>
          <w:p>
            <w:pPr>
              <w:pStyle w:val="TableParagraph"/>
              <w:spacing w:line="199" w:lineRule="exact" w:before="6"/>
              <w:ind w:left="712"/>
              <w:rPr>
                <w:sz w:val="18"/>
              </w:rPr>
            </w:pPr>
            <w:r>
              <w:rPr>
                <w:spacing w:val="-4"/>
                <w:sz w:val="18"/>
              </w:rPr>
              <w:t>MOWN</w:t>
            </w:r>
          </w:p>
        </w:tc>
        <w:tc>
          <w:tcPr>
            <w:tcW w:w="1290" w:type="dxa"/>
          </w:tcPr>
          <w:p>
            <w:pPr>
              <w:pStyle w:val="TableParagraph"/>
              <w:spacing w:line="199" w:lineRule="exact" w:before="6"/>
              <w:ind w:left="432"/>
              <w:rPr>
                <w:sz w:val="18"/>
              </w:rPr>
            </w:pPr>
            <w:r>
              <w:rPr>
                <w:spacing w:val="-2"/>
                <w:sz w:val="18"/>
              </w:rPr>
              <w:t>0.010654</w:t>
            </w:r>
          </w:p>
        </w:tc>
        <w:tc>
          <w:tcPr>
            <w:tcW w:w="1491" w:type="dxa"/>
          </w:tcPr>
          <w:p>
            <w:pPr>
              <w:pStyle w:val="TableParagraph"/>
              <w:spacing w:line="199" w:lineRule="exact" w:before="6"/>
              <w:ind w:left="351"/>
              <w:rPr>
                <w:sz w:val="18"/>
              </w:rPr>
            </w:pPr>
            <w:r>
              <w:rPr>
                <w:spacing w:val="-2"/>
                <w:sz w:val="18"/>
              </w:rPr>
              <w:t>0.004846</w:t>
            </w:r>
          </w:p>
        </w:tc>
        <w:tc>
          <w:tcPr>
            <w:tcW w:w="910" w:type="dxa"/>
          </w:tcPr>
          <w:p>
            <w:pPr>
              <w:pStyle w:val="TableParagraph"/>
              <w:spacing w:line="199" w:lineRule="exact" w:before="6"/>
              <w:ind w:right="89"/>
              <w:jc w:val="right"/>
              <w:rPr>
                <w:sz w:val="18"/>
              </w:rPr>
            </w:pPr>
            <w:r>
              <w:rPr>
                <w:spacing w:val="-2"/>
                <w:sz w:val="18"/>
              </w:rPr>
              <w:t>2.198641</w:t>
            </w:r>
          </w:p>
        </w:tc>
        <w:tc>
          <w:tcPr>
            <w:tcW w:w="914" w:type="dxa"/>
          </w:tcPr>
          <w:p>
            <w:pPr>
              <w:pStyle w:val="TableParagraph"/>
              <w:spacing w:line="199" w:lineRule="exact" w:before="6"/>
              <w:ind w:right="5"/>
              <w:jc w:val="right"/>
              <w:rPr>
                <w:sz w:val="18"/>
              </w:rPr>
            </w:pPr>
            <w:r>
              <w:rPr>
                <w:spacing w:val="-2"/>
                <w:sz w:val="18"/>
              </w:rPr>
              <w:t>0.0292</w:t>
            </w:r>
          </w:p>
        </w:tc>
      </w:tr>
      <w:tr>
        <w:trPr>
          <w:trHeight w:val="224" w:hRule="atLeast"/>
        </w:trPr>
        <w:tc>
          <w:tcPr>
            <w:tcW w:w="1925" w:type="dxa"/>
          </w:tcPr>
          <w:p>
            <w:pPr>
              <w:pStyle w:val="TableParagraph"/>
              <w:spacing w:line="198" w:lineRule="exact" w:before="6"/>
              <w:ind w:left="92" w:right="1"/>
              <w:jc w:val="center"/>
              <w:rPr>
                <w:sz w:val="18"/>
              </w:rPr>
            </w:pPr>
            <w:r>
              <w:rPr>
                <w:spacing w:val="-4"/>
                <w:sz w:val="18"/>
              </w:rPr>
              <w:t>FAGE</w:t>
            </w:r>
          </w:p>
        </w:tc>
        <w:tc>
          <w:tcPr>
            <w:tcW w:w="1290" w:type="dxa"/>
          </w:tcPr>
          <w:p>
            <w:pPr>
              <w:pStyle w:val="TableParagraph"/>
              <w:spacing w:line="198" w:lineRule="exact" w:before="6"/>
              <w:ind w:left="372"/>
              <w:rPr>
                <w:sz w:val="18"/>
              </w:rPr>
            </w:pPr>
            <w:r>
              <w:rPr>
                <w:spacing w:val="-2"/>
                <w:sz w:val="18"/>
              </w:rPr>
              <w:t>-0.004972</w:t>
            </w:r>
          </w:p>
        </w:tc>
        <w:tc>
          <w:tcPr>
            <w:tcW w:w="1491" w:type="dxa"/>
          </w:tcPr>
          <w:p>
            <w:pPr>
              <w:pStyle w:val="TableParagraph"/>
              <w:spacing w:line="198" w:lineRule="exact" w:before="6"/>
              <w:ind w:left="351"/>
              <w:rPr>
                <w:sz w:val="18"/>
              </w:rPr>
            </w:pPr>
            <w:r>
              <w:rPr>
                <w:spacing w:val="-2"/>
                <w:sz w:val="18"/>
              </w:rPr>
              <w:t>0.006008</w:t>
            </w:r>
          </w:p>
        </w:tc>
        <w:tc>
          <w:tcPr>
            <w:tcW w:w="910" w:type="dxa"/>
          </w:tcPr>
          <w:p>
            <w:pPr>
              <w:pStyle w:val="TableParagraph"/>
              <w:spacing w:line="198" w:lineRule="exact" w:before="6"/>
              <w:ind w:right="89"/>
              <w:jc w:val="right"/>
              <w:rPr>
                <w:sz w:val="18"/>
              </w:rPr>
            </w:pPr>
            <w:r>
              <w:rPr>
                <w:spacing w:val="-2"/>
                <w:sz w:val="18"/>
              </w:rPr>
              <w:t>-0.827586</w:t>
            </w:r>
          </w:p>
        </w:tc>
        <w:tc>
          <w:tcPr>
            <w:tcW w:w="914" w:type="dxa"/>
          </w:tcPr>
          <w:p>
            <w:pPr>
              <w:pStyle w:val="TableParagraph"/>
              <w:spacing w:line="198" w:lineRule="exact" w:before="6"/>
              <w:ind w:right="5"/>
              <w:jc w:val="right"/>
              <w:rPr>
                <w:sz w:val="18"/>
              </w:rPr>
            </w:pPr>
            <w:r>
              <w:rPr>
                <w:spacing w:val="-2"/>
                <w:sz w:val="18"/>
              </w:rPr>
              <w:t>0.4090</w:t>
            </w:r>
          </w:p>
        </w:tc>
      </w:tr>
      <w:tr>
        <w:trPr>
          <w:trHeight w:val="224" w:hRule="atLeast"/>
        </w:trPr>
        <w:tc>
          <w:tcPr>
            <w:tcW w:w="1925" w:type="dxa"/>
          </w:tcPr>
          <w:p>
            <w:pPr>
              <w:pStyle w:val="TableParagraph"/>
              <w:spacing w:line="199" w:lineRule="exact" w:before="5"/>
              <w:ind w:left="92" w:right="5"/>
              <w:jc w:val="center"/>
              <w:rPr>
                <w:sz w:val="18"/>
              </w:rPr>
            </w:pPr>
            <w:r>
              <w:rPr>
                <w:spacing w:val="-2"/>
                <w:sz w:val="18"/>
              </w:rPr>
              <w:t>FSIZE</w:t>
            </w:r>
          </w:p>
        </w:tc>
        <w:tc>
          <w:tcPr>
            <w:tcW w:w="1290" w:type="dxa"/>
          </w:tcPr>
          <w:p>
            <w:pPr>
              <w:pStyle w:val="TableParagraph"/>
              <w:spacing w:line="199" w:lineRule="exact" w:before="5"/>
              <w:ind w:left="372"/>
              <w:rPr>
                <w:sz w:val="18"/>
              </w:rPr>
            </w:pPr>
            <w:r>
              <w:rPr>
                <w:spacing w:val="-2"/>
                <w:sz w:val="18"/>
              </w:rPr>
              <w:t>-0.045971</w:t>
            </w:r>
          </w:p>
        </w:tc>
        <w:tc>
          <w:tcPr>
            <w:tcW w:w="1491" w:type="dxa"/>
          </w:tcPr>
          <w:p>
            <w:pPr>
              <w:pStyle w:val="TableParagraph"/>
              <w:spacing w:line="199" w:lineRule="exact" w:before="5"/>
              <w:ind w:left="351"/>
              <w:rPr>
                <w:sz w:val="18"/>
              </w:rPr>
            </w:pPr>
            <w:r>
              <w:rPr>
                <w:spacing w:val="-2"/>
                <w:sz w:val="18"/>
              </w:rPr>
              <w:t>0.123239</w:t>
            </w:r>
          </w:p>
        </w:tc>
        <w:tc>
          <w:tcPr>
            <w:tcW w:w="910" w:type="dxa"/>
          </w:tcPr>
          <w:p>
            <w:pPr>
              <w:pStyle w:val="TableParagraph"/>
              <w:spacing w:line="199" w:lineRule="exact" w:before="5"/>
              <w:ind w:right="89"/>
              <w:jc w:val="right"/>
              <w:rPr>
                <w:sz w:val="18"/>
              </w:rPr>
            </w:pPr>
            <w:r>
              <w:rPr>
                <w:spacing w:val="-2"/>
                <w:sz w:val="18"/>
              </w:rPr>
              <w:t>-0.373028</w:t>
            </w:r>
          </w:p>
        </w:tc>
        <w:tc>
          <w:tcPr>
            <w:tcW w:w="914" w:type="dxa"/>
          </w:tcPr>
          <w:p>
            <w:pPr>
              <w:pStyle w:val="TableParagraph"/>
              <w:spacing w:line="199" w:lineRule="exact" w:before="5"/>
              <w:ind w:right="5"/>
              <w:jc w:val="right"/>
              <w:rPr>
                <w:sz w:val="18"/>
              </w:rPr>
            </w:pPr>
            <w:r>
              <w:rPr>
                <w:spacing w:val="-2"/>
                <w:sz w:val="18"/>
              </w:rPr>
              <w:t>0.7096</w:t>
            </w:r>
          </w:p>
        </w:tc>
      </w:tr>
      <w:tr>
        <w:trPr>
          <w:trHeight w:val="225" w:hRule="atLeast"/>
        </w:trPr>
        <w:tc>
          <w:tcPr>
            <w:tcW w:w="1925" w:type="dxa"/>
          </w:tcPr>
          <w:p>
            <w:pPr>
              <w:pStyle w:val="TableParagraph"/>
              <w:spacing w:line="199" w:lineRule="exact" w:before="6"/>
              <w:ind w:left="523"/>
              <w:rPr>
                <w:sz w:val="18"/>
              </w:rPr>
            </w:pPr>
            <w:r>
              <w:rPr>
                <w:spacing w:val="-2"/>
                <w:sz w:val="18"/>
              </w:rPr>
              <w:t>LEVERAGE</w:t>
            </w:r>
          </w:p>
        </w:tc>
        <w:tc>
          <w:tcPr>
            <w:tcW w:w="1290" w:type="dxa"/>
          </w:tcPr>
          <w:p>
            <w:pPr>
              <w:pStyle w:val="TableParagraph"/>
              <w:spacing w:line="199" w:lineRule="exact" w:before="6"/>
              <w:ind w:left="372"/>
              <w:rPr>
                <w:sz w:val="18"/>
              </w:rPr>
            </w:pPr>
            <w:r>
              <w:rPr>
                <w:spacing w:val="-2"/>
                <w:sz w:val="18"/>
              </w:rPr>
              <w:t>-0.021537</w:t>
            </w:r>
          </w:p>
        </w:tc>
        <w:tc>
          <w:tcPr>
            <w:tcW w:w="1491" w:type="dxa"/>
          </w:tcPr>
          <w:p>
            <w:pPr>
              <w:pStyle w:val="TableParagraph"/>
              <w:spacing w:line="199" w:lineRule="exact" w:before="6"/>
              <w:ind w:left="351"/>
              <w:rPr>
                <w:sz w:val="18"/>
              </w:rPr>
            </w:pPr>
            <w:r>
              <w:rPr>
                <w:spacing w:val="-2"/>
                <w:sz w:val="18"/>
              </w:rPr>
              <w:t>0.096749</w:t>
            </w:r>
          </w:p>
        </w:tc>
        <w:tc>
          <w:tcPr>
            <w:tcW w:w="910" w:type="dxa"/>
          </w:tcPr>
          <w:p>
            <w:pPr>
              <w:pStyle w:val="TableParagraph"/>
              <w:spacing w:line="199" w:lineRule="exact" w:before="6"/>
              <w:ind w:right="89"/>
              <w:jc w:val="right"/>
              <w:rPr>
                <w:sz w:val="18"/>
              </w:rPr>
            </w:pPr>
            <w:r>
              <w:rPr>
                <w:spacing w:val="-2"/>
                <w:sz w:val="18"/>
              </w:rPr>
              <w:t>-0.222605</w:t>
            </w:r>
          </w:p>
        </w:tc>
        <w:tc>
          <w:tcPr>
            <w:tcW w:w="914" w:type="dxa"/>
          </w:tcPr>
          <w:p>
            <w:pPr>
              <w:pStyle w:val="TableParagraph"/>
              <w:spacing w:line="199" w:lineRule="exact" w:before="6"/>
              <w:ind w:right="5"/>
              <w:jc w:val="right"/>
              <w:rPr>
                <w:sz w:val="18"/>
              </w:rPr>
            </w:pPr>
            <w:r>
              <w:rPr>
                <w:spacing w:val="-2"/>
                <w:sz w:val="18"/>
              </w:rPr>
              <w:t>0.8241</w:t>
            </w:r>
          </w:p>
        </w:tc>
      </w:tr>
      <w:tr>
        <w:trPr>
          <w:trHeight w:val="225" w:hRule="atLeast"/>
        </w:trPr>
        <w:tc>
          <w:tcPr>
            <w:tcW w:w="1925" w:type="dxa"/>
          </w:tcPr>
          <w:p>
            <w:pPr>
              <w:pStyle w:val="TableParagraph"/>
              <w:spacing w:line="199" w:lineRule="exact" w:before="6"/>
              <w:ind w:left="92" w:right="2"/>
              <w:jc w:val="center"/>
              <w:rPr>
                <w:sz w:val="18"/>
              </w:rPr>
            </w:pPr>
            <w:r>
              <w:rPr>
                <w:spacing w:val="-2"/>
                <w:sz w:val="18"/>
              </w:rPr>
              <w:t>AR(1)</w:t>
            </w:r>
          </w:p>
        </w:tc>
        <w:tc>
          <w:tcPr>
            <w:tcW w:w="1290" w:type="dxa"/>
          </w:tcPr>
          <w:p>
            <w:pPr>
              <w:pStyle w:val="TableParagraph"/>
              <w:spacing w:line="199" w:lineRule="exact" w:before="6"/>
              <w:ind w:left="432"/>
              <w:rPr>
                <w:sz w:val="18"/>
              </w:rPr>
            </w:pPr>
            <w:r>
              <w:rPr>
                <w:spacing w:val="-2"/>
                <w:sz w:val="18"/>
              </w:rPr>
              <w:t>0.193821</w:t>
            </w:r>
          </w:p>
        </w:tc>
        <w:tc>
          <w:tcPr>
            <w:tcW w:w="1491" w:type="dxa"/>
          </w:tcPr>
          <w:p>
            <w:pPr>
              <w:pStyle w:val="TableParagraph"/>
              <w:spacing w:line="199" w:lineRule="exact" w:before="6"/>
              <w:ind w:left="351"/>
              <w:rPr>
                <w:sz w:val="18"/>
              </w:rPr>
            </w:pPr>
            <w:r>
              <w:rPr>
                <w:spacing w:val="-2"/>
                <w:sz w:val="18"/>
              </w:rPr>
              <w:t>0.066768</w:t>
            </w:r>
          </w:p>
        </w:tc>
        <w:tc>
          <w:tcPr>
            <w:tcW w:w="910" w:type="dxa"/>
          </w:tcPr>
          <w:p>
            <w:pPr>
              <w:pStyle w:val="TableParagraph"/>
              <w:spacing w:line="199" w:lineRule="exact" w:before="6"/>
              <w:ind w:right="89"/>
              <w:jc w:val="right"/>
              <w:rPr>
                <w:sz w:val="18"/>
              </w:rPr>
            </w:pPr>
            <w:r>
              <w:rPr>
                <w:spacing w:val="-2"/>
                <w:sz w:val="18"/>
              </w:rPr>
              <w:t>2.902905</w:t>
            </w:r>
          </w:p>
        </w:tc>
        <w:tc>
          <w:tcPr>
            <w:tcW w:w="914" w:type="dxa"/>
          </w:tcPr>
          <w:p>
            <w:pPr>
              <w:pStyle w:val="TableParagraph"/>
              <w:spacing w:line="199" w:lineRule="exact" w:before="6"/>
              <w:ind w:right="5"/>
              <w:jc w:val="right"/>
              <w:rPr>
                <w:sz w:val="18"/>
              </w:rPr>
            </w:pPr>
            <w:r>
              <w:rPr>
                <w:spacing w:val="-2"/>
                <w:sz w:val="18"/>
              </w:rPr>
              <w:t>0.0042</w:t>
            </w:r>
          </w:p>
        </w:tc>
      </w:tr>
      <w:tr>
        <w:trPr>
          <w:trHeight w:val="301" w:hRule="atLeast"/>
        </w:trPr>
        <w:tc>
          <w:tcPr>
            <w:tcW w:w="1925" w:type="dxa"/>
            <w:tcBorders>
              <w:bottom w:val="double" w:sz="6" w:space="0" w:color="000000"/>
            </w:tcBorders>
          </w:tcPr>
          <w:p>
            <w:pPr>
              <w:pStyle w:val="TableParagraph"/>
              <w:spacing w:before="6"/>
              <w:ind w:left="587"/>
              <w:rPr>
                <w:sz w:val="18"/>
              </w:rPr>
            </w:pPr>
            <w:r>
              <w:rPr>
                <w:spacing w:val="-2"/>
                <w:sz w:val="18"/>
              </w:rPr>
              <w:t>SIGMASQ</w:t>
            </w:r>
          </w:p>
        </w:tc>
        <w:tc>
          <w:tcPr>
            <w:tcW w:w="1290" w:type="dxa"/>
            <w:tcBorders>
              <w:bottom w:val="double" w:sz="6" w:space="0" w:color="000000"/>
            </w:tcBorders>
          </w:tcPr>
          <w:p>
            <w:pPr>
              <w:pStyle w:val="TableParagraph"/>
              <w:spacing w:before="6"/>
              <w:ind w:left="432"/>
              <w:rPr>
                <w:sz w:val="18"/>
              </w:rPr>
            </w:pPr>
            <w:r>
              <w:rPr>
                <w:spacing w:val="-2"/>
                <w:sz w:val="18"/>
              </w:rPr>
              <w:t>0.284122</w:t>
            </w:r>
          </w:p>
        </w:tc>
        <w:tc>
          <w:tcPr>
            <w:tcW w:w="1491" w:type="dxa"/>
            <w:tcBorders>
              <w:bottom w:val="double" w:sz="6" w:space="0" w:color="000000"/>
            </w:tcBorders>
          </w:tcPr>
          <w:p>
            <w:pPr>
              <w:pStyle w:val="TableParagraph"/>
              <w:spacing w:before="6"/>
              <w:ind w:left="351"/>
              <w:rPr>
                <w:sz w:val="18"/>
              </w:rPr>
            </w:pPr>
            <w:r>
              <w:rPr>
                <w:spacing w:val="-2"/>
                <w:sz w:val="18"/>
              </w:rPr>
              <w:t>0.020696</w:t>
            </w:r>
          </w:p>
        </w:tc>
        <w:tc>
          <w:tcPr>
            <w:tcW w:w="910" w:type="dxa"/>
            <w:tcBorders>
              <w:bottom w:val="double" w:sz="6" w:space="0" w:color="000000"/>
            </w:tcBorders>
          </w:tcPr>
          <w:p>
            <w:pPr>
              <w:pStyle w:val="TableParagraph"/>
              <w:spacing w:before="6"/>
              <w:ind w:right="89"/>
              <w:jc w:val="right"/>
              <w:rPr>
                <w:sz w:val="18"/>
              </w:rPr>
            </w:pPr>
            <w:r>
              <w:rPr>
                <w:spacing w:val="-2"/>
                <w:sz w:val="18"/>
              </w:rPr>
              <w:t>13.72818</w:t>
            </w:r>
          </w:p>
        </w:tc>
        <w:tc>
          <w:tcPr>
            <w:tcW w:w="914" w:type="dxa"/>
            <w:tcBorders>
              <w:bottom w:val="double" w:sz="6" w:space="0" w:color="000000"/>
            </w:tcBorders>
          </w:tcPr>
          <w:p>
            <w:pPr>
              <w:pStyle w:val="TableParagraph"/>
              <w:spacing w:before="6"/>
              <w:ind w:right="5"/>
              <w:jc w:val="right"/>
              <w:rPr>
                <w:sz w:val="18"/>
              </w:rPr>
            </w:pPr>
            <w:r>
              <w:rPr>
                <w:spacing w:val="-2"/>
                <w:sz w:val="18"/>
              </w:rPr>
              <w:t>0.0000</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left="432"/>
              <w:rPr>
                <w:sz w:val="18"/>
              </w:rPr>
            </w:pPr>
            <w:r>
              <w:rPr>
                <w:spacing w:val="-2"/>
                <w:sz w:val="18"/>
              </w:rPr>
              <w:t>0.181307</w:t>
            </w:r>
          </w:p>
        </w:tc>
        <w:tc>
          <w:tcPr>
            <w:tcW w:w="240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8"/>
              <w:ind w:right="5"/>
              <w:jc w:val="right"/>
              <w:rPr>
                <w:sz w:val="18"/>
              </w:rPr>
            </w:pPr>
            <w:r>
              <w:rPr>
                <w:spacing w:val="-2"/>
                <w:sz w:val="18"/>
              </w:rPr>
              <w:t>-0.117725</w:t>
            </w:r>
          </w:p>
        </w:tc>
      </w:tr>
      <w:tr>
        <w:trPr>
          <w:trHeight w:val="225" w:hRule="atLeast"/>
        </w:trPr>
        <w:tc>
          <w:tcPr>
            <w:tcW w:w="192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9" w:lineRule="exact" w:before="6"/>
              <w:ind w:left="432"/>
              <w:rPr>
                <w:sz w:val="18"/>
              </w:rPr>
            </w:pPr>
            <w:r>
              <w:rPr>
                <w:spacing w:val="-2"/>
                <w:sz w:val="18"/>
              </w:rPr>
              <w:t>0.132096</w:t>
            </w:r>
          </w:p>
        </w:tc>
        <w:tc>
          <w:tcPr>
            <w:tcW w:w="240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5"/>
              <w:jc w:val="right"/>
              <w:rPr>
                <w:sz w:val="18"/>
              </w:rPr>
            </w:pPr>
            <w:r>
              <w:rPr>
                <w:spacing w:val="-2"/>
                <w:sz w:val="18"/>
              </w:rPr>
              <w:t>0.590621</w:t>
            </w:r>
          </w:p>
        </w:tc>
      </w:tr>
      <w:tr>
        <w:trPr>
          <w:trHeight w:val="224" w:hRule="atLeast"/>
        </w:trPr>
        <w:tc>
          <w:tcPr>
            <w:tcW w:w="1925"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8" w:lineRule="exact" w:before="6"/>
              <w:ind w:left="432"/>
              <w:rPr>
                <w:sz w:val="18"/>
              </w:rPr>
            </w:pPr>
            <w:r>
              <w:rPr>
                <w:spacing w:val="-2"/>
                <w:sz w:val="18"/>
              </w:rPr>
              <w:t>0.550230</w:t>
            </w:r>
          </w:p>
        </w:tc>
        <w:tc>
          <w:tcPr>
            <w:tcW w:w="2401" w:type="dxa"/>
            <w:gridSpan w:val="2"/>
          </w:tcPr>
          <w:p>
            <w:pPr>
              <w:pStyle w:val="TableParagraph"/>
              <w:spacing w:line="198" w:lineRule="exact" w:before="6"/>
              <w:ind w:left="107"/>
              <w:rPr>
                <w:sz w:val="18"/>
              </w:rPr>
            </w:pPr>
            <w:r>
              <w:rPr>
                <w:sz w:val="18"/>
              </w:rPr>
              <w:t>Akaike</w:t>
            </w:r>
            <w:r>
              <w:rPr>
                <w:spacing w:val="-3"/>
                <w:sz w:val="18"/>
              </w:rPr>
              <w:t> </w:t>
            </w:r>
            <w:r>
              <w:rPr>
                <w:sz w:val="18"/>
              </w:rPr>
              <w:t>info</w:t>
            </w:r>
            <w:r>
              <w:rPr>
                <w:spacing w:val="-2"/>
                <w:sz w:val="18"/>
              </w:rPr>
              <w:t> criterion</w:t>
            </w:r>
          </w:p>
        </w:tc>
        <w:tc>
          <w:tcPr>
            <w:tcW w:w="914" w:type="dxa"/>
          </w:tcPr>
          <w:p>
            <w:pPr>
              <w:pStyle w:val="TableParagraph"/>
              <w:spacing w:line="198" w:lineRule="exact" w:before="6"/>
              <w:ind w:right="5"/>
              <w:jc w:val="right"/>
              <w:rPr>
                <w:sz w:val="18"/>
              </w:rPr>
            </w:pPr>
            <w:r>
              <w:rPr>
                <w:spacing w:val="-2"/>
                <w:sz w:val="18"/>
              </w:rPr>
              <w:t>1.702800</w:t>
            </w:r>
          </w:p>
        </w:tc>
      </w:tr>
      <w:tr>
        <w:trPr>
          <w:trHeight w:val="224" w:hRule="atLeast"/>
        </w:trPr>
        <w:tc>
          <w:tcPr>
            <w:tcW w:w="1925" w:type="dxa"/>
          </w:tcPr>
          <w:p>
            <w:pPr>
              <w:pStyle w:val="TableParagraph"/>
              <w:spacing w:line="199" w:lineRule="exact"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line="199" w:lineRule="exact" w:before="5"/>
              <w:ind w:left="432"/>
              <w:rPr>
                <w:sz w:val="18"/>
              </w:rPr>
            </w:pPr>
            <w:r>
              <w:rPr>
                <w:spacing w:val="-2"/>
                <w:sz w:val="18"/>
              </w:rPr>
              <w:t>55.40385</w:t>
            </w:r>
          </w:p>
        </w:tc>
        <w:tc>
          <w:tcPr>
            <w:tcW w:w="1491" w:type="dxa"/>
          </w:tcPr>
          <w:p>
            <w:pPr>
              <w:pStyle w:val="TableParagraph"/>
              <w:spacing w:line="199" w:lineRule="exact" w:before="5"/>
              <w:ind w:left="107"/>
              <w:rPr>
                <w:sz w:val="18"/>
              </w:rPr>
            </w:pPr>
            <w:r>
              <w:rPr>
                <w:sz w:val="18"/>
              </w:rPr>
              <w:t>Schwarz</w:t>
            </w:r>
            <w:r>
              <w:rPr>
                <w:spacing w:val="-4"/>
                <w:sz w:val="18"/>
              </w:rPr>
              <w:t> </w:t>
            </w:r>
            <w:r>
              <w:rPr>
                <w:spacing w:val="-2"/>
                <w:sz w:val="18"/>
              </w:rPr>
              <w:t>criterion</w:t>
            </w:r>
          </w:p>
        </w:tc>
        <w:tc>
          <w:tcPr>
            <w:tcW w:w="910" w:type="dxa"/>
          </w:tcPr>
          <w:p>
            <w:pPr>
              <w:pStyle w:val="TableParagraph"/>
              <w:rPr>
                <w:rFonts w:ascii="Times New Roman"/>
                <w:sz w:val="16"/>
              </w:rPr>
            </w:pPr>
          </w:p>
        </w:tc>
        <w:tc>
          <w:tcPr>
            <w:tcW w:w="914" w:type="dxa"/>
          </w:tcPr>
          <w:p>
            <w:pPr>
              <w:pStyle w:val="TableParagraph"/>
              <w:spacing w:line="199" w:lineRule="exact" w:before="5"/>
              <w:ind w:right="5"/>
              <w:jc w:val="right"/>
              <w:rPr>
                <w:sz w:val="18"/>
              </w:rPr>
            </w:pPr>
            <w:r>
              <w:rPr>
                <w:spacing w:val="-2"/>
                <w:sz w:val="18"/>
              </w:rPr>
              <w:t>1.904215</w:t>
            </w:r>
          </w:p>
        </w:tc>
      </w:tr>
      <w:tr>
        <w:trPr>
          <w:trHeight w:val="225" w:hRule="atLeast"/>
        </w:trPr>
        <w:tc>
          <w:tcPr>
            <w:tcW w:w="192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90" w:type="dxa"/>
          </w:tcPr>
          <w:p>
            <w:pPr>
              <w:pStyle w:val="TableParagraph"/>
              <w:spacing w:line="199" w:lineRule="exact" w:before="6"/>
              <w:ind w:left="372"/>
              <w:rPr>
                <w:sz w:val="18"/>
              </w:rPr>
            </w:pPr>
            <w:r>
              <w:rPr>
                <w:spacing w:val="-2"/>
                <w:sz w:val="18"/>
              </w:rPr>
              <w:t>-154.0230</w:t>
            </w:r>
          </w:p>
        </w:tc>
        <w:tc>
          <w:tcPr>
            <w:tcW w:w="240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914" w:type="dxa"/>
          </w:tcPr>
          <w:p>
            <w:pPr>
              <w:pStyle w:val="TableParagraph"/>
              <w:spacing w:line="199" w:lineRule="exact" w:before="6"/>
              <w:ind w:right="5"/>
              <w:jc w:val="right"/>
              <w:rPr>
                <w:sz w:val="18"/>
              </w:rPr>
            </w:pPr>
            <w:r>
              <w:rPr>
                <w:spacing w:val="-2"/>
                <w:sz w:val="18"/>
              </w:rPr>
              <w:t>1.784351</w:t>
            </w:r>
          </w:p>
        </w:tc>
      </w:tr>
      <w:tr>
        <w:trPr>
          <w:trHeight w:val="225" w:hRule="atLeast"/>
        </w:trPr>
        <w:tc>
          <w:tcPr>
            <w:tcW w:w="1925" w:type="dxa"/>
          </w:tcPr>
          <w:p>
            <w:pPr>
              <w:pStyle w:val="TableParagraph"/>
              <w:spacing w:line="199" w:lineRule="exact" w:before="6"/>
              <w:rPr>
                <w:sz w:val="18"/>
              </w:rPr>
            </w:pPr>
            <w:r>
              <w:rPr>
                <w:spacing w:val="-2"/>
                <w:sz w:val="18"/>
              </w:rPr>
              <w:t>F-statistic</w:t>
            </w:r>
          </w:p>
        </w:tc>
        <w:tc>
          <w:tcPr>
            <w:tcW w:w="1290" w:type="dxa"/>
          </w:tcPr>
          <w:p>
            <w:pPr>
              <w:pStyle w:val="TableParagraph"/>
              <w:spacing w:line="199" w:lineRule="exact" w:before="6"/>
              <w:ind w:left="432"/>
              <w:rPr>
                <w:sz w:val="18"/>
              </w:rPr>
            </w:pPr>
            <w:r>
              <w:rPr>
                <w:spacing w:val="-2"/>
                <w:sz w:val="18"/>
              </w:rPr>
              <w:t>3.684274</w:t>
            </w:r>
          </w:p>
        </w:tc>
        <w:tc>
          <w:tcPr>
            <w:tcW w:w="240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5"/>
              <w:jc w:val="right"/>
              <w:rPr>
                <w:sz w:val="18"/>
              </w:rPr>
            </w:pPr>
            <w:r>
              <w:rPr>
                <w:spacing w:val="-2"/>
                <w:sz w:val="18"/>
              </w:rPr>
              <w:t>1.995278</w:t>
            </w:r>
          </w:p>
        </w:tc>
      </w:tr>
      <w:tr>
        <w:trPr>
          <w:trHeight w:val="301" w:hRule="atLeast"/>
        </w:trPr>
        <w:tc>
          <w:tcPr>
            <w:tcW w:w="1925" w:type="dxa"/>
            <w:tcBorders>
              <w:bottom w:val="double" w:sz="6" w:space="0" w:color="000000"/>
            </w:tcBorders>
          </w:tcPr>
          <w:p>
            <w:pPr>
              <w:pStyle w:val="TableParagraph"/>
              <w:spacing w:before="6"/>
              <w:rPr>
                <w:sz w:val="18"/>
              </w:rPr>
            </w:pPr>
            <w:r>
              <w:rPr>
                <w:spacing w:val="-2"/>
                <w:sz w:val="18"/>
              </w:rPr>
              <w:t>Prob(F-statistic)</w:t>
            </w:r>
          </w:p>
        </w:tc>
        <w:tc>
          <w:tcPr>
            <w:tcW w:w="1290" w:type="dxa"/>
            <w:tcBorders>
              <w:bottom w:val="double" w:sz="6" w:space="0" w:color="000000"/>
            </w:tcBorders>
          </w:tcPr>
          <w:p>
            <w:pPr>
              <w:pStyle w:val="TableParagraph"/>
              <w:spacing w:before="6"/>
              <w:ind w:left="432"/>
              <w:rPr>
                <w:sz w:val="18"/>
              </w:rPr>
            </w:pPr>
            <w:r>
              <w:rPr>
                <w:spacing w:val="-2"/>
                <w:sz w:val="18"/>
              </w:rPr>
              <w:t>0.000095</w:t>
            </w:r>
          </w:p>
        </w:tc>
        <w:tc>
          <w:tcPr>
            <w:tcW w:w="2401" w:type="dxa"/>
            <w:gridSpan w:val="2"/>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1925" w:type="dxa"/>
            <w:tcBorders>
              <w:top w:val="double" w:sz="6" w:space="0" w:color="000000"/>
              <w:bottom w:val="double" w:sz="6" w:space="0" w:color="000000"/>
            </w:tcBorders>
          </w:tcPr>
          <w:p>
            <w:pPr>
              <w:pStyle w:val="TableParagraph"/>
              <w:spacing w:before="108"/>
              <w:rPr>
                <w:sz w:val="18"/>
              </w:rPr>
            </w:pPr>
            <w:r>
              <w:rPr>
                <w:sz w:val="18"/>
              </w:rPr>
              <w:t>Inverted</w:t>
            </w:r>
            <w:r>
              <w:rPr>
                <w:spacing w:val="-3"/>
                <w:sz w:val="18"/>
              </w:rPr>
              <w:t> </w:t>
            </w:r>
            <w:r>
              <w:rPr>
                <w:sz w:val="18"/>
              </w:rPr>
              <w:t>AR</w:t>
            </w:r>
            <w:r>
              <w:rPr>
                <w:spacing w:val="-2"/>
                <w:sz w:val="18"/>
              </w:rPr>
              <w:t> Roots</w:t>
            </w:r>
          </w:p>
        </w:tc>
        <w:tc>
          <w:tcPr>
            <w:tcW w:w="1290" w:type="dxa"/>
            <w:tcBorders>
              <w:top w:val="double" w:sz="6" w:space="0" w:color="000000"/>
              <w:bottom w:val="double" w:sz="6" w:space="0" w:color="000000"/>
            </w:tcBorders>
          </w:tcPr>
          <w:p>
            <w:pPr>
              <w:pStyle w:val="TableParagraph"/>
              <w:spacing w:before="108"/>
              <w:ind w:left="393"/>
              <w:rPr>
                <w:sz w:val="18"/>
              </w:rPr>
            </w:pPr>
            <w:r>
              <w:rPr>
                <w:spacing w:val="-5"/>
                <w:sz w:val="18"/>
              </w:rPr>
              <w:t>.19</w:t>
            </w:r>
          </w:p>
        </w:tc>
        <w:tc>
          <w:tcPr>
            <w:tcW w:w="2401" w:type="dxa"/>
            <w:gridSpan w:val="2"/>
            <w:tcBorders>
              <w:top w:val="double" w:sz="6" w:space="0" w:color="000000"/>
              <w:bottom w:val="double" w:sz="6" w:space="0" w:color="000000"/>
            </w:tcBorders>
          </w:tcPr>
          <w:p>
            <w:pPr>
              <w:pStyle w:val="TableParagraph"/>
              <w:rPr>
                <w:rFonts w:ascii="Times New Roman"/>
                <w:sz w:val="18"/>
              </w:rPr>
            </w:pPr>
          </w:p>
        </w:tc>
        <w:tc>
          <w:tcPr>
            <w:tcW w:w="914" w:type="dxa"/>
            <w:tcBorders>
              <w:top w:val="double" w:sz="6" w:space="0" w:color="000000"/>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1562" w:firstLine="0"/>
        <w:jc w:val="left"/>
        <w:rPr>
          <w:b/>
          <w:sz w:val="24"/>
        </w:rPr>
      </w:pPr>
      <w:r>
        <w:rPr/>
        <mc:AlternateContent>
          <mc:Choice Requires="wps">
            <w:drawing>
              <wp:anchor distT="0" distB="0" distL="0" distR="0" allowOverlap="1" layoutInCell="1" locked="0" behindDoc="1" simplePos="0" relativeHeight="477794304">
                <wp:simplePos x="0" y="0"/>
                <wp:positionH relativeFrom="page">
                  <wp:posOffset>1095451</wp:posOffset>
                </wp:positionH>
                <wp:positionV relativeFrom="page">
                  <wp:posOffset>7242047</wp:posOffset>
                </wp:positionV>
                <wp:extent cx="721995" cy="72263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2176" id="docshape149"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4816">
                <wp:simplePos x="0" y="0"/>
                <wp:positionH relativeFrom="page">
                  <wp:posOffset>1269060</wp:posOffset>
                </wp:positionH>
                <wp:positionV relativeFrom="page">
                  <wp:posOffset>2726054</wp:posOffset>
                </wp:positionV>
                <wp:extent cx="4933315" cy="4976495"/>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4933315" cy="4976495"/>
                          <a:chExt cx="4933315" cy="4976495"/>
                        </a:xfrm>
                      </wpg:grpSpPr>
                      <wps:wsp>
                        <wps:cNvPr id="344" name="Graphic 344"/>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45" name="Image 345"/>
                          <pic:cNvPicPr/>
                        </pic:nvPicPr>
                        <pic:blipFill>
                          <a:blip r:embed="rId9" cstate="print"/>
                          <a:stretch>
                            <a:fillRect/>
                          </a:stretch>
                        </pic:blipFill>
                        <pic:spPr>
                          <a:xfrm>
                            <a:off x="1248333" y="3743197"/>
                            <a:ext cx="221995" cy="221614"/>
                          </a:xfrm>
                          <a:prstGeom prst="rect">
                            <a:avLst/>
                          </a:prstGeom>
                        </pic:spPr>
                      </pic:pic>
                      <wps:wsp>
                        <wps:cNvPr id="346" name="Graphic 346"/>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21664" id="docshapegroup150" coordorigin="1999,4293" coordsize="7769,7837">
                <v:shape style="position:absolute;left:1998;top:10112;width:2142;height:2018" id="docshape151"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52" stroked="false">
                  <v:imagedata r:id="rId9" o:title=""/>
                </v:shape>
                <v:shape style="position:absolute;left:3758;top:4293;width:6009;height:6216" id="docshape153"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18:</w:t>
      </w:r>
      <w:r>
        <w:rPr>
          <w:b/>
          <w:spacing w:val="-4"/>
          <w:sz w:val="24"/>
        </w:rPr>
        <w:t> </w:t>
      </w:r>
      <w:r>
        <w:rPr>
          <w:b/>
          <w:sz w:val="24"/>
        </w:rPr>
        <w:t>Table</w:t>
      </w:r>
      <w:r>
        <w:rPr>
          <w:b/>
          <w:spacing w:val="-4"/>
          <w:sz w:val="24"/>
        </w:rPr>
        <w:t> </w:t>
      </w:r>
      <w:r>
        <w:rPr>
          <w:b/>
          <w:sz w:val="24"/>
        </w:rPr>
        <w:t>4.9:</w:t>
      </w:r>
      <w:r>
        <w:rPr>
          <w:b/>
          <w:spacing w:val="40"/>
          <w:sz w:val="24"/>
        </w:rPr>
        <w:t> </w:t>
      </w:r>
      <w:r>
        <w:rPr>
          <w:b/>
          <w:sz w:val="24"/>
        </w:rPr>
        <w:t>DISACC</w:t>
      </w:r>
      <w:r>
        <w:rPr>
          <w:b/>
          <w:spacing w:val="-5"/>
          <w:sz w:val="24"/>
        </w:rPr>
        <w:t> </w:t>
      </w:r>
      <w:r>
        <w:rPr>
          <w:b/>
          <w:sz w:val="24"/>
        </w:rPr>
        <w:t>and</w:t>
      </w:r>
      <w:r>
        <w:rPr>
          <w:b/>
          <w:spacing w:val="-4"/>
          <w:sz w:val="24"/>
        </w:rPr>
        <w:t> </w:t>
      </w:r>
      <w:r>
        <w:rPr>
          <w:b/>
          <w:sz w:val="24"/>
        </w:rPr>
        <w:t>Ownership</w:t>
      </w:r>
      <w:r>
        <w:rPr>
          <w:b/>
          <w:spacing w:val="-3"/>
          <w:sz w:val="24"/>
        </w:rPr>
        <w:t> </w:t>
      </w:r>
      <w:r>
        <w:rPr>
          <w:b/>
          <w:sz w:val="24"/>
        </w:rPr>
        <w:t>Structure</w:t>
      </w:r>
      <w:r>
        <w:rPr>
          <w:b/>
          <w:spacing w:val="-5"/>
          <w:sz w:val="24"/>
        </w:rPr>
        <w:t> </w:t>
      </w:r>
      <w:r>
        <w:rPr>
          <w:b/>
          <w:sz w:val="24"/>
        </w:rPr>
        <w:t>Regression</w:t>
      </w:r>
      <w:r>
        <w:rPr>
          <w:b/>
          <w:spacing w:val="-4"/>
          <w:sz w:val="24"/>
        </w:rPr>
        <w:t> </w:t>
      </w:r>
      <w:r>
        <w:rPr>
          <w:b/>
          <w:sz w:val="24"/>
        </w:rPr>
        <w:t>Result (random effects)</w:t>
      </w:r>
    </w:p>
    <w:p>
      <w:pPr>
        <w:pStyle w:val="BodyText"/>
        <w:spacing w:before="200" w:after="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1206"/>
        <w:gridCol w:w="1300"/>
        <w:gridCol w:w="1101"/>
        <w:gridCol w:w="914"/>
      </w:tblGrid>
      <w:tr>
        <w:trPr>
          <w:trHeight w:val="213" w:hRule="atLeast"/>
        </w:trPr>
        <w:tc>
          <w:tcPr>
            <w:tcW w:w="6531"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4" w:hRule="atLeast"/>
        </w:trPr>
        <w:tc>
          <w:tcPr>
            <w:tcW w:w="6531" w:type="dxa"/>
            <w:gridSpan w:val="5"/>
          </w:tcPr>
          <w:p>
            <w:pPr>
              <w:pStyle w:val="TableParagraph"/>
              <w:spacing w:line="198" w:lineRule="exact" w:before="6"/>
              <w:rPr>
                <w:sz w:val="18"/>
              </w:rPr>
            </w:pPr>
            <w:r>
              <w:rPr>
                <w:sz w:val="18"/>
              </w:rPr>
              <w:t>Method:</w:t>
            </w:r>
            <w:r>
              <w:rPr>
                <w:spacing w:val="-9"/>
                <w:sz w:val="18"/>
              </w:rPr>
              <w:t> </w:t>
            </w:r>
            <w:r>
              <w:rPr>
                <w:sz w:val="18"/>
              </w:rPr>
              <w:t>Panel</w:t>
            </w:r>
            <w:r>
              <w:rPr>
                <w:spacing w:val="-8"/>
                <w:sz w:val="18"/>
              </w:rPr>
              <w:t> </w:t>
            </w:r>
            <w:r>
              <w:rPr>
                <w:sz w:val="18"/>
              </w:rPr>
              <w:t>EGLS</w:t>
            </w:r>
            <w:r>
              <w:rPr>
                <w:spacing w:val="-11"/>
                <w:sz w:val="18"/>
              </w:rPr>
              <w:t> </w:t>
            </w:r>
            <w:r>
              <w:rPr>
                <w:sz w:val="18"/>
              </w:rPr>
              <w:t>(Cross-section</w:t>
            </w:r>
            <w:r>
              <w:rPr>
                <w:spacing w:val="-9"/>
                <w:sz w:val="18"/>
              </w:rPr>
              <w:t> </w:t>
            </w:r>
            <w:r>
              <w:rPr>
                <w:sz w:val="18"/>
              </w:rPr>
              <w:t>random</w:t>
            </w:r>
            <w:r>
              <w:rPr>
                <w:spacing w:val="-8"/>
                <w:sz w:val="18"/>
              </w:rPr>
              <w:t> </w:t>
            </w:r>
            <w:r>
              <w:rPr>
                <w:spacing w:val="-2"/>
                <w:sz w:val="18"/>
              </w:rPr>
              <w:t>effects)</w:t>
            </w:r>
          </w:p>
        </w:tc>
      </w:tr>
      <w:tr>
        <w:trPr>
          <w:trHeight w:val="224" w:hRule="atLeast"/>
        </w:trPr>
        <w:tc>
          <w:tcPr>
            <w:tcW w:w="6531" w:type="dxa"/>
            <w:gridSpan w:val="5"/>
          </w:tcPr>
          <w:p>
            <w:pPr>
              <w:pStyle w:val="TableParagraph"/>
              <w:spacing w:line="199" w:lineRule="exact" w:before="5"/>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05:53</w:t>
            </w:r>
          </w:p>
        </w:tc>
      </w:tr>
      <w:tr>
        <w:trPr>
          <w:trHeight w:val="225" w:hRule="atLeast"/>
        </w:trPr>
        <w:tc>
          <w:tcPr>
            <w:tcW w:w="2010"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2010"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6531" w:type="dxa"/>
            <w:gridSpan w:val="5"/>
          </w:tcPr>
          <w:p>
            <w:pPr>
              <w:pStyle w:val="TableParagraph"/>
              <w:spacing w:line="198"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1" w:type="dxa"/>
            <w:gridSpan w:val="5"/>
          </w:tcPr>
          <w:p>
            <w:pPr>
              <w:pStyle w:val="TableParagraph"/>
              <w:spacing w:line="199" w:lineRule="exact" w:before="5"/>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303" w:hRule="atLeast"/>
        </w:trPr>
        <w:tc>
          <w:tcPr>
            <w:tcW w:w="6531" w:type="dxa"/>
            <w:gridSpan w:val="5"/>
            <w:tcBorders>
              <w:bottom w:val="double" w:sz="6" w:space="0" w:color="000000"/>
            </w:tcBorders>
          </w:tcPr>
          <w:p>
            <w:pPr>
              <w:pStyle w:val="TableParagraph"/>
              <w:spacing w:before="6"/>
              <w:rPr>
                <w:sz w:val="18"/>
              </w:rPr>
            </w:pPr>
            <w:r>
              <w:rPr>
                <w:sz w:val="18"/>
              </w:rPr>
              <w:t>Swamy</w:t>
            </w:r>
            <w:r>
              <w:rPr>
                <w:spacing w:val="-3"/>
                <w:sz w:val="18"/>
              </w:rPr>
              <w:t> </w:t>
            </w:r>
            <w:r>
              <w:rPr>
                <w:sz w:val="18"/>
              </w:rPr>
              <w:t>and</w:t>
            </w:r>
            <w:r>
              <w:rPr>
                <w:spacing w:val="-2"/>
                <w:sz w:val="18"/>
              </w:rPr>
              <w:t> </w:t>
            </w:r>
            <w:r>
              <w:rPr>
                <w:sz w:val="18"/>
              </w:rPr>
              <w:t>Arora</w:t>
            </w:r>
            <w:r>
              <w:rPr>
                <w:spacing w:val="-2"/>
                <w:sz w:val="18"/>
              </w:rPr>
              <w:t> </w:t>
            </w:r>
            <w:r>
              <w:rPr>
                <w:sz w:val="18"/>
              </w:rPr>
              <w:t>estimator</w:t>
            </w:r>
            <w:r>
              <w:rPr>
                <w:spacing w:val="-1"/>
                <w:sz w:val="18"/>
              </w:rPr>
              <w:t> </w:t>
            </w:r>
            <w:r>
              <w:rPr>
                <w:sz w:val="18"/>
              </w:rPr>
              <w:t>of</w:t>
            </w:r>
            <w:r>
              <w:rPr>
                <w:spacing w:val="-4"/>
                <w:sz w:val="18"/>
              </w:rPr>
              <w:t> </w:t>
            </w:r>
            <w:r>
              <w:rPr>
                <w:sz w:val="18"/>
              </w:rPr>
              <w:t>component</w:t>
            </w:r>
            <w:r>
              <w:rPr>
                <w:spacing w:val="-3"/>
                <w:sz w:val="18"/>
              </w:rPr>
              <w:t> </w:t>
            </w:r>
            <w:r>
              <w:rPr>
                <w:spacing w:val="-2"/>
                <w:sz w:val="18"/>
              </w:rPr>
              <w:t>variances</w:t>
            </w:r>
          </w:p>
        </w:tc>
      </w:tr>
      <w:tr>
        <w:trPr>
          <w:trHeight w:val="403" w:hRule="atLeast"/>
        </w:trPr>
        <w:tc>
          <w:tcPr>
            <w:tcW w:w="2010" w:type="dxa"/>
            <w:tcBorders>
              <w:top w:val="double" w:sz="6" w:space="0" w:color="000000"/>
              <w:bottom w:val="double" w:sz="6" w:space="0" w:color="000000"/>
            </w:tcBorders>
          </w:tcPr>
          <w:p>
            <w:pPr>
              <w:pStyle w:val="TableParagraph"/>
              <w:spacing w:before="108"/>
              <w:ind w:left="6" w:right="2"/>
              <w:jc w:val="center"/>
              <w:rPr>
                <w:sz w:val="18"/>
              </w:rPr>
            </w:pPr>
            <w:r>
              <w:rPr>
                <w:spacing w:val="-2"/>
                <w:sz w:val="18"/>
              </w:rPr>
              <w:t>Variable</w:t>
            </w:r>
          </w:p>
        </w:tc>
        <w:tc>
          <w:tcPr>
            <w:tcW w:w="1206" w:type="dxa"/>
            <w:tcBorders>
              <w:top w:val="double" w:sz="6" w:space="0" w:color="000000"/>
              <w:bottom w:val="double" w:sz="6" w:space="0" w:color="000000"/>
            </w:tcBorders>
          </w:tcPr>
          <w:p>
            <w:pPr>
              <w:pStyle w:val="TableParagraph"/>
              <w:spacing w:before="108"/>
              <w:ind w:left="180" w:right="38"/>
              <w:jc w:val="center"/>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20"/>
              <w:jc w:val="center"/>
              <w:rPr>
                <w:sz w:val="18"/>
              </w:rPr>
            </w:pPr>
            <w:r>
              <w:rPr>
                <w:sz w:val="18"/>
              </w:rPr>
              <w:t>Std.</w:t>
            </w:r>
            <w:r>
              <w:rPr>
                <w:spacing w:val="-2"/>
                <w:sz w:val="18"/>
              </w:rPr>
              <w:t> Error</w:t>
            </w:r>
          </w:p>
        </w:tc>
        <w:tc>
          <w:tcPr>
            <w:tcW w:w="1101" w:type="dxa"/>
            <w:tcBorders>
              <w:top w:val="double" w:sz="6" w:space="0" w:color="000000"/>
              <w:bottom w:val="double" w:sz="6" w:space="0" w:color="000000"/>
            </w:tcBorders>
          </w:tcPr>
          <w:p>
            <w:pPr>
              <w:pStyle w:val="TableParagraph"/>
              <w:spacing w:before="108"/>
              <w:ind w:right="91"/>
              <w:jc w:val="right"/>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4"/>
              <w:rPr>
                <w:sz w:val="18"/>
              </w:rPr>
            </w:pPr>
            <w:r>
              <w:rPr>
                <w:spacing w:val="-2"/>
                <w:sz w:val="18"/>
              </w:rPr>
              <w:t>Prob.</w:t>
            </w:r>
          </w:p>
        </w:tc>
      </w:tr>
      <w:tr>
        <w:trPr>
          <w:trHeight w:val="328" w:hRule="atLeast"/>
        </w:trPr>
        <w:tc>
          <w:tcPr>
            <w:tcW w:w="2010" w:type="dxa"/>
            <w:tcBorders>
              <w:top w:val="double" w:sz="6" w:space="0" w:color="000000"/>
            </w:tcBorders>
          </w:tcPr>
          <w:p>
            <w:pPr>
              <w:pStyle w:val="TableParagraph"/>
              <w:spacing w:line="199" w:lineRule="exact" w:before="109"/>
              <w:ind w:left="6"/>
              <w:jc w:val="center"/>
              <w:rPr>
                <w:sz w:val="18"/>
              </w:rPr>
            </w:pPr>
            <w:r>
              <w:rPr>
                <w:spacing w:val="-10"/>
                <w:sz w:val="18"/>
              </w:rPr>
              <w:t>C</w:t>
            </w:r>
          </w:p>
        </w:tc>
        <w:tc>
          <w:tcPr>
            <w:tcW w:w="1206" w:type="dxa"/>
            <w:tcBorders>
              <w:top w:val="double" w:sz="6" w:space="0" w:color="000000"/>
            </w:tcBorders>
          </w:tcPr>
          <w:p>
            <w:pPr>
              <w:pStyle w:val="TableParagraph"/>
              <w:spacing w:line="199" w:lineRule="exact" w:before="109"/>
              <w:ind w:left="240"/>
              <w:jc w:val="center"/>
              <w:rPr>
                <w:sz w:val="18"/>
              </w:rPr>
            </w:pPr>
            <w:r>
              <w:rPr>
                <w:spacing w:val="-2"/>
                <w:sz w:val="18"/>
              </w:rPr>
              <w:t>0.831892</w:t>
            </w:r>
          </w:p>
        </w:tc>
        <w:tc>
          <w:tcPr>
            <w:tcW w:w="1300" w:type="dxa"/>
            <w:tcBorders>
              <w:top w:val="double" w:sz="6" w:space="0" w:color="000000"/>
            </w:tcBorders>
          </w:tcPr>
          <w:p>
            <w:pPr>
              <w:pStyle w:val="TableParagraph"/>
              <w:spacing w:line="199" w:lineRule="exact" w:before="109"/>
              <w:ind w:left="155" w:right="2"/>
              <w:jc w:val="center"/>
              <w:rPr>
                <w:sz w:val="18"/>
              </w:rPr>
            </w:pPr>
            <w:r>
              <w:rPr>
                <w:spacing w:val="-2"/>
                <w:sz w:val="18"/>
              </w:rPr>
              <w:t>0.890366</w:t>
            </w:r>
          </w:p>
        </w:tc>
        <w:tc>
          <w:tcPr>
            <w:tcW w:w="1101" w:type="dxa"/>
            <w:tcBorders>
              <w:top w:val="double" w:sz="6" w:space="0" w:color="000000"/>
            </w:tcBorders>
          </w:tcPr>
          <w:p>
            <w:pPr>
              <w:pStyle w:val="TableParagraph"/>
              <w:spacing w:line="199" w:lineRule="exact" w:before="109"/>
              <w:ind w:right="90"/>
              <w:jc w:val="right"/>
              <w:rPr>
                <w:sz w:val="18"/>
              </w:rPr>
            </w:pPr>
            <w:r>
              <w:rPr>
                <w:spacing w:val="-2"/>
                <w:sz w:val="18"/>
              </w:rPr>
              <w:t>0.934326</w:t>
            </w:r>
          </w:p>
        </w:tc>
        <w:tc>
          <w:tcPr>
            <w:tcW w:w="914" w:type="dxa"/>
            <w:tcBorders>
              <w:top w:val="double" w:sz="6" w:space="0" w:color="000000"/>
            </w:tcBorders>
          </w:tcPr>
          <w:p>
            <w:pPr>
              <w:pStyle w:val="TableParagraph"/>
              <w:spacing w:line="199" w:lineRule="exact" w:before="109"/>
              <w:ind w:right="6"/>
              <w:jc w:val="right"/>
              <w:rPr>
                <w:sz w:val="18"/>
              </w:rPr>
            </w:pPr>
            <w:r>
              <w:rPr>
                <w:spacing w:val="-2"/>
                <w:sz w:val="18"/>
              </w:rPr>
              <w:t>0.3514</w:t>
            </w:r>
          </w:p>
        </w:tc>
      </w:tr>
      <w:tr>
        <w:trPr>
          <w:trHeight w:val="225" w:hRule="atLeast"/>
        </w:trPr>
        <w:tc>
          <w:tcPr>
            <w:tcW w:w="2010" w:type="dxa"/>
          </w:tcPr>
          <w:p>
            <w:pPr>
              <w:pStyle w:val="TableParagraph"/>
              <w:spacing w:line="199" w:lineRule="exact" w:before="6"/>
              <w:ind w:left="583"/>
              <w:rPr>
                <w:sz w:val="18"/>
              </w:rPr>
            </w:pPr>
            <w:r>
              <w:rPr>
                <w:spacing w:val="-2"/>
                <w:sz w:val="18"/>
              </w:rPr>
              <w:t>INSTOWN</w:t>
            </w:r>
          </w:p>
        </w:tc>
        <w:tc>
          <w:tcPr>
            <w:tcW w:w="1206" w:type="dxa"/>
          </w:tcPr>
          <w:p>
            <w:pPr>
              <w:pStyle w:val="TableParagraph"/>
              <w:spacing w:line="199" w:lineRule="exact" w:before="6"/>
              <w:ind w:left="180"/>
              <w:jc w:val="center"/>
              <w:rPr>
                <w:sz w:val="18"/>
              </w:rPr>
            </w:pPr>
            <w:r>
              <w:rPr>
                <w:spacing w:val="-2"/>
                <w:sz w:val="18"/>
              </w:rPr>
              <w:t>-0.009392</w:t>
            </w:r>
          </w:p>
        </w:tc>
        <w:tc>
          <w:tcPr>
            <w:tcW w:w="1300" w:type="dxa"/>
          </w:tcPr>
          <w:p>
            <w:pPr>
              <w:pStyle w:val="TableParagraph"/>
              <w:spacing w:line="199" w:lineRule="exact" w:before="6"/>
              <w:ind w:left="155" w:right="2"/>
              <w:jc w:val="center"/>
              <w:rPr>
                <w:sz w:val="18"/>
              </w:rPr>
            </w:pPr>
            <w:r>
              <w:rPr>
                <w:spacing w:val="-2"/>
                <w:sz w:val="18"/>
              </w:rPr>
              <w:t>0.006439</w:t>
            </w:r>
          </w:p>
        </w:tc>
        <w:tc>
          <w:tcPr>
            <w:tcW w:w="1101" w:type="dxa"/>
          </w:tcPr>
          <w:p>
            <w:pPr>
              <w:pStyle w:val="TableParagraph"/>
              <w:spacing w:line="199" w:lineRule="exact" w:before="6"/>
              <w:ind w:right="90"/>
              <w:jc w:val="right"/>
              <w:rPr>
                <w:sz w:val="18"/>
              </w:rPr>
            </w:pPr>
            <w:r>
              <w:rPr>
                <w:spacing w:val="-2"/>
                <w:sz w:val="18"/>
              </w:rPr>
              <w:t>-1.458653</w:t>
            </w:r>
          </w:p>
        </w:tc>
        <w:tc>
          <w:tcPr>
            <w:tcW w:w="914" w:type="dxa"/>
          </w:tcPr>
          <w:p>
            <w:pPr>
              <w:pStyle w:val="TableParagraph"/>
              <w:spacing w:line="199" w:lineRule="exact" w:before="6"/>
              <w:ind w:right="6"/>
              <w:jc w:val="right"/>
              <w:rPr>
                <w:sz w:val="18"/>
              </w:rPr>
            </w:pPr>
            <w:r>
              <w:rPr>
                <w:spacing w:val="-2"/>
                <w:sz w:val="18"/>
              </w:rPr>
              <w:t>0.1464</w:t>
            </w:r>
          </w:p>
        </w:tc>
      </w:tr>
      <w:tr>
        <w:trPr>
          <w:trHeight w:val="224" w:hRule="atLeast"/>
        </w:trPr>
        <w:tc>
          <w:tcPr>
            <w:tcW w:w="2010" w:type="dxa"/>
          </w:tcPr>
          <w:p>
            <w:pPr>
              <w:pStyle w:val="TableParagraph"/>
              <w:spacing w:line="198" w:lineRule="exact" w:before="6"/>
              <w:ind w:left="6" w:right="1"/>
              <w:jc w:val="center"/>
              <w:rPr>
                <w:sz w:val="18"/>
              </w:rPr>
            </w:pPr>
            <w:r>
              <w:rPr>
                <w:spacing w:val="-4"/>
                <w:sz w:val="18"/>
              </w:rPr>
              <w:t>MOWN</w:t>
            </w:r>
          </w:p>
        </w:tc>
        <w:tc>
          <w:tcPr>
            <w:tcW w:w="1206" w:type="dxa"/>
          </w:tcPr>
          <w:p>
            <w:pPr>
              <w:pStyle w:val="TableParagraph"/>
              <w:spacing w:line="198" w:lineRule="exact" w:before="6"/>
              <w:ind w:left="240"/>
              <w:jc w:val="center"/>
              <w:rPr>
                <w:sz w:val="18"/>
              </w:rPr>
            </w:pPr>
            <w:r>
              <w:rPr>
                <w:spacing w:val="-2"/>
                <w:sz w:val="18"/>
              </w:rPr>
              <w:t>0.010089</w:t>
            </w:r>
          </w:p>
        </w:tc>
        <w:tc>
          <w:tcPr>
            <w:tcW w:w="1300" w:type="dxa"/>
          </w:tcPr>
          <w:p>
            <w:pPr>
              <w:pStyle w:val="TableParagraph"/>
              <w:spacing w:line="198" w:lineRule="exact" w:before="6"/>
              <w:ind w:left="155" w:right="2"/>
              <w:jc w:val="center"/>
              <w:rPr>
                <w:sz w:val="18"/>
              </w:rPr>
            </w:pPr>
            <w:r>
              <w:rPr>
                <w:spacing w:val="-2"/>
                <w:sz w:val="18"/>
              </w:rPr>
              <w:t>0.005041</w:t>
            </w:r>
          </w:p>
        </w:tc>
        <w:tc>
          <w:tcPr>
            <w:tcW w:w="1101" w:type="dxa"/>
          </w:tcPr>
          <w:p>
            <w:pPr>
              <w:pStyle w:val="TableParagraph"/>
              <w:spacing w:line="198" w:lineRule="exact" w:before="6"/>
              <w:ind w:right="90"/>
              <w:jc w:val="right"/>
              <w:rPr>
                <w:sz w:val="18"/>
              </w:rPr>
            </w:pPr>
            <w:r>
              <w:rPr>
                <w:spacing w:val="-2"/>
                <w:sz w:val="18"/>
              </w:rPr>
              <w:t>2.001406</w:t>
            </w:r>
          </w:p>
        </w:tc>
        <w:tc>
          <w:tcPr>
            <w:tcW w:w="914" w:type="dxa"/>
          </w:tcPr>
          <w:p>
            <w:pPr>
              <w:pStyle w:val="TableParagraph"/>
              <w:spacing w:line="198" w:lineRule="exact" w:before="6"/>
              <w:ind w:right="6"/>
              <w:jc w:val="right"/>
              <w:rPr>
                <w:sz w:val="18"/>
              </w:rPr>
            </w:pPr>
            <w:r>
              <w:rPr>
                <w:spacing w:val="-2"/>
                <w:sz w:val="18"/>
              </w:rPr>
              <w:t>0.0468</w:t>
            </w:r>
          </w:p>
        </w:tc>
      </w:tr>
      <w:tr>
        <w:trPr>
          <w:trHeight w:val="224" w:hRule="atLeast"/>
        </w:trPr>
        <w:tc>
          <w:tcPr>
            <w:tcW w:w="2010" w:type="dxa"/>
          </w:tcPr>
          <w:p>
            <w:pPr>
              <w:pStyle w:val="TableParagraph"/>
              <w:spacing w:line="199" w:lineRule="exact" w:before="5"/>
              <w:ind w:left="6" w:right="3"/>
              <w:jc w:val="center"/>
              <w:rPr>
                <w:sz w:val="18"/>
              </w:rPr>
            </w:pPr>
            <w:r>
              <w:rPr>
                <w:spacing w:val="-4"/>
                <w:sz w:val="18"/>
              </w:rPr>
              <w:t>FOWN</w:t>
            </w:r>
          </w:p>
        </w:tc>
        <w:tc>
          <w:tcPr>
            <w:tcW w:w="1206" w:type="dxa"/>
          </w:tcPr>
          <w:p>
            <w:pPr>
              <w:pStyle w:val="TableParagraph"/>
              <w:spacing w:line="199" w:lineRule="exact" w:before="5"/>
              <w:ind w:left="240"/>
              <w:jc w:val="center"/>
              <w:rPr>
                <w:sz w:val="18"/>
              </w:rPr>
            </w:pPr>
            <w:r>
              <w:rPr>
                <w:spacing w:val="-2"/>
                <w:sz w:val="18"/>
              </w:rPr>
              <w:t>0.002237</w:t>
            </w:r>
          </w:p>
        </w:tc>
        <w:tc>
          <w:tcPr>
            <w:tcW w:w="1300" w:type="dxa"/>
          </w:tcPr>
          <w:p>
            <w:pPr>
              <w:pStyle w:val="TableParagraph"/>
              <w:spacing w:line="199" w:lineRule="exact" w:before="5"/>
              <w:ind w:left="155" w:right="2"/>
              <w:jc w:val="center"/>
              <w:rPr>
                <w:sz w:val="18"/>
              </w:rPr>
            </w:pPr>
            <w:r>
              <w:rPr>
                <w:spacing w:val="-2"/>
                <w:sz w:val="18"/>
              </w:rPr>
              <w:t>0.005011</w:t>
            </w:r>
          </w:p>
        </w:tc>
        <w:tc>
          <w:tcPr>
            <w:tcW w:w="1101" w:type="dxa"/>
          </w:tcPr>
          <w:p>
            <w:pPr>
              <w:pStyle w:val="TableParagraph"/>
              <w:spacing w:line="199" w:lineRule="exact" w:before="5"/>
              <w:ind w:right="90"/>
              <w:jc w:val="right"/>
              <w:rPr>
                <w:sz w:val="18"/>
              </w:rPr>
            </w:pPr>
            <w:r>
              <w:rPr>
                <w:spacing w:val="-2"/>
                <w:sz w:val="18"/>
              </w:rPr>
              <w:t>0.446328</w:t>
            </w:r>
          </w:p>
        </w:tc>
        <w:tc>
          <w:tcPr>
            <w:tcW w:w="914" w:type="dxa"/>
          </w:tcPr>
          <w:p>
            <w:pPr>
              <w:pStyle w:val="TableParagraph"/>
              <w:spacing w:line="199" w:lineRule="exact" w:before="5"/>
              <w:ind w:right="6"/>
              <w:jc w:val="right"/>
              <w:rPr>
                <w:sz w:val="18"/>
              </w:rPr>
            </w:pPr>
            <w:r>
              <w:rPr>
                <w:spacing w:val="-2"/>
                <w:sz w:val="18"/>
              </w:rPr>
              <w:t>0.6559</w:t>
            </w:r>
          </w:p>
        </w:tc>
      </w:tr>
      <w:tr>
        <w:trPr>
          <w:trHeight w:val="225" w:hRule="atLeast"/>
        </w:trPr>
        <w:tc>
          <w:tcPr>
            <w:tcW w:w="2010" w:type="dxa"/>
          </w:tcPr>
          <w:p>
            <w:pPr>
              <w:pStyle w:val="TableParagraph"/>
              <w:spacing w:line="199" w:lineRule="exact" w:before="6"/>
              <w:ind w:left="6" w:right="3"/>
              <w:jc w:val="center"/>
              <w:rPr>
                <w:sz w:val="18"/>
              </w:rPr>
            </w:pPr>
            <w:r>
              <w:rPr>
                <w:spacing w:val="-2"/>
                <w:sz w:val="18"/>
              </w:rPr>
              <w:t>BLOWN</w:t>
            </w:r>
          </w:p>
        </w:tc>
        <w:tc>
          <w:tcPr>
            <w:tcW w:w="1206" w:type="dxa"/>
          </w:tcPr>
          <w:p>
            <w:pPr>
              <w:pStyle w:val="TableParagraph"/>
              <w:spacing w:line="199" w:lineRule="exact" w:before="6"/>
              <w:ind w:left="240"/>
              <w:jc w:val="center"/>
              <w:rPr>
                <w:sz w:val="18"/>
              </w:rPr>
            </w:pPr>
            <w:r>
              <w:rPr>
                <w:spacing w:val="-2"/>
                <w:sz w:val="18"/>
              </w:rPr>
              <w:t>0.003473</w:t>
            </w:r>
          </w:p>
        </w:tc>
        <w:tc>
          <w:tcPr>
            <w:tcW w:w="1300" w:type="dxa"/>
          </w:tcPr>
          <w:p>
            <w:pPr>
              <w:pStyle w:val="TableParagraph"/>
              <w:spacing w:line="199" w:lineRule="exact" w:before="6"/>
              <w:ind w:left="155" w:right="2"/>
              <w:jc w:val="center"/>
              <w:rPr>
                <w:sz w:val="18"/>
              </w:rPr>
            </w:pPr>
            <w:r>
              <w:rPr>
                <w:spacing w:val="-2"/>
                <w:sz w:val="18"/>
              </w:rPr>
              <w:t>0.005841</w:t>
            </w:r>
          </w:p>
        </w:tc>
        <w:tc>
          <w:tcPr>
            <w:tcW w:w="1101" w:type="dxa"/>
          </w:tcPr>
          <w:p>
            <w:pPr>
              <w:pStyle w:val="TableParagraph"/>
              <w:spacing w:line="199" w:lineRule="exact" w:before="6"/>
              <w:ind w:right="90"/>
              <w:jc w:val="right"/>
              <w:rPr>
                <w:sz w:val="18"/>
              </w:rPr>
            </w:pPr>
            <w:r>
              <w:rPr>
                <w:spacing w:val="-2"/>
                <w:sz w:val="18"/>
              </w:rPr>
              <w:t>0.594582</w:t>
            </w:r>
          </w:p>
        </w:tc>
        <w:tc>
          <w:tcPr>
            <w:tcW w:w="914" w:type="dxa"/>
          </w:tcPr>
          <w:p>
            <w:pPr>
              <w:pStyle w:val="TableParagraph"/>
              <w:spacing w:line="199" w:lineRule="exact" w:before="6"/>
              <w:ind w:right="6"/>
              <w:jc w:val="right"/>
              <w:rPr>
                <w:sz w:val="18"/>
              </w:rPr>
            </w:pPr>
            <w:r>
              <w:rPr>
                <w:spacing w:val="-2"/>
                <w:sz w:val="18"/>
              </w:rPr>
              <w:t>0.5529</w:t>
            </w:r>
          </w:p>
        </w:tc>
      </w:tr>
      <w:tr>
        <w:trPr>
          <w:trHeight w:val="225" w:hRule="atLeast"/>
        </w:trPr>
        <w:tc>
          <w:tcPr>
            <w:tcW w:w="2010" w:type="dxa"/>
          </w:tcPr>
          <w:p>
            <w:pPr>
              <w:pStyle w:val="TableParagraph"/>
              <w:spacing w:line="199" w:lineRule="exact" w:before="6"/>
              <w:ind w:left="6"/>
              <w:jc w:val="center"/>
              <w:rPr>
                <w:sz w:val="18"/>
              </w:rPr>
            </w:pPr>
            <w:r>
              <w:rPr>
                <w:spacing w:val="-4"/>
                <w:sz w:val="18"/>
              </w:rPr>
              <w:t>FAGE</w:t>
            </w:r>
          </w:p>
        </w:tc>
        <w:tc>
          <w:tcPr>
            <w:tcW w:w="1206" w:type="dxa"/>
          </w:tcPr>
          <w:p>
            <w:pPr>
              <w:pStyle w:val="TableParagraph"/>
              <w:spacing w:line="199" w:lineRule="exact" w:before="6"/>
              <w:ind w:left="180"/>
              <w:jc w:val="center"/>
              <w:rPr>
                <w:sz w:val="18"/>
              </w:rPr>
            </w:pPr>
            <w:r>
              <w:rPr>
                <w:spacing w:val="-2"/>
                <w:sz w:val="18"/>
              </w:rPr>
              <w:t>-0.006609</w:t>
            </w:r>
          </w:p>
        </w:tc>
        <w:tc>
          <w:tcPr>
            <w:tcW w:w="1300" w:type="dxa"/>
          </w:tcPr>
          <w:p>
            <w:pPr>
              <w:pStyle w:val="TableParagraph"/>
              <w:spacing w:line="199" w:lineRule="exact" w:before="6"/>
              <w:ind w:left="155" w:right="2"/>
              <w:jc w:val="center"/>
              <w:rPr>
                <w:sz w:val="18"/>
              </w:rPr>
            </w:pPr>
            <w:r>
              <w:rPr>
                <w:spacing w:val="-2"/>
                <w:sz w:val="18"/>
              </w:rPr>
              <w:t>0.003991</w:t>
            </w:r>
          </w:p>
        </w:tc>
        <w:tc>
          <w:tcPr>
            <w:tcW w:w="1101" w:type="dxa"/>
          </w:tcPr>
          <w:p>
            <w:pPr>
              <w:pStyle w:val="TableParagraph"/>
              <w:spacing w:line="199" w:lineRule="exact" w:before="6"/>
              <w:ind w:right="90"/>
              <w:jc w:val="right"/>
              <w:rPr>
                <w:sz w:val="18"/>
              </w:rPr>
            </w:pPr>
            <w:r>
              <w:rPr>
                <w:spacing w:val="-2"/>
                <w:sz w:val="18"/>
              </w:rPr>
              <w:t>-1.655912</w:t>
            </w:r>
          </w:p>
        </w:tc>
        <w:tc>
          <w:tcPr>
            <w:tcW w:w="914" w:type="dxa"/>
          </w:tcPr>
          <w:p>
            <w:pPr>
              <w:pStyle w:val="TableParagraph"/>
              <w:spacing w:line="199" w:lineRule="exact" w:before="6"/>
              <w:ind w:right="6"/>
              <w:jc w:val="right"/>
              <w:rPr>
                <w:sz w:val="18"/>
              </w:rPr>
            </w:pPr>
            <w:r>
              <w:rPr>
                <w:spacing w:val="-2"/>
                <w:sz w:val="18"/>
              </w:rPr>
              <w:t>0.0995</w:t>
            </w:r>
          </w:p>
        </w:tc>
      </w:tr>
      <w:tr>
        <w:trPr>
          <w:trHeight w:val="224" w:hRule="atLeast"/>
        </w:trPr>
        <w:tc>
          <w:tcPr>
            <w:tcW w:w="2010" w:type="dxa"/>
          </w:tcPr>
          <w:p>
            <w:pPr>
              <w:pStyle w:val="TableParagraph"/>
              <w:spacing w:line="198" w:lineRule="exact" w:before="6"/>
              <w:ind w:left="6" w:right="4"/>
              <w:jc w:val="center"/>
              <w:rPr>
                <w:sz w:val="18"/>
              </w:rPr>
            </w:pPr>
            <w:r>
              <w:rPr>
                <w:spacing w:val="-2"/>
                <w:sz w:val="18"/>
              </w:rPr>
              <w:t>FSIZE</w:t>
            </w:r>
          </w:p>
        </w:tc>
        <w:tc>
          <w:tcPr>
            <w:tcW w:w="1206" w:type="dxa"/>
          </w:tcPr>
          <w:p>
            <w:pPr>
              <w:pStyle w:val="TableParagraph"/>
              <w:spacing w:line="198" w:lineRule="exact" w:before="6"/>
              <w:ind w:left="180"/>
              <w:jc w:val="center"/>
              <w:rPr>
                <w:sz w:val="18"/>
              </w:rPr>
            </w:pPr>
            <w:r>
              <w:rPr>
                <w:spacing w:val="-2"/>
                <w:sz w:val="18"/>
              </w:rPr>
              <w:t>-0.088925</w:t>
            </w:r>
          </w:p>
        </w:tc>
        <w:tc>
          <w:tcPr>
            <w:tcW w:w="1300" w:type="dxa"/>
          </w:tcPr>
          <w:p>
            <w:pPr>
              <w:pStyle w:val="TableParagraph"/>
              <w:spacing w:line="198" w:lineRule="exact" w:before="6"/>
              <w:ind w:left="155" w:right="2"/>
              <w:jc w:val="center"/>
              <w:rPr>
                <w:sz w:val="18"/>
              </w:rPr>
            </w:pPr>
            <w:r>
              <w:rPr>
                <w:spacing w:val="-2"/>
                <w:sz w:val="18"/>
              </w:rPr>
              <w:t>0.102075</w:t>
            </w:r>
          </w:p>
        </w:tc>
        <w:tc>
          <w:tcPr>
            <w:tcW w:w="1101" w:type="dxa"/>
          </w:tcPr>
          <w:p>
            <w:pPr>
              <w:pStyle w:val="TableParagraph"/>
              <w:spacing w:line="198" w:lineRule="exact" w:before="6"/>
              <w:ind w:right="90"/>
              <w:jc w:val="right"/>
              <w:rPr>
                <w:sz w:val="18"/>
              </w:rPr>
            </w:pPr>
            <w:r>
              <w:rPr>
                <w:spacing w:val="-2"/>
                <w:sz w:val="18"/>
              </w:rPr>
              <w:t>-0.871171</w:t>
            </w:r>
          </w:p>
        </w:tc>
        <w:tc>
          <w:tcPr>
            <w:tcW w:w="914" w:type="dxa"/>
          </w:tcPr>
          <w:p>
            <w:pPr>
              <w:pStyle w:val="TableParagraph"/>
              <w:spacing w:line="198" w:lineRule="exact" w:before="6"/>
              <w:ind w:right="6"/>
              <w:jc w:val="right"/>
              <w:rPr>
                <w:sz w:val="18"/>
              </w:rPr>
            </w:pPr>
            <w:r>
              <w:rPr>
                <w:spacing w:val="-2"/>
                <w:sz w:val="18"/>
              </w:rPr>
              <w:t>0.3848</w:t>
            </w:r>
          </w:p>
        </w:tc>
      </w:tr>
      <w:tr>
        <w:trPr>
          <w:trHeight w:val="224" w:hRule="atLeast"/>
        </w:trPr>
        <w:tc>
          <w:tcPr>
            <w:tcW w:w="2010" w:type="dxa"/>
          </w:tcPr>
          <w:p>
            <w:pPr>
              <w:pStyle w:val="TableParagraph"/>
              <w:spacing w:line="199" w:lineRule="exact" w:before="5"/>
              <w:ind w:left="523"/>
              <w:rPr>
                <w:sz w:val="18"/>
              </w:rPr>
            </w:pPr>
            <w:r>
              <w:rPr>
                <w:spacing w:val="-2"/>
                <w:sz w:val="18"/>
              </w:rPr>
              <w:t>LEVERAGE</w:t>
            </w:r>
          </w:p>
        </w:tc>
        <w:tc>
          <w:tcPr>
            <w:tcW w:w="1206" w:type="dxa"/>
          </w:tcPr>
          <w:p>
            <w:pPr>
              <w:pStyle w:val="TableParagraph"/>
              <w:spacing w:line="199" w:lineRule="exact" w:before="5"/>
              <w:ind w:left="240"/>
              <w:jc w:val="center"/>
              <w:rPr>
                <w:sz w:val="18"/>
              </w:rPr>
            </w:pPr>
            <w:r>
              <w:rPr>
                <w:spacing w:val="-2"/>
                <w:sz w:val="18"/>
              </w:rPr>
              <w:t>0.027777</w:t>
            </w:r>
          </w:p>
        </w:tc>
        <w:tc>
          <w:tcPr>
            <w:tcW w:w="1300" w:type="dxa"/>
          </w:tcPr>
          <w:p>
            <w:pPr>
              <w:pStyle w:val="TableParagraph"/>
              <w:spacing w:line="199" w:lineRule="exact" w:before="5"/>
              <w:ind w:left="155" w:right="2"/>
              <w:jc w:val="center"/>
              <w:rPr>
                <w:sz w:val="18"/>
              </w:rPr>
            </w:pPr>
            <w:r>
              <w:rPr>
                <w:spacing w:val="-2"/>
                <w:sz w:val="18"/>
              </w:rPr>
              <w:t>0.060828</w:t>
            </w:r>
          </w:p>
        </w:tc>
        <w:tc>
          <w:tcPr>
            <w:tcW w:w="1101" w:type="dxa"/>
          </w:tcPr>
          <w:p>
            <w:pPr>
              <w:pStyle w:val="TableParagraph"/>
              <w:spacing w:line="199" w:lineRule="exact" w:before="5"/>
              <w:ind w:right="90"/>
              <w:jc w:val="right"/>
              <w:rPr>
                <w:sz w:val="18"/>
              </w:rPr>
            </w:pPr>
            <w:r>
              <w:rPr>
                <w:spacing w:val="-2"/>
                <w:sz w:val="18"/>
              </w:rPr>
              <w:t>0.456655</w:t>
            </w:r>
          </w:p>
        </w:tc>
        <w:tc>
          <w:tcPr>
            <w:tcW w:w="914" w:type="dxa"/>
          </w:tcPr>
          <w:p>
            <w:pPr>
              <w:pStyle w:val="TableParagraph"/>
              <w:spacing w:line="199" w:lineRule="exact" w:before="5"/>
              <w:ind w:right="6"/>
              <w:jc w:val="right"/>
              <w:rPr>
                <w:sz w:val="18"/>
              </w:rPr>
            </w:pPr>
            <w:r>
              <w:rPr>
                <w:spacing w:val="-2"/>
                <w:sz w:val="18"/>
              </w:rPr>
              <w:t>0.6485</w:t>
            </w:r>
          </w:p>
        </w:tc>
      </w:tr>
      <w:tr>
        <w:trPr>
          <w:trHeight w:val="225" w:hRule="atLeast"/>
        </w:trPr>
        <w:tc>
          <w:tcPr>
            <w:tcW w:w="2010" w:type="dxa"/>
          </w:tcPr>
          <w:p>
            <w:pPr>
              <w:pStyle w:val="TableParagraph"/>
              <w:spacing w:line="199" w:lineRule="exact" w:before="6"/>
              <w:ind w:left="6" w:right="3"/>
              <w:jc w:val="center"/>
              <w:rPr>
                <w:sz w:val="18"/>
              </w:rPr>
            </w:pPr>
            <w:r>
              <w:rPr>
                <w:spacing w:val="-4"/>
                <w:sz w:val="18"/>
              </w:rPr>
              <w:t>IFRS</w:t>
            </w:r>
          </w:p>
        </w:tc>
        <w:tc>
          <w:tcPr>
            <w:tcW w:w="1206" w:type="dxa"/>
          </w:tcPr>
          <w:p>
            <w:pPr>
              <w:pStyle w:val="TableParagraph"/>
              <w:spacing w:line="199" w:lineRule="exact" w:before="6"/>
              <w:ind w:left="240"/>
              <w:jc w:val="center"/>
              <w:rPr>
                <w:sz w:val="18"/>
              </w:rPr>
            </w:pPr>
            <w:r>
              <w:rPr>
                <w:spacing w:val="-2"/>
                <w:sz w:val="18"/>
              </w:rPr>
              <w:t>0.126310</w:t>
            </w:r>
          </w:p>
        </w:tc>
        <w:tc>
          <w:tcPr>
            <w:tcW w:w="1300" w:type="dxa"/>
          </w:tcPr>
          <w:p>
            <w:pPr>
              <w:pStyle w:val="TableParagraph"/>
              <w:spacing w:line="199" w:lineRule="exact" w:before="6"/>
              <w:ind w:left="155" w:right="2"/>
              <w:jc w:val="center"/>
              <w:rPr>
                <w:sz w:val="18"/>
              </w:rPr>
            </w:pPr>
            <w:r>
              <w:rPr>
                <w:spacing w:val="-2"/>
                <w:sz w:val="18"/>
              </w:rPr>
              <w:t>0.203712</w:t>
            </w:r>
          </w:p>
        </w:tc>
        <w:tc>
          <w:tcPr>
            <w:tcW w:w="1101" w:type="dxa"/>
          </w:tcPr>
          <w:p>
            <w:pPr>
              <w:pStyle w:val="TableParagraph"/>
              <w:spacing w:line="199" w:lineRule="exact" w:before="6"/>
              <w:ind w:right="90"/>
              <w:jc w:val="right"/>
              <w:rPr>
                <w:sz w:val="18"/>
              </w:rPr>
            </w:pPr>
            <w:r>
              <w:rPr>
                <w:spacing w:val="-2"/>
                <w:sz w:val="18"/>
              </w:rPr>
              <w:t>0.620040</w:t>
            </w:r>
          </w:p>
        </w:tc>
        <w:tc>
          <w:tcPr>
            <w:tcW w:w="914" w:type="dxa"/>
          </w:tcPr>
          <w:p>
            <w:pPr>
              <w:pStyle w:val="TableParagraph"/>
              <w:spacing w:line="199" w:lineRule="exact" w:before="6"/>
              <w:ind w:right="6"/>
              <w:jc w:val="right"/>
              <w:rPr>
                <w:sz w:val="18"/>
              </w:rPr>
            </w:pPr>
            <w:r>
              <w:rPr>
                <w:spacing w:val="-2"/>
                <w:sz w:val="18"/>
              </w:rPr>
              <w:t>0.5360</w:t>
            </w:r>
          </w:p>
        </w:tc>
      </w:tr>
      <w:tr>
        <w:trPr>
          <w:trHeight w:val="225" w:hRule="atLeast"/>
        </w:trPr>
        <w:tc>
          <w:tcPr>
            <w:tcW w:w="2010" w:type="dxa"/>
          </w:tcPr>
          <w:p>
            <w:pPr>
              <w:pStyle w:val="TableParagraph"/>
              <w:spacing w:line="199" w:lineRule="exact" w:before="6"/>
              <w:ind w:left="343"/>
              <w:rPr>
                <w:sz w:val="18"/>
              </w:rPr>
            </w:pPr>
            <w:r>
              <w:rPr>
                <w:spacing w:val="-2"/>
                <w:sz w:val="18"/>
              </w:rPr>
              <w:t>INSTOWN*IFRS</w:t>
            </w:r>
          </w:p>
        </w:tc>
        <w:tc>
          <w:tcPr>
            <w:tcW w:w="1206" w:type="dxa"/>
          </w:tcPr>
          <w:p>
            <w:pPr>
              <w:pStyle w:val="TableParagraph"/>
              <w:spacing w:line="199" w:lineRule="exact" w:before="6"/>
              <w:ind w:left="240"/>
              <w:jc w:val="center"/>
              <w:rPr>
                <w:sz w:val="18"/>
              </w:rPr>
            </w:pPr>
            <w:r>
              <w:rPr>
                <w:spacing w:val="-2"/>
                <w:sz w:val="18"/>
              </w:rPr>
              <w:t>0.000659</w:t>
            </w:r>
          </w:p>
        </w:tc>
        <w:tc>
          <w:tcPr>
            <w:tcW w:w="1300" w:type="dxa"/>
          </w:tcPr>
          <w:p>
            <w:pPr>
              <w:pStyle w:val="TableParagraph"/>
              <w:spacing w:line="199" w:lineRule="exact" w:before="6"/>
              <w:ind w:left="155" w:right="2"/>
              <w:jc w:val="center"/>
              <w:rPr>
                <w:sz w:val="18"/>
              </w:rPr>
            </w:pPr>
            <w:r>
              <w:rPr>
                <w:spacing w:val="-2"/>
                <w:sz w:val="18"/>
              </w:rPr>
              <w:t>0.007769</w:t>
            </w:r>
          </w:p>
        </w:tc>
        <w:tc>
          <w:tcPr>
            <w:tcW w:w="1101" w:type="dxa"/>
          </w:tcPr>
          <w:p>
            <w:pPr>
              <w:pStyle w:val="TableParagraph"/>
              <w:spacing w:line="199" w:lineRule="exact" w:before="6"/>
              <w:ind w:right="90"/>
              <w:jc w:val="right"/>
              <w:rPr>
                <w:sz w:val="18"/>
              </w:rPr>
            </w:pPr>
            <w:r>
              <w:rPr>
                <w:spacing w:val="-2"/>
                <w:sz w:val="18"/>
              </w:rPr>
              <w:t>0.084814</w:t>
            </w:r>
          </w:p>
        </w:tc>
        <w:tc>
          <w:tcPr>
            <w:tcW w:w="914" w:type="dxa"/>
          </w:tcPr>
          <w:p>
            <w:pPr>
              <w:pStyle w:val="TableParagraph"/>
              <w:spacing w:line="199" w:lineRule="exact" w:before="6"/>
              <w:ind w:right="6"/>
              <w:jc w:val="right"/>
              <w:rPr>
                <w:sz w:val="18"/>
              </w:rPr>
            </w:pPr>
            <w:r>
              <w:rPr>
                <w:spacing w:val="-2"/>
                <w:sz w:val="18"/>
              </w:rPr>
              <w:t>0.9325</w:t>
            </w:r>
          </w:p>
        </w:tc>
      </w:tr>
      <w:tr>
        <w:trPr>
          <w:trHeight w:val="224" w:hRule="atLeast"/>
        </w:trPr>
        <w:tc>
          <w:tcPr>
            <w:tcW w:w="2010" w:type="dxa"/>
          </w:tcPr>
          <w:p>
            <w:pPr>
              <w:pStyle w:val="TableParagraph"/>
              <w:spacing w:line="198" w:lineRule="exact" w:before="6"/>
              <w:ind w:left="472"/>
              <w:rPr>
                <w:sz w:val="18"/>
              </w:rPr>
            </w:pPr>
            <w:r>
              <w:rPr>
                <w:spacing w:val="-2"/>
                <w:sz w:val="18"/>
              </w:rPr>
              <w:t>MOWN*IFRS</w:t>
            </w:r>
          </w:p>
        </w:tc>
        <w:tc>
          <w:tcPr>
            <w:tcW w:w="1206" w:type="dxa"/>
          </w:tcPr>
          <w:p>
            <w:pPr>
              <w:pStyle w:val="TableParagraph"/>
              <w:spacing w:line="198" w:lineRule="exact" w:before="6"/>
              <w:ind w:left="240"/>
              <w:jc w:val="center"/>
              <w:rPr>
                <w:sz w:val="18"/>
              </w:rPr>
            </w:pPr>
            <w:r>
              <w:rPr>
                <w:spacing w:val="-2"/>
                <w:sz w:val="18"/>
              </w:rPr>
              <w:t>0.001821</w:t>
            </w:r>
          </w:p>
        </w:tc>
        <w:tc>
          <w:tcPr>
            <w:tcW w:w="1300" w:type="dxa"/>
          </w:tcPr>
          <w:p>
            <w:pPr>
              <w:pStyle w:val="TableParagraph"/>
              <w:spacing w:line="198" w:lineRule="exact" w:before="6"/>
              <w:ind w:left="155" w:right="2"/>
              <w:jc w:val="center"/>
              <w:rPr>
                <w:sz w:val="18"/>
              </w:rPr>
            </w:pPr>
            <w:r>
              <w:rPr>
                <w:spacing w:val="-2"/>
                <w:sz w:val="18"/>
              </w:rPr>
              <w:t>0.006664</w:t>
            </w:r>
          </w:p>
        </w:tc>
        <w:tc>
          <w:tcPr>
            <w:tcW w:w="1101" w:type="dxa"/>
          </w:tcPr>
          <w:p>
            <w:pPr>
              <w:pStyle w:val="TableParagraph"/>
              <w:spacing w:line="198" w:lineRule="exact" w:before="6"/>
              <w:ind w:right="90"/>
              <w:jc w:val="right"/>
              <w:rPr>
                <w:sz w:val="18"/>
              </w:rPr>
            </w:pPr>
            <w:r>
              <w:rPr>
                <w:spacing w:val="-2"/>
                <w:sz w:val="18"/>
              </w:rPr>
              <w:t>0.273280</w:t>
            </w:r>
          </w:p>
        </w:tc>
        <w:tc>
          <w:tcPr>
            <w:tcW w:w="914" w:type="dxa"/>
          </w:tcPr>
          <w:p>
            <w:pPr>
              <w:pStyle w:val="TableParagraph"/>
              <w:spacing w:line="198" w:lineRule="exact" w:before="6"/>
              <w:ind w:right="6"/>
              <w:jc w:val="right"/>
              <w:rPr>
                <w:sz w:val="18"/>
              </w:rPr>
            </w:pPr>
            <w:r>
              <w:rPr>
                <w:spacing w:val="-2"/>
                <w:sz w:val="18"/>
              </w:rPr>
              <w:t>0.7849</w:t>
            </w:r>
          </w:p>
        </w:tc>
      </w:tr>
      <w:tr>
        <w:trPr>
          <w:trHeight w:val="224" w:hRule="atLeast"/>
        </w:trPr>
        <w:tc>
          <w:tcPr>
            <w:tcW w:w="2010" w:type="dxa"/>
          </w:tcPr>
          <w:p>
            <w:pPr>
              <w:pStyle w:val="TableParagraph"/>
              <w:spacing w:line="199" w:lineRule="exact" w:before="5"/>
              <w:ind w:left="491"/>
              <w:rPr>
                <w:sz w:val="18"/>
              </w:rPr>
            </w:pPr>
            <w:r>
              <w:rPr>
                <w:spacing w:val="-2"/>
                <w:sz w:val="18"/>
              </w:rPr>
              <w:t>FOWN*IFRS</w:t>
            </w:r>
          </w:p>
        </w:tc>
        <w:tc>
          <w:tcPr>
            <w:tcW w:w="1206" w:type="dxa"/>
          </w:tcPr>
          <w:p>
            <w:pPr>
              <w:pStyle w:val="TableParagraph"/>
              <w:spacing w:line="199" w:lineRule="exact" w:before="5"/>
              <w:ind w:left="240"/>
              <w:jc w:val="center"/>
              <w:rPr>
                <w:sz w:val="18"/>
              </w:rPr>
            </w:pPr>
            <w:r>
              <w:rPr>
                <w:spacing w:val="-2"/>
                <w:sz w:val="18"/>
              </w:rPr>
              <w:t>0.008274</w:t>
            </w:r>
          </w:p>
        </w:tc>
        <w:tc>
          <w:tcPr>
            <w:tcW w:w="1300" w:type="dxa"/>
          </w:tcPr>
          <w:p>
            <w:pPr>
              <w:pStyle w:val="TableParagraph"/>
              <w:spacing w:line="199" w:lineRule="exact" w:before="5"/>
              <w:ind w:left="155" w:right="2"/>
              <w:jc w:val="center"/>
              <w:rPr>
                <w:sz w:val="18"/>
              </w:rPr>
            </w:pPr>
            <w:r>
              <w:rPr>
                <w:spacing w:val="-2"/>
                <w:sz w:val="18"/>
              </w:rPr>
              <w:t>0.006026</w:t>
            </w:r>
          </w:p>
        </w:tc>
        <w:tc>
          <w:tcPr>
            <w:tcW w:w="1101" w:type="dxa"/>
          </w:tcPr>
          <w:p>
            <w:pPr>
              <w:pStyle w:val="TableParagraph"/>
              <w:spacing w:line="199" w:lineRule="exact" w:before="5"/>
              <w:ind w:right="90"/>
              <w:jc w:val="right"/>
              <w:rPr>
                <w:sz w:val="18"/>
              </w:rPr>
            </w:pPr>
            <w:r>
              <w:rPr>
                <w:spacing w:val="-2"/>
                <w:sz w:val="18"/>
              </w:rPr>
              <w:t>1.372968</w:t>
            </w:r>
          </w:p>
        </w:tc>
        <w:tc>
          <w:tcPr>
            <w:tcW w:w="914" w:type="dxa"/>
          </w:tcPr>
          <w:p>
            <w:pPr>
              <w:pStyle w:val="TableParagraph"/>
              <w:spacing w:line="199" w:lineRule="exact" w:before="5"/>
              <w:ind w:right="6"/>
              <w:jc w:val="right"/>
              <w:rPr>
                <w:sz w:val="18"/>
              </w:rPr>
            </w:pPr>
            <w:r>
              <w:rPr>
                <w:spacing w:val="-2"/>
                <w:sz w:val="18"/>
              </w:rPr>
              <w:t>0.1715</w:t>
            </w:r>
          </w:p>
        </w:tc>
      </w:tr>
      <w:tr>
        <w:trPr>
          <w:trHeight w:val="303" w:hRule="atLeast"/>
        </w:trPr>
        <w:tc>
          <w:tcPr>
            <w:tcW w:w="2010" w:type="dxa"/>
            <w:tcBorders>
              <w:bottom w:val="double" w:sz="6" w:space="0" w:color="000000"/>
            </w:tcBorders>
          </w:tcPr>
          <w:p>
            <w:pPr>
              <w:pStyle w:val="TableParagraph"/>
              <w:spacing w:before="6"/>
              <w:ind w:left="436"/>
              <w:rPr>
                <w:sz w:val="18"/>
              </w:rPr>
            </w:pPr>
            <w:r>
              <w:rPr>
                <w:spacing w:val="-2"/>
                <w:sz w:val="18"/>
              </w:rPr>
              <w:t>BLOWN*IFRS</w:t>
            </w:r>
          </w:p>
        </w:tc>
        <w:tc>
          <w:tcPr>
            <w:tcW w:w="1206" w:type="dxa"/>
            <w:tcBorders>
              <w:bottom w:val="double" w:sz="6" w:space="0" w:color="000000"/>
            </w:tcBorders>
          </w:tcPr>
          <w:p>
            <w:pPr>
              <w:pStyle w:val="TableParagraph"/>
              <w:spacing w:before="6"/>
              <w:ind w:left="180"/>
              <w:jc w:val="center"/>
              <w:rPr>
                <w:sz w:val="18"/>
              </w:rPr>
            </w:pPr>
            <w:r>
              <w:rPr>
                <w:spacing w:val="-2"/>
                <w:sz w:val="18"/>
              </w:rPr>
              <w:t>-0.004960</w:t>
            </w:r>
          </w:p>
        </w:tc>
        <w:tc>
          <w:tcPr>
            <w:tcW w:w="1300" w:type="dxa"/>
            <w:tcBorders>
              <w:bottom w:val="double" w:sz="6" w:space="0" w:color="000000"/>
            </w:tcBorders>
          </w:tcPr>
          <w:p>
            <w:pPr>
              <w:pStyle w:val="TableParagraph"/>
              <w:spacing w:before="6"/>
              <w:ind w:left="155" w:right="2"/>
              <w:jc w:val="center"/>
              <w:rPr>
                <w:sz w:val="18"/>
              </w:rPr>
            </w:pPr>
            <w:r>
              <w:rPr>
                <w:spacing w:val="-2"/>
                <w:sz w:val="18"/>
              </w:rPr>
              <w:t>0.007120</w:t>
            </w:r>
          </w:p>
        </w:tc>
        <w:tc>
          <w:tcPr>
            <w:tcW w:w="1101" w:type="dxa"/>
            <w:tcBorders>
              <w:bottom w:val="double" w:sz="6" w:space="0" w:color="000000"/>
            </w:tcBorders>
          </w:tcPr>
          <w:p>
            <w:pPr>
              <w:pStyle w:val="TableParagraph"/>
              <w:spacing w:before="6"/>
              <w:ind w:right="90"/>
              <w:jc w:val="right"/>
              <w:rPr>
                <w:sz w:val="18"/>
              </w:rPr>
            </w:pPr>
            <w:r>
              <w:rPr>
                <w:spacing w:val="-2"/>
                <w:sz w:val="18"/>
              </w:rPr>
              <w:t>-0.696605</w:t>
            </w:r>
          </w:p>
        </w:tc>
        <w:tc>
          <w:tcPr>
            <w:tcW w:w="914" w:type="dxa"/>
            <w:tcBorders>
              <w:bottom w:val="double" w:sz="6" w:space="0" w:color="000000"/>
            </w:tcBorders>
          </w:tcPr>
          <w:p>
            <w:pPr>
              <w:pStyle w:val="TableParagraph"/>
              <w:spacing w:before="6"/>
              <w:ind w:right="6"/>
              <w:jc w:val="right"/>
              <w:rPr>
                <w:sz w:val="18"/>
              </w:rPr>
            </w:pPr>
            <w:r>
              <w:rPr>
                <w:spacing w:val="-2"/>
                <w:sz w:val="18"/>
              </w:rPr>
              <w:t>0.4869</w:t>
            </w:r>
          </w:p>
        </w:tc>
      </w:tr>
      <w:tr>
        <w:trPr>
          <w:trHeight w:val="326" w:hRule="atLeast"/>
        </w:trPr>
        <w:tc>
          <w:tcPr>
            <w:tcW w:w="6531" w:type="dxa"/>
            <w:gridSpan w:val="5"/>
            <w:tcBorders>
              <w:top w:val="double" w:sz="6" w:space="0" w:color="000000"/>
            </w:tcBorders>
          </w:tcPr>
          <w:p>
            <w:pPr>
              <w:pStyle w:val="TableParagraph"/>
              <w:spacing w:line="198" w:lineRule="exact" w:before="108"/>
              <w:ind w:left="3" w:right="187"/>
              <w:jc w:val="center"/>
              <w:rPr>
                <w:sz w:val="18"/>
              </w:rPr>
            </w:pPr>
            <w:r>
              <w:rPr>
                <w:sz w:val="18"/>
              </w:rPr>
              <w:t>Effects </w:t>
            </w:r>
            <w:r>
              <w:rPr>
                <w:spacing w:val="-2"/>
                <w:sz w:val="18"/>
              </w:rPr>
              <w:t>Specification</w:t>
            </w:r>
          </w:p>
        </w:tc>
      </w:tr>
      <w:tr>
        <w:trPr>
          <w:trHeight w:val="302" w:hRule="atLeast"/>
        </w:trPr>
        <w:tc>
          <w:tcPr>
            <w:tcW w:w="2010" w:type="dxa"/>
            <w:tcBorders>
              <w:bottom w:val="double" w:sz="6" w:space="0" w:color="000000"/>
            </w:tcBorders>
          </w:tcPr>
          <w:p>
            <w:pPr>
              <w:pStyle w:val="TableParagraph"/>
              <w:rPr>
                <w:rFonts w:ascii="Times New Roman"/>
                <w:sz w:val="18"/>
              </w:rPr>
            </w:pP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spacing w:before="5"/>
              <w:ind w:right="192"/>
              <w:jc w:val="right"/>
              <w:rPr>
                <w:sz w:val="18"/>
              </w:rPr>
            </w:pPr>
            <w:r>
              <w:rPr>
                <w:spacing w:val="-4"/>
                <w:sz w:val="18"/>
              </w:rPr>
              <w:t>S.D.</w:t>
            </w:r>
          </w:p>
        </w:tc>
        <w:tc>
          <w:tcPr>
            <w:tcW w:w="914" w:type="dxa"/>
            <w:tcBorders>
              <w:bottom w:val="double" w:sz="6" w:space="0" w:color="000000"/>
            </w:tcBorders>
          </w:tcPr>
          <w:p>
            <w:pPr>
              <w:pStyle w:val="TableParagraph"/>
              <w:spacing w:before="5"/>
              <w:ind w:right="106"/>
              <w:jc w:val="right"/>
              <w:rPr>
                <w:sz w:val="18"/>
              </w:rPr>
            </w:pPr>
            <w:r>
              <w:rPr>
                <w:spacing w:val="-5"/>
                <w:sz w:val="18"/>
              </w:rPr>
              <w:t>Rho</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Cross-section</w:t>
            </w:r>
            <w:r>
              <w:rPr>
                <w:spacing w:val="10"/>
                <w:sz w:val="18"/>
              </w:rPr>
              <w:t> </w:t>
            </w:r>
            <w:r>
              <w:rPr>
                <w:spacing w:val="-2"/>
                <w:sz w:val="18"/>
              </w:rPr>
              <w:t>random</w:t>
            </w:r>
          </w:p>
        </w:tc>
        <w:tc>
          <w:tcPr>
            <w:tcW w:w="1206" w:type="dxa"/>
            <w:tcBorders>
              <w:top w:val="double" w:sz="6" w:space="0" w:color="000000"/>
            </w:tcBorders>
          </w:tcPr>
          <w:p>
            <w:pPr>
              <w:pStyle w:val="TableParagraph"/>
              <w:rPr>
                <w:rFonts w:ascii="Times New Roman"/>
                <w:sz w:val="18"/>
              </w:rPr>
            </w:pPr>
          </w:p>
        </w:tc>
        <w:tc>
          <w:tcPr>
            <w:tcW w:w="1300" w:type="dxa"/>
            <w:tcBorders>
              <w:top w:val="double" w:sz="6" w:space="0" w:color="000000"/>
            </w:tcBorders>
          </w:tcPr>
          <w:p>
            <w:pPr>
              <w:pStyle w:val="TableParagraph"/>
              <w:rPr>
                <w:rFonts w:ascii="Times New Roman"/>
                <w:sz w:val="18"/>
              </w:rPr>
            </w:pPr>
          </w:p>
        </w:tc>
        <w:tc>
          <w:tcPr>
            <w:tcW w:w="1101" w:type="dxa"/>
            <w:tcBorders>
              <w:top w:val="double" w:sz="6" w:space="0" w:color="000000"/>
            </w:tcBorders>
          </w:tcPr>
          <w:p>
            <w:pPr>
              <w:pStyle w:val="TableParagraph"/>
              <w:spacing w:line="199" w:lineRule="exact" w:before="108"/>
              <w:ind w:right="90"/>
              <w:jc w:val="right"/>
              <w:rPr>
                <w:sz w:val="18"/>
              </w:rPr>
            </w:pPr>
            <w:r>
              <w:rPr>
                <w:spacing w:val="-2"/>
                <w:sz w:val="18"/>
              </w:rPr>
              <w:t>0.000000</w:t>
            </w:r>
          </w:p>
        </w:tc>
        <w:tc>
          <w:tcPr>
            <w:tcW w:w="914" w:type="dxa"/>
            <w:tcBorders>
              <w:top w:val="double" w:sz="6" w:space="0" w:color="000000"/>
            </w:tcBorders>
          </w:tcPr>
          <w:p>
            <w:pPr>
              <w:pStyle w:val="TableParagraph"/>
              <w:spacing w:line="199" w:lineRule="exact" w:before="108"/>
              <w:ind w:right="6"/>
              <w:jc w:val="right"/>
              <w:rPr>
                <w:sz w:val="18"/>
              </w:rPr>
            </w:pPr>
            <w:r>
              <w:rPr>
                <w:spacing w:val="-2"/>
                <w:sz w:val="18"/>
              </w:rPr>
              <w:t>0.0000</w:t>
            </w:r>
          </w:p>
        </w:tc>
      </w:tr>
      <w:tr>
        <w:trPr>
          <w:trHeight w:val="301" w:hRule="atLeast"/>
        </w:trPr>
        <w:tc>
          <w:tcPr>
            <w:tcW w:w="2010" w:type="dxa"/>
            <w:tcBorders>
              <w:bottom w:val="double" w:sz="6" w:space="0" w:color="000000"/>
            </w:tcBorders>
          </w:tcPr>
          <w:p>
            <w:pPr>
              <w:pStyle w:val="TableParagraph"/>
              <w:spacing w:before="6"/>
              <w:rPr>
                <w:sz w:val="18"/>
              </w:rPr>
            </w:pPr>
            <w:r>
              <w:rPr>
                <w:sz w:val="18"/>
              </w:rPr>
              <w:t>Idiosyncratic</w:t>
            </w:r>
            <w:r>
              <w:rPr>
                <w:spacing w:val="-4"/>
                <w:sz w:val="18"/>
              </w:rPr>
              <w:t> </w:t>
            </w:r>
            <w:r>
              <w:rPr>
                <w:spacing w:val="-2"/>
                <w:sz w:val="18"/>
              </w:rPr>
              <w:t>random</w:t>
            </w: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spacing w:before="6"/>
              <w:ind w:right="90"/>
              <w:jc w:val="right"/>
              <w:rPr>
                <w:sz w:val="18"/>
              </w:rPr>
            </w:pPr>
            <w:r>
              <w:rPr>
                <w:spacing w:val="-2"/>
                <w:sz w:val="18"/>
              </w:rPr>
              <w:t>0.566980</w:t>
            </w:r>
          </w:p>
        </w:tc>
        <w:tc>
          <w:tcPr>
            <w:tcW w:w="914" w:type="dxa"/>
            <w:tcBorders>
              <w:bottom w:val="double" w:sz="6" w:space="0" w:color="000000"/>
            </w:tcBorders>
          </w:tcPr>
          <w:p>
            <w:pPr>
              <w:pStyle w:val="TableParagraph"/>
              <w:spacing w:before="6"/>
              <w:ind w:right="6"/>
              <w:jc w:val="right"/>
              <w:rPr>
                <w:sz w:val="18"/>
              </w:rPr>
            </w:pPr>
            <w:r>
              <w:rPr>
                <w:spacing w:val="-2"/>
                <w:sz w:val="18"/>
              </w:rPr>
              <w:t>1.0000</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6" w:hRule="atLeast"/>
        </w:trPr>
        <w:tc>
          <w:tcPr>
            <w:tcW w:w="2010" w:type="dxa"/>
            <w:tcBorders>
              <w:top w:val="double" w:sz="6" w:space="0" w:color="000000"/>
            </w:tcBorders>
          </w:tcPr>
          <w:p>
            <w:pPr>
              <w:pStyle w:val="TableParagraph"/>
              <w:spacing w:line="198" w:lineRule="exact" w:before="108"/>
              <w:rPr>
                <w:sz w:val="18"/>
              </w:rPr>
            </w:pPr>
            <w:r>
              <w:rPr>
                <w:spacing w:val="-2"/>
                <w:sz w:val="18"/>
              </w:rPr>
              <w:t>R-squared</w:t>
            </w:r>
          </w:p>
        </w:tc>
        <w:tc>
          <w:tcPr>
            <w:tcW w:w="1206" w:type="dxa"/>
            <w:tcBorders>
              <w:top w:val="double" w:sz="6" w:space="0" w:color="000000"/>
            </w:tcBorders>
          </w:tcPr>
          <w:p>
            <w:pPr>
              <w:pStyle w:val="TableParagraph"/>
              <w:spacing w:line="198" w:lineRule="exact" w:before="108"/>
              <w:ind w:left="240"/>
              <w:jc w:val="center"/>
              <w:rPr>
                <w:sz w:val="18"/>
              </w:rPr>
            </w:pPr>
            <w:r>
              <w:rPr>
                <w:spacing w:val="-2"/>
                <w:sz w:val="18"/>
              </w:rPr>
              <w:t>0.137813</w:t>
            </w:r>
          </w:p>
        </w:tc>
        <w:tc>
          <w:tcPr>
            <w:tcW w:w="2401" w:type="dxa"/>
            <w:gridSpan w:val="2"/>
            <w:tcBorders>
              <w:top w:val="double" w:sz="6" w:space="0" w:color="000000"/>
            </w:tcBorders>
          </w:tcPr>
          <w:p>
            <w:pPr>
              <w:pStyle w:val="TableParagraph"/>
              <w:spacing w:line="198" w:lineRule="exact" w:before="108"/>
              <w:ind w:left="106"/>
              <w:rPr>
                <w:sz w:val="18"/>
              </w:rPr>
            </w:pPr>
            <w:r>
              <w:rPr>
                <w:sz w:val="18"/>
              </w:rPr>
              <w:t>Mean</w:t>
            </w:r>
            <w:r>
              <w:rPr>
                <w:spacing w:val="-10"/>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8"/>
              <w:ind w:right="6"/>
              <w:jc w:val="right"/>
              <w:rPr>
                <w:sz w:val="18"/>
              </w:rPr>
            </w:pPr>
            <w:r>
              <w:rPr>
                <w:spacing w:val="-2"/>
                <w:sz w:val="18"/>
              </w:rPr>
              <w:t>-0.110697</w:t>
            </w:r>
          </w:p>
        </w:tc>
      </w:tr>
      <w:tr>
        <w:trPr>
          <w:trHeight w:val="224" w:hRule="atLeast"/>
        </w:trPr>
        <w:tc>
          <w:tcPr>
            <w:tcW w:w="2010" w:type="dxa"/>
          </w:tcPr>
          <w:p>
            <w:pPr>
              <w:pStyle w:val="TableParagraph"/>
              <w:spacing w:line="199" w:lineRule="exact" w:before="5"/>
              <w:rPr>
                <w:sz w:val="18"/>
              </w:rPr>
            </w:pPr>
            <w:r>
              <w:rPr>
                <w:sz w:val="18"/>
              </w:rPr>
              <w:t>Adjusted</w:t>
            </w:r>
            <w:r>
              <w:rPr>
                <w:spacing w:val="-9"/>
                <w:sz w:val="18"/>
              </w:rPr>
              <w:t> </w:t>
            </w:r>
            <w:r>
              <w:rPr>
                <w:sz w:val="18"/>
              </w:rPr>
              <w:t>R-</w:t>
            </w:r>
            <w:r>
              <w:rPr>
                <w:spacing w:val="-2"/>
                <w:sz w:val="18"/>
              </w:rPr>
              <w:t>squared</w:t>
            </w:r>
          </w:p>
        </w:tc>
        <w:tc>
          <w:tcPr>
            <w:tcW w:w="1206" w:type="dxa"/>
          </w:tcPr>
          <w:p>
            <w:pPr>
              <w:pStyle w:val="TableParagraph"/>
              <w:spacing w:line="199" w:lineRule="exact" w:before="5"/>
              <w:ind w:left="240"/>
              <w:jc w:val="center"/>
              <w:rPr>
                <w:sz w:val="18"/>
              </w:rPr>
            </w:pPr>
            <w:r>
              <w:rPr>
                <w:spacing w:val="-2"/>
                <w:sz w:val="18"/>
              </w:rPr>
              <w:t>0.080966</w:t>
            </w:r>
          </w:p>
        </w:tc>
        <w:tc>
          <w:tcPr>
            <w:tcW w:w="2401" w:type="dxa"/>
            <w:gridSpan w:val="2"/>
          </w:tcPr>
          <w:p>
            <w:pPr>
              <w:pStyle w:val="TableParagraph"/>
              <w:spacing w:line="199" w:lineRule="exact"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5"/>
              <w:ind w:right="6"/>
              <w:jc w:val="right"/>
              <w:rPr>
                <w:sz w:val="18"/>
              </w:rPr>
            </w:pPr>
            <w:r>
              <w:rPr>
                <w:spacing w:val="-2"/>
                <w:sz w:val="18"/>
              </w:rPr>
              <w:t>0.588918</w:t>
            </w:r>
          </w:p>
        </w:tc>
      </w:tr>
      <w:tr>
        <w:trPr>
          <w:trHeight w:val="225" w:hRule="atLeast"/>
        </w:trPr>
        <w:tc>
          <w:tcPr>
            <w:tcW w:w="2010" w:type="dxa"/>
          </w:tcPr>
          <w:p>
            <w:pPr>
              <w:pStyle w:val="TableParagraph"/>
              <w:spacing w:line="199" w:lineRule="exact" w:before="6"/>
              <w:rPr>
                <w:sz w:val="18"/>
              </w:rPr>
            </w:pPr>
            <w:r>
              <w:rPr>
                <w:sz w:val="18"/>
              </w:rPr>
              <w:t>S.E.</w:t>
            </w:r>
            <w:r>
              <w:rPr>
                <w:spacing w:val="-2"/>
                <w:sz w:val="18"/>
              </w:rPr>
              <w:t> </w:t>
            </w:r>
            <w:r>
              <w:rPr>
                <w:sz w:val="18"/>
              </w:rPr>
              <w:t>of </w:t>
            </w:r>
            <w:r>
              <w:rPr>
                <w:spacing w:val="-2"/>
                <w:sz w:val="18"/>
              </w:rPr>
              <w:t>regression</w:t>
            </w:r>
          </w:p>
        </w:tc>
        <w:tc>
          <w:tcPr>
            <w:tcW w:w="1206" w:type="dxa"/>
          </w:tcPr>
          <w:p>
            <w:pPr>
              <w:pStyle w:val="TableParagraph"/>
              <w:spacing w:line="199" w:lineRule="exact" w:before="6"/>
              <w:ind w:left="240"/>
              <w:jc w:val="center"/>
              <w:rPr>
                <w:sz w:val="18"/>
              </w:rPr>
            </w:pPr>
            <w:r>
              <w:rPr>
                <w:spacing w:val="-2"/>
                <w:sz w:val="18"/>
              </w:rPr>
              <w:t>0.564574</w:t>
            </w:r>
          </w:p>
        </w:tc>
        <w:tc>
          <w:tcPr>
            <w:tcW w:w="2401" w:type="dxa"/>
            <w:gridSpan w:val="2"/>
          </w:tcPr>
          <w:p>
            <w:pPr>
              <w:pStyle w:val="TableParagraph"/>
              <w:spacing w:line="199" w:lineRule="exact" w:before="6"/>
              <w:ind w:left="106"/>
              <w:rPr>
                <w:sz w:val="18"/>
              </w:rPr>
            </w:pPr>
            <w:r>
              <w:rPr>
                <w:sz w:val="18"/>
              </w:rPr>
              <w:t>Sum</w:t>
            </w:r>
            <w:r>
              <w:rPr>
                <w:spacing w:val="-5"/>
                <w:sz w:val="18"/>
              </w:rPr>
              <w:t> </w:t>
            </w:r>
            <w:r>
              <w:rPr>
                <w:sz w:val="18"/>
              </w:rPr>
              <w:t>squared</w:t>
            </w:r>
            <w:r>
              <w:rPr>
                <w:spacing w:val="-2"/>
                <w:sz w:val="18"/>
              </w:rPr>
              <w:t> resid</w:t>
            </w:r>
          </w:p>
        </w:tc>
        <w:tc>
          <w:tcPr>
            <w:tcW w:w="914" w:type="dxa"/>
          </w:tcPr>
          <w:p>
            <w:pPr>
              <w:pStyle w:val="TableParagraph"/>
              <w:spacing w:line="199" w:lineRule="exact" w:before="6"/>
              <w:ind w:right="6"/>
              <w:jc w:val="right"/>
              <w:rPr>
                <w:sz w:val="18"/>
              </w:rPr>
            </w:pPr>
            <w:r>
              <w:rPr>
                <w:spacing w:val="-2"/>
                <w:sz w:val="18"/>
              </w:rPr>
              <w:t>58.01141</w:t>
            </w:r>
          </w:p>
        </w:tc>
      </w:tr>
      <w:tr>
        <w:trPr>
          <w:trHeight w:val="225" w:hRule="atLeast"/>
        </w:trPr>
        <w:tc>
          <w:tcPr>
            <w:tcW w:w="2010" w:type="dxa"/>
          </w:tcPr>
          <w:p>
            <w:pPr>
              <w:pStyle w:val="TableParagraph"/>
              <w:spacing w:line="199" w:lineRule="exact" w:before="6"/>
              <w:rPr>
                <w:sz w:val="18"/>
              </w:rPr>
            </w:pPr>
            <w:r>
              <w:rPr>
                <w:spacing w:val="-2"/>
                <w:sz w:val="18"/>
              </w:rPr>
              <w:t>F-statistic</w:t>
            </w:r>
          </w:p>
        </w:tc>
        <w:tc>
          <w:tcPr>
            <w:tcW w:w="1206" w:type="dxa"/>
          </w:tcPr>
          <w:p>
            <w:pPr>
              <w:pStyle w:val="TableParagraph"/>
              <w:spacing w:line="199" w:lineRule="exact" w:before="6"/>
              <w:ind w:left="240"/>
              <w:jc w:val="center"/>
              <w:rPr>
                <w:sz w:val="18"/>
              </w:rPr>
            </w:pPr>
            <w:r>
              <w:rPr>
                <w:spacing w:val="-2"/>
                <w:sz w:val="18"/>
              </w:rPr>
              <w:t>2.424265</w:t>
            </w:r>
          </w:p>
        </w:tc>
        <w:tc>
          <w:tcPr>
            <w:tcW w:w="2401" w:type="dxa"/>
            <w:gridSpan w:val="2"/>
          </w:tcPr>
          <w:p>
            <w:pPr>
              <w:pStyle w:val="TableParagraph"/>
              <w:spacing w:line="199" w:lineRule="exact" w:before="6"/>
              <w:ind w:left="106"/>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9" w:lineRule="exact" w:before="6"/>
              <w:ind w:right="6"/>
              <w:jc w:val="right"/>
              <w:rPr>
                <w:sz w:val="18"/>
              </w:rPr>
            </w:pPr>
            <w:r>
              <w:rPr>
                <w:spacing w:val="-2"/>
                <w:sz w:val="18"/>
              </w:rPr>
              <w:t>1.476836</w:t>
            </w:r>
          </w:p>
        </w:tc>
      </w:tr>
      <w:tr>
        <w:trPr>
          <w:trHeight w:val="301" w:hRule="atLeast"/>
        </w:trPr>
        <w:tc>
          <w:tcPr>
            <w:tcW w:w="2010" w:type="dxa"/>
            <w:tcBorders>
              <w:bottom w:val="double" w:sz="6" w:space="0" w:color="000000"/>
            </w:tcBorders>
          </w:tcPr>
          <w:p>
            <w:pPr>
              <w:pStyle w:val="TableParagraph"/>
              <w:spacing w:before="6"/>
              <w:rPr>
                <w:sz w:val="18"/>
              </w:rPr>
            </w:pPr>
            <w:r>
              <w:rPr>
                <w:spacing w:val="-2"/>
                <w:sz w:val="18"/>
              </w:rPr>
              <w:t>Prob(F-statistic)</w:t>
            </w:r>
          </w:p>
        </w:tc>
        <w:tc>
          <w:tcPr>
            <w:tcW w:w="1206" w:type="dxa"/>
            <w:tcBorders>
              <w:bottom w:val="double" w:sz="6" w:space="0" w:color="000000"/>
            </w:tcBorders>
          </w:tcPr>
          <w:p>
            <w:pPr>
              <w:pStyle w:val="TableParagraph"/>
              <w:spacing w:before="6"/>
              <w:ind w:left="240"/>
              <w:jc w:val="center"/>
              <w:rPr>
                <w:sz w:val="18"/>
              </w:rPr>
            </w:pPr>
            <w:r>
              <w:rPr>
                <w:spacing w:val="-2"/>
                <w:sz w:val="18"/>
              </w:rPr>
              <w:t>0.006088</w:t>
            </w: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2010" w:type="dxa"/>
            <w:tcBorders>
              <w:top w:val="double" w:sz="6" w:space="0" w:color="000000"/>
            </w:tcBorders>
          </w:tcPr>
          <w:p>
            <w:pPr>
              <w:pStyle w:val="TableParagraph"/>
              <w:spacing w:line="198" w:lineRule="exact" w:before="109"/>
              <w:rPr>
                <w:sz w:val="18"/>
              </w:rPr>
            </w:pPr>
            <w:r>
              <w:rPr>
                <w:spacing w:val="-2"/>
                <w:sz w:val="18"/>
              </w:rPr>
              <w:t>R-squared</w:t>
            </w:r>
          </w:p>
        </w:tc>
        <w:tc>
          <w:tcPr>
            <w:tcW w:w="1206" w:type="dxa"/>
            <w:tcBorders>
              <w:top w:val="double" w:sz="6" w:space="0" w:color="000000"/>
            </w:tcBorders>
          </w:tcPr>
          <w:p>
            <w:pPr>
              <w:pStyle w:val="TableParagraph"/>
              <w:spacing w:line="198" w:lineRule="exact" w:before="109"/>
              <w:ind w:left="240"/>
              <w:jc w:val="center"/>
              <w:rPr>
                <w:sz w:val="18"/>
              </w:rPr>
            </w:pPr>
            <w:r>
              <w:rPr>
                <w:spacing w:val="-2"/>
                <w:sz w:val="18"/>
              </w:rPr>
              <w:t>0.137813</w:t>
            </w:r>
          </w:p>
        </w:tc>
        <w:tc>
          <w:tcPr>
            <w:tcW w:w="2401" w:type="dxa"/>
            <w:gridSpan w:val="2"/>
            <w:tcBorders>
              <w:top w:val="double" w:sz="6" w:space="0" w:color="000000"/>
            </w:tcBorders>
          </w:tcPr>
          <w:p>
            <w:pPr>
              <w:pStyle w:val="TableParagraph"/>
              <w:spacing w:line="198" w:lineRule="exact" w:before="109"/>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8" w:lineRule="exact" w:before="109"/>
              <w:ind w:right="6"/>
              <w:jc w:val="right"/>
              <w:rPr>
                <w:sz w:val="18"/>
              </w:rPr>
            </w:pPr>
            <w:r>
              <w:rPr>
                <w:spacing w:val="-2"/>
                <w:sz w:val="18"/>
              </w:rPr>
              <w:t>-0.110697</w:t>
            </w:r>
          </w:p>
        </w:tc>
      </w:tr>
      <w:tr>
        <w:trPr>
          <w:trHeight w:val="302" w:hRule="atLeast"/>
        </w:trPr>
        <w:tc>
          <w:tcPr>
            <w:tcW w:w="2010" w:type="dxa"/>
            <w:tcBorders>
              <w:bottom w:val="double" w:sz="6" w:space="0" w:color="000000"/>
            </w:tcBorders>
          </w:tcPr>
          <w:p>
            <w:pPr>
              <w:pStyle w:val="TableParagraph"/>
              <w:spacing w:before="5"/>
              <w:rPr>
                <w:sz w:val="18"/>
              </w:rPr>
            </w:pPr>
            <w:r>
              <w:rPr>
                <w:sz w:val="18"/>
              </w:rPr>
              <w:t>Sum</w:t>
            </w:r>
            <w:r>
              <w:rPr>
                <w:spacing w:val="-4"/>
                <w:sz w:val="18"/>
              </w:rPr>
              <w:t> </w:t>
            </w:r>
            <w:r>
              <w:rPr>
                <w:sz w:val="18"/>
              </w:rPr>
              <w:t>squared</w:t>
            </w:r>
            <w:r>
              <w:rPr>
                <w:spacing w:val="-2"/>
                <w:sz w:val="18"/>
              </w:rPr>
              <w:t> </w:t>
            </w:r>
            <w:r>
              <w:rPr>
                <w:spacing w:val="-4"/>
                <w:sz w:val="18"/>
              </w:rPr>
              <w:t>resid</w:t>
            </w:r>
          </w:p>
        </w:tc>
        <w:tc>
          <w:tcPr>
            <w:tcW w:w="1206" w:type="dxa"/>
            <w:tcBorders>
              <w:bottom w:val="double" w:sz="6" w:space="0" w:color="000000"/>
            </w:tcBorders>
          </w:tcPr>
          <w:p>
            <w:pPr>
              <w:pStyle w:val="TableParagraph"/>
              <w:spacing w:before="5"/>
              <w:ind w:left="240"/>
              <w:jc w:val="center"/>
              <w:rPr>
                <w:sz w:val="18"/>
              </w:rPr>
            </w:pPr>
            <w:r>
              <w:rPr>
                <w:spacing w:val="-2"/>
                <w:sz w:val="18"/>
              </w:rPr>
              <w:t>58.01141</w:t>
            </w:r>
          </w:p>
        </w:tc>
        <w:tc>
          <w:tcPr>
            <w:tcW w:w="2401" w:type="dxa"/>
            <w:gridSpan w:val="2"/>
            <w:tcBorders>
              <w:bottom w:val="double" w:sz="6" w:space="0" w:color="000000"/>
            </w:tcBorders>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914" w:type="dxa"/>
            <w:tcBorders>
              <w:bottom w:val="double" w:sz="6" w:space="0" w:color="000000"/>
            </w:tcBorders>
          </w:tcPr>
          <w:p>
            <w:pPr>
              <w:pStyle w:val="TableParagraph"/>
              <w:spacing w:before="5"/>
              <w:ind w:right="6"/>
              <w:jc w:val="right"/>
              <w:rPr>
                <w:sz w:val="18"/>
              </w:rPr>
            </w:pPr>
            <w:r>
              <w:rPr>
                <w:spacing w:val="-2"/>
                <w:sz w:val="18"/>
              </w:rPr>
              <w:t>1.476836</w:t>
            </w:r>
          </w:p>
        </w:tc>
      </w:tr>
    </w:tbl>
    <w:p>
      <w:pPr>
        <w:spacing w:after="0"/>
        <w:jc w:val="right"/>
        <w:rPr>
          <w:sz w:val="18"/>
        </w:rPr>
        <w:sectPr>
          <w:pgSz w:w="11910" w:h="16840"/>
          <w:pgMar w:header="0" w:footer="971" w:top="1360" w:bottom="1160" w:left="500" w:right="0"/>
        </w:sectPr>
      </w:pPr>
    </w:p>
    <w:p>
      <w:pPr>
        <w:spacing w:before="61"/>
        <w:ind w:left="940" w:right="1436" w:firstLine="0"/>
        <w:jc w:val="left"/>
        <w:rPr>
          <w:b/>
          <w:sz w:val="24"/>
        </w:rPr>
      </w:pPr>
      <w:r>
        <w:rPr/>
        <mc:AlternateContent>
          <mc:Choice Requires="wps">
            <w:drawing>
              <wp:anchor distT="0" distB="0" distL="0" distR="0" allowOverlap="1" layoutInCell="1" locked="0" behindDoc="1" simplePos="0" relativeHeight="477795328">
                <wp:simplePos x="0" y="0"/>
                <wp:positionH relativeFrom="page">
                  <wp:posOffset>1095451</wp:posOffset>
                </wp:positionH>
                <wp:positionV relativeFrom="page">
                  <wp:posOffset>7242047</wp:posOffset>
                </wp:positionV>
                <wp:extent cx="721995" cy="722630"/>
                <wp:effectExtent l="0" t="0" r="0" b="0"/>
                <wp:wrapNone/>
                <wp:docPr id="347" name="Graphic 347"/>
                <wp:cNvGraphicFramePr>
                  <a:graphicFrameLocks/>
                </wp:cNvGraphicFramePr>
                <a:graphic>
                  <a:graphicData uri="http://schemas.microsoft.com/office/word/2010/wordprocessingShape">
                    <wps:wsp>
                      <wps:cNvPr id="347" name="Graphic 347"/>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21152" id="docshape154"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5840">
                <wp:simplePos x="0" y="0"/>
                <wp:positionH relativeFrom="page">
                  <wp:posOffset>1269060</wp:posOffset>
                </wp:positionH>
                <wp:positionV relativeFrom="page">
                  <wp:posOffset>6796151</wp:posOffset>
                </wp:positionV>
                <wp:extent cx="902969" cy="906780"/>
                <wp:effectExtent l="0" t="0" r="0" b="0"/>
                <wp:wrapNone/>
                <wp:docPr id="348" name="Graphic 348"/>
                <wp:cNvGraphicFramePr>
                  <a:graphicFrameLocks/>
                </wp:cNvGraphicFramePr>
                <a:graphic>
                  <a:graphicData uri="http://schemas.microsoft.com/office/word/2010/wordprocessingShape">
                    <wps:wsp>
                      <wps:cNvPr id="348" name="Graphic 348"/>
                      <wps:cNvSpPr/>
                      <wps:spPr>
                        <a:xfrm>
                          <a:off x="0" y="0"/>
                          <a:ext cx="902969" cy="906780"/>
                        </a:xfrm>
                        <a:custGeom>
                          <a:avLst/>
                          <a:gdLst/>
                          <a:ahLst/>
                          <a:cxnLst/>
                          <a:rect l="l" t="t" r="r" b="b"/>
                          <a:pathLst>
                            <a:path w="902969" h="906780">
                              <a:moveTo>
                                <a:pt x="325551" y="0"/>
                              </a:moveTo>
                              <a:lnTo>
                                <a:pt x="286181" y="24891"/>
                              </a:lnTo>
                              <a:lnTo>
                                <a:pt x="272338" y="50291"/>
                              </a:lnTo>
                              <a:lnTo>
                                <a:pt x="272465" y="53212"/>
                              </a:lnTo>
                              <a:lnTo>
                                <a:pt x="274624" y="59435"/>
                              </a:lnTo>
                              <a:lnTo>
                                <a:pt x="276910" y="62483"/>
                              </a:lnTo>
                              <a:lnTo>
                                <a:pt x="693089" y="478662"/>
                              </a:lnTo>
                              <a:lnTo>
                                <a:pt x="714687" y="501179"/>
                              </a:lnTo>
                              <a:lnTo>
                                <a:pt x="750882" y="544546"/>
                              </a:lnTo>
                              <a:lnTo>
                                <a:pt x="777634" y="585622"/>
                              </a:lnTo>
                              <a:lnTo>
                                <a:pt x="795751" y="624695"/>
                              </a:lnTo>
                              <a:lnTo>
                                <a:pt x="806294" y="678481"/>
                              </a:lnTo>
                              <a:lnTo>
                                <a:pt x="805423" y="695207"/>
                              </a:lnTo>
                              <a:lnTo>
                                <a:pt x="789927" y="741283"/>
                              </a:lnTo>
                              <a:lnTo>
                                <a:pt x="755736" y="779460"/>
                              </a:lnTo>
                              <a:lnTo>
                                <a:pt x="712266" y="800480"/>
                              </a:lnTo>
                              <a:lnTo>
                                <a:pt x="679167" y="804386"/>
                              </a:lnTo>
                              <a:lnTo>
                                <a:pt x="661599" y="803088"/>
                              </a:lnTo>
                              <a:lnTo>
                                <a:pt x="624521" y="793751"/>
                              </a:lnTo>
                              <a:lnTo>
                                <a:pt x="584619" y="775674"/>
                              </a:lnTo>
                              <a:lnTo>
                                <a:pt x="541969" y="747936"/>
                              </a:lnTo>
                              <a:lnTo>
                                <a:pt x="497237" y="710634"/>
                              </a:lnTo>
                              <a:lnTo>
                                <a:pt x="62534" y="276859"/>
                              </a:lnTo>
                              <a:lnTo>
                                <a:pt x="59613" y="274573"/>
                              </a:lnTo>
                              <a:lnTo>
                                <a:pt x="13893" y="297179"/>
                              </a:lnTo>
                              <a:lnTo>
                                <a:pt x="0" y="322706"/>
                              </a:lnTo>
                              <a:lnTo>
                                <a:pt x="139" y="325500"/>
                              </a:lnTo>
                              <a:lnTo>
                                <a:pt x="427151" y="757173"/>
                              </a:lnTo>
                              <a:lnTo>
                                <a:pt x="457943" y="786590"/>
                              </a:lnTo>
                              <a:lnTo>
                                <a:pt x="488413" y="812768"/>
                              </a:lnTo>
                              <a:lnTo>
                                <a:pt x="548436" y="855598"/>
                              </a:lnTo>
                              <a:lnTo>
                                <a:pt x="606094" y="885078"/>
                              </a:lnTo>
                              <a:lnTo>
                                <a:pt x="660323" y="901699"/>
                              </a:lnTo>
                              <a:lnTo>
                                <a:pt x="711584" y="906224"/>
                              </a:lnTo>
                              <a:lnTo>
                                <a:pt x="735886" y="903825"/>
                              </a:lnTo>
                              <a:lnTo>
                                <a:pt x="782049" y="890551"/>
                              </a:lnTo>
                              <a:lnTo>
                                <a:pt x="823125" y="865540"/>
                              </a:lnTo>
                              <a:lnTo>
                                <a:pt x="860055" y="828488"/>
                              </a:lnTo>
                              <a:lnTo>
                                <a:pt x="886883" y="784395"/>
                              </a:lnTo>
                              <a:lnTo>
                                <a:pt x="900522" y="736143"/>
                              </a:lnTo>
                              <a:lnTo>
                                <a:pt x="902782" y="710723"/>
                              </a:lnTo>
                              <a:lnTo>
                                <a:pt x="901828" y="684399"/>
                              </a:lnTo>
                              <a:lnTo>
                                <a:pt x="889850" y="629146"/>
                              </a:lnTo>
                              <a:lnTo>
                                <a:pt x="865732" y="571337"/>
                              </a:lnTo>
                              <a:lnTo>
                                <a:pt x="829023" y="511665"/>
                              </a:lnTo>
                              <a:lnTo>
                                <a:pt x="779961" y="451034"/>
                              </a:lnTo>
                              <a:lnTo>
                                <a:pt x="750620" y="420242"/>
                              </a:lnTo>
                              <a:lnTo>
                                <a:pt x="334822" y="4571"/>
                              </a:lnTo>
                              <a:lnTo>
                                <a:pt x="331901" y="2285"/>
                              </a:lnTo>
                              <a:lnTo>
                                <a:pt x="325551"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535.130005pt;width:71.1pt;height:71.4pt;mso-position-horizontal-relative:page;mso-position-vertical-relative:page;z-index:-25520640" id="docshape155" coordorigin="1999,10703" coordsize="1422,1428" path="m2511,10703l2449,10742,2427,10782,2428,10786,2431,10796,2435,10801,3090,11456,3124,11492,3181,11560,3223,11625,3252,11686,3268,11771,3267,11797,3243,11870,3189,11930,3120,11963,3068,11969,3040,11967,2982,11953,2919,11924,2852,11880,2782,11822,2097,11139,2092,11135,2020,11171,1999,11211,1999,11215,2671,11895,2720,11941,2768,11983,2862,12050,2953,12096,3038,12123,3119,12130,3157,12126,3230,12105,3295,12066,3353,12007,3395,11938,3417,11862,3420,11822,3419,11780,3400,11693,3362,11602,3304,11508,3227,11413,3181,11364,2526,10710,2521,10706,2511,1070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6352">
                <wp:simplePos x="0" y="0"/>
                <wp:positionH relativeFrom="page">
                  <wp:posOffset>1806781</wp:posOffset>
                </wp:positionH>
                <wp:positionV relativeFrom="page">
                  <wp:posOffset>2726054</wp:posOffset>
                </wp:positionV>
                <wp:extent cx="4396105" cy="4535805"/>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4396105" cy="4535805"/>
                          <a:chExt cx="4396105" cy="4535805"/>
                        </a:xfrm>
                      </wpg:grpSpPr>
                      <wps:wsp>
                        <wps:cNvPr id="350" name="Graphic 350"/>
                        <wps:cNvSpPr/>
                        <wps:spPr>
                          <a:xfrm>
                            <a:off x="0" y="3695128"/>
                            <a:ext cx="822325" cy="840105"/>
                          </a:xfrm>
                          <a:custGeom>
                            <a:avLst/>
                            <a:gdLst/>
                            <a:ahLst/>
                            <a:cxnLst/>
                            <a:rect l="l" t="t" r="r" b="b"/>
                            <a:pathLst>
                              <a:path w="822325" h="840105">
                                <a:moveTo>
                                  <a:pt x="234965" y="0"/>
                                </a:moveTo>
                                <a:lnTo>
                                  <a:pt x="174291" y="5524"/>
                                </a:lnTo>
                                <a:lnTo>
                                  <a:pt x="118221" y="27527"/>
                                </a:lnTo>
                                <a:lnTo>
                                  <a:pt x="67484" y="67246"/>
                                </a:lnTo>
                                <a:lnTo>
                                  <a:pt x="26431" y="120538"/>
                                </a:lnTo>
                                <a:lnTo>
                                  <a:pt x="4238" y="179641"/>
                                </a:lnTo>
                                <a:lnTo>
                                  <a:pt x="0" y="244395"/>
                                </a:lnTo>
                                <a:lnTo>
                                  <a:pt x="3935" y="278207"/>
                                </a:lnTo>
                                <a:lnTo>
                                  <a:pt x="24983" y="348803"/>
                                </a:lnTo>
                                <a:lnTo>
                                  <a:pt x="41417" y="385683"/>
                                </a:lnTo>
                                <a:lnTo>
                                  <a:pt x="61710" y="423396"/>
                                </a:lnTo>
                                <a:lnTo>
                                  <a:pt x="86026" y="461835"/>
                                </a:lnTo>
                                <a:lnTo>
                                  <a:pt x="114123" y="500806"/>
                                </a:lnTo>
                                <a:lnTo>
                                  <a:pt x="145637" y="540146"/>
                                </a:lnTo>
                                <a:lnTo>
                                  <a:pt x="180556" y="579796"/>
                                </a:lnTo>
                                <a:lnTo>
                                  <a:pt x="218868" y="619696"/>
                                </a:lnTo>
                                <a:lnTo>
                                  <a:pt x="260312" y="659691"/>
                                </a:lnTo>
                                <a:lnTo>
                                  <a:pt x="300672" y="695721"/>
                                </a:lnTo>
                                <a:lnTo>
                                  <a:pt x="340008" y="727870"/>
                                </a:lnTo>
                                <a:lnTo>
                                  <a:pt x="378380" y="756221"/>
                                </a:lnTo>
                                <a:lnTo>
                                  <a:pt x="415780" y="780518"/>
                                </a:lnTo>
                                <a:lnTo>
                                  <a:pt x="452120" y="800671"/>
                                </a:lnTo>
                                <a:lnTo>
                                  <a:pt x="487340" y="816729"/>
                                </a:lnTo>
                                <a:lnTo>
                                  <a:pt x="554097" y="836586"/>
                                </a:lnTo>
                                <a:lnTo>
                                  <a:pt x="585930" y="840089"/>
                                </a:lnTo>
                                <a:lnTo>
                                  <a:pt x="616858" y="839471"/>
                                </a:lnTo>
                                <a:lnTo>
                                  <a:pt x="675929" y="826470"/>
                                </a:lnTo>
                                <a:lnTo>
                                  <a:pt x="729976" y="795152"/>
                                </a:lnTo>
                                <a:lnTo>
                                  <a:pt x="777992" y="746785"/>
                                </a:lnTo>
                                <a:lnTo>
                                  <a:pt x="784484" y="736941"/>
                                </a:lnTo>
                                <a:lnTo>
                                  <a:pt x="572381" y="736941"/>
                                </a:lnTo>
                                <a:lnTo>
                                  <a:pt x="548401" y="734853"/>
                                </a:lnTo>
                                <a:lnTo>
                                  <a:pt x="498014" y="720153"/>
                                </a:lnTo>
                                <a:lnTo>
                                  <a:pt x="445516" y="693451"/>
                                </a:lnTo>
                                <a:lnTo>
                                  <a:pt x="390445" y="655129"/>
                                </a:lnTo>
                                <a:lnTo>
                                  <a:pt x="333105" y="607456"/>
                                </a:lnTo>
                                <a:lnTo>
                                  <a:pt x="303863" y="580638"/>
                                </a:lnTo>
                                <a:lnTo>
                                  <a:pt x="274240" y="551878"/>
                                </a:lnTo>
                                <a:lnTo>
                                  <a:pt x="223345" y="497379"/>
                                </a:lnTo>
                                <a:lnTo>
                                  <a:pt x="177974" y="442023"/>
                                </a:lnTo>
                                <a:lnTo>
                                  <a:pt x="141573" y="387334"/>
                                </a:lnTo>
                                <a:lnTo>
                                  <a:pt x="115744" y="333692"/>
                                </a:lnTo>
                                <a:lnTo>
                                  <a:pt x="101060" y="282511"/>
                                </a:lnTo>
                                <a:lnTo>
                                  <a:pt x="98510" y="257790"/>
                                </a:lnTo>
                                <a:lnTo>
                                  <a:pt x="98853" y="233616"/>
                                </a:lnTo>
                                <a:lnTo>
                                  <a:pt x="111061" y="188277"/>
                                </a:lnTo>
                                <a:lnTo>
                                  <a:pt x="140509" y="147891"/>
                                </a:lnTo>
                                <a:lnTo>
                                  <a:pt x="180498" y="117998"/>
                                </a:lnTo>
                                <a:lnTo>
                                  <a:pt x="224583" y="104584"/>
                                </a:lnTo>
                                <a:lnTo>
                                  <a:pt x="248096" y="103626"/>
                                </a:lnTo>
                                <a:lnTo>
                                  <a:pt x="471327" y="103626"/>
                                </a:lnTo>
                                <a:lnTo>
                                  <a:pt x="441880" y="81978"/>
                                </a:lnTo>
                                <a:lnTo>
                                  <a:pt x="404743" y="58042"/>
                                </a:lnTo>
                                <a:lnTo>
                                  <a:pt x="368617" y="38322"/>
                                </a:lnTo>
                                <a:lnTo>
                                  <a:pt x="333563" y="22649"/>
                                </a:lnTo>
                                <a:lnTo>
                                  <a:pt x="266767" y="3238"/>
                                </a:lnTo>
                                <a:lnTo>
                                  <a:pt x="234965" y="0"/>
                                </a:lnTo>
                                <a:close/>
                              </a:path>
                              <a:path w="822325" h="840105">
                                <a:moveTo>
                                  <a:pt x="471327" y="103626"/>
                                </a:moveTo>
                                <a:lnTo>
                                  <a:pt x="248096" y="103626"/>
                                </a:lnTo>
                                <a:lnTo>
                                  <a:pt x="272192" y="105775"/>
                                </a:lnTo>
                                <a:lnTo>
                                  <a:pt x="296931" y="111138"/>
                                </a:lnTo>
                                <a:lnTo>
                                  <a:pt x="348597" y="131909"/>
                                </a:lnTo>
                                <a:lnTo>
                                  <a:pt x="402472" y="163508"/>
                                </a:lnTo>
                                <a:lnTo>
                                  <a:pt x="458333" y="205940"/>
                                </a:lnTo>
                                <a:lnTo>
                                  <a:pt x="515225" y="256442"/>
                                </a:lnTo>
                                <a:lnTo>
                                  <a:pt x="543861" y="284289"/>
                                </a:lnTo>
                                <a:lnTo>
                                  <a:pt x="570456" y="311808"/>
                                </a:lnTo>
                                <a:lnTo>
                                  <a:pt x="618978" y="367228"/>
                                </a:lnTo>
                                <a:lnTo>
                                  <a:pt x="661175" y="422902"/>
                                </a:lnTo>
                                <a:lnTo>
                                  <a:pt x="692810" y="477543"/>
                                </a:lnTo>
                                <a:lnTo>
                                  <a:pt x="714063" y="530449"/>
                                </a:lnTo>
                                <a:lnTo>
                                  <a:pt x="722647" y="581332"/>
                                </a:lnTo>
                                <a:lnTo>
                                  <a:pt x="722296" y="605726"/>
                                </a:lnTo>
                                <a:lnTo>
                                  <a:pt x="709818" y="651367"/>
                                </a:lnTo>
                                <a:lnTo>
                                  <a:pt x="680005" y="691959"/>
                                </a:lnTo>
                                <a:lnTo>
                                  <a:pt x="639540" y="722328"/>
                                </a:lnTo>
                                <a:lnTo>
                                  <a:pt x="595550" y="735647"/>
                                </a:lnTo>
                                <a:lnTo>
                                  <a:pt x="572381" y="736941"/>
                                </a:lnTo>
                                <a:lnTo>
                                  <a:pt x="784484" y="736941"/>
                                </a:lnTo>
                                <a:lnTo>
                                  <a:pt x="809357" y="690417"/>
                                </a:lnTo>
                                <a:lnTo>
                                  <a:pt x="822132" y="628110"/>
                                </a:lnTo>
                                <a:lnTo>
                                  <a:pt x="822261" y="595153"/>
                                </a:lnTo>
                                <a:lnTo>
                                  <a:pt x="818032" y="561101"/>
                                </a:lnTo>
                                <a:lnTo>
                                  <a:pt x="796480" y="490154"/>
                                </a:lnTo>
                                <a:lnTo>
                                  <a:pt x="779859" y="453342"/>
                                </a:lnTo>
                                <a:lnTo>
                                  <a:pt x="759285" y="415601"/>
                                </a:lnTo>
                                <a:lnTo>
                                  <a:pt x="734615" y="376872"/>
                                </a:lnTo>
                                <a:lnTo>
                                  <a:pt x="706173" y="337431"/>
                                </a:lnTo>
                                <a:lnTo>
                                  <a:pt x="674147" y="297561"/>
                                </a:lnTo>
                                <a:lnTo>
                                  <a:pt x="638478" y="257214"/>
                                </a:lnTo>
                                <a:lnTo>
                                  <a:pt x="599106" y="216344"/>
                                </a:lnTo>
                                <a:lnTo>
                                  <a:pt x="558430" y="177079"/>
                                </a:lnTo>
                                <a:lnTo>
                                  <a:pt x="518683" y="141589"/>
                                </a:lnTo>
                                <a:lnTo>
                                  <a:pt x="479841" y="109884"/>
                                </a:lnTo>
                                <a:lnTo>
                                  <a:pt x="471327" y="103626"/>
                                </a:lnTo>
                                <a:close/>
                              </a:path>
                            </a:pathLst>
                          </a:custGeom>
                          <a:solidFill>
                            <a:srgbClr val="C0C0C0">
                              <a:alpha val="50195"/>
                            </a:srgbClr>
                          </a:solidFill>
                        </wps:spPr>
                        <wps:bodyPr wrap="square" lIns="0" tIns="0" rIns="0" bIns="0" rtlCol="0">
                          <a:prstTxWarp prst="textNoShape">
                            <a:avLst/>
                          </a:prstTxWarp>
                          <a:noAutofit/>
                        </wps:bodyPr>
                      </wps:wsp>
                      <pic:pic>
                        <pic:nvPicPr>
                          <pic:cNvPr id="351" name="Image 351"/>
                          <pic:cNvPicPr/>
                        </pic:nvPicPr>
                        <pic:blipFill>
                          <a:blip r:embed="rId9" cstate="print"/>
                          <a:stretch>
                            <a:fillRect/>
                          </a:stretch>
                        </pic:blipFill>
                        <pic:spPr>
                          <a:xfrm>
                            <a:off x="710612" y="3743197"/>
                            <a:ext cx="221995" cy="221614"/>
                          </a:xfrm>
                          <a:prstGeom prst="rect">
                            <a:avLst/>
                          </a:prstGeom>
                        </pic:spPr>
                      </pic:pic>
                      <wps:wsp>
                        <wps:cNvPr id="352" name="Graphic 352"/>
                        <wps:cNvSpPr/>
                        <wps:spPr>
                          <a:xfrm>
                            <a:off x="580056"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2.266251pt;margin-top:214.649979pt;width:346.15pt;height:357.15pt;mso-position-horizontal-relative:page;mso-position-vertical-relative:page;z-index:-25520128" id="docshapegroup156" coordorigin="2845,4293" coordsize="6923,7143">
                <v:shape style="position:absolute;left:2845;top:10112;width:1295;height:1323" id="docshape157" coordorigin="2845,10112" coordsize="1295,1323" path="m3215,10112l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588,10275,3541,10241,3483,10204,3426,10172,3371,10148,3317,10129,3265,10117,3215,10112xm3588,10275l3236,10275,3274,10279,3313,10287,3353,10301,3394,10320,3436,10343,3479,10370,3523,10401,3567,10436,3612,10475,3657,10516,3702,10560,3744,10603,3783,10647,3820,10690,3855,10734,3887,10778,3914,10821,3936,10864,3955,10906,3970,10947,3979,10988,3983,11028,3983,11066,3977,11103,3963,11138,3943,11171,3916,11202,3885,11229,3852,11250,3819,11264,3783,11271,3747,11273,4081,11273,4099,11245,4120,11199,4133,11151,4140,11101,4140,11049,4134,10996,4120,10941,4100,10884,4073,10826,4041,10767,4002,10706,3957,10643,3907,10581,3851,10517,3789,10453,3725,10391,3662,10335,3601,10285,3588,10275xe" filled="true" fillcolor="#c0c0c0" stroked="false">
                  <v:path arrowok="t"/>
                  <v:fill opacity="32896f" type="solid"/>
                </v:shape>
                <v:shape style="position:absolute;left:3964;top:10187;width:350;height:349" type="#_x0000_t75" id="docshape158" stroked="false">
                  <v:imagedata r:id="rId9" o:title=""/>
                </v:shape>
                <v:shape style="position:absolute;left:3758;top:4293;width:6009;height:6216" id="docshape159"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19:</w:t>
      </w:r>
      <w:r>
        <w:rPr>
          <w:b/>
          <w:spacing w:val="-4"/>
          <w:sz w:val="24"/>
        </w:rPr>
        <w:t> </w:t>
      </w:r>
      <w:r>
        <w:rPr>
          <w:b/>
          <w:sz w:val="24"/>
        </w:rPr>
        <w:t>Table</w:t>
      </w:r>
      <w:r>
        <w:rPr>
          <w:b/>
          <w:spacing w:val="-4"/>
          <w:sz w:val="24"/>
        </w:rPr>
        <w:t> </w:t>
      </w:r>
      <w:r>
        <w:rPr>
          <w:b/>
          <w:sz w:val="24"/>
        </w:rPr>
        <w:t>4.9:</w:t>
      </w:r>
      <w:r>
        <w:rPr>
          <w:b/>
          <w:spacing w:val="40"/>
          <w:sz w:val="24"/>
        </w:rPr>
        <w:t> </w:t>
      </w:r>
      <w:r>
        <w:rPr>
          <w:b/>
          <w:sz w:val="24"/>
        </w:rPr>
        <w:t>DISACC</w:t>
      </w:r>
      <w:r>
        <w:rPr>
          <w:b/>
          <w:spacing w:val="-5"/>
          <w:sz w:val="24"/>
        </w:rPr>
        <w:t> </w:t>
      </w:r>
      <w:r>
        <w:rPr>
          <w:b/>
          <w:sz w:val="24"/>
        </w:rPr>
        <w:t>and</w:t>
      </w:r>
      <w:r>
        <w:rPr>
          <w:b/>
          <w:spacing w:val="-4"/>
          <w:sz w:val="24"/>
        </w:rPr>
        <w:t> </w:t>
      </w:r>
      <w:r>
        <w:rPr>
          <w:b/>
          <w:sz w:val="24"/>
        </w:rPr>
        <w:t>Ownership</w:t>
      </w:r>
      <w:r>
        <w:rPr>
          <w:b/>
          <w:spacing w:val="-3"/>
          <w:sz w:val="24"/>
        </w:rPr>
        <w:t> </w:t>
      </w:r>
      <w:r>
        <w:rPr>
          <w:b/>
          <w:sz w:val="24"/>
        </w:rPr>
        <w:t>Structure</w:t>
      </w:r>
      <w:r>
        <w:rPr>
          <w:b/>
          <w:spacing w:val="-5"/>
          <w:sz w:val="24"/>
        </w:rPr>
        <w:t> </w:t>
      </w:r>
      <w:r>
        <w:rPr>
          <w:b/>
          <w:sz w:val="24"/>
        </w:rPr>
        <w:t>Regression</w:t>
      </w:r>
      <w:r>
        <w:rPr>
          <w:b/>
          <w:spacing w:val="-4"/>
          <w:sz w:val="24"/>
        </w:rPr>
        <w:t> </w:t>
      </w:r>
      <w:r>
        <w:rPr>
          <w:b/>
          <w:sz w:val="24"/>
        </w:rPr>
        <w:t>Result</w:t>
      </w:r>
      <w:r>
        <w:rPr>
          <w:b/>
          <w:spacing w:val="-4"/>
          <w:sz w:val="24"/>
        </w:rPr>
        <w:t> </w:t>
      </w:r>
      <w:r>
        <w:rPr>
          <w:b/>
          <w:sz w:val="24"/>
        </w:rPr>
        <w:t>(Fixed </w:t>
      </w:r>
      <w:r>
        <w:rPr>
          <w:b/>
          <w:spacing w:val="-2"/>
          <w:sz w:val="24"/>
        </w:rPr>
        <w:t>effects)</w:t>
      </w:r>
    </w:p>
    <w:p>
      <w:pPr>
        <w:pStyle w:val="BodyText"/>
        <w:spacing w:before="6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250"/>
        <w:gridCol w:w="1300"/>
        <w:gridCol w:w="1101"/>
        <w:gridCol w:w="914"/>
      </w:tblGrid>
      <w:tr>
        <w:trPr>
          <w:trHeight w:val="213" w:hRule="atLeast"/>
        </w:trPr>
        <w:tc>
          <w:tcPr>
            <w:tcW w:w="6531"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2"/>
                <w:sz w:val="18"/>
              </w:rPr>
              <w:t>DISACC</w:t>
            </w:r>
          </w:p>
        </w:tc>
      </w:tr>
      <w:tr>
        <w:trPr>
          <w:trHeight w:val="225" w:hRule="atLeast"/>
        </w:trPr>
        <w:tc>
          <w:tcPr>
            <w:tcW w:w="6531" w:type="dxa"/>
            <w:gridSpan w:val="5"/>
          </w:tcPr>
          <w:p>
            <w:pPr>
              <w:pStyle w:val="TableParagraph"/>
              <w:spacing w:line="199" w:lineRule="exact" w:before="6"/>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5" w:hRule="atLeast"/>
        </w:trPr>
        <w:tc>
          <w:tcPr>
            <w:tcW w:w="6531" w:type="dxa"/>
            <w:gridSpan w:val="5"/>
          </w:tcPr>
          <w:p>
            <w:pPr>
              <w:pStyle w:val="TableParagraph"/>
              <w:spacing w:line="199" w:lineRule="exact" w:before="6"/>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06:16</w:t>
            </w:r>
          </w:p>
        </w:tc>
      </w:tr>
      <w:tr>
        <w:trPr>
          <w:trHeight w:val="224" w:hRule="atLeast"/>
        </w:trPr>
        <w:tc>
          <w:tcPr>
            <w:tcW w:w="1966" w:type="dxa"/>
          </w:tcPr>
          <w:p>
            <w:pPr>
              <w:pStyle w:val="TableParagraph"/>
              <w:spacing w:line="198"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50"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4" w:hRule="atLeast"/>
        </w:trPr>
        <w:tc>
          <w:tcPr>
            <w:tcW w:w="1966" w:type="dxa"/>
          </w:tcPr>
          <w:p>
            <w:pPr>
              <w:pStyle w:val="TableParagraph"/>
              <w:spacing w:line="199" w:lineRule="exact" w:before="5"/>
              <w:rPr>
                <w:sz w:val="18"/>
              </w:rPr>
            </w:pPr>
            <w:r>
              <w:rPr>
                <w:sz w:val="18"/>
              </w:rPr>
              <w:t>Periods</w:t>
            </w:r>
            <w:r>
              <w:rPr>
                <w:spacing w:val="-4"/>
                <w:sz w:val="18"/>
              </w:rPr>
              <w:t> </w:t>
            </w:r>
            <w:r>
              <w:rPr>
                <w:sz w:val="18"/>
              </w:rPr>
              <w:t>included:</w:t>
            </w:r>
            <w:r>
              <w:rPr>
                <w:spacing w:val="-3"/>
                <w:sz w:val="18"/>
              </w:rPr>
              <w:t> </w:t>
            </w:r>
            <w:r>
              <w:rPr>
                <w:spacing w:val="-5"/>
                <w:sz w:val="18"/>
              </w:rPr>
              <w:t>15</w:t>
            </w:r>
          </w:p>
        </w:tc>
        <w:tc>
          <w:tcPr>
            <w:tcW w:w="1250" w:type="dxa"/>
          </w:tcPr>
          <w:p>
            <w:pPr>
              <w:pStyle w:val="TableParagraph"/>
              <w:rPr>
                <w:rFonts w:ascii="Times New Roman"/>
                <w:sz w:val="16"/>
              </w:rPr>
            </w:pPr>
          </w:p>
        </w:tc>
        <w:tc>
          <w:tcPr>
            <w:tcW w:w="1300" w:type="dxa"/>
          </w:tcPr>
          <w:p>
            <w:pPr>
              <w:pStyle w:val="TableParagraph"/>
              <w:rPr>
                <w:rFonts w:ascii="Times New Roman"/>
                <w:sz w:val="16"/>
              </w:rPr>
            </w:pPr>
          </w:p>
        </w:tc>
        <w:tc>
          <w:tcPr>
            <w:tcW w:w="1101" w:type="dxa"/>
          </w:tcPr>
          <w:p>
            <w:pPr>
              <w:pStyle w:val="TableParagraph"/>
              <w:rPr>
                <w:rFonts w:ascii="Times New Roman"/>
                <w:sz w:val="16"/>
              </w:rPr>
            </w:pPr>
          </w:p>
        </w:tc>
        <w:tc>
          <w:tcPr>
            <w:tcW w:w="914" w:type="dxa"/>
          </w:tcPr>
          <w:p>
            <w:pPr>
              <w:pStyle w:val="TableParagraph"/>
              <w:rPr>
                <w:rFonts w:ascii="Times New Roman"/>
                <w:sz w:val="16"/>
              </w:rPr>
            </w:pPr>
          </w:p>
        </w:tc>
      </w:tr>
      <w:tr>
        <w:trPr>
          <w:trHeight w:val="225" w:hRule="atLeast"/>
        </w:trPr>
        <w:tc>
          <w:tcPr>
            <w:tcW w:w="6531" w:type="dxa"/>
            <w:gridSpan w:val="5"/>
          </w:tcPr>
          <w:p>
            <w:pPr>
              <w:pStyle w:val="TableParagraph"/>
              <w:spacing w:line="199"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1" w:type="dxa"/>
            <w:gridSpan w:val="5"/>
          </w:tcPr>
          <w:p>
            <w:pPr>
              <w:pStyle w:val="TableParagraph"/>
              <w:spacing w:line="199"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224" w:hRule="atLeast"/>
        </w:trPr>
        <w:tc>
          <w:tcPr>
            <w:tcW w:w="6531" w:type="dxa"/>
            <w:gridSpan w:val="5"/>
          </w:tcPr>
          <w:p>
            <w:pPr>
              <w:pStyle w:val="TableParagraph"/>
              <w:spacing w:line="198" w:lineRule="exact" w:before="6"/>
              <w:rPr>
                <w:sz w:val="18"/>
              </w:rPr>
            </w:pPr>
            <w:r>
              <w:rPr>
                <w:sz w:val="18"/>
              </w:rPr>
              <w:t>Linear</w:t>
            </w:r>
            <w:r>
              <w:rPr>
                <w:spacing w:val="-9"/>
                <w:sz w:val="18"/>
              </w:rPr>
              <w:t> </w:t>
            </w:r>
            <w:r>
              <w:rPr>
                <w:sz w:val="18"/>
              </w:rPr>
              <w:t>estimation</w:t>
            </w:r>
            <w:r>
              <w:rPr>
                <w:spacing w:val="-4"/>
                <w:sz w:val="18"/>
              </w:rPr>
              <w:t> </w:t>
            </w:r>
            <w:r>
              <w:rPr>
                <w:sz w:val="18"/>
              </w:rPr>
              <w:t>after</w:t>
            </w:r>
            <w:r>
              <w:rPr>
                <w:spacing w:val="-4"/>
                <w:sz w:val="18"/>
              </w:rPr>
              <w:t> </w:t>
            </w:r>
            <w:r>
              <w:rPr>
                <w:sz w:val="18"/>
              </w:rPr>
              <w:t>one-step</w:t>
            </w:r>
            <w:r>
              <w:rPr>
                <w:spacing w:val="-4"/>
                <w:sz w:val="18"/>
              </w:rPr>
              <w:t> </w:t>
            </w:r>
            <w:r>
              <w:rPr>
                <w:sz w:val="18"/>
              </w:rPr>
              <w:t>weighting</w:t>
            </w:r>
            <w:r>
              <w:rPr>
                <w:spacing w:val="-4"/>
                <w:sz w:val="18"/>
              </w:rPr>
              <w:t> </w:t>
            </w:r>
            <w:r>
              <w:rPr>
                <w:spacing w:val="-2"/>
                <w:sz w:val="18"/>
              </w:rPr>
              <w:t>matrix</w:t>
            </w:r>
          </w:p>
        </w:tc>
      </w:tr>
      <w:tr>
        <w:trPr>
          <w:trHeight w:val="302" w:hRule="atLeast"/>
        </w:trPr>
        <w:tc>
          <w:tcPr>
            <w:tcW w:w="6531" w:type="dxa"/>
            <w:gridSpan w:val="5"/>
            <w:tcBorders>
              <w:bottom w:val="double" w:sz="6" w:space="0" w:color="000000"/>
            </w:tcBorders>
          </w:tcPr>
          <w:p>
            <w:pPr>
              <w:pStyle w:val="TableParagraph"/>
              <w:spacing w:before="5"/>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406" w:hRule="atLeast"/>
        </w:trPr>
        <w:tc>
          <w:tcPr>
            <w:tcW w:w="1966"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50" w:type="dxa"/>
            <w:tcBorders>
              <w:top w:val="double" w:sz="6" w:space="0" w:color="000000"/>
              <w:bottom w:val="double" w:sz="6" w:space="0" w:color="000000"/>
            </w:tcBorders>
          </w:tcPr>
          <w:p>
            <w:pPr>
              <w:pStyle w:val="TableParagraph"/>
              <w:spacing w:before="108"/>
              <w:ind w:right="104"/>
              <w:jc w:val="right"/>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20"/>
              <w:jc w:val="center"/>
              <w:rPr>
                <w:sz w:val="18"/>
              </w:rPr>
            </w:pPr>
            <w:r>
              <w:rPr>
                <w:sz w:val="18"/>
              </w:rPr>
              <w:t>Std.</w:t>
            </w:r>
            <w:r>
              <w:rPr>
                <w:spacing w:val="-2"/>
                <w:sz w:val="18"/>
              </w:rPr>
              <w:t> Error</w:t>
            </w:r>
          </w:p>
        </w:tc>
        <w:tc>
          <w:tcPr>
            <w:tcW w:w="1101" w:type="dxa"/>
            <w:tcBorders>
              <w:top w:val="double" w:sz="6" w:space="0" w:color="000000"/>
              <w:bottom w:val="double" w:sz="6" w:space="0" w:color="000000"/>
            </w:tcBorders>
          </w:tcPr>
          <w:p>
            <w:pPr>
              <w:pStyle w:val="TableParagraph"/>
              <w:spacing w:before="108"/>
              <w:ind w:left="177" w:right="2"/>
              <w:jc w:val="center"/>
              <w:rPr>
                <w:sz w:val="18"/>
              </w:rPr>
            </w:pPr>
            <w:r>
              <w:rPr>
                <w:sz w:val="18"/>
              </w:rPr>
              <w:t>t-</w:t>
            </w:r>
            <w:r>
              <w:rPr>
                <w:spacing w:val="-2"/>
                <w:sz w:val="18"/>
              </w:rPr>
              <w:t>Statistic</w:t>
            </w:r>
          </w:p>
        </w:tc>
        <w:tc>
          <w:tcPr>
            <w:tcW w:w="914" w:type="dxa"/>
            <w:tcBorders>
              <w:top w:val="double" w:sz="6" w:space="0" w:color="000000"/>
              <w:bottom w:val="double" w:sz="6" w:space="0" w:color="000000"/>
            </w:tcBorders>
          </w:tcPr>
          <w:p>
            <w:pPr>
              <w:pStyle w:val="TableParagraph"/>
              <w:spacing w:before="108"/>
              <w:ind w:left="374"/>
              <w:rPr>
                <w:sz w:val="18"/>
              </w:rPr>
            </w:pPr>
            <w:r>
              <w:rPr>
                <w:spacing w:val="-2"/>
                <w:sz w:val="18"/>
              </w:rPr>
              <w:t>Prob.</w:t>
            </w:r>
          </w:p>
        </w:tc>
      </w:tr>
      <w:tr>
        <w:trPr>
          <w:trHeight w:val="326" w:hRule="atLeast"/>
        </w:trPr>
        <w:tc>
          <w:tcPr>
            <w:tcW w:w="1966" w:type="dxa"/>
            <w:tcBorders>
              <w:top w:val="double" w:sz="6" w:space="0" w:color="000000"/>
            </w:tcBorders>
          </w:tcPr>
          <w:p>
            <w:pPr>
              <w:pStyle w:val="TableParagraph"/>
              <w:spacing w:line="199" w:lineRule="exact" w:before="107"/>
              <w:ind w:left="50"/>
              <w:jc w:val="center"/>
              <w:rPr>
                <w:sz w:val="18"/>
              </w:rPr>
            </w:pPr>
            <w:r>
              <w:rPr>
                <w:spacing w:val="-10"/>
                <w:sz w:val="18"/>
              </w:rPr>
              <w:t>C</w:t>
            </w:r>
          </w:p>
        </w:tc>
        <w:tc>
          <w:tcPr>
            <w:tcW w:w="1250" w:type="dxa"/>
            <w:tcBorders>
              <w:top w:val="double" w:sz="6" w:space="0" w:color="000000"/>
            </w:tcBorders>
          </w:tcPr>
          <w:p>
            <w:pPr>
              <w:pStyle w:val="TableParagraph"/>
              <w:spacing w:line="199" w:lineRule="exact" w:before="107"/>
              <w:ind w:right="104"/>
              <w:jc w:val="right"/>
              <w:rPr>
                <w:sz w:val="18"/>
              </w:rPr>
            </w:pPr>
            <w:r>
              <w:rPr>
                <w:spacing w:val="-2"/>
                <w:sz w:val="18"/>
              </w:rPr>
              <w:t>0.775056</w:t>
            </w:r>
          </w:p>
        </w:tc>
        <w:tc>
          <w:tcPr>
            <w:tcW w:w="1300" w:type="dxa"/>
            <w:tcBorders>
              <w:top w:val="double" w:sz="6" w:space="0" w:color="000000"/>
            </w:tcBorders>
          </w:tcPr>
          <w:p>
            <w:pPr>
              <w:pStyle w:val="TableParagraph"/>
              <w:spacing w:line="199" w:lineRule="exact" w:before="107"/>
              <w:ind w:left="155" w:right="2"/>
              <w:jc w:val="center"/>
              <w:rPr>
                <w:sz w:val="18"/>
              </w:rPr>
            </w:pPr>
            <w:r>
              <w:rPr>
                <w:spacing w:val="-2"/>
                <w:sz w:val="18"/>
              </w:rPr>
              <w:t>0.973654</w:t>
            </w:r>
          </w:p>
        </w:tc>
        <w:tc>
          <w:tcPr>
            <w:tcW w:w="1101" w:type="dxa"/>
            <w:tcBorders>
              <w:top w:val="double" w:sz="6" w:space="0" w:color="000000"/>
            </w:tcBorders>
          </w:tcPr>
          <w:p>
            <w:pPr>
              <w:pStyle w:val="TableParagraph"/>
              <w:spacing w:line="199" w:lineRule="exact" w:before="107"/>
              <w:ind w:left="177" w:right="14"/>
              <w:jc w:val="center"/>
              <w:rPr>
                <w:sz w:val="18"/>
              </w:rPr>
            </w:pPr>
            <w:r>
              <w:rPr>
                <w:spacing w:val="-2"/>
                <w:sz w:val="18"/>
              </w:rPr>
              <w:t>0.796028</w:t>
            </w:r>
          </w:p>
        </w:tc>
        <w:tc>
          <w:tcPr>
            <w:tcW w:w="914" w:type="dxa"/>
            <w:tcBorders>
              <w:top w:val="double" w:sz="6" w:space="0" w:color="000000"/>
            </w:tcBorders>
          </w:tcPr>
          <w:p>
            <w:pPr>
              <w:pStyle w:val="TableParagraph"/>
              <w:spacing w:line="199" w:lineRule="exact" w:before="107"/>
              <w:ind w:right="6"/>
              <w:jc w:val="right"/>
              <w:rPr>
                <w:sz w:val="18"/>
              </w:rPr>
            </w:pPr>
            <w:r>
              <w:rPr>
                <w:spacing w:val="-2"/>
                <w:sz w:val="18"/>
              </w:rPr>
              <w:t>0.4271</w:t>
            </w:r>
          </w:p>
        </w:tc>
      </w:tr>
      <w:tr>
        <w:trPr>
          <w:trHeight w:val="225" w:hRule="atLeast"/>
        </w:trPr>
        <w:tc>
          <w:tcPr>
            <w:tcW w:w="1966" w:type="dxa"/>
          </w:tcPr>
          <w:p>
            <w:pPr>
              <w:pStyle w:val="TableParagraph"/>
              <w:spacing w:line="199" w:lineRule="exact" w:before="6"/>
              <w:ind w:left="583"/>
              <w:rPr>
                <w:sz w:val="18"/>
              </w:rPr>
            </w:pPr>
            <w:r>
              <w:rPr>
                <w:spacing w:val="-2"/>
                <w:sz w:val="18"/>
              </w:rPr>
              <w:t>INSTOWN</w:t>
            </w:r>
          </w:p>
        </w:tc>
        <w:tc>
          <w:tcPr>
            <w:tcW w:w="1250" w:type="dxa"/>
          </w:tcPr>
          <w:p>
            <w:pPr>
              <w:pStyle w:val="TableParagraph"/>
              <w:spacing w:line="199" w:lineRule="exact" w:before="6"/>
              <w:ind w:right="104"/>
              <w:jc w:val="right"/>
              <w:rPr>
                <w:sz w:val="18"/>
              </w:rPr>
            </w:pPr>
            <w:r>
              <w:rPr>
                <w:spacing w:val="-2"/>
                <w:sz w:val="18"/>
              </w:rPr>
              <w:t>0.001276</w:t>
            </w:r>
          </w:p>
        </w:tc>
        <w:tc>
          <w:tcPr>
            <w:tcW w:w="1300" w:type="dxa"/>
          </w:tcPr>
          <w:p>
            <w:pPr>
              <w:pStyle w:val="TableParagraph"/>
              <w:spacing w:line="199" w:lineRule="exact" w:before="6"/>
              <w:ind w:left="155" w:right="2"/>
              <w:jc w:val="center"/>
              <w:rPr>
                <w:sz w:val="18"/>
              </w:rPr>
            </w:pPr>
            <w:r>
              <w:rPr>
                <w:spacing w:val="-2"/>
                <w:sz w:val="18"/>
              </w:rPr>
              <w:t>0.007092</w:t>
            </w:r>
          </w:p>
        </w:tc>
        <w:tc>
          <w:tcPr>
            <w:tcW w:w="1101" w:type="dxa"/>
          </w:tcPr>
          <w:p>
            <w:pPr>
              <w:pStyle w:val="TableParagraph"/>
              <w:spacing w:line="199" w:lineRule="exact" w:before="6"/>
              <w:ind w:left="177" w:right="14"/>
              <w:jc w:val="center"/>
              <w:rPr>
                <w:sz w:val="18"/>
              </w:rPr>
            </w:pPr>
            <w:r>
              <w:rPr>
                <w:spacing w:val="-2"/>
                <w:sz w:val="18"/>
              </w:rPr>
              <w:t>0.179990</w:t>
            </w:r>
          </w:p>
        </w:tc>
        <w:tc>
          <w:tcPr>
            <w:tcW w:w="914" w:type="dxa"/>
          </w:tcPr>
          <w:p>
            <w:pPr>
              <w:pStyle w:val="TableParagraph"/>
              <w:spacing w:line="199" w:lineRule="exact" w:before="6"/>
              <w:ind w:right="6"/>
              <w:jc w:val="right"/>
              <w:rPr>
                <w:sz w:val="18"/>
              </w:rPr>
            </w:pPr>
            <w:r>
              <w:rPr>
                <w:spacing w:val="-2"/>
                <w:sz w:val="18"/>
              </w:rPr>
              <w:t>0.8574</w:t>
            </w:r>
          </w:p>
        </w:tc>
      </w:tr>
      <w:tr>
        <w:trPr>
          <w:trHeight w:val="225" w:hRule="atLeast"/>
        </w:trPr>
        <w:tc>
          <w:tcPr>
            <w:tcW w:w="1966" w:type="dxa"/>
          </w:tcPr>
          <w:p>
            <w:pPr>
              <w:pStyle w:val="TableParagraph"/>
              <w:spacing w:line="199" w:lineRule="exact" w:before="6"/>
              <w:ind w:left="50" w:right="1"/>
              <w:jc w:val="center"/>
              <w:rPr>
                <w:sz w:val="18"/>
              </w:rPr>
            </w:pPr>
            <w:r>
              <w:rPr>
                <w:spacing w:val="-4"/>
                <w:sz w:val="18"/>
              </w:rPr>
              <w:t>MOWN</w:t>
            </w:r>
          </w:p>
        </w:tc>
        <w:tc>
          <w:tcPr>
            <w:tcW w:w="1250" w:type="dxa"/>
          </w:tcPr>
          <w:p>
            <w:pPr>
              <w:pStyle w:val="TableParagraph"/>
              <w:spacing w:line="199" w:lineRule="exact" w:before="6"/>
              <w:ind w:right="104"/>
              <w:jc w:val="right"/>
              <w:rPr>
                <w:sz w:val="18"/>
              </w:rPr>
            </w:pPr>
            <w:r>
              <w:rPr>
                <w:spacing w:val="-2"/>
                <w:sz w:val="18"/>
              </w:rPr>
              <w:t>0.002260</w:t>
            </w:r>
          </w:p>
        </w:tc>
        <w:tc>
          <w:tcPr>
            <w:tcW w:w="1300" w:type="dxa"/>
          </w:tcPr>
          <w:p>
            <w:pPr>
              <w:pStyle w:val="TableParagraph"/>
              <w:spacing w:line="199" w:lineRule="exact" w:before="6"/>
              <w:ind w:left="155" w:right="2"/>
              <w:jc w:val="center"/>
              <w:rPr>
                <w:sz w:val="18"/>
              </w:rPr>
            </w:pPr>
            <w:r>
              <w:rPr>
                <w:spacing w:val="-2"/>
                <w:sz w:val="18"/>
              </w:rPr>
              <w:t>0.005121</w:t>
            </w:r>
          </w:p>
        </w:tc>
        <w:tc>
          <w:tcPr>
            <w:tcW w:w="1101" w:type="dxa"/>
          </w:tcPr>
          <w:p>
            <w:pPr>
              <w:pStyle w:val="TableParagraph"/>
              <w:spacing w:line="199" w:lineRule="exact" w:before="6"/>
              <w:ind w:left="177" w:right="14"/>
              <w:jc w:val="center"/>
              <w:rPr>
                <w:sz w:val="18"/>
              </w:rPr>
            </w:pPr>
            <w:r>
              <w:rPr>
                <w:spacing w:val="-2"/>
                <w:sz w:val="18"/>
              </w:rPr>
              <w:t>0.441269</w:t>
            </w:r>
          </w:p>
        </w:tc>
        <w:tc>
          <w:tcPr>
            <w:tcW w:w="914" w:type="dxa"/>
          </w:tcPr>
          <w:p>
            <w:pPr>
              <w:pStyle w:val="TableParagraph"/>
              <w:spacing w:line="199" w:lineRule="exact" w:before="6"/>
              <w:ind w:right="6"/>
              <w:jc w:val="right"/>
              <w:rPr>
                <w:sz w:val="18"/>
              </w:rPr>
            </w:pPr>
            <w:r>
              <w:rPr>
                <w:spacing w:val="-2"/>
                <w:sz w:val="18"/>
              </w:rPr>
              <w:t>0.6596</w:t>
            </w:r>
          </w:p>
        </w:tc>
      </w:tr>
      <w:tr>
        <w:trPr>
          <w:trHeight w:val="224" w:hRule="atLeast"/>
        </w:trPr>
        <w:tc>
          <w:tcPr>
            <w:tcW w:w="1966" w:type="dxa"/>
          </w:tcPr>
          <w:p>
            <w:pPr>
              <w:pStyle w:val="TableParagraph"/>
              <w:spacing w:line="198" w:lineRule="exact" w:before="6"/>
              <w:ind w:left="50" w:right="3"/>
              <w:jc w:val="center"/>
              <w:rPr>
                <w:sz w:val="18"/>
              </w:rPr>
            </w:pPr>
            <w:r>
              <w:rPr>
                <w:spacing w:val="-4"/>
                <w:sz w:val="18"/>
              </w:rPr>
              <w:t>FOWN</w:t>
            </w:r>
          </w:p>
        </w:tc>
        <w:tc>
          <w:tcPr>
            <w:tcW w:w="1250" w:type="dxa"/>
          </w:tcPr>
          <w:p>
            <w:pPr>
              <w:pStyle w:val="TableParagraph"/>
              <w:spacing w:line="198" w:lineRule="exact" w:before="6"/>
              <w:ind w:right="104"/>
              <w:jc w:val="right"/>
              <w:rPr>
                <w:sz w:val="18"/>
              </w:rPr>
            </w:pPr>
            <w:r>
              <w:rPr>
                <w:spacing w:val="-2"/>
                <w:sz w:val="18"/>
              </w:rPr>
              <w:t>0.005115</w:t>
            </w:r>
          </w:p>
        </w:tc>
        <w:tc>
          <w:tcPr>
            <w:tcW w:w="1300" w:type="dxa"/>
          </w:tcPr>
          <w:p>
            <w:pPr>
              <w:pStyle w:val="TableParagraph"/>
              <w:spacing w:line="198" w:lineRule="exact" w:before="6"/>
              <w:ind w:left="155" w:right="2"/>
              <w:jc w:val="center"/>
              <w:rPr>
                <w:sz w:val="18"/>
              </w:rPr>
            </w:pPr>
            <w:r>
              <w:rPr>
                <w:spacing w:val="-2"/>
                <w:sz w:val="18"/>
              </w:rPr>
              <w:t>0.006533</w:t>
            </w:r>
          </w:p>
        </w:tc>
        <w:tc>
          <w:tcPr>
            <w:tcW w:w="1101" w:type="dxa"/>
          </w:tcPr>
          <w:p>
            <w:pPr>
              <w:pStyle w:val="TableParagraph"/>
              <w:spacing w:line="198" w:lineRule="exact" w:before="6"/>
              <w:ind w:left="177" w:right="14"/>
              <w:jc w:val="center"/>
              <w:rPr>
                <w:sz w:val="18"/>
              </w:rPr>
            </w:pPr>
            <w:r>
              <w:rPr>
                <w:spacing w:val="-2"/>
                <w:sz w:val="18"/>
              </w:rPr>
              <w:t>0.782946</w:t>
            </w:r>
          </w:p>
        </w:tc>
        <w:tc>
          <w:tcPr>
            <w:tcW w:w="914" w:type="dxa"/>
          </w:tcPr>
          <w:p>
            <w:pPr>
              <w:pStyle w:val="TableParagraph"/>
              <w:spacing w:line="198" w:lineRule="exact" w:before="6"/>
              <w:ind w:right="6"/>
              <w:jc w:val="right"/>
              <w:rPr>
                <w:sz w:val="18"/>
              </w:rPr>
            </w:pPr>
            <w:r>
              <w:rPr>
                <w:spacing w:val="-2"/>
                <w:sz w:val="18"/>
              </w:rPr>
              <w:t>0.4347</w:t>
            </w:r>
          </w:p>
        </w:tc>
      </w:tr>
      <w:tr>
        <w:trPr>
          <w:trHeight w:val="224" w:hRule="atLeast"/>
        </w:trPr>
        <w:tc>
          <w:tcPr>
            <w:tcW w:w="1966" w:type="dxa"/>
          </w:tcPr>
          <w:p>
            <w:pPr>
              <w:pStyle w:val="TableParagraph"/>
              <w:spacing w:line="199" w:lineRule="exact" w:before="5"/>
              <w:ind w:left="676"/>
              <w:rPr>
                <w:sz w:val="18"/>
              </w:rPr>
            </w:pPr>
            <w:r>
              <w:rPr>
                <w:spacing w:val="-2"/>
                <w:sz w:val="18"/>
              </w:rPr>
              <w:t>BLOWN</w:t>
            </w:r>
          </w:p>
        </w:tc>
        <w:tc>
          <w:tcPr>
            <w:tcW w:w="1250" w:type="dxa"/>
          </w:tcPr>
          <w:p>
            <w:pPr>
              <w:pStyle w:val="TableParagraph"/>
              <w:spacing w:line="199" w:lineRule="exact" w:before="5"/>
              <w:ind w:right="104"/>
              <w:jc w:val="right"/>
              <w:rPr>
                <w:sz w:val="18"/>
              </w:rPr>
            </w:pPr>
            <w:r>
              <w:rPr>
                <w:spacing w:val="-2"/>
                <w:sz w:val="18"/>
              </w:rPr>
              <w:t>-0.007510</w:t>
            </w:r>
          </w:p>
        </w:tc>
        <w:tc>
          <w:tcPr>
            <w:tcW w:w="1300" w:type="dxa"/>
          </w:tcPr>
          <w:p>
            <w:pPr>
              <w:pStyle w:val="TableParagraph"/>
              <w:spacing w:line="199" w:lineRule="exact" w:before="5"/>
              <w:ind w:left="155" w:right="2"/>
              <w:jc w:val="center"/>
              <w:rPr>
                <w:sz w:val="18"/>
              </w:rPr>
            </w:pPr>
            <w:r>
              <w:rPr>
                <w:spacing w:val="-2"/>
                <w:sz w:val="18"/>
              </w:rPr>
              <w:t>0.006143</w:t>
            </w:r>
          </w:p>
        </w:tc>
        <w:tc>
          <w:tcPr>
            <w:tcW w:w="1101" w:type="dxa"/>
          </w:tcPr>
          <w:p>
            <w:pPr>
              <w:pStyle w:val="TableParagraph"/>
              <w:spacing w:line="199" w:lineRule="exact" w:before="5"/>
              <w:ind w:left="177" w:right="74"/>
              <w:jc w:val="center"/>
              <w:rPr>
                <w:sz w:val="18"/>
              </w:rPr>
            </w:pPr>
            <w:r>
              <w:rPr>
                <w:spacing w:val="-2"/>
                <w:sz w:val="18"/>
              </w:rPr>
              <w:t>-1.222481</w:t>
            </w:r>
          </w:p>
        </w:tc>
        <w:tc>
          <w:tcPr>
            <w:tcW w:w="914" w:type="dxa"/>
          </w:tcPr>
          <w:p>
            <w:pPr>
              <w:pStyle w:val="TableParagraph"/>
              <w:spacing w:line="199" w:lineRule="exact" w:before="5"/>
              <w:ind w:right="6"/>
              <w:jc w:val="right"/>
              <w:rPr>
                <w:sz w:val="18"/>
              </w:rPr>
            </w:pPr>
            <w:r>
              <w:rPr>
                <w:spacing w:val="-2"/>
                <w:sz w:val="18"/>
              </w:rPr>
              <w:t>0.2232</w:t>
            </w:r>
          </w:p>
        </w:tc>
      </w:tr>
      <w:tr>
        <w:trPr>
          <w:trHeight w:val="225" w:hRule="atLeast"/>
        </w:trPr>
        <w:tc>
          <w:tcPr>
            <w:tcW w:w="1966" w:type="dxa"/>
          </w:tcPr>
          <w:p>
            <w:pPr>
              <w:pStyle w:val="TableParagraph"/>
              <w:spacing w:line="199" w:lineRule="exact" w:before="6"/>
              <w:ind w:left="50"/>
              <w:jc w:val="center"/>
              <w:rPr>
                <w:sz w:val="18"/>
              </w:rPr>
            </w:pPr>
            <w:r>
              <w:rPr>
                <w:spacing w:val="-4"/>
                <w:sz w:val="18"/>
              </w:rPr>
              <w:t>FAGE</w:t>
            </w:r>
          </w:p>
        </w:tc>
        <w:tc>
          <w:tcPr>
            <w:tcW w:w="1250" w:type="dxa"/>
          </w:tcPr>
          <w:p>
            <w:pPr>
              <w:pStyle w:val="TableParagraph"/>
              <w:spacing w:line="199" w:lineRule="exact" w:before="6"/>
              <w:ind w:right="104"/>
              <w:jc w:val="right"/>
              <w:rPr>
                <w:sz w:val="18"/>
              </w:rPr>
            </w:pPr>
            <w:r>
              <w:rPr>
                <w:spacing w:val="-2"/>
                <w:sz w:val="18"/>
              </w:rPr>
              <w:t>0.034741</w:t>
            </w:r>
          </w:p>
        </w:tc>
        <w:tc>
          <w:tcPr>
            <w:tcW w:w="1300" w:type="dxa"/>
          </w:tcPr>
          <w:p>
            <w:pPr>
              <w:pStyle w:val="TableParagraph"/>
              <w:spacing w:line="199" w:lineRule="exact" w:before="6"/>
              <w:ind w:left="155" w:right="2"/>
              <w:jc w:val="center"/>
              <w:rPr>
                <w:sz w:val="18"/>
              </w:rPr>
            </w:pPr>
            <w:r>
              <w:rPr>
                <w:spacing w:val="-2"/>
                <w:sz w:val="18"/>
              </w:rPr>
              <w:t>0.014388</w:t>
            </w:r>
          </w:p>
        </w:tc>
        <w:tc>
          <w:tcPr>
            <w:tcW w:w="1101" w:type="dxa"/>
          </w:tcPr>
          <w:p>
            <w:pPr>
              <w:pStyle w:val="TableParagraph"/>
              <w:spacing w:line="199" w:lineRule="exact" w:before="6"/>
              <w:ind w:left="177" w:right="14"/>
              <w:jc w:val="center"/>
              <w:rPr>
                <w:sz w:val="18"/>
              </w:rPr>
            </w:pPr>
            <w:r>
              <w:rPr>
                <w:spacing w:val="-2"/>
                <w:sz w:val="18"/>
              </w:rPr>
              <w:t>2.414608</w:t>
            </w:r>
          </w:p>
        </w:tc>
        <w:tc>
          <w:tcPr>
            <w:tcW w:w="914" w:type="dxa"/>
          </w:tcPr>
          <w:p>
            <w:pPr>
              <w:pStyle w:val="TableParagraph"/>
              <w:spacing w:line="199" w:lineRule="exact" w:before="6"/>
              <w:ind w:right="6"/>
              <w:jc w:val="right"/>
              <w:rPr>
                <w:sz w:val="18"/>
              </w:rPr>
            </w:pPr>
            <w:r>
              <w:rPr>
                <w:spacing w:val="-2"/>
                <w:sz w:val="18"/>
              </w:rPr>
              <w:t>0.0168</w:t>
            </w:r>
          </w:p>
        </w:tc>
      </w:tr>
      <w:tr>
        <w:trPr>
          <w:trHeight w:val="225" w:hRule="atLeast"/>
        </w:trPr>
        <w:tc>
          <w:tcPr>
            <w:tcW w:w="1966" w:type="dxa"/>
          </w:tcPr>
          <w:p>
            <w:pPr>
              <w:pStyle w:val="TableParagraph"/>
              <w:spacing w:line="199" w:lineRule="exact" w:before="6"/>
              <w:ind w:left="50" w:right="4"/>
              <w:jc w:val="center"/>
              <w:rPr>
                <w:sz w:val="18"/>
              </w:rPr>
            </w:pPr>
            <w:r>
              <w:rPr>
                <w:spacing w:val="-2"/>
                <w:sz w:val="18"/>
              </w:rPr>
              <w:t>FSIZE</w:t>
            </w:r>
          </w:p>
        </w:tc>
        <w:tc>
          <w:tcPr>
            <w:tcW w:w="1250" w:type="dxa"/>
          </w:tcPr>
          <w:p>
            <w:pPr>
              <w:pStyle w:val="TableParagraph"/>
              <w:spacing w:line="199" w:lineRule="exact" w:before="6"/>
              <w:ind w:right="104"/>
              <w:jc w:val="right"/>
              <w:rPr>
                <w:sz w:val="18"/>
              </w:rPr>
            </w:pPr>
            <w:r>
              <w:rPr>
                <w:spacing w:val="-2"/>
                <w:sz w:val="18"/>
              </w:rPr>
              <w:t>-0.206127</w:t>
            </w:r>
          </w:p>
        </w:tc>
        <w:tc>
          <w:tcPr>
            <w:tcW w:w="1300" w:type="dxa"/>
          </w:tcPr>
          <w:p>
            <w:pPr>
              <w:pStyle w:val="TableParagraph"/>
              <w:spacing w:line="199" w:lineRule="exact" w:before="6"/>
              <w:ind w:left="155" w:right="2"/>
              <w:jc w:val="center"/>
              <w:rPr>
                <w:sz w:val="18"/>
              </w:rPr>
            </w:pPr>
            <w:r>
              <w:rPr>
                <w:spacing w:val="-2"/>
                <w:sz w:val="18"/>
              </w:rPr>
              <w:t>0.085615</w:t>
            </w:r>
          </w:p>
        </w:tc>
        <w:tc>
          <w:tcPr>
            <w:tcW w:w="1101" w:type="dxa"/>
          </w:tcPr>
          <w:p>
            <w:pPr>
              <w:pStyle w:val="TableParagraph"/>
              <w:spacing w:line="199" w:lineRule="exact" w:before="6"/>
              <w:ind w:left="177" w:right="74"/>
              <w:jc w:val="center"/>
              <w:rPr>
                <w:sz w:val="18"/>
              </w:rPr>
            </w:pPr>
            <w:r>
              <w:rPr>
                <w:spacing w:val="-2"/>
                <w:sz w:val="18"/>
              </w:rPr>
              <w:t>-2.407619</w:t>
            </w:r>
          </w:p>
        </w:tc>
        <w:tc>
          <w:tcPr>
            <w:tcW w:w="914" w:type="dxa"/>
          </w:tcPr>
          <w:p>
            <w:pPr>
              <w:pStyle w:val="TableParagraph"/>
              <w:spacing w:line="199" w:lineRule="exact" w:before="6"/>
              <w:ind w:right="6"/>
              <w:jc w:val="right"/>
              <w:rPr>
                <w:sz w:val="18"/>
              </w:rPr>
            </w:pPr>
            <w:r>
              <w:rPr>
                <w:spacing w:val="-2"/>
                <w:sz w:val="18"/>
              </w:rPr>
              <w:t>0.0171</w:t>
            </w:r>
          </w:p>
        </w:tc>
      </w:tr>
      <w:tr>
        <w:trPr>
          <w:trHeight w:val="224" w:hRule="atLeast"/>
        </w:trPr>
        <w:tc>
          <w:tcPr>
            <w:tcW w:w="1966" w:type="dxa"/>
          </w:tcPr>
          <w:p>
            <w:pPr>
              <w:pStyle w:val="TableParagraph"/>
              <w:spacing w:line="198" w:lineRule="exact" w:before="6"/>
              <w:ind w:left="523"/>
              <w:rPr>
                <w:sz w:val="18"/>
              </w:rPr>
            </w:pPr>
            <w:r>
              <w:rPr>
                <w:spacing w:val="-2"/>
                <w:sz w:val="18"/>
              </w:rPr>
              <w:t>LEVERAGE</w:t>
            </w:r>
          </w:p>
        </w:tc>
        <w:tc>
          <w:tcPr>
            <w:tcW w:w="1250" w:type="dxa"/>
          </w:tcPr>
          <w:p>
            <w:pPr>
              <w:pStyle w:val="TableParagraph"/>
              <w:spacing w:line="198" w:lineRule="exact" w:before="6"/>
              <w:ind w:right="104"/>
              <w:jc w:val="right"/>
              <w:rPr>
                <w:sz w:val="18"/>
              </w:rPr>
            </w:pPr>
            <w:r>
              <w:rPr>
                <w:spacing w:val="-2"/>
                <w:sz w:val="18"/>
              </w:rPr>
              <w:t>0.011007</w:t>
            </w:r>
          </w:p>
        </w:tc>
        <w:tc>
          <w:tcPr>
            <w:tcW w:w="1300" w:type="dxa"/>
          </w:tcPr>
          <w:p>
            <w:pPr>
              <w:pStyle w:val="TableParagraph"/>
              <w:spacing w:line="198" w:lineRule="exact" w:before="6"/>
              <w:ind w:left="155" w:right="2"/>
              <w:jc w:val="center"/>
              <w:rPr>
                <w:sz w:val="18"/>
              </w:rPr>
            </w:pPr>
            <w:r>
              <w:rPr>
                <w:spacing w:val="-2"/>
                <w:sz w:val="18"/>
              </w:rPr>
              <w:t>0.020740</w:t>
            </w:r>
          </w:p>
        </w:tc>
        <w:tc>
          <w:tcPr>
            <w:tcW w:w="1101" w:type="dxa"/>
          </w:tcPr>
          <w:p>
            <w:pPr>
              <w:pStyle w:val="TableParagraph"/>
              <w:spacing w:line="198" w:lineRule="exact" w:before="6"/>
              <w:ind w:left="177" w:right="14"/>
              <w:jc w:val="center"/>
              <w:rPr>
                <w:sz w:val="18"/>
              </w:rPr>
            </w:pPr>
            <w:r>
              <w:rPr>
                <w:spacing w:val="-2"/>
                <w:sz w:val="18"/>
              </w:rPr>
              <w:t>0.530731</w:t>
            </w:r>
          </w:p>
        </w:tc>
        <w:tc>
          <w:tcPr>
            <w:tcW w:w="914" w:type="dxa"/>
          </w:tcPr>
          <w:p>
            <w:pPr>
              <w:pStyle w:val="TableParagraph"/>
              <w:spacing w:line="198" w:lineRule="exact" w:before="6"/>
              <w:ind w:right="6"/>
              <w:jc w:val="right"/>
              <w:rPr>
                <w:sz w:val="18"/>
              </w:rPr>
            </w:pPr>
            <w:r>
              <w:rPr>
                <w:spacing w:val="-2"/>
                <w:sz w:val="18"/>
              </w:rPr>
              <w:t>0.5963</w:t>
            </w:r>
          </w:p>
        </w:tc>
      </w:tr>
      <w:tr>
        <w:trPr>
          <w:trHeight w:val="224" w:hRule="atLeast"/>
        </w:trPr>
        <w:tc>
          <w:tcPr>
            <w:tcW w:w="1966" w:type="dxa"/>
          </w:tcPr>
          <w:p>
            <w:pPr>
              <w:pStyle w:val="TableParagraph"/>
              <w:spacing w:line="199" w:lineRule="exact" w:before="5"/>
              <w:ind w:left="50" w:right="3"/>
              <w:jc w:val="center"/>
              <w:rPr>
                <w:sz w:val="18"/>
              </w:rPr>
            </w:pPr>
            <w:r>
              <w:rPr>
                <w:spacing w:val="-4"/>
                <w:sz w:val="18"/>
              </w:rPr>
              <w:t>IFRS</w:t>
            </w:r>
          </w:p>
        </w:tc>
        <w:tc>
          <w:tcPr>
            <w:tcW w:w="1250" w:type="dxa"/>
          </w:tcPr>
          <w:p>
            <w:pPr>
              <w:pStyle w:val="TableParagraph"/>
              <w:spacing w:line="199" w:lineRule="exact" w:before="5"/>
              <w:ind w:right="104"/>
              <w:jc w:val="right"/>
              <w:rPr>
                <w:sz w:val="18"/>
              </w:rPr>
            </w:pPr>
            <w:r>
              <w:rPr>
                <w:spacing w:val="-2"/>
                <w:sz w:val="18"/>
              </w:rPr>
              <w:t>-0.151218</w:t>
            </w:r>
          </w:p>
        </w:tc>
        <w:tc>
          <w:tcPr>
            <w:tcW w:w="1300" w:type="dxa"/>
          </w:tcPr>
          <w:p>
            <w:pPr>
              <w:pStyle w:val="TableParagraph"/>
              <w:spacing w:line="199" w:lineRule="exact" w:before="5"/>
              <w:ind w:left="155" w:right="2"/>
              <w:jc w:val="center"/>
              <w:rPr>
                <w:sz w:val="18"/>
              </w:rPr>
            </w:pPr>
            <w:r>
              <w:rPr>
                <w:spacing w:val="-2"/>
                <w:sz w:val="18"/>
              </w:rPr>
              <w:t>0.144137</w:t>
            </w:r>
          </w:p>
        </w:tc>
        <w:tc>
          <w:tcPr>
            <w:tcW w:w="1101" w:type="dxa"/>
          </w:tcPr>
          <w:p>
            <w:pPr>
              <w:pStyle w:val="TableParagraph"/>
              <w:spacing w:line="199" w:lineRule="exact" w:before="5"/>
              <w:ind w:left="177" w:right="74"/>
              <w:jc w:val="center"/>
              <w:rPr>
                <w:sz w:val="18"/>
              </w:rPr>
            </w:pPr>
            <w:r>
              <w:rPr>
                <w:spacing w:val="-2"/>
                <w:sz w:val="18"/>
              </w:rPr>
              <w:t>-1.049127</w:t>
            </w:r>
          </w:p>
        </w:tc>
        <w:tc>
          <w:tcPr>
            <w:tcW w:w="914" w:type="dxa"/>
          </w:tcPr>
          <w:p>
            <w:pPr>
              <w:pStyle w:val="TableParagraph"/>
              <w:spacing w:line="199" w:lineRule="exact" w:before="5"/>
              <w:ind w:right="6"/>
              <w:jc w:val="right"/>
              <w:rPr>
                <w:sz w:val="18"/>
              </w:rPr>
            </w:pPr>
            <w:r>
              <w:rPr>
                <w:spacing w:val="-2"/>
                <w:sz w:val="18"/>
              </w:rPr>
              <w:t>0.2956</w:t>
            </w:r>
          </w:p>
        </w:tc>
      </w:tr>
      <w:tr>
        <w:trPr>
          <w:trHeight w:val="225" w:hRule="atLeast"/>
        </w:trPr>
        <w:tc>
          <w:tcPr>
            <w:tcW w:w="1966" w:type="dxa"/>
          </w:tcPr>
          <w:p>
            <w:pPr>
              <w:pStyle w:val="TableParagraph"/>
              <w:spacing w:line="199" w:lineRule="exact" w:before="6"/>
              <w:ind w:left="343"/>
              <w:rPr>
                <w:sz w:val="18"/>
              </w:rPr>
            </w:pPr>
            <w:r>
              <w:rPr>
                <w:spacing w:val="-2"/>
                <w:sz w:val="18"/>
              </w:rPr>
              <w:t>INSTOWN*IFRS</w:t>
            </w:r>
          </w:p>
        </w:tc>
        <w:tc>
          <w:tcPr>
            <w:tcW w:w="1250" w:type="dxa"/>
          </w:tcPr>
          <w:p>
            <w:pPr>
              <w:pStyle w:val="TableParagraph"/>
              <w:spacing w:line="199" w:lineRule="exact" w:before="6"/>
              <w:ind w:right="104"/>
              <w:jc w:val="right"/>
              <w:rPr>
                <w:sz w:val="18"/>
              </w:rPr>
            </w:pPr>
            <w:r>
              <w:rPr>
                <w:spacing w:val="-2"/>
                <w:sz w:val="18"/>
              </w:rPr>
              <w:t>-0.005038</w:t>
            </w:r>
          </w:p>
        </w:tc>
        <w:tc>
          <w:tcPr>
            <w:tcW w:w="1300" w:type="dxa"/>
          </w:tcPr>
          <w:p>
            <w:pPr>
              <w:pStyle w:val="TableParagraph"/>
              <w:spacing w:line="199" w:lineRule="exact" w:before="6"/>
              <w:ind w:left="155" w:right="2"/>
              <w:jc w:val="center"/>
              <w:rPr>
                <w:sz w:val="18"/>
              </w:rPr>
            </w:pPr>
            <w:r>
              <w:rPr>
                <w:spacing w:val="-2"/>
                <w:sz w:val="18"/>
              </w:rPr>
              <w:t>0.006492</w:t>
            </w:r>
          </w:p>
        </w:tc>
        <w:tc>
          <w:tcPr>
            <w:tcW w:w="1101" w:type="dxa"/>
          </w:tcPr>
          <w:p>
            <w:pPr>
              <w:pStyle w:val="TableParagraph"/>
              <w:spacing w:line="199" w:lineRule="exact" w:before="6"/>
              <w:ind w:left="177" w:right="74"/>
              <w:jc w:val="center"/>
              <w:rPr>
                <w:sz w:val="18"/>
              </w:rPr>
            </w:pPr>
            <w:r>
              <w:rPr>
                <w:spacing w:val="-2"/>
                <w:sz w:val="18"/>
              </w:rPr>
              <w:t>-0.776001</w:t>
            </w:r>
          </w:p>
        </w:tc>
        <w:tc>
          <w:tcPr>
            <w:tcW w:w="914" w:type="dxa"/>
          </w:tcPr>
          <w:p>
            <w:pPr>
              <w:pStyle w:val="TableParagraph"/>
              <w:spacing w:line="199" w:lineRule="exact" w:before="6"/>
              <w:ind w:right="6"/>
              <w:jc w:val="right"/>
              <w:rPr>
                <w:sz w:val="18"/>
              </w:rPr>
            </w:pPr>
            <w:r>
              <w:rPr>
                <w:spacing w:val="-2"/>
                <w:sz w:val="18"/>
              </w:rPr>
              <w:t>0.4388</w:t>
            </w:r>
          </w:p>
        </w:tc>
      </w:tr>
      <w:tr>
        <w:trPr>
          <w:trHeight w:val="225" w:hRule="atLeast"/>
        </w:trPr>
        <w:tc>
          <w:tcPr>
            <w:tcW w:w="1966" w:type="dxa"/>
          </w:tcPr>
          <w:p>
            <w:pPr>
              <w:pStyle w:val="TableParagraph"/>
              <w:spacing w:line="199" w:lineRule="exact" w:before="6"/>
              <w:ind w:left="472"/>
              <w:rPr>
                <w:sz w:val="18"/>
              </w:rPr>
            </w:pPr>
            <w:r>
              <w:rPr>
                <w:spacing w:val="-2"/>
                <w:sz w:val="18"/>
              </w:rPr>
              <w:t>MOWN*IFRS</w:t>
            </w:r>
          </w:p>
        </w:tc>
        <w:tc>
          <w:tcPr>
            <w:tcW w:w="1250" w:type="dxa"/>
          </w:tcPr>
          <w:p>
            <w:pPr>
              <w:pStyle w:val="TableParagraph"/>
              <w:spacing w:line="199" w:lineRule="exact" w:before="6"/>
              <w:ind w:right="104"/>
              <w:jc w:val="right"/>
              <w:rPr>
                <w:sz w:val="18"/>
              </w:rPr>
            </w:pPr>
            <w:r>
              <w:rPr>
                <w:spacing w:val="-2"/>
                <w:sz w:val="18"/>
              </w:rPr>
              <w:t>-0.000227</w:t>
            </w:r>
          </w:p>
        </w:tc>
        <w:tc>
          <w:tcPr>
            <w:tcW w:w="1300" w:type="dxa"/>
          </w:tcPr>
          <w:p>
            <w:pPr>
              <w:pStyle w:val="TableParagraph"/>
              <w:spacing w:line="199" w:lineRule="exact" w:before="6"/>
              <w:ind w:left="155" w:right="2"/>
              <w:jc w:val="center"/>
              <w:rPr>
                <w:sz w:val="18"/>
              </w:rPr>
            </w:pPr>
            <w:r>
              <w:rPr>
                <w:spacing w:val="-2"/>
                <w:sz w:val="18"/>
              </w:rPr>
              <w:t>0.005282</w:t>
            </w:r>
          </w:p>
        </w:tc>
        <w:tc>
          <w:tcPr>
            <w:tcW w:w="1101" w:type="dxa"/>
          </w:tcPr>
          <w:p>
            <w:pPr>
              <w:pStyle w:val="TableParagraph"/>
              <w:spacing w:line="199" w:lineRule="exact" w:before="6"/>
              <w:ind w:left="177" w:right="74"/>
              <w:jc w:val="center"/>
              <w:rPr>
                <w:sz w:val="18"/>
              </w:rPr>
            </w:pPr>
            <w:r>
              <w:rPr>
                <w:spacing w:val="-2"/>
                <w:sz w:val="18"/>
              </w:rPr>
              <w:t>-0.042893</w:t>
            </w:r>
          </w:p>
        </w:tc>
        <w:tc>
          <w:tcPr>
            <w:tcW w:w="914" w:type="dxa"/>
          </w:tcPr>
          <w:p>
            <w:pPr>
              <w:pStyle w:val="TableParagraph"/>
              <w:spacing w:line="199" w:lineRule="exact" w:before="6"/>
              <w:ind w:right="6"/>
              <w:jc w:val="right"/>
              <w:rPr>
                <w:sz w:val="18"/>
              </w:rPr>
            </w:pPr>
            <w:r>
              <w:rPr>
                <w:spacing w:val="-2"/>
                <w:sz w:val="18"/>
              </w:rPr>
              <w:t>0.9658</w:t>
            </w:r>
          </w:p>
        </w:tc>
      </w:tr>
      <w:tr>
        <w:trPr>
          <w:trHeight w:val="224" w:hRule="atLeast"/>
        </w:trPr>
        <w:tc>
          <w:tcPr>
            <w:tcW w:w="1966" w:type="dxa"/>
          </w:tcPr>
          <w:p>
            <w:pPr>
              <w:pStyle w:val="TableParagraph"/>
              <w:spacing w:line="198" w:lineRule="exact" w:before="6"/>
              <w:ind w:left="491"/>
              <w:rPr>
                <w:sz w:val="18"/>
              </w:rPr>
            </w:pPr>
            <w:r>
              <w:rPr>
                <w:spacing w:val="-2"/>
                <w:sz w:val="18"/>
              </w:rPr>
              <w:t>FOWN*IFRS</w:t>
            </w:r>
          </w:p>
        </w:tc>
        <w:tc>
          <w:tcPr>
            <w:tcW w:w="1250" w:type="dxa"/>
          </w:tcPr>
          <w:p>
            <w:pPr>
              <w:pStyle w:val="TableParagraph"/>
              <w:spacing w:line="198" w:lineRule="exact" w:before="6"/>
              <w:ind w:right="104"/>
              <w:jc w:val="right"/>
              <w:rPr>
                <w:sz w:val="18"/>
              </w:rPr>
            </w:pPr>
            <w:r>
              <w:rPr>
                <w:spacing w:val="-2"/>
                <w:sz w:val="18"/>
              </w:rPr>
              <w:t>0.002066</w:t>
            </w:r>
          </w:p>
        </w:tc>
        <w:tc>
          <w:tcPr>
            <w:tcW w:w="1300" w:type="dxa"/>
          </w:tcPr>
          <w:p>
            <w:pPr>
              <w:pStyle w:val="TableParagraph"/>
              <w:spacing w:line="198" w:lineRule="exact" w:before="6"/>
              <w:ind w:left="155" w:right="2"/>
              <w:jc w:val="center"/>
              <w:rPr>
                <w:sz w:val="18"/>
              </w:rPr>
            </w:pPr>
            <w:r>
              <w:rPr>
                <w:spacing w:val="-2"/>
                <w:sz w:val="18"/>
              </w:rPr>
              <w:t>0.004907</w:t>
            </w:r>
          </w:p>
        </w:tc>
        <w:tc>
          <w:tcPr>
            <w:tcW w:w="1101" w:type="dxa"/>
          </w:tcPr>
          <w:p>
            <w:pPr>
              <w:pStyle w:val="TableParagraph"/>
              <w:spacing w:line="198" w:lineRule="exact" w:before="6"/>
              <w:ind w:left="177" w:right="14"/>
              <w:jc w:val="center"/>
              <w:rPr>
                <w:sz w:val="18"/>
              </w:rPr>
            </w:pPr>
            <w:r>
              <w:rPr>
                <w:spacing w:val="-2"/>
                <w:sz w:val="18"/>
              </w:rPr>
              <w:t>0.420978</w:t>
            </w:r>
          </w:p>
        </w:tc>
        <w:tc>
          <w:tcPr>
            <w:tcW w:w="914" w:type="dxa"/>
          </w:tcPr>
          <w:p>
            <w:pPr>
              <w:pStyle w:val="TableParagraph"/>
              <w:spacing w:line="198" w:lineRule="exact" w:before="6"/>
              <w:ind w:right="6"/>
              <w:jc w:val="right"/>
              <w:rPr>
                <w:sz w:val="18"/>
              </w:rPr>
            </w:pPr>
            <w:r>
              <w:rPr>
                <w:spacing w:val="-2"/>
                <w:sz w:val="18"/>
              </w:rPr>
              <w:t>0.6743</w:t>
            </w:r>
          </w:p>
        </w:tc>
      </w:tr>
      <w:tr>
        <w:trPr>
          <w:trHeight w:val="302" w:hRule="atLeast"/>
        </w:trPr>
        <w:tc>
          <w:tcPr>
            <w:tcW w:w="1966" w:type="dxa"/>
            <w:tcBorders>
              <w:bottom w:val="double" w:sz="6" w:space="0" w:color="000000"/>
            </w:tcBorders>
          </w:tcPr>
          <w:p>
            <w:pPr>
              <w:pStyle w:val="TableParagraph"/>
              <w:spacing w:before="5"/>
              <w:ind w:left="436"/>
              <w:rPr>
                <w:sz w:val="18"/>
              </w:rPr>
            </w:pPr>
            <w:r>
              <w:rPr>
                <w:spacing w:val="-2"/>
                <w:sz w:val="18"/>
              </w:rPr>
              <w:t>BLOWN*IFRS</w:t>
            </w:r>
          </w:p>
        </w:tc>
        <w:tc>
          <w:tcPr>
            <w:tcW w:w="1250" w:type="dxa"/>
            <w:tcBorders>
              <w:bottom w:val="double" w:sz="6" w:space="0" w:color="000000"/>
            </w:tcBorders>
          </w:tcPr>
          <w:p>
            <w:pPr>
              <w:pStyle w:val="TableParagraph"/>
              <w:spacing w:before="5"/>
              <w:ind w:right="104"/>
              <w:jc w:val="right"/>
              <w:rPr>
                <w:sz w:val="18"/>
              </w:rPr>
            </w:pPr>
            <w:r>
              <w:rPr>
                <w:spacing w:val="-2"/>
                <w:sz w:val="18"/>
              </w:rPr>
              <w:t>0.005595</w:t>
            </w:r>
          </w:p>
        </w:tc>
        <w:tc>
          <w:tcPr>
            <w:tcW w:w="1300" w:type="dxa"/>
            <w:tcBorders>
              <w:bottom w:val="double" w:sz="6" w:space="0" w:color="000000"/>
            </w:tcBorders>
          </w:tcPr>
          <w:p>
            <w:pPr>
              <w:pStyle w:val="TableParagraph"/>
              <w:spacing w:before="5"/>
              <w:ind w:left="155" w:right="2"/>
              <w:jc w:val="center"/>
              <w:rPr>
                <w:sz w:val="18"/>
              </w:rPr>
            </w:pPr>
            <w:r>
              <w:rPr>
                <w:spacing w:val="-2"/>
                <w:sz w:val="18"/>
              </w:rPr>
              <w:t>0.005410</w:t>
            </w:r>
          </w:p>
        </w:tc>
        <w:tc>
          <w:tcPr>
            <w:tcW w:w="1101" w:type="dxa"/>
            <w:tcBorders>
              <w:bottom w:val="double" w:sz="6" w:space="0" w:color="000000"/>
            </w:tcBorders>
          </w:tcPr>
          <w:p>
            <w:pPr>
              <w:pStyle w:val="TableParagraph"/>
              <w:spacing w:before="5"/>
              <w:ind w:left="177" w:right="14"/>
              <w:jc w:val="center"/>
              <w:rPr>
                <w:sz w:val="18"/>
              </w:rPr>
            </w:pPr>
            <w:r>
              <w:rPr>
                <w:spacing w:val="-2"/>
                <w:sz w:val="18"/>
              </w:rPr>
              <w:t>1.034106</w:t>
            </w:r>
          </w:p>
        </w:tc>
        <w:tc>
          <w:tcPr>
            <w:tcW w:w="914" w:type="dxa"/>
            <w:tcBorders>
              <w:bottom w:val="double" w:sz="6" w:space="0" w:color="000000"/>
            </w:tcBorders>
          </w:tcPr>
          <w:p>
            <w:pPr>
              <w:pStyle w:val="TableParagraph"/>
              <w:spacing w:before="5"/>
              <w:ind w:right="6"/>
              <w:jc w:val="right"/>
              <w:rPr>
                <w:sz w:val="18"/>
              </w:rPr>
            </w:pPr>
            <w:r>
              <w:rPr>
                <w:spacing w:val="-2"/>
                <w:sz w:val="18"/>
              </w:rPr>
              <w:t>0.3026</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left="3" w:right="187"/>
              <w:jc w:val="center"/>
              <w:rPr>
                <w:sz w:val="18"/>
              </w:rPr>
            </w:pPr>
            <w:r>
              <w:rPr>
                <w:sz w:val="18"/>
              </w:rPr>
              <w:t>Effects </w:t>
            </w:r>
            <w:r>
              <w:rPr>
                <w:spacing w:val="-2"/>
                <w:sz w:val="18"/>
              </w:rPr>
              <w:t>Specification</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6"/>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5" w:hRule="atLeast"/>
        </w:trPr>
        <w:tc>
          <w:tcPr>
            <w:tcW w:w="1966" w:type="dxa"/>
            <w:tcBorders>
              <w:top w:val="double" w:sz="6" w:space="0" w:color="000000"/>
            </w:tcBorders>
          </w:tcPr>
          <w:p>
            <w:pPr>
              <w:pStyle w:val="TableParagraph"/>
              <w:spacing w:line="199" w:lineRule="exact" w:before="106"/>
              <w:rPr>
                <w:sz w:val="18"/>
              </w:rPr>
            </w:pPr>
            <w:r>
              <w:rPr>
                <w:spacing w:val="-2"/>
                <w:sz w:val="18"/>
              </w:rPr>
              <w:t>R-squared</w:t>
            </w:r>
          </w:p>
        </w:tc>
        <w:tc>
          <w:tcPr>
            <w:tcW w:w="1250" w:type="dxa"/>
            <w:tcBorders>
              <w:top w:val="double" w:sz="6" w:space="0" w:color="000000"/>
            </w:tcBorders>
          </w:tcPr>
          <w:p>
            <w:pPr>
              <w:pStyle w:val="TableParagraph"/>
              <w:spacing w:line="199" w:lineRule="exact" w:before="106"/>
              <w:ind w:right="104"/>
              <w:jc w:val="right"/>
              <w:rPr>
                <w:sz w:val="18"/>
              </w:rPr>
            </w:pPr>
            <w:r>
              <w:rPr>
                <w:spacing w:val="-2"/>
                <w:sz w:val="18"/>
              </w:rPr>
              <w:t>0.235036</w:t>
            </w:r>
          </w:p>
        </w:tc>
        <w:tc>
          <w:tcPr>
            <w:tcW w:w="2401" w:type="dxa"/>
            <w:gridSpan w:val="2"/>
            <w:tcBorders>
              <w:top w:val="double" w:sz="6" w:space="0" w:color="000000"/>
            </w:tcBorders>
          </w:tcPr>
          <w:p>
            <w:pPr>
              <w:pStyle w:val="TableParagraph"/>
              <w:spacing w:line="199" w:lineRule="exact"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199" w:lineRule="exact" w:before="106"/>
              <w:ind w:right="6"/>
              <w:jc w:val="right"/>
              <w:rPr>
                <w:sz w:val="18"/>
              </w:rPr>
            </w:pPr>
            <w:r>
              <w:rPr>
                <w:spacing w:val="-2"/>
                <w:sz w:val="18"/>
              </w:rPr>
              <w:t>-0.172751</w:t>
            </w:r>
          </w:p>
        </w:tc>
      </w:tr>
      <w:tr>
        <w:trPr>
          <w:trHeight w:val="225" w:hRule="atLeast"/>
        </w:trPr>
        <w:tc>
          <w:tcPr>
            <w:tcW w:w="1966"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50" w:type="dxa"/>
          </w:tcPr>
          <w:p>
            <w:pPr>
              <w:pStyle w:val="TableParagraph"/>
              <w:spacing w:line="199" w:lineRule="exact" w:before="6"/>
              <w:ind w:right="104"/>
              <w:jc w:val="right"/>
              <w:rPr>
                <w:sz w:val="18"/>
              </w:rPr>
            </w:pPr>
            <w:r>
              <w:rPr>
                <w:spacing w:val="-2"/>
                <w:sz w:val="18"/>
              </w:rPr>
              <w:t>0.127041</w:t>
            </w:r>
          </w:p>
        </w:tc>
        <w:tc>
          <w:tcPr>
            <w:tcW w:w="2401" w:type="dxa"/>
            <w:gridSpan w:val="2"/>
          </w:tcPr>
          <w:p>
            <w:pPr>
              <w:pStyle w:val="TableParagraph"/>
              <w:spacing w:line="199" w:lineRule="exact" w:before="6"/>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914" w:type="dxa"/>
          </w:tcPr>
          <w:p>
            <w:pPr>
              <w:pStyle w:val="TableParagraph"/>
              <w:spacing w:line="199" w:lineRule="exact" w:before="6"/>
              <w:ind w:right="6"/>
              <w:jc w:val="right"/>
              <w:rPr>
                <w:sz w:val="18"/>
              </w:rPr>
            </w:pPr>
            <w:r>
              <w:rPr>
                <w:spacing w:val="-2"/>
                <w:sz w:val="18"/>
              </w:rPr>
              <w:t>0.609015</w:t>
            </w:r>
          </w:p>
        </w:tc>
      </w:tr>
      <w:tr>
        <w:trPr>
          <w:trHeight w:val="225" w:hRule="atLeast"/>
        </w:trPr>
        <w:tc>
          <w:tcPr>
            <w:tcW w:w="1966" w:type="dxa"/>
          </w:tcPr>
          <w:p>
            <w:pPr>
              <w:pStyle w:val="TableParagraph"/>
              <w:spacing w:line="199" w:lineRule="exact" w:before="6"/>
              <w:rPr>
                <w:sz w:val="18"/>
              </w:rPr>
            </w:pPr>
            <w:r>
              <w:rPr>
                <w:sz w:val="18"/>
              </w:rPr>
              <w:t>S.E.</w:t>
            </w:r>
            <w:r>
              <w:rPr>
                <w:spacing w:val="-2"/>
                <w:sz w:val="18"/>
              </w:rPr>
              <w:t> </w:t>
            </w:r>
            <w:r>
              <w:rPr>
                <w:sz w:val="18"/>
              </w:rPr>
              <w:t>of </w:t>
            </w:r>
            <w:r>
              <w:rPr>
                <w:spacing w:val="-2"/>
                <w:sz w:val="18"/>
              </w:rPr>
              <w:t>regression</w:t>
            </w:r>
          </w:p>
        </w:tc>
        <w:tc>
          <w:tcPr>
            <w:tcW w:w="1250" w:type="dxa"/>
          </w:tcPr>
          <w:p>
            <w:pPr>
              <w:pStyle w:val="TableParagraph"/>
              <w:spacing w:line="199" w:lineRule="exact" w:before="6"/>
              <w:ind w:right="104"/>
              <w:jc w:val="right"/>
              <w:rPr>
                <w:sz w:val="18"/>
              </w:rPr>
            </w:pPr>
            <w:r>
              <w:rPr>
                <w:spacing w:val="-2"/>
                <w:sz w:val="18"/>
              </w:rPr>
              <w:t>0.557043</w:t>
            </w:r>
          </w:p>
        </w:tc>
        <w:tc>
          <w:tcPr>
            <w:tcW w:w="2401" w:type="dxa"/>
            <w:gridSpan w:val="2"/>
          </w:tcPr>
          <w:p>
            <w:pPr>
              <w:pStyle w:val="TableParagraph"/>
              <w:spacing w:line="199" w:lineRule="exact" w:before="6"/>
              <w:ind w:left="106"/>
              <w:rPr>
                <w:sz w:val="18"/>
              </w:rPr>
            </w:pPr>
            <w:r>
              <w:rPr>
                <w:sz w:val="18"/>
              </w:rPr>
              <w:t>Sum</w:t>
            </w:r>
            <w:r>
              <w:rPr>
                <w:spacing w:val="-5"/>
                <w:sz w:val="18"/>
              </w:rPr>
              <w:t> </w:t>
            </w:r>
            <w:r>
              <w:rPr>
                <w:sz w:val="18"/>
              </w:rPr>
              <w:t>squared</w:t>
            </w:r>
            <w:r>
              <w:rPr>
                <w:spacing w:val="-2"/>
                <w:sz w:val="18"/>
              </w:rPr>
              <w:t> resid</w:t>
            </w:r>
          </w:p>
        </w:tc>
        <w:tc>
          <w:tcPr>
            <w:tcW w:w="914" w:type="dxa"/>
          </w:tcPr>
          <w:p>
            <w:pPr>
              <w:pStyle w:val="TableParagraph"/>
              <w:spacing w:line="199" w:lineRule="exact" w:before="6"/>
              <w:ind w:right="6"/>
              <w:jc w:val="right"/>
              <w:rPr>
                <w:sz w:val="18"/>
              </w:rPr>
            </w:pPr>
            <w:r>
              <w:rPr>
                <w:spacing w:val="-2"/>
                <w:sz w:val="18"/>
              </w:rPr>
              <w:t>52.75043</w:t>
            </w:r>
          </w:p>
        </w:tc>
      </w:tr>
      <w:tr>
        <w:trPr>
          <w:trHeight w:val="224" w:hRule="atLeast"/>
        </w:trPr>
        <w:tc>
          <w:tcPr>
            <w:tcW w:w="1966" w:type="dxa"/>
          </w:tcPr>
          <w:p>
            <w:pPr>
              <w:pStyle w:val="TableParagraph"/>
              <w:spacing w:line="198" w:lineRule="exact" w:before="6"/>
              <w:rPr>
                <w:sz w:val="18"/>
              </w:rPr>
            </w:pPr>
            <w:r>
              <w:rPr>
                <w:spacing w:val="-2"/>
                <w:sz w:val="18"/>
              </w:rPr>
              <w:t>F-statistic</w:t>
            </w:r>
          </w:p>
        </w:tc>
        <w:tc>
          <w:tcPr>
            <w:tcW w:w="1250" w:type="dxa"/>
          </w:tcPr>
          <w:p>
            <w:pPr>
              <w:pStyle w:val="TableParagraph"/>
              <w:spacing w:line="198" w:lineRule="exact" w:before="6"/>
              <w:ind w:right="104"/>
              <w:jc w:val="right"/>
              <w:rPr>
                <w:sz w:val="18"/>
              </w:rPr>
            </w:pPr>
            <w:r>
              <w:rPr>
                <w:spacing w:val="-2"/>
                <w:sz w:val="18"/>
              </w:rPr>
              <w:t>2.176359</w:t>
            </w:r>
          </w:p>
        </w:tc>
        <w:tc>
          <w:tcPr>
            <w:tcW w:w="2401" w:type="dxa"/>
            <w:gridSpan w:val="2"/>
          </w:tcPr>
          <w:p>
            <w:pPr>
              <w:pStyle w:val="TableParagraph"/>
              <w:spacing w:line="198" w:lineRule="exact" w:before="6"/>
              <w:ind w:left="106"/>
              <w:rPr>
                <w:sz w:val="18"/>
              </w:rPr>
            </w:pPr>
            <w:r>
              <w:rPr>
                <w:spacing w:val="-2"/>
                <w:sz w:val="18"/>
              </w:rPr>
              <w:t>Durbin-Watson</w:t>
            </w:r>
            <w:r>
              <w:rPr>
                <w:spacing w:val="13"/>
                <w:sz w:val="18"/>
              </w:rPr>
              <w:t> </w:t>
            </w:r>
            <w:r>
              <w:rPr>
                <w:spacing w:val="-4"/>
                <w:sz w:val="18"/>
              </w:rPr>
              <w:t>stat</w:t>
            </w:r>
          </w:p>
        </w:tc>
        <w:tc>
          <w:tcPr>
            <w:tcW w:w="914" w:type="dxa"/>
          </w:tcPr>
          <w:p>
            <w:pPr>
              <w:pStyle w:val="TableParagraph"/>
              <w:spacing w:line="198" w:lineRule="exact" w:before="6"/>
              <w:ind w:right="6"/>
              <w:jc w:val="right"/>
              <w:rPr>
                <w:sz w:val="18"/>
              </w:rPr>
            </w:pPr>
            <w:r>
              <w:rPr>
                <w:spacing w:val="-2"/>
                <w:sz w:val="18"/>
              </w:rPr>
              <w:t>1.534253</w:t>
            </w:r>
          </w:p>
        </w:tc>
      </w:tr>
      <w:tr>
        <w:trPr>
          <w:trHeight w:val="302" w:hRule="atLeast"/>
        </w:trPr>
        <w:tc>
          <w:tcPr>
            <w:tcW w:w="1966" w:type="dxa"/>
            <w:tcBorders>
              <w:bottom w:val="double" w:sz="6" w:space="0" w:color="000000"/>
            </w:tcBorders>
          </w:tcPr>
          <w:p>
            <w:pPr>
              <w:pStyle w:val="TableParagraph"/>
              <w:spacing w:before="5"/>
              <w:rPr>
                <w:sz w:val="18"/>
              </w:rPr>
            </w:pPr>
            <w:r>
              <w:rPr>
                <w:spacing w:val="-2"/>
                <w:sz w:val="18"/>
              </w:rPr>
              <w:t>Prob(F-statistic)</w:t>
            </w:r>
          </w:p>
        </w:tc>
        <w:tc>
          <w:tcPr>
            <w:tcW w:w="1250" w:type="dxa"/>
            <w:tcBorders>
              <w:bottom w:val="double" w:sz="6" w:space="0" w:color="000000"/>
            </w:tcBorders>
          </w:tcPr>
          <w:p>
            <w:pPr>
              <w:pStyle w:val="TableParagraph"/>
              <w:spacing w:before="5"/>
              <w:ind w:right="104"/>
              <w:jc w:val="right"/>
              <w:rPr>
                <w:sz w:val="18"/>
              </w:rPr>
            </w:pPr>
            <w:r>
              <w:rPr>
                <w:spacing w:val="-2"/>
                <w:sz w:val="18"/>
              </w:rPr>
              <w:t>0.002256</w:t>
            </w:r>
          </w:p>
        </w:tc>
        <w:tc>
          <w:tcPr>
            <w:tcW w:w="1300" w:type="dxa"/>
            <w:tcBorders>
              <w:bottom w:val="double" w:sz="6" w:space="0" w:color="000000"/>
            </w:tcBorders>
          </w:tcPr>
          <w:p>
            <w:pPr>
              <w:pStyle w:val="TableParagraph"/>
              <w:rPr>
                <w:rFonts w:ascii="Times New Roman"/>
                <w:sz w:val="18"/>
              </w:rPr>
            </w:pPr>
          </w:p>
        </w:tc>
        <w:tc>
          <w:tcPr>
            <w:tcW w:w="1101" w:type="dxa"/>
            <w:tcBorders>
              <w:bottom w:val="double" w:sz="6" w:space="0" w:color="000000"/>
            </w:tcBorders>
          </w:tcPr>
          <w:p>
            <w:pPr>
              <w:pStyle w:val="TableParagraph"/>
              <w:rPr>
                <w:rFonts w:ascii="Times New Roman"/>
                <w:sz w:val="18"/>
              </w:rPr>
            </w:pPr>
          </w:p>
        </w:tc>
        <w:tc>
          <w:tcPr>
            <w:tcW w:w="914" w:type="dxa"/>
            <w:tcBorders>
              <w:bottom w:val="double" w:sz="6" w:space="0" w:color="000000"/>
            </w:tcBorders>
          </w:tcPr>
          <w:p>
            <w:pPr>
              <w:pStyle w:val="TableParagraph"/>
              <w:rPr>
                <w:rFonts w:ascii="Times New Roman"/>
                <w:sz w:val="18"/>
              </w:rPr>
            </w:pP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5" w:hRule="atLeast"/>
        </w:trPr>
        <w:tc>
          <w:tcPr>
            <w:tcW w:w="1966" w:type="dxa"/>
            <w:tcBorders>
              <w:top w:val="double" w:sz="6" w:space="0" w:color="000000"/>
            </w:tcBorders>
          </w:tcPr>
          <w:p>
            <w:pPr>
              <w:pStyle w:val="TableParagraph"/>
              <w:spacing w:line="200" w:lineRule="exact" w:before="106"/>
              <w:rPr>
                <w:sz w:val="18"/>
              </w:rPr>
            </w:pPr>
            <w:r>
              <w:rPr>
                <w:spacing w:val="-2"/>
                <w:sz w:val="18"/>
              </w:rPr>
              <w:t>R-squared</w:t>
            </w:r>
          </w:p>
        </w:tc>
        <w:tc>
          <w:tcPr>
            <w:tcW w:w="1250" w:type="dxa"/>
            <w:tcBorders>
              <w:top w:val="double" w:sz="6" w:space="0" w:color="000000"/>
            </w:tcBorders>
          </w:tcPr>
          <w:p>
            <w:pPr>
              <w:pStyle w:val="TableParagraph"/>
              <w:spacing w:line="200" w:lineRule="exact" w:before="106"/>
              <w:ind w:right="104"/>
              <w:jc w:val="right"/>
              <w:rPr>
                <w:sz w:val="18"/>
              </w:rPr>
            </w:pPr>
            <w:r>
              <w:rPr>
                <w:spacing w:val="-2"/>
                <w:sz w:val="18"/>
              </w:rPr>
              <w:t>0.172798</w:t>
            </w:r>
          </w:p>
        </w:tc>
        <w:tc>
          <w:tcPr>
            <w:tcW w:w="2401" w:type="dxa"/>
            <w:gridSpan w:val="2"/>
            <w:tcBorders>
              <w:top w:val="double" w:sz="6" w:space="0" w:color="000000"/>
            </w:tcBorders>
          </w:tcPr>
          <w:p>
            <w:pPr>
              <w:pStyle w:val="TableParagraph"/>
              <w:spacing w:line="200" w:lineRule="exact" w:before="106"/>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914" w:type="dxa"/>
            <w:tcBorders>
              <w:top w:val="double" w:sz="6" w:space="0" w:color="000000"/>
            </w:tcBorders>
          </w:tcPr>
          <w:p>
            <w:pPr>
              <w:pStyle w:val="TableParagraph"/>
              <w:spacing w:line="200" w:lineRule="exact" w:before="106"/>
              <w:ind w:right="6"/>
              <w:jc w:val="right"/>
              <w:rPr>
                <w:sz w:val="18"/>
              </w:rPr>
            </w:pPr>
            <w:r>
              <w:rPr>
                <w:spacing w:val="-2"/>
                <w:sz w:val="18"/>
              </w:rPr>
              <w:t>-0.110697</w:t>
            </w:r>
          </w:p>
        </w:tc>
      </w:tr>
      <w:tr>
        <w:trPr>
          <w:trHeight w:val="304" w:hRule="atLeast"/>
        </w:trPr>
        <w:tc>
          <w:tcPr>
            <w:tcW w:w="1966"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50" w:type="dxa"/>
            <w:tcBorders>
              <w:bottom w:val="double" w:sz="6" w:space="0" w:color="000000"/>
            </w:tcBorders>
          </w:tcPr>
          <w:p>
            <w:pPr>
              <w:pStyle w:val="TableParagraph"/>
              <w:spacing w:before="6"/>
              <w:ind w:right="104"/>
              <w:jc w:val="right"/>
              <w:rPr>
                <w:sz w:val="18"/>
              </w:rPr>
            </w:pPr>
            <w:r>
              <w:rPr>
                <w:spacing w:val="-2"/>
                <w:sz w:val="18"/>
              </w:rPr>
              <w:t>55.65752</w:t>
            </w:r>
          </w:p>
        </w:tc>
        <w:tc>
          <w:tcPr>
            <w:tcW w:w="2401" w:type="dxa"/>
            <w:gridSpan w:val="2"/>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914" w:type="dxa"/>
            <w:tcBorders>
              <w:bottom w:val="double" w:sz="6" w:space="0" w:color="000000"/>
            </w:tcBorders>
          </w:tcPr>
          <w:p>
            <w:pPr>
              <w:pStyle w:val="TableParagraph"/>
              <w:spacing w:before="6"/>
              <w:ind w:right="6"/>
              <w:jc w:val="right"/>
              <w:rPr>
                <w:sz w:val="18"/>
              </w:rPr>
            </w:pPr>
            <w:r>
              <w:rPr>
                <w:spacing w:val="-2"/>
                <w:sz w:val="18"/>
              </w:rPr>
              <w:t>1.530784</w:t>
            </w:r>
          </w:p>
        </w:tc>
      </w:tr>
    </w:tbl>
    <w:p>
      <w:pPr>
        <w:spacing w:after="0"/>
        <w:jc w:val="right"/>
        <w:rPr>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96864">
                <wp:simplePos x="0" y="0"/>
                <wp:positionH relativeFrom="page">
                  <wp:posOffset>1095451</wp:posOffset>
                </wp:positionH>
                <wp:positionV relativeFrom="page">
                  <wp:posOffset>7242047</wp:posOffset>
                </wp:positionV>
                <wp:extent cx="721995" cy="72263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9616" id="docshape160"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7376">
                <wp:simplePos x="0" y="0"/>
                <wp:positionH relativeFrom="page">
                  <wp:posOffset>1269060</wp:posOffset>
                </wp:positionH>
                <wp:positionV relativeFrom="page">
                  <wp:posOffset>6796151</wp:posOffset>
                </wp:positionV>
                <wp:extent cx="902969" cy="90678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902969" cy="906780"/>
                        </a:xfrm>
                        <a:custGeom>
                          <a:avLst/>
                          <a:gdLst/>
                          <a:ahLst/>
                          <a:cxnLst/>
                          <a:rect l="l" t="t" r="r" b="b"/>
                          <a:pathLst>
                            <a:path w="902969" h="906780">
                              <a:moveTo>
                                <a:pt x="325551" y="0"/>
                              </a:moveTo>
                              <a:lnTo>
                                <a:pt x="286181" y="24891"/>
                              </a:lnTo>
                              <a:lnTo>
                                <a:pt x="272338" y="50291"/>
                              </a:lnTo>
                              <a:lnTo>
                                <a:pt x="272465" y="53212"/>
                              </a:lnTo>
                              <a:lnTo>
                                <a:pt x="274624" y="59435"/>
                              </a:lnTo>
                              <a:lnTo>
                                <a:pt x="276910" y="62483"/>
                              </a:lnTo>
                              <a:lnTo>
                                <a:pt x="693089" y="478662"/>
                              </a:lnTo>
                              <a:lnTo>
                                <a:pt x="714687" y="501179"/>
                              </a:lnTo>
                              <a:lnTo>
                                <a:pt x="750882" y="544546"/>
                              </a:lnTo>
                              <a:lnTo>
                                <a:pt x="777634" y="585622"/>
                              </a:lnTo>
                              <a:lnTo>
                                <a:pt x="795751" y="624695"/>
                              </a:lnTo>
                              <a:lnTo>
                                <a:pt x="806294" y="678481"/>
                              </a:lnTo>
                              <a:lnTo>
                                <a:pt x="805423" y="695207"/>
                              </a:lnTo>
                              <a:lnTo>
                                <a:pt x="789927" y="741283"/>
                              </a:lnTo>
                              <a:lnTo>
                                <a:pt x="755736" y="779460"/>
                              </a:lnTo>
                              <a:lnTo>
                                <a:pt x="712266" y="800480"/>
                              </a:lnTo>
                              <a:lnTo>
                                <a:pt x="679167" y="804386"/>
                              </a:lnTo>
                              <a:lnTo>
                                <a:pt x="661599" y="803088"/>
                              </a:lnTo>
                              <a:lnTo>
                                <a:pt x="624521" y="793751"/>
                              </a:lnTo>
                              <a:lnTo>
                                <a:pt x="584619" y="775674"/>
                              </a:lnTo>
                              <a:lnTo>
                                <a:pt x="541969" y="747936"/>
                              </a:lnTo>
                              <a:lnTo>
                                <a:pt x="497237" y="710634"/>
                              </a:lnTo>
                              <a:lnTo>
                                <a:pt x="62534" y="276859"/>
                              </a:lnTo>
                              <a:lnTo>
                                <a:pt x="59613" y="274573"/>
                              </a:lnTo>
                              <a:lnTo>
                                <a:pt x="13893" y="297179"/>
                              </a:lnTo>
                              <a:lnTo>
                                <a:pt x="0" y="322706"/>
                              </a:lnTo>
                              <a:lnTo>
                                <a:pt x="139" y="325500"/>
                              </a:lnTo>
                              <a:lnTo>
                                <a:pt x="427151" y="757173"/>
                              </a:lnTo>
                              <a:lnTo>
                                <a:pt x="457943" y="786590"/>
                              </a:lnTo>
                              <a:lnTo>
                                <a:pt x="488413" y="812768"/>
                              </a:lnTo>
                              <a:lnTo>
                                <a:pt x="548436" y="855598"/>
                              </a:lnTo>
                              <a:lnTo>
                                <a:pt x="606094" y="885078"/>
                              </a:lnTo>
                              <a:lnTo>
                                <a:pt x="660323" y="901699"/>
                              </a:lnTo>
                              <a:lnTo>
                                <a:pt x="711584" y="906224"/>
                              </a:lnTo>
                              <a:lnTo>
                                <a:pt x="735886" y="903825"/>
                              </a:lnTo>
                              <a:lnTo>
                                <a:pt x="782049" y="890551"/>
                              </a:lnTo>
                              <a:lnTo>
                                <a:pt x="823125" y="865540"/>
                              </a:lnTo>
                              <a:lnTo>
                                <a:pt x="860055" y="828488"/>
                              </a:lnTo>
                              <a:lnTo>
                                <a:pt x="886883" y="784395"/>
                              </a:lnTo>
                              <a:lnTo>
                                <a:pt x="900522" y="736143"/>
                              </a:lnTo>
                              <a:lnTo>
                                <a:pt x="902782" y="710723"/>
                              </a:lnTo>
                              <a:lnTo>
                                <a:pt x="901828" y="684399"/>
                              </a:lnTo>
                              <a:lnTo>
                                <a:pt x="889850" y="629146"/>
                              </a:lnTo>
                              <a:lnTo>
                                <a:pt x="865732" y="571337"/>
                              </a:lnTo>
                              <a:lnTo>
                                <a:pt x="829023" y="511665"/>
                              </a:lnTo>
                              <a:lnTo>
                                <a:pt x="779961" y="451034"/>
                              </a:lnTo>
                              <a:lnTo>
                                <a:pt x="750620" y="420242"/>
                              </a:lnTo>
                              <a:lnTo>
                                <a:pt x="334822" y="4571"/>
                              </a:lnTo>
                              <a:lnTo>
                                <a:pt x="331901" y="2285"/>
                              </a:lnTo>
                              <a:lnTo>
                                <a:pt x="325551" y="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535.130005pt;width:71.1pt;height:71.4pt;mso-position-horizontal-relative:page;mso-position-vertical-relative:page;z-index:-25519104" id="docshape161" coordorigin="1999,10703" coordsize="1422,1428" path="m2511,10703l2449,10742,2427,10782,2428,10786,2431,10796,2435,10801,3090,11456,3124,11492,3181,11560,3223,11625,3252,11686,3268,11771,3267,11797,3243,11870,3189,11930,3120,11963,3068,11969,3040,11967,2982,11953,2919,11924,2852,11880,2782,11822,2097,11139,2092,11135,2020,11171,1999,11211,1999,11215,2671,11895,2720,11941,2768,11983,2862,12050,2953,12096,3038,12123,3119,12130,3157,12126,3230,12105,3295,12066,3353,12007,3395,11938,3417,11862,3420,11822,3419,11780,3400,11693,3362,11602,3304,11508,3227,11413,3181,11364,2526,10710,2521,10706,2511,10703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7888">
                <wp:simplePos x="0" y="0"/>
                <wp:positionH relativeFrom="page">
                  <wp:posOffset>1806781</wp:posOffset>
                </wp:positionH>
                <wp:positionV relativeFrom="page">
                  <wp:posOffset>2726054</wp:posOffset>
                </wp:positionV>
                <wp:extent cx="4396105" cy="453580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4396105" cy="4535805"/>
                          <a:chExt cx="4396105" cy="4535805"/>
                        </a:xfrm>
                      </wpg:grpSpPr>
                      <wps:wsp>
                        <wps:cNvPr id="356" name="Graphic 356"/>
                        <wps:cNvSpPr/>
                        <wps:spPr>
                          <a:xfrm>
                            <a:off x="0" y="3695128"/>
                            <a:ext cx="822325" cy="840105"/>
                          </a:xfrm>
                          <a:custGeom>
                            <a:avLst/>
                            <a:gdLst/>
                            <a:ahLst/>
                            <a:cxnLst/>
                            <a:rect l="l" t="t" r="r" b="b"/>
                            <a:pathLst>
                              <a:path w="822325" h="840105">
                                <a:moveTo>
                                  <a:pt x="234965" y="0"/>
                                </a:moveTo>
                                <a:lnTo>
                                  <a:pt x="174291" y="5524"/>
                                </a:lnTo>
                                <a:lnTo>
                                  <a:pt x="118221" y="27527"/>
                                </a:lnTo>
                                <a:lnTo>
                                  <a:pt x="67484" y="67246"/>
                                </a:lnTo>
                                <a:lnTo>
                                  <a:pt x="26431" y="120538"/>
                                </a:lnTo>
                                <a:lnTo>
                                  <a:pt x="4238" y="179641"/>
                                </a:lnTo>
                                <a:lnTo>
                                  <a:pt x="0" y="244395"/>
                                </a:lnTo>
                                <a:lnTo>
                                  <a:pt x="3935" y="278207"/>
                                </a:lnTo>
                                <a:lnTo>
                                  <a:pt x="24983" y="348803"/>
                                </a:lnTo>
                                <a:lnTo>
                                  <a:pt x="41417" y="385683"/>
                                </a:lnTo>
                                <a:lnTo>
                                  <a:pt x="61710" y="423396"/>
                                </a:lnTo>
                                <a:lnTo>
                                  <a:pt x="86026" y="461835"/>
                                </a:lnTo>
                                <a:lnTo>
                                  <a:pt x="114123" y="500806"/>
                                </a:lnTo>
                                <a:lnTo>
                                  <a:pt x="145637" y="540146"/>
                                </a:lnTo>
                                <a:lnTo>
                                  <a:pt x="180556" y="579796"/>
                                </a:lnTo>
                                <a:lnTo>
                                  <a:pt x="218868" y="619696"/>
                                </a:lnTo>
                                <a:lnTo>
                                  <a:pt x="260312" y="659691"/>
                                </a:lnTo>
                                <a:lnTo>
                                  <a:pt x="300672" y="695721"/>
                                </a:lnTo>
                                <a:lnTo>
                                  <a:pt x="340008" y="727870"/>
                                </a:lnTo>
                                <a:lnTo>
                                  <a:pt x="378380" y="756221"/>
                                </a:lnTo>
                                <a:lnTo>
                                  <a:pt x="415780" y="780518"/>
                                </a:lnTo>
                                <a:lnTo>
                                  <a:pt x="452120" y="800671"/>
                                </a:lnTo>
                                <a:lnTo>
                                  <a:pt x="487340" y="816729"/>
                                </a:lnTo>
                                <a:lnTo>
                                  <a:pt x="554097" y="836586"/>
                                </a:lnTo>
                                <a:lnTo>
                                  <a:pt x="585930" y="840089"/>
                                </a:lnTo>
                                <a:lnTo>
                                  <a:pt x="616858" y="839471"/>
                                </a:lnTo>
                                <a:lnTo>
                                  <a:pt x="675929" y="826470"/>
                                </a:lnTo>
                                <a:lnTo>
                                  <a:pt x="729976" y="795152"/>
                                </a:lnTo>
                                <a:lnTo>
                                  <a:pt x="777992" y="746785"/>
                                </a:lnTo>
                                <a:lnTo>
                                  <a:pt x="784484" y="736941"/>
                                </a:lnTo>
                                <a:lnTo>
                                  <a:pt x="572381" y="736941"/>
                                </a:lnTo>
                                <a:lnTo>
                                  <a:pt x="548401" y="734853"/>
                                </a:lnTo>
                                <a:lnTo>
                                  <a:pt x="498014" y="720153"/>
                                </a:lnTo>
                                <a:lnTo>
                                  <a:pt x="445516" y="693451"/>
                                </a:lnTo>
                                <a:lnTo>
                                  <a:pt x="390445" y="655129"/>
                                </a:lnTo>
                                <a:lnTo>
                                  <a:pt x="333105" y="607456"/>
                                </a:lnTo>
                                <a:lnTo>
                                  <a:pt x="303863" y="580638"/>
                                </a:lnTo>
                                <a:lnTo>
                                  <a:pt x="274240" y="551878"/>
                                </a:lnTo>
                                <a:lnTo>
                                  <a:pt x="223345" y="497379"/>
                                </a:lnTo>
                                <a:lnTo>
                                  <a:pt x="177974" y="442023"/>
                                </a:lnTo>
                                <a:lnTo>
                                  <a:pt x="141573" y="387334"/>
                                </a:lnTo>
                                <a:lnTo>
                                  <a:pt x="115744" y="333692"/>
                                </a:lnTo>
                                <a:lnTo>
                                  <a:pt x="101060" y="282511"/>
                                </a:lnTo>
                                <a:lnTo>
                                  <a:pt x="98510" y="257790"/>
                                </a:lnTo>
                                <a:lnTo>
                                  <a:pt x="98853" y="233616"/>
                                </a:lnTo>
                                <a:lnTo>
                                  <a:pt x="111061" y="188277"/>
                                </a:lnTo>
                                <a:lnTo>
                                  <a:pt x="140509" y="147891"/>
                                </a:lnTo>
                                <a:lnTo>
                                  <a:pt x="180498" y="117998"/>
                                </a:lnTo>
                                <a:lnTo>
                                  <a:pt x="224583" y="104584"/>
                                </a:lnTo>
                                <a:lnTo>
                                  <a:pt x="248096" y="103626"/>
                                </a:lnTo>
                                <a:lnTo>
                                  <a:pt x="471327" y="103626"/>
                                </a:lnTo>
                                <a:lnTo>
                                  <a:pt x="441880" y="81978"/>
                                </a:lnTo>
                                <a:lnTo>
                                  <a:pt x="404743" y="58042"/>
                                </a:lnTo>
                                <a:lnTo>
                                  <a:pt x="368617" y="38322"/>
                                </a:lnTo>
                                <a:lnTo>
                                  <a:pt x="333563" y="22649"/>
                                </a:lnTo>
                                <a:lnTo>
                                  <a:pt x="266767" y="3238"/>
                                </a:lnTo>
                                <a:lnTo>
                                  <a:pt x="234965" y="0"/>
                                </a:lnTo>
                                <a:close/>
                              </a:path>
                              <a:path w="822325" h="840105">
                                <a:moveTo>
                                  <a:pt x="471327" y="103626"/>
                                </a:moveTo>
                                <a:lnTo>
                                  <a:pt x="248096" y="103626"/>
                                </a:lnTo>
                                <a:lnTo>
                                  <a:pt x="272192" y="105775"/>
                                </a:lnTo>
                                <a:lnTo>
                                  <a:pt x="296931" y="111138"/>
                                </a:lnTo>
                                <a:lnTo>
                                  <a:pt x="348597" y="131909"/>
                                </a:lnTo>
                                <a:lnTo>
                                  <a:pt x="402472" y="163508"/>
                                </a:lnTo>
                                <a:lnTo>
                                  <a:pt x="458333" y="205940"/>
                                </a:lnTo>
                                <a:lnTo>
                                  <a:pt x="515225" y="256442"/>
                                </a:lnTo>
                                <a:lnTo>
                                  <a:pt x="543861" y="284289"/>
                                </a:lnTo>
                                <a:lnTo>
                                  <a:pt x="570456" y="311808"/>
                                </a:lnTo>
                                <a:lnTo>
                                  <a:pt x="618978" y="367228"/>
                                </a:lnTo>
                                <a:lnTo>
                                  <a:pt x="661175" y="422902"/>
                                </a:lnTo>
                                <a:lnTo>
                                  <a:pt x="692810" y="477543"/>
                                </a:lnTo>
                                <a:lnTo>
                                  <a:pt x="714063" y="530449"/>
                                </a:lnTo>
                                <a:lnTo>
                                  <a:pt x="722647" y="581332"/>
                                </a:lnTo>
                                <a:lnTo>
                                  <a:pt x="722296" y="605726"/>
                                </a:lnTo>
                                <a:lnTo>
                                  <a:pt x="709818" y="651367"/>
                                </a:lnTo>
                                <a:lnTo>
                                  <a:pt x="680005" y="691959"/>
                                </a:lnTo>
                                <a:lnTo>
                                  <a:pt x="639540" y="722328"/>
                                </a:lnTo>
                                <a:lnTo>
                                  <a:pt x="595550" y="735647"/>
                                </a:lnTo>
                                <a:lnTo>
                                  <a:pt x="572381" y="736941"/>
                                </a:lnTo>
                                <a:lnTo>
                                  <a:pt x="784484" y="736941"/>
                                </a:lnTo>
                                <a:lnTo>
                                  <a:pt x="809357" y="690417"/>
                                </a:lnTo>
                                <a:lnTo>
                                  <a:pt x="822132" y="628110"/>
                                </a:lnTo>
                                <a:lnTo>
                                  <a:pt x="822261" y="595153"/>
                                </a:lnTo>
                                <a:lnTo>
                                  <a:pt x="818032" y="561101"/>
                                </a:lnTo>
                                <a:lnTo>
                                  <a:pt x="796480" y="490154"/>
                                </a:lnTo>
                                <a:lnTo>
                                  <a:pt x="779859" y="453342"/>
                                </a:lnTo>
                                <a:lnTo>
                                  <a:pt x="759285" y="415601"/>
                                </a:lnTo>
                                <a:lnTo>
                                  <a:pt x="734615" y="376872"/>
                                </a:lnTo>
                                <a:lnTo>
                                  <a:pt x="706173" y="337431"/>
                                </a:lnTo>
                                <a:lnTo>
                                  <a:pt x="674147" y="297561"/>
                                </a:lnTo>
                                <a:lnTo>
                                  <a:pt x="638478" y="257214"/>
                                </a:lnTo>
                                <a:lnTo>
                                  <a:pt x="599106" y="216344"/>
                                </a:lnTo>
                                <a:lnTo>
                                  <a:pt x="558430" y="177079"/>
                                </a:lnTo>
                                <a:lnTo>
                                  <a:pt x="518683" y="141589"/>
                                </a:lnTo>
                                <a:lnTo>
                                  <a:pt x="479841" y="109884"/>
                                </a:lnTo>
                                <a:lnTo>
                                  <a:pt x="471327" y="103626"/>
                                </a:lnTo>
                                <a:close/>
                              </a:path>
                            </a:pathLst>
                          </a:custGeom>
                          <a:solidFill>
                            <a:srgbClr val="C0C0C0">
                              <a:alpha val="50195"/>
                            </a:srgbClr>
                          </a:solidFill>
                        </wps:spPr>
                        <wps:bodyPr wrap="square" lIns="0" tIns="0" rIns="0" bIns="0" rtlCol="0">
                          <a:prstTxWarp prst="textNoShape">
                            <a:avLst/>
                          </a:prstTxWarp>
                          <a:noAutofit/>
                        </wps:bodyPr>
                      </wps:wsp>
                      <pic:pic>
                        <pic:nvPicPr>
                          <pic:cNvPr id="357" name="Image 357"/>
                          <pic:cNvPicPr/>
                        </pic:nvPicPr>
                        <pic:blipFill>
                          <a:blip r:embed="rId9" cstate="print"/>
                          <a:stretch>
                            <a:fillRect/>
                          </a:stretch>
                        </pic:blipFill>
                        <pic:spPr>
                          <a:xfrm>
                            <a:off x="710612" y="3743197"/>
                            <a:ext cx="221995" cy="221614"/>
                          </a:xfrm>
                          <a:prstGeom prst="rect">
                            <a:avLst/>
                          </a:prstGeom>
                        </pic:spPr>
                      </pic:pic>
                      <wps:wsp>
                        <wps:cNvPr id="358" name="Graphic 358"/>
                        <wps:cNvSpPr/>
                        <wps:spPr>
                          <a:xfrm>
                            <a:off x="580056"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42.266251pt;margin-top:214.649979pt;width:346.15pt;height:357.15pt;mso-position-horizontal-relative:page;mso-position-vertical-relative:page;z-index:-25518592" id="docshapegroup162" coordorigin="2845,4293" coordsize="6923,7143">
                <v:shape style="position:absolute;left:2845;top:10112;width:1295;height:1323" id="docshape163" coordorigin="2845,10112" coordsize="1295,1323" path="m3215,10112l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588,10275,3541,10241,3483,10204,3426,10172,3371,10148,3317,10129,3265,10117,3215,10112xm3588,10275l3236,10275,3274,10279,3313,10287,3353,10301,3394,10320,3436,10343,3479,10370,3523,10401,3567,10436,3612,10475,3657,10516,3702,10560,3744,10603,3783,10647,3820,10690,3855,10734,3887,10778,3914,10821,3936,10864,3955,10906,3970,10947,3979,10988,3983,11028,3983,11066,3977,11103,3963,11138,3943,11171,3916,11202,3885,11229,3852,11250,3819,11264,3783,11271,3747,11273,4081,11273,4099,11245,4120,11199,4133,11151,4140,11101,4140,11049,4134,10996,4120,10941,4100,10884,4073,10826,4041,10767,4002,10706,3957,10643,3907,10581,3851,10517,3789,10453,3725,10391,3662,10335,3601,10285,3588,10275xe" filled="true" fillcolor="#c0c0c0" stroked="false">
                  <v:path arrowok="t"/>
                  <v:fill opacity="32896f" type="solid"/>
                </v:shape>
                <v:shape style="position:absolute;left:3964;top:10187;width:350;height:349" type="#_x0000_t75" id="docshape164" stroked="false">
                  <v:imagedata r:id="rId9" o:title=""/>
                </v:shape>
                <v:shape style="position:absolute;left:3758;top:4293;width:6009;height:6216" id="docshape165"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20:</w:t>
      </w:r>
      <w:r>
        <w:rPr>
          <w:b/>
          <w:spacing w:val="-1"/>
          <w:sz w:val="24"/>
        </w:rPr>
        <w:t> </w:t>
      </w:r>
      <w:r>
        <w:rPr>
          <w:b/>
          <w:sz w:val="24"/>
        </w:rPr>
        <w:t>Table</w:t>
      </w:r>
      <w:r>
        <w:rPr>
          <w:b/>
          <w:spacing w:val="-1"/>
          <w:sz w:val="24"/>
        </w:rPr>
        <w:t> </w:t>
      </w:r>
      <w:r>
        <w:rPr>
          <w:b/>
          <w:sz w:val="24"/>
        </w:rPr>
        <w:t>4.10:</w:t>
      </w:r>
      <w:r>
        <w:rPr>
          <w:b/>
          <w:spacing w:val="57"/>
          <w:sz w:val="24"/>
        </w:rPr>
        <w:t> </w:t>
      </w:r>
      <w:r>
        <w:rPr>
          <w:b/>
          <w:sz w:val="24"/>
        </w:rPr>
        <w:t>VREL</w:t>
      </w:r>
      <w:r>
        <w:rPr>
          <w:b/>
          <w:spacing w:val="-1"/>
          <w:sz w:val="24"/>
        </w:rPr>
        <w:t> </w:t>
      </w:r>
      <w:r>
        <w:rPr>
          <w:b/>
          <w:sz w:val="24"/>
        </w:rPr>
        <w:t>and</w:t>
      </w:r>
      <w:r>
        <w:rPr>
          <w:b/>
          <w:spacing w:val="-2"/>
          <w:sz w:val="24"/>
        </w:rPr>
        <w:t> </w:t>
      </w:r>
      <w:r>
        <w:rPr>
          <w:b/>
          <w:sz w:val="24"/>
        </w:rPr>
        <w:t>Board</w:t>
      </w:r>
      <w:r>
        <w:rPr>
          <w:b/>
          <w:spacing w:val="-1"/>
          <w:sz w:val="24"/>
        </w:rPr>
        <w:t> </w:t>
      </w:r>
      <w:r>
        <w:rPr>
          <w:b/>
          <w:sz w:val="24"/>
        </w:rPr>
        <w:t>Structure</w:t>
      </w:r>
      <w:r>
        <w:rPr>
          <w:b/>
          <w:spacing w:val="-2"/>
          <w:sz w:val="24"/>
        </w:rPr>
        <w:t> </w:t>
      </w:r>
      <w:r>
        <w:rPr>
          <w:b/>
          <w:sz w:val="24"/>
        </w:rPr>
        <w:t>Regression</w:t>
      </w:r>
      <w:r>
        <w:rPr>
          <w:b/>
          <w:spacing w:val="-1"/>
          <w:sz w:val="24"/>
        </w:rPr>
        <w:t> </w:t>
      </w:r>
      <w:r>
        <w:rPr>
          <w:b/>
          <w:spacing w:val="-2"/>
          <w:sz w:val="24"/>
        </w:rPr>
        <w:t>Result</w:t>
      </w:r>
    </w:p>
    <w:p>
      <w:pPr>
        <w:pStyle w:val="BodyText"/>
        <w:spacing w:before="200" w:after="1"/>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0"/>
        <w:gridCol w:w="1206"/>
        <w:gridCol w:w="1300"/>
        <w:gridCol w:w="1131"/>
        <w:gridCol w:w="884"/>
      </w:tblGrid>
      <w:tr>
        <w:trPr>
          <w:trHeight w:val="213" w:hRule="atLeast"/>
        </w:trPr>
        <w:tc>
          <w:tcPr>
            <w:tcW w:w="6531"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4" w:hRule="atLeast"/>
        </w:trPr>
        <w:tc>
          <w:tcPr>
            <w:tcW w:w="6531" w:type="dxa"/>
            <w:gridSpan w:val="5"/>
          </w:tcPr>
          <w:p>
            <w:pPr>
              <w:pStyle w:val="TableParagraph"/>
              <w:spacing w:line="198" w:lineRule="exact" w:before="6"/>
              <w:rPr>
                <w:sz w:val="18"/>
              </w:rPr>
            </w:pPr>
            <w:r>
              <w:rPr>
                <w:sz w:val="18"/>
              </w:rPr>
              <w:t>Method:</w:t>
            </w:r>
            <w:r>
              <w:rPr>
                <w:spacing w:val="-9"/>
                <w:sz w:val="18"/>
              </w:rPr>
              <w:t> </w:t>
            </w:r>
            <w:r>
              <w:rPr>
                <w:sz w:val="18"/>
              </w:rPr>
              <w:t>Panel</w:t>
            </w:r>
            <w:r>
              <w:rPr>
                <w:spacing w:val="-7"/>
                <w:sz w:val="18"/>
              </w:rPr>
              <w:t> </w:t>
            </w:r>
            <w:r>
              <w:rPr>
                <w:sz w:val="18"/>
              </w:rPr>
              <w:t>EGLS</w:t>
            </w:r>
            <w:r>
              <w:rPr>
                <w:spacing w:val="-11"/>
                <w:sz w:val="18"/>
              </w:rPr>
              <w:t> </w:t>
            </w:r>
            <w:r>
              <w:rPr>
                <w:sz w:val="18"/>
              </w:rPr>
              <w:t>(Cross-section</w:t>
            </w:r>
            <w:r>
              <w:rPr>
                <w:spacing w:val="-9"/>
                <w:sz w:val="18"/>
              </w:rPr>
              <w:t> </w:t>
            </w:r>
            <w:r>
              <w:rPr>
                <w:sz w:val="18"/>
              </w:rPr>
              <w:t>random</w:t>
            </w:r>
            <w:r>
              <w:rPr>
                <w:spacing w:val="-8"/>
                <w:sz w:val="18"/>
              </w:rPr>
              <w:t> </w:t>
            </w:r>
            <w:r>
              <w:rPr>
                <w:spacing w:val="-2"/>
                <w:sz w:val="18"/>
              </w:rPr>
              <w:t>effects)</w:t>
            </w:r>
          </w:p>
        </w:tc>
      </w:tr>
      <w:tr>
        <w:trPr>
          <w:trHeight w:val="224" w:hRule="atLeast"/>
        </w:trPr>
        <w:tc>
          <w:tcPr>
            <w:tcW w:w="6531" w:type="dxa"/>
            <w:gridSpan w:val="5"/>
          </w:tcPr>
          <w:p>
            <w:pPr>
              <w:pStyle w:val="TableParagraph"/>
              <w:spacing w:line="199" w:lineRule="exact" w:before="5"/>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08:23</w:t>
            </w:r>
          </w:p>
        </w:tc>
      </w:tr>
      <w:tr>
        <w:trPr>
          <w:trHeight w:val="225" w:hRule="atLeast"/>
        </w:trPr>
        <w:tc>
          <w:tcPr>
            <w:tcW w:w="2010"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2010" w:type="dxa"/>
          </w:tcPr>
          <w:p>
            <w:pPr>
              <w:pStyle w:val="TableParagraph"/>
              <w:spacing w:line="199"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06"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6531" w:type="dxa"/>
            <w:gridSpan w:val="5"/>
          </w:tcPr>
          <w:p>
            <w:pPr>
              <w:pStyle w:val="TableParagraph"/>
              <w:spacing w:line="198"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4" w:hRule="atLeast"/>
        </w:trPr>
        <w:tc>
          <w:tcPr>
            <w:tcW w:w="6531" w:type="dxa"/>
            <w:gridSpan w:val="5"/>
          </w:tcPr>
          <w:p>
            <w:pPr>
              <w:pStyle w:val="TableParagraph"/>
              <w:spacing w:line="199" w:lineRule="exact" w:before="5"/>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303" w:hRule="atLeast"/>
        </w:trPr>
        <w:tc>
          <w:tcPr>
            <w:tcW w:w="6531" w:type="dxa"/>
            <w:gridSpan w:val="5"/>
            <w:tcBorders>
              <w:bottom w:val="double" w:sz="6" w:space="0" w:color="000000"/>
            </w:tcBorders>
          </w:tcPr>
          <w:p>
            <w:pPr>
              <w:pStyle w:val="TableParagraph"/>
              <w:spacing w:before="6"/>
              <w:rPr>
                <w:sz w:val="18"/>
              </w:rPr>
            </w:pPr>
            <w:r>
              <w:rPr>
                <w:sz w:val="18"/>
              </w:rPr>
              <w:t>Swamy</w:t>
            </w:r>
            <w:r>
              <w:rPr>
                <w:spacing w:val="-3"/>
                <w:sz w:val="18"/>
              </w:rPr>
              <w:t> </w:t>
            </w:r>
            <w:r>
              <w:rPr>
                <w:sz w:val="18"/>
              </w:rPr>
              <w:t>and</w:t>
            </w:r>
            <w:r>
              <w:rPr>
                <w:spacing w:val="-2"/>
                <w:sz w:val="18"/>
              </w:rPr>
              <w:t> </w:t>
            </w:r>
            <w:r>
              <w:rPr>
                <w:sz w:val="18"/>
              </w:rPr>
              <w:t>Arora</w:t>
            </w:r>
            <w:r>
              <w:rPr>
                <w:spacing w:val="-2"/>
                <w:sz w:val="18"/>
              </w:rPr>
              <w:t> </w:t>
            </w:r>
            <w:r>
              <w:rPr>
                <w:sz w:val="18"/>
              </w:rPr>
              <w:t>estimator</w:t>
            </w:r>
            <w:r>
              <w:rPr>
                <w:spacing w:val="-1"/>
                <w:sz w:val="18"/>
              </w:rPr>
              <w:t> </w:t>
            </w:r>
            <w:r>
              <w:rPr>
                <w:sz w:val="18"/>
              </w:rPr>
              <w:t>of</w:t>
            </w:r>
            <w:r>
              <w:rPr>
                <w:spacing w:val="-4"/>
                <w:sz w:val="18"/>
              </w:rPr>
              <w:t> </w:t>
            </w:r>
            <w:r>
              <w:rPr>
                <w:sz w:val="18"/>
              </w:rPr>
              <w:t>component</w:t>
            </w:r>
            <w:r>
              <w:rPr>
                <w:spacing w:val="-3"/>
                <w:sz w:val="18"/>
              </w:rPr>
              <w:t> </w:t>
            </w:r>
            <w:r>
              <w:rPr>
                <w:spacing w:val="-2"/>
                <w:sz w:val="18"/>
              </w:rPr>
              <w:t>variances</w:t>
            </w:r>
          </w:p>
        </w:tc>
      </w:tr>
      <w:tr>
        <w:trPr>
          <w:trHeight w:val="403" w:hRule="atLeast"/>
        </w:trPr>
        <w:tc>
          <w:tcPr>
            <w:tcW w:w="2010" w:type="dxa"/>
            <w:tcBorders>
              <w:top w:val="double" w:sz="6" w:space="0" w:color="000000"/>
              <w:bottom w:val="double" w:sz="6" w:space="0" w:color="000000"/>
            </w:tcBorders>
          </w:tcPr>
          <w:p>
            <w:pPr>
              <w:pStyle w:val="TableParagraph"/>
              <w:spacing w:before="108"/>
              <w:ind w:left="6" w:right="2"/>
              <w:jc w:val="center"/>
              <w:rPr>
                <w:sz w:val="18"/>
              </w:rPr>
            </w:pPr>
            <w:r>
              <w:rPr>
                <w:spacing w:val="-2"/>
                <w:sz w:val="18"/>
              </w:rPr>
              <w:t>Variable</w:t>
            </w:r>
          </w:p>
        </w:tc>
        <w:tc>
          <w:tcPr>
            <w:tcW w:w="1206" w:type="dxa"/>
            <w:tcBorders>
              <w:top w:val="double" w:sz="6" w:space="0" w:color="000000"/>
              <w:bottom w:val="double" w:sz="6" w:space="0" w:color="000000"/>
            </w:tcBorders>
          </w:tcPr>
          <w:p>
            <w:pPr>
              <w:pStyle w:val="TableParagraph"/>
              <w:spacing w:before="108"/>
              <w:ind w:left="180" w:right="38"/>
              <w:jc w:val="center"/>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20"/>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right="121"/>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4"/>
              <w:rPr>
                <w:sz w:val="18"/>
              </w:rPr>
            </w:pPr>
            <w:r>
              <w:rPr>
                <w:spacing w:val="-2"/>
                <w:sz w:val="18"/>
              </w:rPr>
              <w:t>Prob.</w:t>
            </w:r>
          </w:p>
        </w:tc>
      </w:tr>
      <w:tr>
        <w:trPr>
          <w:trHeight w:val="328" w:hRule="atLeast"/>
        </w:trPr>
        <w:tc>
          <w:tcPr>
            <w:tcW w:w="2010" w:type="dxa"/>
            <w:tcBorders>
              <w:top w:val="double" w:sz="6" w:space="0" w:color="000000"/>
            </w:tcBorders>
          </w:tcPr>
          <w:p>
            <w:pPr>
              <w:pStyle w:val="TableParagraph"/>
              <w:spacing w:line="200" w:lineRule="exact" w:before="108"/>
              <w:ind w:left="6"/>
              <w:jc w:val="center"/>
              <w:rPr>
                <w:sz w:val="18"/>
              </w:rPr>
            </w:pPr>
            <w:r>
              <w:rPr>
                <w:spacing w:val="-10"/>
                <w:sz w:val="18"/>
              </w:rPr>
              <w:t>C</w:t>
            </w:r>
          </w:p>
        </w:tc>
        <w:tc>
          <w:tcPr>
            <w:tcW w:w="1206" w:type="dxa"/>
            <w:tcBorders>
              <w:top w:val="double" w:sz="6" w:space="0" w:color="000000"/>
            </w:tcBorders>
          </w:tcPr>
          <w:p>
            <w:pPr>
              <w:pStyle w:val="TableParagraph"/>
              <w:spacing w:line="200" w:lineRule="exact" w:before="108"/>
              <w:ind w:left="180"/>
              <w:jc w:val="center"/>
              <w:rPr>
                <w:sz w:val="18"/>
              </w:rPr>
            </w:pPr>
            <w:r>
              <w:rPr>
                <w:spacing w:val="-2"/>
                <w:sz w:val="18"/>
              </w:rPr>
              <w:t>-2.172759</w:t>
            </w:r>
          </w:p>
        </w:tc>
        <w:tc>
          <w:tcPr>
            <w:tcW w:w="1300" w:type="dxa"/>
            <w:tcBorders>
              <w:top w:val="double" w:sz="6" w:space="0" w:color="000000"/>
            </w:tcBorders>
          </w:tcPr>
          <w:p>
            <w:pPr>
              <w:pStyle w:val="TableParagraph"/>
              <w:spacing w:line="200" w:lineRule="exact" w:before="108"/>
              <w:ind w:left="155" w:right="2"/>
              <w:jc w:val="center"/>
              <w:rPr>
                <w:sz w:val="18"/>
              </w:rPr>
            </w:pPr>
            <w:r>
              <w:rPr>
                <w:spacing w:val="-2"/>
                <w:sz w:val="18"/>
              </w:rPr>
              <w:t>15.84859</w:t>
            </w:r>
          </w:p>
        </w:tc>
        <w:tc>
          <w:tcPr>
            <w:tcW w:w="1131" w:type="dxa"/>
            <w:tcBorders>
              <w:top w:val="double" w:sz="6" w:space="0" w:color="000000"/>
            </w:tcBorders>
          </w:tcPr>
          <w:p>
            <w:pPr>
              <w:pStyle w:val="TableParagraph"/>
              <w:spacing w:line="200" w:lineRule="exact" w:before="108"/>
              <w:ind w:right="120"/>
              <w:jc w:val="right"/>
              <w:rPr>
                <w:sz w:val="18"/>
              </w:rPr>
            </w:pPr>
            <w:r>
              <w:rPr>
                <w:spacing w:val="-2"/>
                <w:sz w:val="18"/>
              </w:rPr>
              <w:t>-0.137095</w:t>
            </w:r>
          </w:p>
        </w:tc>
        <w:tc>
          <w:tcPr>
            <w:tcW w:w="884" w:type="dxa"/>
            <w:tcBorders>
              <w:top w:val="double" w:sz="6" w:space="0" w:color="000000"/>
            </w:tcBorders>
          </w:tcPr>
          <w:p>
            <w:pPr>
              <w:pStyle w:val="TableParagraph"/>
              <w:spacing w:line="200" w:lineRule="exact" w:before="108"/>
              <w:ind w:right="6"/>
              <w:jc w:val="right"/>
              <w:rPr>
                <w:sz w:val="18"/>
              </w:rPr>
            </w:pPr>
            <w:r>
              <w:rPr>
                <w:spacing w:val="-2"/>
                <w:sz w:val="18"/>
              </w:rPr>
              <w:t>0.8911</w:t>
            </w:r>
          </w:p>
        </w:tc>
      </w:tr>
      <w:tr>
        <w:trPr>
          <w:trHeight w:val="225" w:hRule="atLeast"/>
        </w:trPr>
        <w:tc>
          <w:tcPr>
            <w:tcW w:w="2010" w:type="dxa"/>
          </w:tcPr>
          <w:p>
            <w:pPr>
              <w:pStyle w:val="TableParagraph"/>
              <w:spacing w:line="199" w:lineRule="exact" w:before="6"/>
              <w:ind w:left="6"/>
              <w:jc w:val="center"/>
              <w:rPr>
                <w:sz w:val="18"/>
              </w:rPr>
            </w:pPr>
            <w:r>
              <w:rPr>
                <w:spacing w:val="-5"/>
                <w:sz w:val="18"/>
              </w:rPr>
              <w:t>BDS</w:t>
            </w:r>
          </w:p>
        </w:tc>
        <w:tc>
          <w:tcPr>
            <w:tcW w:w="1206" w:type="dxa"/>
          </w:tcPr>
          <w:p>
            <w:pPr>
              <w:pStyle w:val="TableParagraph"/>
              <w:spacing w:line="199" w:lineRule="exact" w:before="6"/>
              <w:ind w:left="240"/>
              <w:jc w:val="center"/>
              <w:rPr>
                <w:sz w:val="18"/>
              </w:rPr>
            </w:pPr>
            <w:r>
              <w:rPr>
                <w:spacing w:val="-2"/>
                <w:sz w:val="18"/>
              </w:rPr>
              <w:t>0.782340</w:t>
            </w:r>
          </w:p>
        </w:tc>
        <w:tc>
          <w:tcPr>
            <w:tcW w:w="1300" w:type="dxa"/>
          </w:tcPr>
          <w:p>
            <w:pPr>
              <w:pStyle w:val="TableParagraph"/>
              <w:spacing w:line="199" w:lineRule="exact" w:before="6"/>
              <w:ind w:left="155" w:right="2"/>
              <w:jc w:val="center"/>
              <w:rPr>
                <w:sz w:val="18"/>
              </w:rPr>
            </w:pPr>
            <w:r>
              <w:rPr>
                <w:spacing w:val="-2"/>
                <w:sz w:val="18"/>
              </w:rPr>
              <w:t>0.294256</w:t>
            </w:r>
          </w:p>
        </w:tc>
        <w:tc>
          <w:tcPr>
            <w:tcW w:w="1131" w:type="dxa"/>
          </w:tcPr>
          <w:p>
            <w:pPr>
              <w:pStyle w:val="TableParagraph"/>
              <w:spacing w:line="199" w:lineRule="exact" w:before="6"/>
              <w:ind w:right="120"/>
              <w:jc w:val="right"/>
              <w:rPr>
                <w:sz w:val="18"/>
              </w:rPr>
            </w:pPr>
            <w:r>
              <w:rPr>
                <w:spacing w:val="-2"/>
                <w:sz w:val="18"/>
              </w:rPr>
              <w:t>2.658711</w:t>
            </w:r>
          </w:p>
        </w:tc>
        <w:tc>
          <w:tcPr>
            <w:tcW w:w="884" w:type="dxa"/>
          </w:tcPr>
          <w:p>
            <w:pPr>
              <w:pStyle w:val="TableParagraph"/>
              <w:spacing w:line="199" w:lineRule="exact" w:before="6"/>
              <w:ind w:right="6"/>
              <w:jc w:val="right"/>
              <w:rPr>
                <w:sz w:val="18"/>
              </w:rPr>
            </w:pPr>
            <w:r>
              <w:rPr>
                <w:spacing w:val="-2"/>
                <w:sz w:val="18"/>
              </w:rPr>
              <w:t>0.0085</w:t>
            </w:r>
          </w:p>
        </w:tc>
      </w:tr>
      <w:tr>
        <w:trPr>
          <w:trHeight w:val="224" w:hRule="atLeast"/>
        </w:trPr>
        <w:tc>
          <w:tcPr>
            <w:tcW w:w="2010" w:type="dxa"/>
          </w:tcPr>
          <w:p>
            <w:pPr>
              <w:pStyle w:val="TableParagraph"/>
              <w:spacing w:line="198" w:lineRule="exact" w:before="6"/>
              <w:ind w:left="6" w:right="2"/>
              <w:jc w:val="center"/>
              <w:rPr>
                <w:sz w:val="18"/>
              </w:rPr>
            </w:pPr>
            <w:r>
              <w:rPr>
                <w:spacing w:val="-2"/>
                <w:sz w:val="18"/>
              </w:rPr>
              <w:t>BDIND</w:t>
            </w:r>
          </w:p>
        </w:tc>
        <w:tc>
          <w:tcPr>
            <w:tcW w:w="1206" w:type="dxa"/>
          </w:tcPr>
          <w:p>
            <w:pPr>
              <w:pStyle w:val="TableParagraph"/>
              <w:spacing w:line="198" w:lineRule="exact" w:before="6"/>
              <w:ind w:left="240"/>
              <w:jc w:val="center"/>
              <w:rPr>
                <w:sz w:val="18"/>
              </w:rPr>
            </w:pPr>
            <w:r>
              <w:rPr>
                <w:spacing w:val="-2"/>
                <w:sz w:val="18"/>
              </w:rPr>
              <w:t>6.929274</w:t>
            </w:r>
          </w:p>
        </w:tc>
        <w:tc>
          <w:tcPr>
            <w:tcW w:w="1300" w:type="dxa"/>
          </w:tcPr>
          <w:p>
            <w:pPr>
              <w:pStyle w:val="TableParagraph"/>
              <w:spacing w:line="198" w:lineRule="exact" w:before="6"/>
              <w:ind w:left="155" w:right="2"/>
              <w:jc w:val="center"/>
              <w:rPr>
                <w:sz w:val="18"/>
              </w:rPr>
            </w:pPr>
            <w:r>
              <w:rPr>
                <w:spacing w:val="-2"/>
                <w:sz w:val="18"/>
              </w:rPr>
              <w:t>8.503277</w:t>
            </w:r>
          </w:p>
        </w:tc>
        <w:tc>
          <w:tcPr>
            <w:tcW w:w="1131" w:type="dxa"/>
          </w:tcPr>
          <w:p>
            <w:pPr>
              <w:pStyle w:val="TableParagraph"/>
              <w:spacing w:line="198" w:lineRule="exact" w:before="6"/>
              <w:ind w:right="120"/>
              <w:jc w:val="right"/>
              <w:rPr>
                <w:sz w:val="18"/>
              </w:rPr>
            </w:pPr>
            <w:r>
              <w:rPr>
                <w:spacing w:val="-2"/>
                <w:sz w:val="18"/>
              </w:rPr>
              <w:t>0.814895</w:t>
            </w:r>
          </w:p>
        </w:tc>
        <w:tc>
          <w:tcPr>
            <w:tcW w:w="884" w:type="dxa"/>
          </w:tcPr>
          <w:p>
            <w:pPr>
              <w:pStyle w:val="TableParagraph"/>
              <w:spacing w:line="198" w:lineRule="exact" w:before="6"/>
              <w:ind w:right="6"/>
              <w:jc w:val="right"/>
              <w:rPr>
                <w:sz w:val="18"/>
              </w:rPr>
            </w:pPr>
            <w:r>
              <w:rPr>
                <w:spacing w:val="-2"/>
                <w:sz w:val="18"/>
              </w:rPr>
              <w:t>0.4162</w:t>
            </w:r>
          </w:p>
        </w:tc>
      </w:tr>
      <w:tr>
        <w:trPr>
          <w:trHeight w:val="224" w:hRule="atLeast"/>
        </w:trPr>
        <w:tc>
          <w:tcPr>
            <w:tcW w:w="2010" w:type="dxa"/>
          </w:tcPr>
          <w:p>
            <w:pPr>
              <w:pStyle w:val="TableParagraph"/>
              <w:spacing w:line="199" w:lineRule="exact" w:before="5"/>
              <w:ind w:left="6" w:right="1"/>
              <w:jc w:val="center"/>
              <w:rPr>
                <w:sz w:val="18"/>
              </w:rPr>
            </w:pPr>
            <w:r>
              <w:rPr>
                <w:spacing w:val="-2"/>
                <w:sz w:val="18"/>
              </w:rPr>
              <w:t>BFEXP</w:t>
            </w:r>
          </w:p>
        </w:tc>
        <w:tc>
          <w:tcPr>
            <w:tcW w:w="1206" w:type="dxa"/>
          </w:tcPr>
          <w:p>
            <w:pPr>
              <w:pStyle w:val="TableParagraph"/>
              <w:spacing w:line="199" w:lineRule="exact" w:before="5"/>
              <w:ind w:left="180"/>
              <w:jc w:val="center"/>
              <w:rPr>
                <w:sz w:val="18"/>
              </w:rPr>
            </w:pPr>
            <w:r>
              <w:rPr>
                <w:spacing w:val="-2"/>
                <w:sz w:val="18"/>
              </w:rPr>
              <w:t>-14.73575</w:t>
            </w:r>
          </w:p>
        </w:tc>
        <w:tc>
          <w:tcPr>
            <w:tcW w:w="1300" w:type="dxa"/>
          </w:tcPr>
          <w:p>
            <w:pPr>
              <w:pStyle w:val="TableParagraph"/>
              <w:spacing w:line="199" w:lineRule="exact" w:before="5"/>
              <w:ind w:left="155" w:right="2"/>
              <w:jc w:val="center"/>
              <w:rPr>
                <w:sz w:val="18"/>
              </w:rPr>
            </w:pPr>
            <w:r>
              <w:rPr>
                <w:spacing w:val="-2"/>
                <w:sz w:val="18"/>
              </w:rPr>
              <w:t>7.478690</w:t>
            </w:r>
          </w:p>
        </w:tc>
        <w:tc>
          <w:tcPr>
            <w:tcW w:w="1131" w:type="dxa"/>
          </w:tcPr>
          <w:p>
            <w:pPr>
              <w:pStyle w:val="TableParagraph"/>
              <w:spacing w:line="199" w:lineRule="exact" w:before="5"/>
              <w:ind w:right="120"/>
              <w:jc w:val="right"/>
              <w:rPr>
                <w:sz w:val="18"/>
              </w:rPr>
            </w:pPr>
            <w:r>
              <w:rPr>
                <w:spacing w:val="-2"/>
                <w:sz w:val="18"/>
              </w:rPr>
              <w:t>-1.970365</w:t>
            </w:r>
          </w:p>
        </w:tc>
        <w:tc>
          <w:tcPr>
            <w:tcW w:w="884" w:type="dxa"/>
          </w:tcPr>
          <w:p>
            <w:pPr>
              <w:pStyle w:val="TableParagraph"/>
              <w:spacing w:line="199" w:lineRule="exact" w:before="5"/>
              <w:ind w:right="6"/>
              <w:jc w:val="right"/>
              <w:rPr>
                <w:sz w:val="18"/>
              </w:rPr>
            </w:pPr>
            <w:r>
              <w:rPr>
                <w:spacing w:val="-2"/>
                <w:sz w:val="18"/>
              </w:rPr>
              <w:t>0.0503</w:t>
            </w:r>
          </w:p>
        </w:tc>
      </w:tr>
      <w:tr>
        <w:trPr>
          <w:trHeight w:val="225" w:hRule="atLeast"/>
        </w:trPr>
        <w:tc>
          <w:tcPr>
            <w:tcW w:w="2010" w:type="dxa"/>
          </w:tcPr>
          <w:p>
            <w:pPr>
              <w:pStyle w:val="TableParagraph"/>
              <w:spacing w:line="199" w:lineRule="exact" w:before="6"/>
              <w:ind w:left="6"/>
              <w:jc w:val="center"/>
              <w:rPr>
                <w:sz w:val="18"/>
              </w:rPr>
            </w:pPr>
            <w:r>
              <w:rPr>
                <w:spacing w:val="-4"/>
                <w:sz w:val="18"/>
              </w:rPr>
              <w:t>FAGE</w:t>
            </w:r>
          </w:p>
        </w:tc>
        <w:tc>
          <w:tcPr>
            <w:tcW w:w="1206" w:type="dxa"/>
          </w:tcPr>
          <w:p>
            <w:pPr>
              <w:pStyle w:val="TableParagraph"/>
              <w:spacing w:line="199" w:lineRule="exact" w:before="6"/>
              <w:ind w:left="180"/>
              <w:jc w:val="center"/>
              <w:rPr>
                <w:sz w:val="18"/>
              </w:rPr>
            </w:pPr>
            <w:r>
              <w:rPr>
                <w:spacing w:val="-2"/>
                <w:sz w:val="18"/>
              </w:rPr>
              <w:t>-0.200174</w:t>
            </w:r>
          </w:p>
        </w:tc>
        <w:tc>
          <w:tcPr>
            <w:tcW w:w="1300" w:type="dxa"/>
          </w:tcPr>
          <w:p>
            <w:pPr>
              <w:pStyle w:val="TableParagraph"/>
              <w:spacing w:line="199" w:lineRule="exact" w:before="6"/>
              <w:ind w:left="155" w:right="2"/>
              <w:jc w:val="center"/>
              <w:rPr>
                <w:sz w:val="18"/>
              </w:rPr>
            </w:pPr>
            <w:r>
              <w:rPr>
                <w:spacing w:val="-2"/>
                <w:sz w:val="18"/>
              </w:rPr>
              <w:t>0.141400</w:t>
            </w:r>
          </w:p>
        </w:tc>
        <w:tc>
          <w:tcPr>
            <w:tcW w:w="1131" w:type="dxa"/>
          </w:tcPr>
          <w:p>
            <w:pPr>
              <w:pStyle w:val="TableParagraph"/>
              <w:spacing w:line="199" w:lineRule="exact" w:before="6"/>
              <w:ind w:right="120"/>
              <w:jc w:val="right"/>
              <w:rPr>
                <w:sz w:val="18"/>
              </w:rPr>
            </w:pPr>
            <w:r>
              <w:rPr>
                <w:spacing w:val="-2"/>
                <w:sz w:val="18"/>
              </w:rPr>
              <w:t>-1.415653</w:t>
            </w:r>
          </w:p>
        </w:tc>
        <w:tc>
          <w:tcPr>
            <w:tcW w:w="884" w:type="dxa"/>
          </w:tcPr>
          <w:p>
            <w:pPr>
              <w:pStyle w:val="TableParagraph"/>
              <w:spacing w:line="199" w:lineRule="exact" w:before="6"/>
              <w:ind w:right="6"/>
              <w:jc w:val="right"/>
              <w:rPr>
                <w:sz w:val="18"/>
              </w:rPr>
            </w:pPr>
            <w:r>
              <w:rPr>
                <w:spacing w:val="-2"/>
                <w:sz w:val="18"/>
              </w:rPr>
              <w:t>0.1586</w:t>
            </w:r>
          </w:p>
        </w:tc>
      </w:tr>
      <w:tr>
        <w:trPr>
          <w:trHeight w:val="225" w:hRule="atLeast"/>
        </w:trPr>
        <w:tc>
          <w:tcPr>
            <w:tcW w:w="2010" w:type="dxa"/>
          </w:tcPr>
          <w:p>
            <w:pPr>
              <w:pStyle w:val="TableParagraph"/>
              <w:spacing w:line="199" w:lineRule="exact" w:before="6"/>
              <w:ind w:left="6" w:right="4"/>
              <w:jc w:val="center"/>
              <w:rPr>
                <w:sz w:val="18"/>
              </w:rPr>
            </w:pPr>
            <w:r>
              <w:rPr>
                <w:spacing w:val="-2"/>
                <w:sz w:val="18"/>
              </w:rPr>
              <w:t>FSIZE</w:t>
            </w:r>
          </w:p>
        </w:tc>
        <w:tc>
          <w:tcPr>
            <w:tcW w:w="1206" w:type="dxa"/>
          </w:tcPr>
          <w:p>
            <w:pPr>
              <w:pStyle w:val="TableParagraph"/>
              <w:spacing w:line="199" w:lineRule="exact" w:before="6"/>
              <w:ind w:left="240"/>
              <w:jc w:val="center"/>
              <w:rPr>
                <w:sz w:val="18"/>
              </w:rPr>
            </w:pPr>
            <w:r>
              <w:rPr>
                <w:spacing w:val="-2"/>
                <w:sz w:val="18"/>
              </w:rPr>
              <w:t>1.411249</w:t>
            </w:r>
          </w:p>
        </w:tc>
        <w:tc>
          <w:tcPr>
            <w:tcW w:w="1300" w:type="dxa"/>
          </w:tcPr>
          <w:p>
            <w:pPr>
              <w:pStyle w:val="TableParagraph"/>
              <w:spacing w:line="199" w:lineRule="exact" w:before="6"/>
              <w:ind w:left="155" w:right="2"/>
              <w:jc w:val="center"/>
              <w:rPr>
                <w:sz w:val="18"/>
              </w:rPr>
            </w:pPr>
            <w:r>
              <w:rPr>
                <w:spacing w:val="-2"/>
                <w:sz w:val="18"/>
              </w:rPr>
              <w:t>1.713339</w:t>
            </w:r>
          </w:p>
        </w:tc>
        <w:tc>
          <w:tcPr>
            <w:tcW w:w="1131" w:type="dxa"/>
          </w:tcPr>
          <w:p>
            <w:pPr>
              <w:pStyle w:val="TableParagraph"/>
              <w:spacing w:line="199" w:lineRule="exact" w:before="6"/>
              <w:ind w:right="120"/>
              <w:jc w:val="right"/>
              <w:rPr>
                <w:sz w:val="18"/>
              </w:rPr>
            </w:pPr>
            <w:r>
              <w:rPr>
                <w:spacing w:val="-2"/>
                <w:sz w:val="18"/>
              </w:rPr>
              <w:t>0.823684</w:t>
            </w:r>
          </w:p>
        </w:tc>
        <w:tc>
          <w:tcPr>
            <w:tcW w:w="884" w:type="dxa"/>
          </w:tcPr>
          <w:p>
            <w:pPr>
              <w:pStyle w:val="TableParagraph"/>
              <w:spacing w:line="199" w:lineRule="exact" w:before="6"/>
              <w:ind w:right="6"/>
              <w:jc w:val="right"/>
              <w:rPr>
                <w:sz w:val="18"/>
              </w:rPr>
            </w:pPr>
            <w:r>
              <w:rPr>
                <w:spacing w:val="-2"/>
                <w:sz w:val="18"/>
              </w:rPr>
              <w:t>0.4112</w:t>
            </w:r>
          </w:p>
        </w:tc>
      </w:tr>
      <w:tr>
        <w:trPr>
          <w:trHeight w:val="224" w:hRule="atLeast"/>
        </w:trPr>
        <w:tc>
          <w:tcPr>
            <w:tcW w:w="2010" w:type="dxa"/>
          </w:tcPr>
          <w:p>
            <w:pPr>
              <w:pStyle w:val="TableParagraph"/>
              <w:spacing w:line="198" w:lineRule="exact" w:before="6"/>
              <w:ind w:left="523"/>
              <w:rPr>
                <w:sz w:val="18"/>
              </w:rPr>
            </w:pPr>
            <w:r>
              <w:rPr>
                <w:spacing w:val="-2"/>
                <w:sz w:val="18"/>
              </w:rPr>
              <w:t>LEVERAGE</w:t>
            </w:r>
          </w:p>
        </w:tc>
        <w:tc>
          <w:tcPr>
            <w:tcW w:w="1206" w:type="dxa"/>
          </w:tcPr>
          <w:p>
            <w:pPr>
              <w:pStyle w:val="TableParagraph"/>
              <w:spacing w:line="198" w:lineRule="exact" w:before="6"/>
              <w:ind w:left="180"/>
              <w:jc w:val="center"/>
              <w:rPr>
                <w:sz w:val="18"/>
              </w:rPr>
            </w:pPr>
            <w:r>
              <w:rPr>
                <w:spacing w:val="-2"/>
                <w:sz w:val="18"/>
              </w:rPr>
              <w:t>-0.798945</w:t>
            </w:r>
          </w:p>
        </w:tc>
        <w:tc>
          <w:tcPr>
            <w:tcW w:w="1300" w:type="dxa"/>
          </w:tcPr>
          <w:p>
            <w:pPr>
              <w:pStyle w:val="TableParagraph"/>
              <w:spacing w:line="198" w:lineRule="exact" w:before="6"/>
              <w:ind w:left="155" w:right="2"/>
              <w:jc w:val="center"/>
              <w:rPr>
                <w:sz w:val="18"/>
              </w:rPr>
            </w:pPr>
            <w:r>
              <w:rPr>
                <w:spacing w:val="-2"/>
                <w:sz w:val="18"/>
              </w:rPr>
              <w:t>0.779131</w:t>
            </w:r>
          </w:p>
        </w:tc>
        <w:tc>
          <w:tcPr>
            <w:tcW w:w="1131" w:type="dxa"/>
          </w:tcPr>
          <w:p>
            <w:pPr>
              <w:pStyle w:val="TableParagraph"/>
              <w:spacing w:line="198" w:lineRule="exact" w:before="6"/>
              <w:ind w:right="120"/>
              <w:jc w:val="right"/>
              <w:rPr>
                <w:sz w:val="18"/>
              </w:rPr>
            </w:pPr>
            <w:r>
              <w:rPr>
                <w:spacing w:val="-2"/>
                <w:sz w:val="18"/>
              </w:rPr>
              <w:t>-1.025431</w:t>
            </w:r>
          </w:p>
        </w:tc>
        <w:tc>
          <w:tcPr>
            <w:tcW w:w="884" w:type="dxa"/>
          </w:tcPr>
          <w:p>
            <w:pPr>
              <w:pStyle w:val="TableParagraph"/>
              <w:spacing w:line="198" w:lineRule="exact" w:before="6"/>
              <w:ind w:right="6"/>
              <w:jc w:val="right"/>
              <w:rPr>
                <w:sz w:val="18"/>
              </w:rPr>
            </w:pPr>
            <w:r>
              <w:rPr>
                <w:spacing w:val="-2"/>
                <w:sz w:val="18"/>
              </w:rPr>
              <w:t>0.3065</w:t>
            </w:r>
          </w:p>
        </w:tc>
      </w:tr>
      <w:tr>
        <w:trPr>
          <w:trHeight w:val="224" w:hRule="atLeast"/>
        </w:trPr>
        <w:tc>
          <w:tcPr>
            <w:tcW w:w="2010" w:type="dxa"/>
          </w:tcPr>
          <w:p>
            <w:pPr>
              <w:pStyle w:val="TableParagraph"/>
              <w:spacing w:line="199" w:lineRule="exact" w:before="5"/>
              <w:ind w:left="6" w:right="3"/>
              <w:jc w:val="center"/>
              <w:rPr>
                <w:sz w:val="18"/>
              </w:rPr>
            </w:pPr>
            <w:r>
              <w:rPr>
                <w:spacing w:val="-4"/>
                <w:sz w:val="18"/>
              </w:rPr>
              <w:t>IFRS</w:t>
            </w:r>
          </w:p>
        </w:tc>
        <w:tc>
          <w:tcPr>
            <w:tcW w:w="1206" w:type="dxa"/>
          </w:tcPr>
          <w:p>
            <w:pPr>
              <w:pStyle w:val="TableParagraph"/>
              <w:spacing w:line="199" w:lineRule="exact" w:before="5"/>
              <w:ind w:left="240"/>
              <w:jc w:val="center"/>
              <w:rPr>
                <w:sz w:val="18"/>
              </w:rPr>
            </w:pPr>
            <w:r>
              <w:rPr>
                <w:spacing w:val="-2"/>
                <w:sz w:val="18"/>
              </w:rPr>
              <w:t>44.59805</w:t>
            </w:r>
          </w:p>
        </w:tc>
        <w:tc>
          <w:tcPr>
            <w:tcW w:w="1300" w:type="dxa"/>
          </w:tcPr>
          <w:p>
            <w:pPr>
              <w:pStyle w:val="TableParagraph"/>
              <w:spacing w:line="199" w:lineRule="exact" w:before="5"/>
              <w:ind w:left="155" w:right="2"/>
              <w:jc w:val="center"/>
              <w:rPr>
                <w:sz w:val="18"/>
              </w:rPr>
            </w:pPr>
            <w:r>
              <w:rPr>
                <w:spacing w:val="-2"/>
                <w:sz w:val="18"/>
              </w:rPr>
              <w:t>11.66065</w:t>
            </w:r>
          </w:p>
        </w:tc>
        <w:tc>
          <w:tcPr>
            <w:tcW w:w="1131" w:type="dxa"/>
          </w:tcPr>
          <w:p>
            <w:pPr>
              <w:pStyle w:val="TableParagraph"/>
              <w:spacing w:line="199" w:lineRule="exact" w:before="5"/>
              <w:ind w:right="120"/>
              <w:jc w:val="right"/>
              <w:rPr>
                <w:sz w:val="18"/>
              </w:rPr>
            </w:pPr>
            <w:r>
              <w:rPr>
                <w:spacing w:val="-2"/>
                <w:sz w:val="18"/>
              </w:rPr>
              <w:t>3.824663</w:t>
            </w:r>
          </w:p>
        </w:tc>
        <w:tc>
          <w:tcPr>
            <w:tcW w:w="884" w:type="dxa"/>
          </w:tcPr>
          <w:p>
            <w:pPr>
              <w:pStyle w:val="TableParagraph"/>
              <w:spacing w:line="199" w:lineRule="exact" w:before="5"/>
              <w:ind w:right="6"/>
              <w:jc w:val="right"/>
              <w:rPr>
                <w:sz w:val="18"/>
              </w:rPr>
            </w:pPr>
            <w:r>
              <w:rPr>
                <w:spacing w:val="-2"/>
                <w:sz w:val="18"/>
              </w:rPr>
              <w:t>0.0002</w:t>
            </w:r>
          </w:p>
        </w:tc>
      </w:tr>
      <w:tr>
        <w:trPr>
          <w:trHeight w:val="225" w:hRule="atLeast"/>
        </w:trPr>
        <w:tc>
          <w:tcPr>
            <w:tcW w:w="2010" w:type="dxa"/>
          </w:tcPr>
          <w:p>
            <w:pPr>
              <w:pStyle w:val="TableParagraph"/>
              <w:spacing w:line="199" w:lineRule="exact" w:before="6"/>
              <w:ind w:left="583"/>
              <w:rPr>
                <w:sz w:val="18"/>
              </w:rPr>
            </w:pPr>
            <w:r>
              <w:rPr>
                <w:spacing w:val="-2"/>
                <w:sz w:val="18"/>
              </w:rPr>
              <w:t>BDS*IFRS</w:t>
            </w:r>
          </w:p>
        </w:tc>
        <w:tc>
          <w:tcPr>
            <w:tcW w:w="1206" w:type="dxa"/>
          </w:tcPr>
          <w:p>
            <w:pPr>
              <w:pStyle w:val="TableParagraph"/>
              <w:spacing w:line="199" w:lineRule="exact" w:before="6"/>
              <w:ind w:left="180"/>
              <w:jc w:val="center"/>
              <w:rPr>
                <w:sz w:val="18"/>
              </w:rPr>
            </w:pPr>
            <w:r>
              <w:rPr>
                <w:spacing w:val="-2"/>
                <w:sz w:val="18"/>
              </w:rPr>
              <w:t>-1.416690</w:t>
            </w:r>
          </w:p>
        </w:tc>
        <w:tc>
          <w:tcPr>
            <w:tcW w:w="1300" w:type="dxa"/>
          </w:tcPr>
          <w:p>
            <w:pPr>
              <w:pStyle w:val="TableParagraph"/>
              <w:spacing w:line="199" w:lineRule="exact" w:before="6"/>
              <w:ind w:left="155" w:right="2"/>
              <w:jc w:val="center"/>
              <w:rPr>
                <w:sz w:val="18"/>
              </w:rPr>
            </w:pPr>
            <w:r>
              <w:rPr>
                <w:spacing w:val="-2"/>
                <w:sz w:val="18"/>
              </w:rPr>
              <w:t>0.408459</w:t>
            </w:r>
          </w:p>
        </w:tc>
        <w:tc>
          <w:tcPr>
            <w:tcW w:w="1131" w:type="dxa"/>
          </w:tcPr>
          <w:p>
            <w:pPr>
              <w:pStyle w:val="TableParagraph"/>
              <w:spacing w:line="199" w:lineRule="exact" w:before="6"/>
              <w:ind w:right="120"/>
              <w:jc w:val="right"/>
              <w:rPr>
                <w:sz w:val="18"/>
              </w:rPr>
            </w:pPr>
            <w:r>
              <w:rPr>
                <w:spacing w:val="-2"/>
                <w:sz w:val="18"/>
              </w:rPr>
              <w:t>-3.468377</w:t>
            </w:r>
          </w:p>
        </w:tc>
        <w:tc>
          <w:tcPr>
            <w:tcW w:w="884" w:type="dxa"/>
          </w:tcPr>
          <w:p>
            <w:pPr>
              <w:pStyle w:val="TableParagraph"/>
              <w:spacing w:line="199" w:lineRule="exact" w:before="6"/>
              <w:ind w:right="6"/>
              <w:jc w:val="right"/>
              <w:rPr>
                <w:sz w:val="18"/>
              </w:rPr>
            </w:pPr>
            <w:r>
              <w:rPr>
                <w:spacing w:val="-2"/>
                <w:sz w:val="18"/>
              </w:rPr>
              <w:t>0.0007</w:t>
            </w:r>
          </w:p>
        </w:tc>
      </w:tr>
      <w:tr>
        <w:trPr>
          <w:trHeight w:val="225" w:hRule="atLeast"/>
        </w:trPr>
        <w:tc>
          <w:tcPr>
            <w:tcW w:w="2010" w:type="dxa"/>
          </w:tcPr>
          <w:p>
            <w:pPr>
              <w:pStyle w:val="TableParagraph"/>
              <w:spacing w:line="199" w:lineRule="exact" w:before="6"/>
              <w:ind w:left="487"/>
              <w:rPr>
                <w:sz w:val="18"/>
              </w:rPr>
            </w:pPr>
            <w:r>
              <w:rPr>
                <w:spacing w:val="-2"/>
                <w:sz w:val="18"/>
              </w:rPr>
              <w:t>BDIND*IFRS</w:t>
            </w:r>
          </w:p>
        </w:tc>
        <w:tc>
          <w:tcPr>
            <w:tcW w:w="1206" w:type="dxa"/>
          </w:tcPr>
          <w:p>
            <w:pPr>
              <w:pStyle w:val="TableParagraph"/>
              <w:spacing w:line="199" w:lineRule="exact" w:before="6"/>
              <w:ind w:left="180"/>
              <w:jc w:val="center"/>
              <w:rPr>
                <w:sz w:val="18"/>
              </w:rPr>
            </w:pPr>
            <w:r>
              <w:rPr>
                <w:spacing w:val="-2"/>
                <w:sz w:val="18"/>
              </w:rPr>
              <w:t>-35.16197</w:t>
            </w:r>
          </w:p>
        </w:tc>
        <w:tc>
          <w:tcPr>
            <w:tcW w:w="1300" w:type="dxa"/>
          </w:tcPr>
          <w:p>
            <w:pPr>
              <w:pStyle w:val="TableParagraph"/>
              <w:spacing w:line="199" w:lineRule="exact" w:before="6"/>
              <w:ind w:left="155" w:right="2"/>
              <w:jc w:val="center"/>
              <w:rPr>
                <w:sz w:val="18"/>
              </w:rPr>
            </w:pPr>
            <w:r>
              <w:rPr>
                <w:spacing w:val="-2"/>
                <w:sz w:val="18"/>
              </w:rPr>
              <w:t>11.11805</w:t>
            </w:r>
          </w:p>
        </w:tc>
        <w:tc>
          <w:tcPr>
            <w:tcW w:w="1131" w:type="dxa"/>
          </w:tcPr>
          <w:p>
            <w:pPr>
              <w:pStyle w:val="TableParagraph"/>
              <w:spacing w:line="199" w:lineRule="exact" w:before="6"/>
              <w:ind w:right="120"/>
              <w:jc w:val="right"/>
              <w:rPr>
                <w:sz w:val="18"/>
              </w:rPr>
            </w:pPr>
            <w:r>
              <w:rPr>
                <w:spacing w:val="-2"/>
                <w:sz w:val="18"/>
              </w:rPr>
              <w:t>-3.162603</w:t>
            </w:r>
          </w:p>
        </w:tc>
        <w:tc>
          <w:tcPr>
            <w:tcW w:w="884" w:type="dxa"/>
          </w:tcPr>
          <w:p>
            <w:pPr>
              <w:pStyle w:val="TableParagraph"/>
              <w:spacing w:line="199" w:lineRule="exact" w:before="6"/>
              <w:ind w:right="6"/>
              <w:jc w:val="right"/>
              <w:rPr>
                <w:sz w:val="18"/>
              </w:rPr>
            </w:pPr>
            <w:r>
              <w:rPr>
                <w:spacing w:val="-2"/>
                <w:sz w:val="18"/>
              </w:rPr>
              <w:t>0.0018</w:t>
            </w:r>
          </w:p>
        </w:tc>
      </w:tr>
      <w:tr>
        <w:trPr>
          <w:trHeight w:val="301" w:hRule="atLeast"/>
        </w:trPr>
        <w:tc>
          <w:tcPr>
            <w:tcW w:w="2010" w:type="dxa"/>
            <w:tcBorders>
              <w:bottom w:val="double" w:sz="6" w:space="0" w:color="000000"/>
            </w:tcBorders>
          </w:tcPr>
          <w:p>
            <w:pPr>
              <w:pStyle w:val="TableParagraph"/>
              <w:spacing w:before="6"/>
              <w:ind w:left="472"/>
              <w:rPr>
                <w:sz w:val="18"/>
              </w:rPr>
            </w:pPr>
            <w:r>
              <w:rPr>
                <w:spacing w:val="-2"/>
                <w:sz w:val="18"/>
              </w:rPr>
              <w:t>BFEXP*IFRS</w:t>
            </w:r>
          </w:p>
        </w:tc>
        <w:tc>
          <w:tcPr>
            <w:tcW w:w="1206" w:type="dxa"/>
            <w:tcBorders>
              <w:bottom w:val="double" w:sz="6" w:space="0" w:color="000000"/>
            </w:tcBorders>
          </w:tcPr>
          <w:p>
            <w:pPr>
              <w:pStyle w:val="TableParagraph"/>
              <w:spacing w:before="6"/>
              <w:ind w:left="180"/>
              <w:jc w:val="center"/>
              <w:rPr>
                <w:sz w:val="18"/>
              </w:rPr>
            </w:pPr>
            <w:r>
              <w:rPr>
                <w:spacing w:val="-2"/>
                <w:sz w:val="18"/>
              </w:rPr>
              <w:t>-8.180724</w:t>
            </w:r>
          </w:p>
        </w:tc>
        <w:tc>
          <w:tcPr>
            <w:tcW w:w="1300" w:type="dxa"/>
            <w:tcBorders>
              <w:bottom w:val="double" w:sz="6" w:space="0" w:color="000000"/>
            </w:tcBorders>
          </w:tcPr>
          <w:p>
            <w:pPr>
              <w:pStyle w:val="TableParagraph"/>
              <w:spacing w:before="6"/>
              <w:ind w:left="155" w:right="2"/>
              <w:jc w:val="center"/>
              <w:rPr>
                <w:sz w:val="18"/>
              </w:rPr>
            </w:pPr>
            <w:r>
              <w:rPr>
                <w:spacing w:val="-2"/>
                <w:sz w:val="18"/>
              </w:rPr>
              <w:t>12.17218</w:t>
            </w:r>
          </w:p>
        </w:tc>
        <w:tc>
          <w:tcPr>
            <w:tcW w:w="1131" w:type="dxa"/>
            <w:tcBorders>
              <w:bottom w:val="double" w:sz="6" w:space="0" w:color="000000"/>
            </w:tcBorders>
          </w:tcPr>
          <w:p>
            <w:pPr>
              <w:pStyle w:val="TableParagraph"/>
              <w:spacing w:before="6"/>
              <w:ind w:right="120"/>
              <w:jc w:val="right"/>
              <w:rPr>
                <w:sz w:val="18"/>
              </w:rPr>
            </w:pPr>
            <w:r>
              <w:rPr>
                <w:spacing w:val="-2"/>
                <w:sz w:val="18"/>
              </w:rPr>
              <w:t>-0.672084</w:t>
            </w:r>
          </w:p>
        </w:tc>
        <w:tc>
          <w:tcPr>
            <w:tcW w:w="884" w:type="dxa"/>
            <w:tcBorders>
              <w:bottom w:val="double" w:sz="6" w:space="0" w:color="000000"/>
            </w:tcBorders>
          </w:tcPr>
          <w:p>
            <w:pPr>
              <w:pStyle w:val="TableParagraph"/>
              <w:spacing w:before="6"/>
              <w:ind w:right="6"/>
              <w:jc w:val="right"/>
              <w:rPr>
                <w:sz w:val="18"/>
              </w:rPr>
            </w:pPr>
            <w:r>
              <w:rPr>
                <w:spacing w:val="-2"/>
                <w:sz w:val="18"/>
              </w:rPr>
              <w:t>0.5024</w:t>
            </w:r>
          </w:p>
        </w:tc>
      </w:tr>
      <w:tr>
        <w:trPr>
          <w:trHeight w:val="327" w:hRule="atLeast"/>
        </w:trPr>
        <w:tc>
          <w:tcPr>
            <w:tcW w:w="6531" w:type="dxa"/>
            <w:gridSpan w:val="5"/>
            <w:tcBorders>
              <w:top w:val="double" w:sz="6" w:space="0" w:color="000000"/>
            </w:tcBorders>
          </w:tcPr>
          <w:p>
            <w:pPr>
              <w:pStyle w:val="TableParagraph"/>
              <w:spacing w:line="199" w:lineRule="exact" w:before="108"/>
              <w:ind w:left="3" w:right="187"/>
              <w:jc w:val="center"/>
              <w:rPr>
                <w:sz w:val="18"/>
              </w:rPr>
            </w:pPr>
            <w:r>
              <w:rPr>
                <w:sz w:val="18"/>
              </w:rPr>
              <w:t>Effects </w:t>
            </w:r>
            <w:r>
              <w:rPr>
                <w:spacing w:val="-2"/>
                <w:sz w:val="18"/>
              </w:rPr>
              <w:t>Specification</w:t>
            </w:r>
          </w:p>
        </w:tc>
      </w:tr>
      <w:tr>
        <w:trPr>
          <w:trHeight w:val="303" w:hRule="atLeast"/>
        </w:trPr>
        <w:tc>
          <w:tcPr>
            <w:tcW w:w="2010" w:type="dxa"/>
            <w:tcBorders>
              <w:bottom w:val="double" w:sz="6" w:space="0" w:color="000000"/>
            </w:tcBorders>
          </w:tcPr>
          <w:p>
            <w:pPr>
              <w:pStyle w:val="TableParagraph"/>
              <w:rPr>
                <w:rFonts w:ascii="Times New Roman"/>
                <w:sz w:val="18"/>
              </w:rPr>
            </w:pP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spacing w:before="6"/>
              <w:ind w:right="222"/>
              <w:jc w:val="right"/>
              <w:rPr>
                <w:sz w:val="18"/>
              </w:rPr>
            </w:pPr>
            <w:r>
              <w:rPr>
                <w:spacing w:val="-4"/>
                <w:sz w:val="18"/>
              </w:rPr>
              <w:t>S.D.</w:t>
            </w:r>
          </w:p>
        </w:tc>
        <w:tc>
          <w:tcPr>
            <w:tcW w:w="884" w:type="dxa"/>
            <w:tcBorders>
              <w:bottom w:val="double" w:sz="6" w:space="0" w:color="000000"/>
            </w:tcBorders>
          </w:tcPr>
          <w:p>
            <w:pPr>
              <w:pStyle w:val="TableParagraph"/>
              <w:spacing w:before="6"/>
              <w:ind w:right="106"/>
              <w:jc w:val="right"/>
              <w:rPr>
                <w:sz w:val="18"/>
              </w:rPr>
            </w:pPr>
            <w:r>
              <w:rPr>
                <w:spacing w:val="-5"/>
                <w:sz w:val="18"/>
              </w:rPr>
              <w:t>Rho</w:t>
            </w:r>
          </w:p>
        </w:tc>
      </w:tr>
      <w:tr>
        <w:trPr>
          <w:trHeight w:val="325" w:hRule="atLeast"/>
        </w:trPr>
        <w:tc>
          <w:tcPr>
            <w:tcW w:w="2010" w:type="dxa"/>
            <w:tcBorders>
              <w:top w:val="double" w:sz="6" w:space="0" w:color="000000"/>
            </w:tcBorders>
          </w:tcPr>
          <w:p>
            <w:pPr>
              <w:pStyle w:val="TableParagraph"/>
              <w:spacing w:line="199" w:lineRule="exact" w:before="106"/>
              <w:rPr>
                <w:sz w:val="18"/>
              </w:rPr>
            </w:pPr>
            <w:r>
              <w:rPr>
                <w:spacing w:val="-2"/>
                <w:sz w:val="18"/>
              </w:rPr>
              <w:t>Cross-section</w:t>
            </w:r>
            <w:r>
              <w:rPr>
                <w:spacing w:val="10"/>
                <w:sz w:val="18"/>
              </w:rPr>
              <w:t> </w:t>
            </w:r>
            <w:r>
              <w:rPr>
                <w:spacing w:val="-2"/>
                <w:sz w:val="18"/>
              </w:rPr>
              <w:t>random</w:t>
            </w:r>
          </w:p>
        </w:tc>
        <w:tc>
          <w:tcPr>
            <w:tcW w:w="1206" w:type="dxa"/>
            <w:tcBorders>
              <w:top w:val="double" w:sz="6" w:space="0" w:color="000000"/>
            </w:tcBorders>
          </w:tcPr>
          <w:p>
            <w:pPr>
              <w:pStyle w:val="TableParagraph"/>
              <w:rPr>
                <w:rFonts w:ascii="Times New Roman"/>
                <w:sz w:val="18"/>
              </w:rPr>
            </w:pPr>
          </w:p>
        </w:tc>
        <w:tc>
          <w:tcPr>
            <w:tcW w:w="1300" w:type="dxa"/>
            <w:tcBorders>
              <w:top w:val="double" w:sz="6" w:space="0" w:color="000000"/>
            </w:tcBorders>
          </w:tcPr>
          <w:p>
            <w:pPr>
              <w:pStyle w:val="TableParagraph"/>
              <w:rPr>
                <w:rFonts w:ascii="Times New Roman"/>
                <w:sz w:val="18"/>
              </w:rPr>
            </w:pPr>
          </w:p>
        </w:tc>
        <w:tc>
          <w:tcPr>
            <w:tcW w:w="1131" w:type="dxa"/>
            <w:tcBorders>
              <w:top w:val="double" w:sz="6" w:space="0" w:color="000000"/>
            </w:tcBorders>
          </w:tcPr>
          <w:p>
            <w:pPr>
              <w:pStyle w:val="TableParagraph"/>
              <w:spacing w:line="199" w:lineRule="exact" w:before="106"/>
              <w:ind w:right="120"/>
              <w:jc w:val="right"/>
              <w:rPr>
                <w:sz w:val="18"/>
              </w:rPr>
            </w:pPr>
            <w:r>
              <w:rPr>
                <w:spacing w:val="-2"/>
                <w:sz w:val="18"/>
              </w:rPr>
              <w:t>5.357158</w:t>
            </w:r>
          </w:p>
        </w:tc>
        <w:tc>
          <w:tcPr>
            <w:tcW w:w="884" w:type="dxa"/>
            <w:tcBorders>
              <w:top w:val="double" w:sz="6" w:space="0" w:color="000000"/>
            </w:tcBorders>
          </w:tcPr>
          <w:p>
            <w:pPr>
              <w:pStyle w:val="TableParagraph"/>
              <w:spacing w:line="199" w:lineRule="exact" w:before="106"/>
              <w:ind w:right="6"/>
              <w:jc w:val="right"/>
              <w:rPr>
                <w:sz w:val="18"/>
              </w:rPr>
            </w:pPr>
            <w:r>
              <w:rPr>
                <w:spacing w:val="-2"/>
                <w:sz w:val="18"/>
              </w:rPr>
              <w:t>0.3430</w:t>
            </w:r>
          </w:p>
        </w:tc>
      </w:tr>
      <w:tr>
        <w:trPr>
          <w:trHeight w:val="304" w:hRule="atLeast"/>
        </w:trPr>
        <w:tc>
          <w:tcPr>
            <w:tcW w:w="2010" w:type="dxa"/>
            <w:tcBorders>
              <w:bottom w:val="double" w:sz="6" w:space="0" w:color="000000"/>
            </w:tcBorders>
          </w:tcPr>
          <w:p>
            <w:pPr>
              <w:pStyle w:val="TableParagraph"/>
              <w:spacing w:before="6"/>
              <w:rPr>
                <w:sz w:val="18"/>
              </w:rPr>
            </w:pPr>
            <w:r>
              <w:rPr>
                <w:sz w:val="18"/>
              </w:rPr>
              <w:t>Idiosyncratic</w:t>
            </w:r>
            <w:r>
              <w:rPr>
                <w:spacing w:val="-4"/>
                <w:sz w:val="18"/>
              </w:rPr>
              <w:t> </w:t>
            </w:r>
            <w:r>
              <w:rPr>
                <w:spacing w:val="-2"/>
                <w:sz w:val="18"/>
              </w:rPr>
              <w:t>random</w:t>
            </w:r>
          </w:p>
        </w:tc>
        <w:tc>
          <w:tcPr>
            <w:tcW w:w="1206" w:type="dxa"/>
            <w:tcBorders>
              <w:bottom w:val="double" w:sz="6" w:space="0" w:color="000000"/>
            </w:tcBorders>
          </w:tcPr>
          <w:p>
            <w:pPr>
              <w:pStyle w:val="TableParagraph"/>
              <w:rPr>
                <w:rFonts w:ascii="Times New Roman"/>
                <w:sz w:val="18"/>
              </w:rPr>
            </w:pP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spacing w:before="6"/>
              <w:ind w:right="120"/>
              <w:jc w:val="right"/>
              <w:rPr>
                <w:sz w:val="18"/>
              </w:rPr>
            </w:pPr>
            <w:r>
              <w:rPr>
                <w:spacing w:val="-2"/>
                <w:sz w:val="18"/>
              </w:rPr>
              <w:t>7.415059</w:t>
            </w:r>
          </w:p>
        </w:tc>
        <w:tc>
          <w:tcPr>
            <w:tcW w:w="884" w:type="dxa"/>
            <w:tcBorders>
              <w:bottom w:val="double" w:sz="6" w:space="0" w:color="000000"/>
            </w:tcBorders>
          </w:tcPr>
          <w:p>
            <w:pPr>
              <w:pStyle w:val="TableParagraph"/>
              <w:spacing w:before="6"/>
              <w:ind w:right="6"/>
              <w:jc w:val="right"/>
              <w:rPr>
                <w:sz w:val="18"/>
              </w:rPr>
            </w:pPr>
            <w:r>
              <w:rPr>
                <w:spacing w:val="-2"/>
                <w:sz w:val="18"/>
              </w:rPr>
              <w:t>0.6570</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R-squared</w:t>
            </w:r>
          </w:p>
        </w:tc>
        <w:tc>
          <w:tcPr>
            <w:tcW w:w="1206" w:type="dxa"/>
            <w:tcBorders>
              <w:top w:val="double" w:sz="6" w:space="0" w:color="000000"/>
            </w:tcBorders>
          </w:tcPr>
          <w:p>
            <w:pPr>
              <w:pStyle w:val="TableParagraph"/>
              <w:spacing w:line="199" w:lineRule="exact" w:before="108"/>
              <w:ind w:left="240"/>
              <w:jc w:val="center"/>
              <w:rPr>
                <w:sz w:val="18"/>
              </w:rPr>
            </w:pPr>
            <w:r>
              <w:rPr>
                <w:spacing w:val="-2"/>
                <w:sz w:val="18"/>
              </w:rPr>
              <w:t>0.157378</w:t>
            </w:r>
          </w:p>
        </w:tc>
        <w:tc>
          <w:tcPr>
            <w:tcW w:w="2431" w:type="dxa"/>
            <w:gridSpan w:val="2"/>
            <w:tcBorders>
              <w:top w:val="double" w:sz="6" w:space="0" w:color="000000"/>
            </w:tcBorders>
          </w:tcPr>
          <w:p>
            <w:pPr>
              <w:pStyle w:val="TableParagraph"/>
              <w:spacing w:line="199"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6"/>
              <w:jc w:val="right"/>
              <w:rPr>
                <w:sz w:val="18"/>
              </w:rPr>
            </w:pPr>
            <w:r>
              <w:rPr>
                <w:spacing w:val="-2"/>
                <w:sz w:val="18"/>
              </w:rPr>
              <w:t>3.281464</w:t>
            </w:r>
          </w:p>
        </w:tc>
      </w:tr>
      <w:tr>
        <w:trPr>
          <w:trHeight w:val="225" w:hRule="atLeast"/>
        </w:trPr>
        <w:tc>
          <w:tcPr>
            <w:tcW w:w="2010"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06" w:type="dxa"/>
          </w:tcPr>
          <w:p>
            <w:pPr>
              <w:pStyle w:val="TableParagraph"/>
              <w:spacing w:line="199" w:lineRule="exact" w:before="6"/>
              <w:ind w:left="240"/>
              <w:jc w:val="center"/>
              <w:rPr>
                <w:sz w:val="18"/>
              </w:rPr>
            </w:pPr>
            <w:r>
              <w:rPr>
                <w:spacing w:val="-2"/>
                <w:sz w:val="18"/>
              </w:rPr>
              <w:t>0.111583</w:t>
            </w:r>
          </w:p>
        </w:tc>
        <w:tc>
          <w:tcPr>
            <w:tcW w:w="2431" w:type="dxa"/>
            <w:gridSpan w:val="2"/>
          </w:tcPr>
          <w:p>
            <w:pPr>
              <w:pStyle w:val="TableParagraph"/>
              <w:spacing w:line="199" w:lineRule="exact" w:before="6"/>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6"/>
              <w:ind w:right="6"/>
              <w:jc w:val="right"/>
              <w:rPr>
                <w:sz w:val="18"/>
              </w:rPr>
            </w:pPr>
            <w:r>
              <w:rPr>
                <w:spacing w:val="-2"/>
                <w:sz w:val="18"/>
              </w:rPr>
              <w:t>8.009266</w:t>
            </w:r>
          </w:p>
        </w:tc>
      </w:tr>
      <w:tr>
        <w:trPr>
          <w:trHeight w:val="224" w:hRule="atLeast"/>
        </w:trPr>
        <w:tc>
          <w:tcPr>
            <w:tcW w:w="2010" w:type="dxa"/>
          </w:tcPr>
          <w:p>
            <w:pPr>
              <w:pStyle w:val="TableParagraph"/>
              <w:spacing w:line="198" w:lineRule="exact" w:before="6"/>
              <w:rPr>
                <w:sz w:val="18"/>
              </w:rPr>
            </w:pPr>
            <w:r>
              <w:rPr>
                <w:sz w:val="18"/>
              </w:rPr>
              <w:t>S.E.</w:t>
            </w:r>
            <w:r>
              <w:rPr>
                <w:spacing w:val="-2"/>
                <w:sz w:val="18"/>
              </w:rPr>
              <w:t> </w:t>
            </w:r>
            <w:r>
              <w:rPr>
                <w:sz w:val="18"/>
              </w:rPr>
              <w:t>of </w:t>
            </w:r>
            <w:r>
              <w:rPr>
                <w:spacing w:val="-2"/>
                <w:sz w:val="18"/>
              </w:rPr>
              <w:t>regression</w:t>
            </w:r>
          </w:p>
        </w:tc>
        <w:tc>
          <w:tcPr>
            <w:tcW w:w="1206" w:type="dxa"/>
          </w:tcPr>
          <w:p>
            <w:pPr>
              <w:pStyle w:val="TableParagraph"/>
              <w:spacing w:line="198" w:lineRule="exact" w:before="6"/>
              <w:ind w:left="240"/>
              <w:jc w:val="center"/>
              <w:rPr>
                <w:sz w:val="18"/>
              </w:rPr>
            </w:pPr>
            <w:r>
              <w:rPr>
                <w:spacing w:val="-2"/>
                <w:sz w:val="18"/>
              </w:rPr>
              <w:t>7.549203</w:t>
            </w:r>
          </w:p>
        </w:tc>
        <w:tc>
          <w:tcPr>
            <w:tcW w:w="2431" w:type="dxa"/>
            <w:gridSpan w:val="2"/>
          </w:tcPr>
          <w:p>
            <w:pPr>
              <w:pStyle w:val="TableParagraph"/>
              <w:spacing w:line="198" w:lineRule="exact" w:before="6"/>
              <w:ind w:left="106"/>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8" w:lineRule="exact" w:before="6"/>
              <w:ind w:right="6"/>
              <w:jc w:val="right"/>
              <w:rPr>
                <w:sz w:val="18"/>
              </w:rPr>
            </w:pPr>
            <w:r>
              <w:rPr>
                <w:spacing w:val="-2"/>
                <w:sz w:val="18"/>
              </w:rPr>
              <w:t>10486.25</w:t>
            </w:r>
          </w:p>
        </w:tc>
      </w:tr>
      <w:tr>
        <w:trPr>
          <w:trHeight w:val="224" w:hRule="atLeast"/>
        </w:trPr>
        <w:tc>
          <w:tcPr>
            <w:tcW w:w="2010" w:type="dxa"/>
          </w:tcPr>
          <w:p>
            <w:pPr>
              <w:pStyle w:val="TableParagraph"/>
              <w:spacing w:line="199" w:lineRule="exact" w:before="5"/>
              <w:rPr>
                <w:sz w:val="18"/>
              </w:rPr>
            </w:pPr>
            <w:r>
              <w:rPr>
                <w:spacing w:val="-2"/>
                <w:sz w:val="18"/>
              </w:rPr>
              <w:t>F-statistic</w:t>
            </w:r>
          </w:p>
        </w:tc>
        <w:tc>
          <w:tcPr>
            <w:tcW w:w="1206" w:type="dxa"/>
          </w:tcPr>
          <w:p>
            <w:pPr>
              <w:pStyle w:val="TableParagraph"/>
              <w:spacing w:line="199" w:lineRule="exact" w:before="5"/>
              <w:ind w:left="240"/>
              <w:jc w:val="center"/>
              <w:rPr>
                <w:sz w:val="18"/>
              </w:rPr>
            </w:pPr>
            <w:r>
              <w:rPr>
                <w:spacing w:val="-2"/>
                <w:sz w:val="18"/>
              </w:rPr>
              <w:t>3.436594</w:t>
            </w:r>
          </w:p>
        </w:tc>
        <w:tc>
          <w:tcPr>
            <w:tcW w:w="2431" w:type="dxa"/>
            <w:gridSpan w:val="2"/>
          </w:tcPr>
          <w:p>
            <w:pPr>
              <w:pStyle w:val="TableParagraph"/>
              <w:spacing w:line="199" w:lineRule="exact" w:before="5"/>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5"/>
              <w:ind w:right="6"/>
              <w:jc w:val="right"/>
              <w:rPr>
                <w:sz w:val="18"/>
              </w:rPr>
            </w:pPr>
            <w:r>
              <w:rPr>
                <w:spacing w:val="-2"/>
                <w:sz w:val="18"/>
              </w:rPr>
              <w:t>0.958472</w:t>
            </w:r>
          </w:p>
        </w:tc>
      </w:tr>
      <w:tr>
        <w:trPr>
          <w:trHeight w:val="303" w:hRule="atLeast"/>
        </w:trPr>
        <w:tc>
          <w:tcPr>
            <w:tcW w:w="2010" w:type="dxa"/>
            <w:tcBorders>
              <w:bottom w:val="double" w:sz="6" w:space="0" w:color="000000"/>
            </w:tcBorders>
          </w:tcPr>
          <w:p>
            <w:pPr>
              <w:pStyle w:val="TableParagraph"/>
              <w:spacing w:before="6"/>
              <w:rPr>
                <w:sz w:val="18"/>
              </w:rPr>
            </w:pPr>
            <w:r>
              <w:rPr>
                <w:spacing w:val="-2"/>
                <w:sz w:val="18"/>
              </w:rPr>
              <w:t>Prob(F-statistic)</w:t>
            </w:r>
          </w:p>
        </w:tc>
        <w:tc>
          <w:tcPr>
            <w:tcW w:w="1206" w:type="dxa"/>
            <w:tcBorders>
              <w:bottom w:val="double" w:sz="6" w:space="0" w:color="000000"/>
            </w:tcBorders>
          </w:tcPr>
          <w:p>
            <w:pPr>
              <w:pStyle w:val="TableParagraph"/>
              <w:spacing w:before="6"/>
              <w:ind w:left="240"/>
              <w:jc w:val="center"/>
              <w:rPr>
                <w:sz w:val="18"/>
              </w:rPr>
            </w:pPr>
            <w:r>
              <w:rPr>
                <w:spacing w:val="-2"/>
                <w:sz w:val="18"/>
              </w:rPr>
              <w:t>0.000374</w:t>
            </w: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3"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2010" w:type="dxa"/>
            <w:tcBorders>
              <w:top w:val="double" w:sz="6" w:space="0" w:color="000000"/>
            </w:tcBorders>
          </w:tcPr>
          <w:p>
            <w:pPr>
              <w:pStyle w:val="TableParagraph"/>
              <w:spacing w:line="199" w:lineRule="exact" w:before="108"/>
              <w:rPr>
                <w:sz w:val="18"/>
              </w:rPr>
            </w:pPr>
            <w:r>
              <w:rPr>
                <w:spacing w:val="-2"/>
                <w:sz w:val="18"/>
              </w:rPr>
              <w:t>R-squared</w:t>
            </w:r>
          </w:p>
        </w:tc>
        <w:tc>
          <w:tcPr>
            <w:tcW w:w="1206" w:type="dxa"/>
            <w:tcBorders>
              <w:top w:val="double" w:sz="6" w:space="0" w:color="000000"/>
            </w:tcBorders>
          </w:tcPr>
          <w:p>
            <w:pPr>
              <w:pStyle w:val="TableParagraph"/>
              <w:spacing w:line="199" w:lineRule="exact" w:before="108"/>
              <w:ind w:left="240"/>
              <w:jc w:val="center"/>
              <w:rPr>
                <w:sz w:val="18"/>
              </w:rPr>
            </w:pPr>
            <w:r>
              <w:rPr>
                <w:spacing w:val="-2"/>
                <w:sz w:val="18"/>
              </w:rPr>
              <w:t>0.123361</w:t>
            </w:r>
          </w:p>
        </w:tc>
        <w:tc>
          <w:tcPr>
            <w:tcW w:w="2431" w:type="dxa"/>
            <w:gridSpan w:val="2"/>
            <w:tcBorders>
              <w:top w:val="double" w:sz="6" w:space="0" w:color="000000"/>
            </w:tcBorders>
          </w:tcPr>
          <w:p>
            <w:pPr>
              <w:pStyle w:val="TableParagraph"/>
              <w:spacing w:line="199"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6"/>
              <w:jc w:val="right"/>
              <w:rPr>
                <w:sz w:val="18"/>
              </w:rPr>
            </w:pPr>
            <w:r>
              <w:rPr>
                <w:spacing w:val="-2"/>
                <w:sz w:val="18"/>
              </w:rPr>
              <w:t>9.750667</w:t>
            </w:r>
          </w:p>
        </w:tc>
      </w:tr>
      <w:tr>
        <w:trPr>
          <w:trHeight w:val="303" w:hRule="atLeast"/>
        </w:trPr>
        <w:tc>
          <w:tcPr>
            <w:tcW w:w="2010"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06" w:type="dxa"/>
            <w:tcBorders>
              <w:bottom w:val="double" w:sz="6" w:space="0" w:color="000000"/>
            </w:tcBorders>
          </w:tcPr>
          <w:p>
            <w:pPr>
              <w:pStyle w:val="TableParagraph"/>
              <w:spacing w:before="6"/>
              <w:ind w:left="240"/>
              <w:jc w:val="center"/>
              <w:rPr>
                <w:sz w:val="18"/>
              </w:rPr>
            </w:pPr>
            <w:r>
              <w:rPr>
                <w:spacing w:val="-2"/>
                <w:sz w:val="18"/>
              </w:rPr>
              <w:t>18015.62</w:t>
            </w:r>
          </w:p>
        </w:tc>
        <w:tc>
          <w:tcPr>
            <w:tcW w:w="2431" w:type="dxa"/>
            <w:gridSpan w:val="2"/>
            <w:tcBorders>
              <w:bottom w:val="double" w:sz="6" w:space="0" w:color="000000"/>
            </w:tcBorders>
          </w:tcPr>
          <w:p>
            <w:pPr>
              <w:pStyle w:val="TableParagraph"/>
              <w:spacing w:before="6"/>
              <w:ind w:left="106"/>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6"/>
              <w:ind w:right="6"/>
              <w:jc w:val="right"/>
              <w:rPr>
                <w:sz w:val="18"/>
              </w:rPr>
            </w:pPr>
            <w:r>
              <w:rPr>
                <w:spacing w:val="-2"/>
                <w:sz w:val="18"/>
              </w:rPr>
              <w:t>0.557892</w:t>
            </w:r>
          </w:p>
        </w:tc>
      </w:tr>
    </w:tbl>
    <w:p>
      <w:pPr>
        <w:spacing w:after="0"/>
        <w:jc w:val="right"/>
        <w:rPr>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98400">
                <wp:simplePos x="0" y="0"/>
                <wp:positionH relativeFrom="page">
                  <wp:posOffset>1095451</wp:posOffset>
                </wp:positionH>
                <wp:positionV relativeFrom="page">
                  <wp:posOffset>7242047</wp:posOffset>
                </wp:positionV>
                <wp:extent cx="721995" cy="722630"/>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8080" id="docshape166"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798912">
                <wp:simplePos x="0" y="0"/>
                <wp:positionH relativeFrom="page">
                  <wp:posOffset>1269060</wp:posOffset>
                </wp:positionH>
                <wp:positionV relativeFrom="page">
                  <wp:posOffset>5203570</wp:posOffset>
                </wp:positionV>
                <wp:extent cx="2454275" cy="2499360"/>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2454275" cy="2499360"/>
                          <a:chExt cx="2454275" cy="2499360"/>
                        </a:xfrm>
                      </wpg:grpSpPr>
                      <wps:wsp>
                        <wps:cNvPr id="361" name="Graphic 361"/>
                        <wps:cNvSpPr/>
                        <wps:spPr>
                          <a:xfrm>
                            <a:off x="0" y="1217612"/>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62" name="Image 362"/>
                          <pic:cNvPicPr/>
                        </pic:nvPicPr>
                        <pic:blipFill>
                          <a:blip r:embed="rId9" cstate="print"/>
                          <a:stretch>
                            <a:fillRect/>
                          </a:stretch>
                        </pic:blipFill>
                        <pic:spPr>
                          <a:xfrm>
                            <a:off x="1248333" y="1265682"/>
                            <a:ext cx="221995" cy="221614"/>
                          </a:xfrm>
                          <a:prstGeom prst="rect">
                            <a:avLst/>
                          </a:prstGeom>
                        </pic:spPr>
                      </pic:pic>
                      <wps:wsp>
                        <wps:cNvPr id="363" name="Graphic 363"/>
                        <wps:cNvSpPr/>
                        <wps:spPr>
                          <a:xfrm>
                            <a:off x="1117777" y="0"/>
                            <a:ext cx="1336675" cy="1469390"/>
                          </a:xfrm>
                          <a:custGeom>
                            <a:avLst/>
                            <a:gdLst/>
                            <a:ahLst/>
                            <a:cxnLst/>
                            <a:rect l="l" t="t" r="r" b="b"/>
                            <a:pathLst>
                              <a:path w="1336675" h="1469390">
                                <a:moveTo>
                                  <a:pt x="721741" y="1418463"/>
                                </a:moveTo>
                                <a:lnTo>
                                  <a:pt x="721487" y="1415542"/>
                                </a:lnTo>
                                <a:lnTo>
                                  <a:pt x="719328" y="1409446"/>
                                </a:lnTo>
                                <a:lnTo>
                                  <a:pt x="717042" y="1406398"/>
                                </a:lnTo>
                                <a:lnTo>
                                  <a:pt x="714375" y="1403858"/>
                                </a:lnTo>
                                <a:lnTo>
                                  <a:pt x="62357" y="751840"/>
                                </a:lnTo>
                                <a:lnTo>
                                  <a:pt x="59436" y="749554"/>
                                </a:lnTo>
                                <a:lnTo>
                                  <a:pt x="53213" y="747268"/>
                                </a:lnTo>
                                <a:lnTo>
                                  <a:pt x="50292" y="747141"/>
                                </a:lnTo>
                                <a:lnTo>
                                  <a:pt x="46355" y="747903"/>
                                </a:lnTo>
                                <a:lnTo>
                                  <a:pt x="13970" y="771906"/>
                                </a:lnTo>
                                <a:lnTo>
                                  <a:pt x="0" y="800481"/>
                                </a:lnTo>
                                <a:lnTo>
                                  <a:pt x="2286" y="806704"/>
                                </a:lnTo>
                                <a:lnTo>
                                  <a:pt x="658749" y="1464691"/>
                                </a:lnTo>
                                <a:lnTo>
                                  <a:pt x="670941" y="1469263"/>
                                </a:lnTo>
                                <a:lnTo>
                                  <a:pt x="674243" y="1467993"/>
                                </a:lnTo>
                                <a:lnTo>
                                  <a:pt x="678307" y="1467231"/>
                                </a:lnTo>
                                <a:lnTo>
                                  <a:pt x="712089" y="1438783"/>
                                </a:lnTo>
                                <a:lnTo>
                                  <a:pt x="720344" y="1421892"/>
                                </a:lnTo>
                                <a:lnTo>
                                  <a:pt x="721741" y="1418463"/>
                                </a:lnTo>
                                <a:close/>
                              </a:path>
                              <a:path w="1336675" h="1469390">
                                <a:moveTo>
                                  <a:pt x="896239" y="1240790"/>
                                </a:moveTo>
                                <a:lnTo>
                                  <a:pt x="645541" y="985393"/>
                                </a:lnTo>
                                <a:lnTo>
                                  <a:pt x="695325" y="935609"/>
                                </a:lnTo>
                                <a:lnTo>
                                  <a:pt x="729310" y="893889"/>
                                </a:lnTo>
                                <a:lnTo>
                                  <a:pt x="749681" y="849884"/>
                                </a:lnTo>
                                <a:lnTo>
                                  <a:pt x="757631" y="804672"/>
                                </a:lnTo>
                                <a:lnTo>
                                  <a:pt x="757694" y="780199"/>
                                </a:lnTo>
                                <a:lnTo>
                                  <a:pt x="754634" y="755904"/>
                                </a:lnTo>
                                <a:lnTo>
                                  <a:pt x="740511" y="706348"/>
                                </a:lnTo>
                                <a:lnTo>
                                  <a:pt x="716026" y="655447"/>
                                </a:lnTo>
                                <a:lnTo>
                                  <a:pt x="680796" y="604266"/>
                                </a:lnTo>
                                <a:lnTo>
                                  <a:pt x="661314" y="580936"/>
                                </a:lnTo>
                                <a:lnTo>
                                  <a:pt x="661314" y="776185"/>
                                </a:lnTo>
                                <a:lnTo>
                                  <a:pt x="660438" y="790638"/>
                                </a:lnTo>
                                <a:lnTo>
                                  <a:pt x="645807" y="832294"/>
                                </a:lnTo>
                                <a:lnTo>
                                  <a:pt x="571754" y="911606"/>
                                </a:lnTo>
                                <a:lnTo>
                                  <a:pt x="300482" y="640207"/>
                                </a:lnTo>
                                <a:lnTo>
                                  <a:pt x="354330" y="586486"/>
                                </a:lnTo>
                                <a:lnTo>
                                  <a:pt x="388747" y="559308"/>
                                </a:lnTo>
                                <a:lnTo>
                                  <a:pt x="436499" y="546100"/>
                                </a:lnTo>
                                <a:lnTo>
                                  <a:pt x="451167" y="546722"/>
                                </a:lnTo>
                                <a:lnTo>
                                  <a:pt x="502412" y="562610"/>
                                </a:lnTo>
                                <a:lnTo>
                                  <a:pt x="540804" y="586295"/>
                                </a:lnTo>
                                <a:lnTo>
                                  <a:pt x="581406" y="621792"/>
                                </a:lnTo>
                                <a:lnTo>
                                  <a:pt x="609015" y="652703"/>
                                </a:lnTo>
                                <a:lnTo>
                                  <a:pt x="631190" y="683895"/>
                                </a:lnTo>
                                <a:lnTo>
                                  <a:pt x="653580" y="731139"/>
                                </a:lnTo>
                                <a:lnTo>
                                  <a:pt x="661314" y="776185"/>
                                </a:lnTo>
                                <a:lnTo>
                                  <a:pt x="661314" y="580936"/>
                                </a:lnTo>
                                <a:lnTo>
                                  <a:pt x="659422" y="578662"/>
                                </a:lnTo>
                                <a:lnTo>
                                  <a:pt x="635381" y="553085"/>
                                </a:lnTo>
                                <a:lnTo>
                                  <a:pt x="628015" y="546100"/>
                                </a:lnTo>
                                <a:lnTo>
                                  <a:pt x="616153" y="534847"/>
                                </a:lnTo>
                                <a:lnTo>
                                  <a:pt x="577710" y="503364"/>
                                </a:lnTo>
                                <a:lnTo>
                                  <a:pt x="539343" y="478637"/>
                                </a:lnTo>
                                <a:lnTo>
                                  <a:pt x="501675" y="461111"/>
                                </a:lnTo>
                                <a:lnTo>
                                  <a:pt x="464718" y="449516"/>
                                </a:lnTo>
                                <a:lnTo>
                                  <a:pt x="428688" y="444842"/>
                                </a:lnTo>
                                <a:lnTo>
                                  <a:pt x="411099" y="444881"/>
                                </a:lnTo>
                                <a:lnTo>
                                  <a:pt x="365036" y="453478"/>
                                </a:lnTo>
                                <a:lnTo>
                                  <a:pt x="321881" y="476199"/>
                                </a:lnTo>
                                <a:lnTo>
                                  <a:pt x="291896" y="500519"/>
                                </a:lnTo>
                                <a:lnTo>
                                  <a:pt x="190881" y="601345"/>
                                </a:lnTo>
                                <a:lnTo>
                                  <a:pt x="183692" y="618553"/>
                                </a:lnTo>
                                <a:lnTo>
                                  <a:pt x="183896" y="625983"/>
                                </a:lnTo>
                                <a:lnTo>
                                  <a:pt x="206629" y="662940"/>
                                </a:lnTo>
                                <a:lnTo>
                                  <a:pt x="830961" y="1287272"/>
                                </a:lnTo>
                                <a:lnTo>
                                  <a:pt x="833501" y="1289939"/>
                                </a:lnTo>
                                <a:lnTo>
                                  <a:pt x="836549" y="1292225"/>
                                </a:lnTo>
                                <a:lnTo>
                                  <a:pt x="839597" y="1293368"/>
                                </a:lnTo>
                                <a:lnTo>
                                  <a:pt x="842772" y="1294257"/>
                                </a:lnTo>
                                <a:lnTo>
                                  <a:pt x="845693" y="1294511"/>
                                </a:lnTo>
                                <a:lnTo>
                                  <a:pt x="848995" y="1293241"/>
                                </a:lnTo>
                                <a:lnTo>
                                  <a:pt x="853059" y="1292479"/>
                                </a:lnTo>
                                <a:lnTo>
                                  <a:pt x="886828" y="1263904"/>
                                </a:lnTo>
                                <a:lnTo>
                                  <a:pt x="895096" y="1247140"/>
                                </a:lnTo>
                                <a:lnTo>
                                  <a:pt x="896112" y="1244092"/>
                                </a:lnTo>
                                <a:lnTo>
                                  <a:pt x="896239" y="1240790"/>
                                </a:lnTo>
                                <a:close/>
                              </a:path>
                              <a:path w="1336675" h="1469390">
                                <a:moveTo>
                                  <a:pt x="1336294" y="803783"/>
                                </a:moveTo>
                                <a:lnTo>
                                  <a:pt x="1336167" y="800862"/>
                                </a:lnTo>
                                <a:lnTo>
                                  <a:pt x="1334008" y="794639"/>
                                </a:lnTo>
                                <a:lnTo>
                                  <a:pt x="1331722" y="791718"/>
                                </a:lnTo>
                                <a:lnTo>
                                  <a:pt x="742442" y="202438"/>
                                </a:lnTo>
                                <a:lnTo>
                                  <a:pt x="867410" y="77470"/>
                                </a:lnTo>
                                <a:lnTo>
                                  <a:pt x="868540" y="75311"/>
                                </a:lnTo>
                                <a:lnTo>
                                  <a:pt x="868667" y="72009"/>
                                </a:lnTo>
                                <a:lnTo>
                                  <a:pt x="868426" y="68961"/>
                                </a:lnTo>
                                <a:lnTo>
                                  <a:pt x="867778" y="65532"/>
                                </a:lnTo>
                                <a:lnTo>
                                  <a:pt x="865632" y="61468"/>
                                </a:lnTo>
                                <a:lnTo>
                                  <a:pt x="863981" y="57785"/>
                                </a:lnTo>
                                <a:lnTo>
                                  <a:pt x="832739" y="23241"/>
                                </a:lnTo>
                                <a:lnTo>
                                  <a:pt x="799465" y="0"/>
                                </a:lnTo>
                                <a:lnTo>
                                  <a:pt x="793242" y="0"/>
                                </a:lnTo>
                                <a:lnTo>
                                  <a:pt x="791083" y="1143"/>
                                </a:lnTo>
                                <a:lnTo>
                                  <a:pt x="482854" y="309372"/>
                                </a:lnTo>
                                <a:lnTo>
                                  <a:pt x="481711" y="311531"/>
                                </a:lnTo>
                                <a:lnTo>
                                  <a:pt x="481965" y="314452"/>
                                </a:lnTo>
                                <a:lnTo>
                                  <a:pt x="481711" y="317754"/>
                                </a:lnTo>
                                <a:lnTo>
                                  <a:pt x="482854" y="320802"/>
                                </a:lnTo>
                                <a:lnTo>
                                  <a:pt x="487045" y="329057"/>
                                </a:lnTo>
                                <a:lnTo>
                                  <a:pt x="490601" y="334010"/>
                                </a:lnTo>
                                <a:lnTo>
                                  <a:pt x="495046" y="338963"/>
                                </a:lnTo>
                                <a:lnTo>
                                  <a:pt x="499491" y="344932"/>
                                </a:lnTo>
                                <a:lnTo>
                                  <a:pt x="504952" y="351028"/>
                                </a:lnTo>
                                <a:lnTo>
                                  <a:pt x="518541" y="364617"/>
                                </a:lnTo>
                                <a:lnTo>
                                  <a:pt x="524637" y="370078"/>
                                </a:lnTo>
                                <a:lnTo>
                                  <a:pt x="529971" y="374015"/>
                                </a:lnTo>
                                <a:lnTo>
                                  <a:pt x="535051" y="378460"/>
                                </a:lnTo>
                                <a:lnTo>
                                  <a:pt x="539877" y="381889"/>
                                </a:lnTo>
                                <a:lnTo>
                                  <a:pt x="547751" y="385572"/>
                                </a:lnTo>
                                <a:lnTo>
                                  <a:pt x="550799" y="386715"/>
                                </a:lnTo>
                                <a:lnTo>
                                  <a:pt x="554101" y="386588"/>
                                </a:lnTo>
                                <a:lnTo>
                                  <a:pt x="557022" y="386842"/>
                                </a:lnTo>
                                <a:lnTo>
                                  <a:pt x="559181" y="385572"/>
                                </a:lnTo>
                                <a:lnTo>
                                  <a:pt x="684149" y="260604"/>
                                </a:lnTo>
                                <a:lnTo>
                                  <a:pt x="1273556" y="849884"/>
                                </a:lnTo>
                                <a:lnTo>
                                  <a:pt x="1276477" y="852170"/>
                                </a:lnTo>
                                <a:lnTo>
                                  <a:pt x="1282700" y="854329"/>
                                </a:lnTo>
                                <a:lnTo>
                                  <a:pt x="1285494" y="854583"/>
                                </a:lnTo>
                                <a:lnTo>
                                  <a:pt x="1289050" y="853313"/>
                                </a:lnTo>
                                <a:lnTo>
                                  <a:pt x="1292987" y="852551"/>
                                </a:lnTo>
                                <a:lnTo>
                                  <a:pt x="1326769" y="823976"/>
                                </a:lnTo>
                                <a:lnTo>
                                  <a:pt x="1335024" y="807212"/>
                                </a:lnTo>
                                <a:lnTo>
                                  <a:pt x="1336294" y="803783"/>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09.72998pt;width:193.25pt;height:196.8pt;mso-position-horizontal-relative:page;mso-position-vertical-relative:page;z-index:-25517568" id="docshapegroup167" coordorigin="1999,8195" coordsize="3865,3936">
                <v:shape style="position:absolute;left:1998;top:10112;width:2142;height:2018" id="docshape168"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69" stroked="false">
                  <v:imagedata r:id="rId9" o:title=""/>
                </v:shape>
                <v:shape style="position:absolute;left:3758;top:8194;width:2105;height:2314" id="docshape170" coordorigin="3759,8195" coordsize="2105,2314"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e" filled="true" fillcolor="#c0c0c0" stroked="false">
                  <v:path arrowok="t"/>
                  <v:fill opacity="32896f" type="solid"/>
                </v:shape>
                <w10:wrap type="none"/>
              </v:group>
            </w:pict>
          </mc:Fallback>
        </mc:AlternateContent>
      </w:r>
      <w:r>
        <w:rPr/>
        <mc:AlternateContent>
          <mc:Choice Requires="wps">
            <w:drawing>
              <wp:anchor distT="0" distB="0" distL="0" distR="0" allowOverlap="1" layoutInCell="1" locked="0" behindDoc="1" simplePos="0" relativeHeight="477799424">
                <wp:simplePos x="0" y="0"/>
                <wp:positionH relativeFrom="page">
                  <wp:posOffset>3206496</wp:posOffset>
                </wp:positionH>
                <wp:positionV relativeFrom="page">
                  <wp:posOffset>2726054</wp:posOffset>
                </wp:positionV>
                <wp:extent cx="2995930" cy="299466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2995930" cy="2994660"/>
                        </a:xfrm>
                        <a:custGeom>
                          <a:avLst/>
                          <a:gdLst/>
                          <a:ahLst/>
                          <a:cxnLst/>
                          <a:rect l="l" t="t" r="r" b="b"/>
                          <a:pathLst>
                            <a:path w="2995930" h="2994660">
                              <a:moveTo>
                                <a:pt x="854710" y="2943352"/>
                              </a:moveTo>
                              <a:lnTo>
                                <a:pt x="854583" y="2940304"/>
                              </a:lnTo>
                              <a:lnTo>
                                <a:pt x="852297" y="2934208"/>
                              </a:lnTo>
                              <a:lnTo>
                                <a:pt x="850138" y="2931160"/>
                              </a:lnTo>
                              <a:lnTo>
                                <a:pt x="260731" y="2341880"/>
                              </a:lnTo>
                              <a:lnTo>
                                <a:pt x="385699" y="2216912"/>
                              </a:lnTo>
                              <a:lnTo>
                                <a:pt x="386969" y="2214753"/>
                              </a:lnTo>
                              <a:lnTo>
                                <a:pt x="387096" y="2211451"/>
                              </a:lnTo>
                              <a:lnTo>
                                <a:pt x="386080" y="2205101"/>
                              </a:lnTo>
                              <a:lnTo>
                                <a:pt x="382397" y="2197354"/>
                              </a:lnTo>
                              <a:lnTo>
                                <a:pt x="378968" y="2192401"/>
                              </a:lnTo>
                              <a:lnTo>
                                <a:pt x="374396" y="2187448"/>
                              </a:lnTo>
                              <a:lnTo>
                                <a:pt x="364744" y="2176272"/>
                              </a:lnTo>
                              <a:lnTo>
                                <a:pt x="357886" y="2169541"/>
                              </a:lnTo>
                              <a:lnTo>
                                <a:pt x="351155" y="2162683"/>
                              </a:lnTo>
                              <a:lnTo>
                                <a:pt x="334391" y="2147951"/>
                              </a:lnTo>
                              <a:lnTo>
                                <a:pt x="329565" y="2144522"/>
                              </a:lnTo>
                              <a:lnTo>
                                <a:pt x="321310" y="2140204"/>
                              </a:lnTo>
                              <a:lnTo>
                                <a:pt x="317754" y="2139569"/>
                              </a:lnTo>
                              <a:lnTo>
                                <a:pt x="314833" y="2139315"/>
                              </a:lnTo>
                              <a:lnTo>
                                <a:pt x="311658" y="2139442"/>
                              </a:lnTo>
                              <a:lnTo>
                                <a:pt x="309372" y="2140712"/>
                              </a:lnTo>
                              <a:lnTo>
                                <a:pt x="1270" y="2448814"/>
                              </a:lnTo>
                              <a:lnTo>
                                <a:pt x="0" y="2451100"/>
                              </a:lnTo>
                              <a:lnTo>
                                <a:pt x="254" y="2454021"/>
                              </a:lnTo>
                              <a:lnTo>
                                <a:pt x="127" y="2457196"/>
                              </a:lnTo>
                              <a:lnTo>
                                <a:pt x="1270" y="2460371"/>
                              </a:lnTo>
                              <a:lnTo>
                                <a:pt x="5461" y="2468626"/>
                              </a:lnTo>
                              <a:lnTo>
                                <a:pt x="8890" y="2473452"/>
                              </a:lnTo>
                              <a:lnTo>
                                <a:pt x="13335" y="2478532"/>
                              </a:lnTo>
                              <a:lnTo>
                                <a:pt x="17907" y="2484501"/>
                              </a:lnTo>
                              <a:lnTo>
                                <a:pt x="23241" y="2490597"/>
                              </a:lnTo>
                              <a:lnTo>
                                <a:pt x="36830" y="2504186"/>
                              </a:lnTo>
                              <a:lnTo>
                                <a:pt x="42926" y="2509520"/>
                              </a:lnTo>
                              <a:lnTo>
                                <a:pt x="48387" y="2513584"/>
                              </a:lnTo>
                              <a:lnTo>
                                <a:pt x="53340" y="2518029"/>
                              </a:lnTo>
                              <a:lnTo>
                                <a:pt x="58293" y="2521458"/>
                              </a:lnTo>
                              <a:lnTo>
                                <a:pt x="66040" y="2525141"/>
                              </a:lnTo>
                              <a:lnTo>
                                <a:pt x="69088" y="2526157"/>
                              </a:lnTo>
                              <a:lnTo>
                                <a:pt x="72390" y="2526157"/>
                              </a:lnTo>
                              <a:lnTo>
                                <a:pt x="75311" y="2526411"/>
                              </a:lnTo>
                              <a:lnTo>
                                <a:pt x="77457" y="2525141"/>
                              </a:lnTo>
                              <a:lnTo>
                                <a:pt x="202565" y="2400173"/>
                              </a:lnTo>
                              <a:lnTo>
                                <a:pt x="791845" y="2989453"/>
                              </a:lnTo>
                              <a:lnTo>
                                <a:pt x="794893" y="2991739"/>
                              </a:lnTo>
                              <a:lnTo>
                                <a:pt x="800989" y="2993898"/>
                              </a:lnTo>
                              <a:lnTo>
                                <a:pt x="803910" y="2994152"/>
                              </a:lnTo>
                              <a:lnTo>
                                <a:pt x="807339" y="2992755"/>
                              </a:lnTo>
                              <a:lnTo>
                                <a:pt x="811276" y="2992120"/>
                              </a:lnTo>
                              <a:lnTo>
                                <a:pt x="848360" y="2959227"/>
                              </a:lnTo>
                              <a:lnTo>
                                <a:pt x="853440" y="2946781"/>
                              </a:lnTo>
                              <a:lnTo>
                                <a:pt x="854710" y="2943352"/>
                              </a:lnTo>
                              <a:close/>
                            </a:path>
                            <a:path w="2995930" h="2994660">
                              <a:moveTo>
                                <a:pt x="1303159" y="2409596"/>
                              </a:moveTo>
                              <a:lnTo>
                                <a:pt x="1290193" y="2340483"/>
                              </a:lnTo>
                              <a:lnTo>
                                <a:pt x="1260754" y="2267801"/>
                              </a:lnTo>
                              <a:lnTo>
                                <a:pt x="1240180" y="2230069"/>
                              </a:lnTo>
                              <a:lnTo>
                                <a:pt x="1215517" y="2191385"/>
                              </a:lnTo>
                              <a:lnTo>
                                <a:pt x="1203617" y="2174900"/>
                              </a:lnTo>
                              <a:lnTo>
                                <a:pt x="1203617" y="2395855"/>
                              </a:lnTo>
                              <a:lnTo>
                                <a:pt x="1203325" y="2420239"/>
                              </a:lnTo>
                              <a:lnTo>
                                <a:pt x="1190726" y="2465794"/>
                              </a:lnTo>
                              <a:lnTo>
                                <a:pt x="1160907" y="2506472"/>
                              </a:lnTo>
                              <a:lnTo>
                                <a:pt x="1120495" y="2536787"/>
                              </a:lnTo>
                              <a:lnTo>
                                <a:pt x="1076579" y="2550033"/>
                              </a:lnTo>
                              <a:lnTo>
                                <a:pt x="1053325" y="2551353"/>
                              </a:lnTo>
                              <a:lnTo>
                                <a:pt x="1029335" y="2549296"/>
                              </a:lnTo>
                              <a:lnTo>
                                <a:pt x="979043" y="2534539"/>
                              </a:lnTo>
                              <a:lnTo>
                                <a:pt x="926426" y="2507856"/>
                              </a:lnTo>
                              <a:lnTo>
                                <a:pt x="871347" y="2469642"/>
                              </a:lnTo>
                              <a:lnTo>
                                <a:pt x="814006" y="2421953"/>
                              </a:lnTo>
                              <a:lnTo>
                                <a:pt x="784758" y="2395105"/>
                              </a:lnTo>
                              <a:lnTo>
                                <a:pt x="755142" y="2366264"/>
                              </a:lnTo>
                              <a:lnTo>
                                <a:pt x="704253" y="2311831"/>
                              </a:lnTo>
                              <a:lnTo>
                                <a:pt x="659003" y="2256536"/>
                              </a:lnTo>
                              <a:lnTo>
                                <a:pt x="622528" y="2201799"/>
                              </a:lnTo>
                              <a:lnTo>
                                <a:pt x="596646" y="2148205"/>
                              </a:lnTo>
                              <a:lnTo>
                                <a:pt x="582015" y="2096960"/>
                              </a:lnTo>
                              <a:lnTo>
                                <a:pt x="579475" y="2072233"/>
                              </a:lnTo>
                              <a:lnTo>
                                <a:pt x="579882" y="2048002"/>
                              </a:lnTo>
                              <a:lnTo>
                                <a:pt x="592035" y="2002663"/>
                              </a:lnTo>
                              <a:lnTo>
                                <a:pt x="621538" y="1962277"/>
                              </a:lnTo>
                              <a:lnTo>
                                <a:pt x="661517" y="1932406"/>
                              </a:lnTo>
                              <a:lnTo>
                                <a:pt x="705612" y="1919097"/>
                              </a:lnTo>
                              <a:lnTo>
                                <a:pt x="729068" y="1918068"/>
                              </a:lnTo>
                              <a:lnTo>
                                <a:pt x="753173" y="1920201"/>
                              </a:lnTo>
                              <a:lnTo>
                                <a:pt x="803402" y="1934337"/>
                              </a:lnTo>
                              <a:lnTo>
                                <a:pt x="856297" y="1960918"/>
                              </a:lnTo>
                              <a:lnTo>
                                <a:pt x="911098" y="1997964"/>
                              </a:lnTo>
                              <a:lnTo>
                                <a:pt x="967638" y="2044814"/>
                              </a:lnTo>
                              <a:lnTo>
                                <a:pt x="996175" y="2070963"/>
                              </a:lnTo>
                              <a:lnTo>
                                <a:pt x="1024763" y="2098802"/>
                              </a:lnTo>
                              <a:lnTo>
                                <a:pt x="1051420" y="2126310"/>
                              </a:lnTo>
                              <a:lnTo>
                                <a:pt x="1099947" y="2181695"/>
                              </a:lnTo>
                              <a:lnTo>
                                <a:pt x="1142072" y="2237359"/>
                              </a:lnTo>
                              <a:lnTo>
                                <a:pt x="1173708" y="2291994"/>
                              </a:lnTo>
                              <a:lnTo>
                                <a:pt x="1195019" y="2344915"/>
                              </a:lnTo>
                              <a:lnTo>
                                <a:pt x="1203617" y="2395855"/>
                              </a:lnTo>
                              <a:lnTo>
                                <a:pt x="1203617" y="2174900"/>
                              </a:lnTo>
                              <a:lnTo>
                                <a:pt x="1155065" y="2112073"/>
                              </a:lnTo>
                              <a:lnTo>
                                <a:pt x="1119428" y="2071738"/>
                              </a:lnTo>
                              <a:lnTo>
                                <a:pt x="1080135" y="2030857"/>
                              </a:lnTo>
                              <a:lnTo>
                                <a:pt x="1039431" y="1991601"/>
                              </a:lnTo>
                              <a:lnTo>
                                <a:pt x="999642" y="1956104"/>
                              </a:lnTo>
                              <a:lnTo>
                                <a:pt x="960755" y="1924405"/>
                              </a:lnTo>
                              <a:lnTo>
                                <a:pt x="922782" y="1896491"/>
                              </a:lnTo>
                              <a:lnTo>
                                <a:pt x="885710" y="1872564"/>
                              </a:lnTo>
                              <a:lnTo>
                                <a:pt x="849604" y="1852841"/>
                              </a:lnTo>
                              <a:lnTo>
                                <a:pt x="814527" y="1837169"/>
                              </a:lnTo>
                              <a:lnTo>
                                <a:pt x="747674" y="1817751"/>
                              </a:lnTo>
                              <a:lnTo>
                                <a:pt x="715911" y="1814499"/>
                              </a:lnTo>
                              <a:lnTo>
                                <a:pt x="685114" y="1815325"/>
                              </a:lnTo>
                              <a:lnTo>
                                <a:pt x="626465" y="1828647"/>
                              </a:lnTo>
                              <a:lnTo>
                                <a:pt x="573100" y="1859737"/>
                              </a:lnTo>
                              <a:lnTo>
                                <a:pt x="525564" y="1907641"/>
                              </a:lnTo>
                              <a:lnTo>
                                <a:pt x="493991" y="1963788"/>
                              </a:lnTo>
                              <a:lnTo>
                                <a:pt x="481190" y="2025954"/>
                              </a:lnTo>
                              <a:lnTo>
                                <a:pt x="480974" y="2058835"/>
                              </a:lnTo>
                              <a:lnTo>
                                <a:pt x="484898" y="2092617"/>
                              </a:lnTo>
                              <a:lnTo>
                                <a:pt x="506006" y="2163254"/>
                              </a:lnTo>
                              <a:lnTo>
                                <a:pt x="522427" y="2200122"/>
                              </a:lnTo>
                              <a:lnTo>
                                <a:pt x="542683" y="2237803"/>
                              </a:lnTo>
                              <a:lnTo>
                                <a:pt x="566928" y="2276221"/>
                              </a:lnTo>
                              <a:lnTo>
                                <a:pt x="595033" y="2315273"/>
                              </a:lnTo>
                              <a:lnTo>
                                <a:pt x="626592" y="2354643"/>
                              </a:lnTo>
                              <a:lnTo>
                                <a:pt x="661555" y="2394318"/>
                              </a:lnTo>
                              <a:lnTo>
                                <a:pt x="699897" y="2434209"/>
                              </a:lnTo>
                              <a:lnTo>
                                <a:pt x="741299" y="2474214"/>
                              </a:lnTo>
                              <a:lnTo>
                                <a:pt x="781596" y="2510180"/>
                              </a:lnTo>
                              <a:lnTo>
                                <a:pt x="820953" y="2542286"/>
                              </a:lnTo>
                              <a:lnTo>
                                <a:pt x="859409" y="2570607"/>
                              </a:lnTo>
                              <a:lnTo>
                                <a:pt x="896785" y="2594978"/>
                              </a:lnTo>
                              <a:lnTo>
                                <a:pt x="933081" y="2615158"/>
                              </a:lnTo>
                              <a:lnTo>
                                <a:pt x="968260" y="2631186"/>
                              </a:lnTo>
                              <a:lnTo>
                                <a:pt x="1035011" y="2651048"/>
                              </a:lnTo>
                              <a:lnTo>
                                <a:pt x="1066876" y="2654579"/>
                              </a:lnTo>
                              <a:lnTo>
                                <a:pt x="1097813" y="2653931"/>
                              </a:lnTo>
                              <a:lnTo>
                                <a:pt x="1156843" y="2640863"/>
                              </a:lnTo>
                              <a:lnTo>
                                <a:pt x="1210919" y="2609545"/>
                              </a:lnTo>
                              <a:lnTo>
                                <a:pt x="1258900" y="2561234"/>
                              </a:lnTo>
                              <a:lnTo>
                                <a:pt x="1290307" y="2504833"/>
                              </a:lnTo>
                              <a:lnTo>
                                <a:pt x="1303032" y="2442514"/>
                              </a:lnTo>
                              <a:lnTo>
                                <a:pt x="1303159" y="2409596"/>
                              </a:lnTo>
                              <a:close/>
                            </a:path>
                            <a:path w="2995930" h="2994660">
                              <a:moveTo>
                                <a:pt x="1908048" y="1820926"/>
                              </a:moveTo>
                              <a:lnTo>
                                <a:pt x="1903984" y="1781048"/>
                              </a:lnTo>
                              <a:lnTo>
                                <a:pt x="1872107" y="1739773"/>
                              </a:lnTo>
                              <a:lnTo>
                                <a:pt x="1837436" y="1709674"/>
                              </a:lnTo>
                              <a:lnTo>
                                <a:pt x="1830959" y="1706626"/>
                              </a:lnTo>
                              <a:lnTo>
                                <a:pt x="1826895" y="1706626"/>
                              </a:lnTo>
                              <a:lnTo>
                                <a:pt x="1824990" y="1707388"/>
                              </a:lnTo>
                              <a:lnTo>
                                <a:pt x="1819910" y="1712468"/>
                              </a:lnTo>
                              <a:lnTo>
                                <a:pt x="1818132" y="1720469"/>
                              </a:lnTo>
                              <a:lnTo>
                                <a:pt x="1819402" y="1733042"/>
                              </a:lnTo>
                              <a:lnTo>
                                <a:pt x="1819960" y="1742833"/>
                              </a:lnTo>
                              <a:lnTo>
                                <a:pt x="1817789" y="1790687"/>
                              </a:lnTo>
                              <a:lnTo>
                                <a:pt x="1807845" y="1833245"/>
                              </a:lnTo>
                              <a:lnTo>
                                <a:pt x="1784032" y="1875840"/>
                              </a:lnTo>
                              <a:lnTo>
                                <a:pt x="1755889" y="1903031"/>
                              </a:lnTo>
                              <a:lnTo>
                                <a:pt x="1719465" y="1922272"/>
                              </a:lnTo>
                              <a:lnTo>
                                <a:pt x="1678051" y="1929790"/>
                              </a:lnTo>
                              <a:lnTo>
                                <a:pt x="1655775" y="1929218"/>
                              </a:lnTo>
                              <a:lnTo>
                                <a:pt x="1607820" y="1918335"/>
                              </a:lnTo>
                              <a:lnTo>
                                <a:pt x="1555750" y="1896033"/>
                              </a:lnTo>
                              <a:lnTo>
                                <a:pt x="1499489" y="1861439"/>
                              </a:lnTo>
                              <a:lnTo>
                                <a:pt x="1439621" y="1815312"/>
                              </a:lnTo>
                              <a:lnTo>
                                <a:pt x="1408595" y="1787791"/>
                              </a:lnTo>
                              <a:lnTo>
                                <a:pt x="1376807" y="1757172"/>
                              </a:lnTo>
                              <a:lnTo>
                                <a:pt x="1345806" y="1724990"/>
                              </a:lnTo>
                              <a:lnTo>
                                <a:pt x="1317879" y="1693494"/>
                              </a:lnTo>
                              <a:lnTo>
                                <a:pt x="1292898" y="1662557"/>
                              </a:lnTo>
                              <a:lnTo>
                                <a:pt x="1251648" y="1602892"/>
                              </a:lnTo>
                              <a:lnTo>
                                <a:pt x="1222248" y="1547228"/>
                              </a:lnTo>
                              <a:lnTo>
                                <a:pt x="1203845" y="1495412"/>
                              </a:lnTo>
                              <a:lnTo>
                                <a:pt x="1197914" y="1448181"/>
                              </a:lnTo>
                              <a:lnTo>
                                <a:pt x="1199261" y="1426464"/>
                              </a:lnTo>
                              <a:lnTo>
                                <a:pt x="1211110" y="1387754"/>
                              </a:lnTo>
                              <a:lnTo>
                                <a:pt x="1235075" y="1355229"/>
                              </a:lnTo>
                              <a:lnTo>
                                <a:pt x="1276426" y="1324686"/>
                              </a:lnTo>
                              <a:lnTo>
                                <a:pt x="1319682" y="1312062"/>
                              </a:lnTo>
                              <a:lnTo>
                                <a:pt x="1358696" y="1308544"/>
                              </a:lnTo>
                              <a:lnTo>
                                <a:pt x="1380718" y="1308862"/>
                              </a:lnTo>
                              <a:lnTo>
                                <a:pt x="1390523" y="1309509"/>
                              </a:lnTo>
                              <a:lnTo>
                                <a:pt x="1403096" y="1310640"/>
                              </a:lnTo>
                              <a:lnTo>
                                <a:pt x="1411097" y="1309878"/>
                              </a:lnTo>
                              <a:lnTo>
                                <a:pt x="1415796" y="1305052"/>
                              </a:lnTo>
                              <a:lnTo>
                                <a:pt x="1416431" y="1302385"/>
                              </a:lnTo>
                              <a:lnTo>
                                <a:pt x="1416304" y="1299464"/>
                              </a:lnTo>
                              <a:lnTo>
                                <a:pt x="1391920" y="1263015"/>
                              </a:lnTo>
                              <a:lnTo>
                                <a:pt x="1363599" y="1235964"/>
                              </a:lnTo>
                              <a:lnTo>
                                <a:pt x="1359281" y="1233043"/>
                              </a:lnTo>
                              <a:lnTo>
                                <a:pt x="1355344" y="1229614"/>
                              </a:lnTo>
                              <a:lnTo>
                                <a:pt x="1313395" y="1217066"/>
                              </a:lnTo>
                              <a:lnTo>
                                <a:pt x="1293495" y="1217295"/>
                              </a:lnTo>
                              <a:lnTo>
                                <a:pt x="1247013" y="1225042"/>
                              </a:lnTo>
                              <a:lnTo>
                                <a:pt x="1199642" y="1244092"/>
                              </a:lnTo>
                              <a:lnTo>
                                <a:pt x="1167180" y="1266621"/>
                              </a:lnTo>
                              <a:lnTo>
                                <a:pt x="1137805" y="1298308"/>
                              </a:lnTo>
                              <a:lnTo>
                                <a:pt x="1110615" y="1349425"/>
                              </a:lnTo>
                              <a:lnTo>
                                <a:pt x="1099769" y="1408658"/>
                              </a:lnTo>
                              <a:lnTo>
                                <a:pt x="1099832" y="1440586"/>
                              </a:lnTo>
                              <a:lnTo>
                                <a:pt x="1112012" y="1508506"/>
                              </a:lnTo>
                              <a:lnTo>
                                <a:pt x="1124432" y="1544840"/>
                              </a:lnTo>
                              <a:lnTo>
                                <a:pt x="1140523" y="1582191"/>
                              </a:lnTo>
                              <a:lnTo>
                                <a:pt x="1160513" y="1620507"/>
                              </a:lnTo>
                              <a:lnTo>
                                <a:pt x="1184656" y="1659763"/>
                              </a:lnTo>
                              <a:lnTo>
                                <a:pt x="1212583" y="1700022"/>
                              </a:lnTo>
                              <a:lnTo>
                                <a:pt x="1244536" y="1740877"/>
                              </a:lnTo>
                              <a:lnTo>
                                <a:pt x="1280477" y="1782229"/>
                              </a:lnTo>
                              <a:lnTo>
                                <a:pt x="1320419" y="1823974"/>
                              </a:lnTo>
                              <a:lnTo>
                                <a:pt x="1361160" y="1863077"/>
                              </a:lnTo>
                              <a:lnTo>
                                <a:pt x="1401089" y="1897976"/>
                              </a:lnTo>
                              <a:lnTo>
                                <a:pt x="1440218" y="1928799"/>
                              </a:lnTo>
                              <a:lnTo>
                                <a:pt x="1478534" y="1955673"/>
                              </a:lnTo>
                              <a:lnTo>
                                <a:pt x="1515986" y="1978990"/>
                              </a:lnTo>
                              <a:lnTo>
                                <a:pt x="1552359" y="1998052"/>
                              </a:lnTo>
                              <a:lnTo>
                                <a:pt x="1587665" y="2013127"/>
                              </a:lnTo>
                              <a:lnTo>
                                <a:pt x="1654695" y="2032203"/>
                              </a:lnTo>
                              <a:lnTo>
                                <a:pt x="1686191" y="2035619"/>
                              </a:lnTo>
                              <a:lnTo>
                                <a:pt x="1716366" y="2035048"/>
                              </a:lnTo>
                              <a:lnTo>
                                <a:pt x="1772488" y="2022957"/>
                              </a:lnTo>
                              <a:lnTo>
                                <a:pt x="1821967" y="1995424"/>
                              </a:lnTo>
                              <a:lnTo>
                                <a:pt x="1855990" y="1963369"/>
                              </a:lnTo>
                              <a:lnTo>
                                <a:pt x="1883156" y="1923415"/>
                              </a:lnTo>
                              <a:lnTo>
                                <a:pt x="1898789" y="1881987"/>
                              </a:lnTo>
                              <a:lnTo>
                                <a:pt x="1906600" y="1843811"/>
                              </a:lnTo>
                              <a:lnTo>
                                <a:pt x="1907794" y="1832127"/>
                              </a:lnTo>
                              <a:lnTo>
                                <a:pt x="1908048" y="1820926"/>
                              </a:lnTo>
                              <a:close/>
                            </a:path>
                            <a:path w="2995930" h="2994660">
                              <a:moveTo>
                                <a:pt x="2289073" y="1423746"/>
                              </a:moveTo>
                              <a:lnTo>
                                <a:pt x="2276221" y="1354582"/>
                              </a:lnTo>
                              <a:lnTo>
                                <a:pt x="2263330" y="1318704"/>
                              </a:lnTo>
                              <a:lnTo>
                                <a:pt x="2246693" y="1281874"/>
                              </a:lnTo>
                              <a:lnTo>
                                <a:pt x="2226132" y="1244104"/>
                              </a:lnTo>
                              <a:lnTo>
                                <a:pt x="2201545" y="1205357"/>
                              </a:lnTo>
                              <a:lnTo>
                                <a:pt x="2189518" y="1188770"/>
                              </a:lnTo>
                              <a:lnTo>
                                <a:pt x="2189518" y="1409928"/>
                              </a:lnTo>
                              <a:lnTo>
                                <a:pt x="2189226" y="1434338"/>
                              </a:lnTo>
                              <a:lnTo>
                                <a:pt x="2176678" y="1479892"/>
                              </a:lnTo>
                              <a:lnTo>
                                <a:pt x="2146808" y="1520571"/>
                              </a:lnTo>
                              <a:lnTo>
                                <a:pt x="2106384" y="1550949"/>
                              </a:lnTo>
                              <a:lnTo>
                                <a:pt x="2062353" y="1564259"/>
                              </a:lnTo>
                              <a:lnTo>
                                <a:pt x="2039200" y="1565490"/>
                              </a:lnTo>
                              <a:lnTo>
                                <a:pt x="2015261" y="1563357"/>
                              </a:lnTo>
                              <a:lnTo>
                                <a:pt x="1964944" y="1548638"/>
                              </a:lnTo>
                              <a:lnTo>
                                <a:pt x="1912429" y="1521955"/>
                              </a:lnTo>
                              <a:lnTo>
                                <a:pt x="1857248" y="1483741"/>
                              </a:lnTo>
                              <a:lnTo>
                                <a:pt x="1799907" y="1436065"/>
                              </a:lnTo>
                              <a:lnTo>
                                <a:pt x="1770659" y="1409204"/>
                              </a:lnTo>
                              <a:lnTo>
                                <a:pt x="1741043" y="1380363"/>
                              </a:lnTo>
                              <a:lnTo>
                                <a:pt x="1690154" y="1325930"/>
                              </a:lnTo>
                              <a:lnTo>
                                <a:pt x="1644904" y="1270635"/>
                              </a:lnTo>
                              <a:lnTo>
                                <a:pt x="1608429" y="1215898"/>
                              </a:lnTo>
                              <a:lnTo>
                                <a:pt x="1582547" y="1162304"/>
                              </a:lnTo>
                              <a:lnTo>
                                <a:pt x="1567967" y="1111059"/>
                              </a:lnTo>
                              <a:lnTo>
                                <a:pt x="1565427" y="1086294"/>
                              </a:lnTo>
                              <a:lnTo>
                                <a:pt x="1565783" y="1062101"/>
                              </a:lnTo>
                              <a:lnTo>
                                <a:pt x="1577886" y="1016787"/>
                              </a:lnTo>
                              <a:lnTo>
                                <a:pt x="1607439" y="976503"/>
                              </a:lnTo>
                              <a:lnTo>
                                <a:pt x="1647380" y="946569"/>
                              </a:lnTo>
                              <a:lnTo>
                                <a:pt x="1691513" y="933196"/>
                              </a:lnTo>
                              <a:lnTo>
                                <a:pt x="1714969" y="932218"/>
                              </a:lnTo>
                              <a:lnTo>
                                <a:pt x="1739074" y="934326"/>
                              </a:lnTo>
                              <a:lnTo>
                                <a:pt x="1789303" y="948309"/>
                              </a:lnTo>
                              <a:lnTo>
                                <a:pt x="1842198" y="975004"/>
                              </a:lnTo>
                              <a:lnTo>
                                <a:pt x="1896999" y="1012063"/>
                              </a:lnTo>
                              <a:lnTo>
                                <a:pt x="1953539" y="1058913"/>
                              </a:lnTo>
                              <a:lnTo>
                                <a:pt x="1982076" y="1085062"/>
                              </a:lnTo>
                              <a:lnTo>
                                <a:pt x="2010664" y="1112901"/>
                              </a:lnTo>
                              <a:lnTo>
                                <a:pt x="2037321" y="1140409"/>
                              </a:lnTo>
                              <a:lnTo>
                                <a:pt x="2085848" y="1195793"/>
                              </a:lnTo>
                              <a:lnTo>
                                <a:pt x="2127974" y="1251458"/>
                              </a:lnTo>
                              <a:lnTo>
                                <a:pt x="2159609" y="1306093"/>
                              </a:lnTo>
                              <a:lnTo>
                                <a:pt x="2180920" y="1358963"/>
                              </a:lnTo>
                              <a:lnTo>
                                <a:pt x="2189518" y="1409928"/>
                              </a:lnTo>
                              <a:lnTo>
                                <a:pt x="2189518" y="1188770"/>
                              </a:lnTo>
                              <a:lnTo>
                                <a:pt x="2140978" y="1126159"/>
                              </a:lnTo>
                              <a:lnTo>
                                <a:pt x="2105329" y="1085824"/>
                              </a:lnTo>
                              <a:lnTo>
                                <a:pt x="2066036" y="1044956"/>
                              </a:lnTo>
                              <a:lnTo>
                                <a:pt x="2025332" y="1005700"/>
                              </a:lnTo>
                              <a:lnTo>
                                <a:pt x="1985543" y="970203"/>
                              </a:lnTo>
                              <a:lnTo>
                                <a:pt x="1946656" y="938504"/>
                              </a:lnTo>
                              <a:lnTo>
                                <a:pt x="1908683" y="910590"/>
                              </a:lnTo>
                              <a:lnTo>
                                <a:pt x="1871586" y="886663"/>
                              </a:lnTo>
                              <a:lnTo>
                                <a:pt x="1835467" y="866940"/>
                              </a:lnTo>
                              <a:lnTo>
                                <a:pt x="1800377" y="851268"/>
                              </a:lnTo>
                              <a:lnTo>
                                <a:pt x="1733562" y="831850"/>
                              </a:lnTo>
                              <a:lnTo>
                                <a:pt x="1701761" y="828611"/>
                              </a:lnTo>
                              <a:lnTo>
                                <a:pt x="1670964" y="829475"/>
                              </a:lnTo>
                              <a:lnTo>
                                <a:pt x="1612366" y="842860"/>
                              </a:lnTo>
                              <a:lnTo>
                                <a:pt x="1559001" y="873861"/>
                              </a:lnTo>
                              <a:lnTo>
                                <a:pt x="1511452" y="921740"/>
                              </a:lnTo>
                              <a:lnTo>
                                <a:pt x="1479791" y="977887"/>
                              </a:lnTo>
                              <a:lnTo>
                                <a:pt x="1467027" y="1040053"/>
                              </a:lnTo>
                              <a:lnTo>
                                <a:pt x="1466837" y="1072946"/>
                              </a:lnTo>
                              <a:lnTo>
                                <a:pt x="1470748" y="1106766"/>
                              </a:lnTo>
                              <a:lnTo>
                                <a:pt x="1491780" y="1177404"/>
                              </a:lnTo>
                              <a:lnTo>
                                <a:pt x="1508213" y="1214234"/>
                              </a:lnTo>
                              <a:lnTo>
                                <a:pt x="1528508" y="1251902"/>
                              </a:lnTo>
                              <a:lnTo>
                                <a:pt x="1552829" y="1290320"/>
                              </a:lnTo>
                              <a:lnTo>
                                <a:pt x="1580921" y="1329372"/>
                              </a:lnTo>
                              <a:lnTo>
                                <a:pt x="1612430" y="1368742"/>
                              </a:lnTo>
                              <a:lnTo>
                                <a:pt x="1647355" y="1408417"/>
                              </a:lnTo>
                              <a:lnTo>
                                <a:pt x="1685671" y="1448308"/>
                              </a:lnTo>
                              <a:lnTo>
                                <a:pt x="1727123" y="1488313"/>
                              </a:lnTo>
                              <a:lnTo>
                                <a:pt x="1767471" y="1524317"/>
                              </a:lnTo>
                              <a:lnTo>
                                <a:pt x="1806803" y="1556435"/>
                              </a:lnTo>
                              <a:lnTo>
                                <a:pt x="1845183" y="1584706"/>
                              </a:lnTo>
                              <a:lnTo>
                                <a:pt x="1882635" y="1609077"/>
                              </a:lnTo>
                              <a:lnTo>
                                <a:pt x="1918970" y="1629257"/>
                              </a:lnTo>
                              <a:lnTo>
                                <a:pt x="1954149" y="1645297"/>
                              </a:lnTo>
                              <a:lnTo>
                                <a:pt x="2020912" y="1665147"/>
                              </a:lnTo>
                              <a:lnTo>
                                <a:pt x="2052777" y="1668691"/>
                              </a:lnTo>
                              <a:lnTo>
                                <a:pt x="2083714" y="1668081"/>
                              </a:lnTo>
                              <a:lnTo>
                                <a:pt x="2142744" y="1655089"/>
                              </a:lnTo>
                              <a:lnTo>
                                <a:pt x="2196820" y="1623720"/>
                              </a:lnTo>
                              <a:lnTo>
                                <a:pt x="2244788" y="1575333"/>
                              </a:lnTo>
                              <a:lnTo>
                                <a:pt x="2276157" y="1518932"/>
                              </a:lnTo>
                              <a:lnTo>
                                <a:pt x="2288933" y="1456677"/>
                              </a:lnTo>
                              <a:lnTo>
                                <a:pt x="2289073" y="1423746"/>
                              </a:lnTo>
                              <a:close/>
                            </a:path>
                            <a:path w="2995930" h="2994660">
                              <a:moveTo>
                                <a:pt x="2556002" y="1238885"/>
                              </a:moveTo>
                              <a:lnTo>
                                <a:pt x="2554986" y="1235837"/>
                              </a:lnTo>
                              <a:lnTo>
                                <a:pt x="2553843" y="1232789"/>
                              </a:lnTo>
                              <a:lnTo>
                                <a:pt x="2551557" y="1229741"/>
                              </a:lnTo>
                              <a:lnTo>
                                <a:pt x="2305304" y="983488"/>
                              </a:lnTo>
                              <a:lnTo>
                                <a:pt x="2355088" y="933704"/>
                              </a:lnTo>
                              <a:lnTo>
                                <a:pt x="2373744" y="913079"/>
                              </a:lnTo>
                              <a:lnTo>
                                <a:pt x="2376182" y="909701"/>
                              </a:lnTo>
                              <a:lnTo>
                                <a:pt x="2389086" y="891921"/>
                              </a:lnTo>
                              <a:lnTo>
                                <a:pt x="2409571" y="847852"/>
                              </a:lnTo>
                              <a:lnTo>
                                <a:pt x="2417432" y="802767"/>
                              </a:lnTo>
                              <a:lnTo>
                                <a:pt x="2417508" y="778319"/>
                              </a:lnTo>
                              <a:lnTo>
                                <a:pt x="2414524" y="753999"/>
                              </a:lnTo>
                              <a:lnTo>
                                <a:pt x="2400338" y="704456"/>
                              </a:lnTo>
                              <a:lnTo>
                                <a:pt x="2375789" y="653669"/>
                              </a:lnTo>
                              <a:lnTo>
                                <a:pt x="2340584" y="602348"/>
                              </a:lnTo>
                              <a:lnTo>
                                <a:pt x="2321128" y="579158"/>
                              </a:lnTo>
                              <a:lnTo>
                                <a:pt x="2321128" y="774280"/>
                              </a:lnTo>
                              <a:lnTo>
                                <a:pt x="2320226" y="788733"/>
                              </a:lnTo>
                              <a:lnTo>
                                <a:pt x="2305621" y="830376"/>
                              </a:lnTo>
                              <a:lnTo>
                                <a:pt x="2231517" y="909701"/>
                              </a:lnTo>
                              <a:lnTo>
                                <a:pt x="1960118" y="638429"/>
                              </a:lnTo>
                              <a:lnTo>
                                <a:pt x="2014105" y="584441"/>
                              </a:lnTo>
                              <a:lnTo>
                                <a:pt x="2048637" y="557403"/>
                              </a:lnTo>
                              <a:lnTo>
                                <a:pt x="2096262" y="544068"/>
                              </a:lnTo>
                              <a:lnTo>
                                <a:pt x="2110981" y="544715"/>
                              </a:lnTo>
                              <a:lnTo>
                                <a:pt x="2162302" y="560705"/>
                              </a:lnTo>
                              <a:lnTo>
                                <a:pt x="2200605" y="584454"/>
                              </a:lnTo>
                              <a:lnTo>
                                <a:pt x="2241169" y="619887"/>
                              </a:lnTo>
                              <a:lnTo>
                                <a:pt x="2268791" y="650608"/>
                              </a:lnTo>
                              <a:lnTo>
                                <a:pt x="2291080" y="681990"/>
                              </a:lnTo>
                              <a:lnTo>
                                <a:pt x="2313343" y="729234"/>
                              </a:lnTo>
                              <a:lnTo>
                                <a:pt x="2321128" y="774280"/>
                              </a:lnTo>
                              <a:lnTo>
                                <a:pt x="2321128" y="579158"/>
                              </a:lnTo>
                              <a:lnTo>
                                <a:pt x="2319147" y="576795"/>
                              </a:lnTo>
                              <a:lnTo>
                                <a:pt x="2295017" y="551307"/>
                              </a:lnTo>
                              <a:lnTo>
                                <a:pt x="2287447" y="544068"/>
                              </a:lnTo>
                              <a:lnTo>
                                <a:pt x="2275878" y="532993"/>
                              </a:lnTo>
                              <a:lnTo>
                                <a:pt x="2237575" y="501472"/>
                              </a:lnTo>
                              <a:lnTo>
                                <a:pt x="2199157" y="476669"/>
                              </a:lnTo>
                              <a:lnTo>
                                <a:pt x="2161438" y="459130"/>
                              </a:lnTo>
                              <a:lnTo>
                                <a:pt x="2124494" y="447548"/>
                              </a:lnTo>
                              <a:lnTo>
                                <a:pt x="2070989" y="442849"/>
                              </a:lnTo>
                              <a:lnTo>
                                <a:pt x="2054098" y="444538"/>
                              </a:lnTo>
                              <a:lnTo>
                                <a:pt x="2012188" y="456692"/>
                              </a:lnTo>
                              <a:lnTo>
                                <a:pt x="1973580" y="479679"/>
                              </a:lnTo>
                              <a:lnTo>
                                <a:pt x="1944624" y="505460"/>
                              </a:lnTo>
                              <a:lnTo>
                                <a:pt x="1850771" y="599313"/>
                              </a:lnTo>
                              <a:lnTo>
                                <a:pt x="1843532" y="616623"/>
                              </a:lnTo>
                              <a:lnTo>
                                <a:pt x="1843659" y="624205"/>
                              </a:lnTo>
                              <a:lnTo>
                                <a:pt x="1866392" y="661035"/>
                              </a:lnTo>
                              <a:lnTo>
                                <a:pt x="2490724" y="1285367"/>
                              </a:lnTo>
                              <a:lnTo>
                                <a:pt x="2493264" y="1288034"/>
                              </a:lnTo>
                              <a:lnTo>
                                <a:pt x="2496312" y="1290193"/>
                              </a:lnTo>
                              <a:lnTo>
                                <a:pt x="2502408" y="1292479"/>
                              </a:lnTo>
                              <a:lnTo>
                                <a:pt x="2505456" y="1292606"/>
                              </a:lnTo>
                              <a:lnTo>
                                <a:pt x="2508885" y="1291336"/>
                              </a:lnTo>
                              <a:lnTo>
                                <a:pt x="2512822" y="1290574"/>
                              </a:lnTo>
                              <a:lnTo>
                                <a:pt x="2546604" y="1261999"/>
                              </a:lnTo>
                              <a:lnTo>
                                <a:pt x="2554859" y="1245235"/>
                              </a:lnTo>
                              <a:lnTo>
                                <a:pt x="2555875" y="1242187"/>
                              </a:lnTo>
                              <a:lnTo>
                                <a:pt x="2556002" y="1238885"/>
                              </a:lnTo>
                              <a:close/>
                            </a:path>
                            <a:path w="2995930" h="2994660">
                              <a:moveTo>
                                <a:pt x="2995803" y="802259"/>
                              </a:moveTo>
                              <a:lnTo>
                                <a:pt x="2995676" y="799211"/>
                              </a:lnTo>
                              <a:lnTo>
                                <a:pt x="2993517" y="793115"/>
                              </a:lnTo>
                              <a:lnTo>
                                <a:pt x="2991231" y="790067"/>
                              </a:lnTo>
                              <a:lnTo>
                                <a:pt x="2739136" y="538099"/>
                              </a:lnTo>
                              <a:lnTo>
                                <a:pt x="2692006" y="446278"/>
                              </a:lnTo>
                              <a:lnTo>
                                <a:pt x="2551988" y="170192"/>
                              </a:lnTo>
                              <a:lnTo>
                                <a:pt x="2481453" y="32385"/>
                              </a:lnTo>
                              <a:lnTo>
                                <a:pt x="2451100" y="0"/>
                              </a:lnTo>
                              <a:lnTo>
                                <a:pt x="2446020" y="1905"/>
                              </a:lnTo>
                              <a:lnTo>
                                <a:pt x="2414524" y="29210"/>
                              </a:lnTo>
                              <a:lnTo>
                                <a:pt x="2399665" y="57658"/>
                              </a:lnTo>
                              <a:lnTo>
                                <a:pt x="2401189" y="61341"/>
                              </a:lnTo>
                              <a:lnTo>
                                <a:pt x="2402459" y="65278"/>
                              </a:lnTo>
                              <a:lnTo>
                                <a:pt x="2404110" y="68961"/>
                              </a:lnTo>
                              <a:lnTo>
                                <a:pt x="2407158" y="73279"/>
                              </a:lnTo>
                              <a:lnTo>
                                <a:pt x="2429713" y="116001"/>
                              </a:lnTo>
                              <a:lnTo>
                                <a:pt x="2496705" y="244411"/>
                              </a:lnTo>
                              <a:lnTo>
                                <a:pt x="2541651" y="329819"/>
                              </a:lnTo>
                              <a:lnTo>
                                <a:pt x="2604592" y="442645"/>
                              </a:lnTo>
                              <a:lnTo>
                                <a:pt x="2626487" y="480314"/>
                              </a:lnTo>
                              <a:lnTo>
                                <a:pt x="2625852" y="480949"/>
                              </a:lnTo>
                              <a:lnTo>
                                <a:pt x="2472817" y="395605"/>
                              </a:lnTo>
                              <a:lnTo>
                                <a:pt x="2430335" y="373176"/>
                              </a:lnTo>
                              <a:lnTo>
                                <a:pt x="2217547" y="261747"/>
                              </a:lnTo>
                              <a:lnTo>
                                <a:pt x="2212848" y="259080"/>
                              </a:lnTo>
                              <a:lnTo>
                                <a:pt x="2208911" y="257937"/>
                              </a:lnTo>
                              <a:lnTo>
                                <a:pt x="2205355" y="256286"/>
                              </a:lnTo>
                              <a:lnTo>
                                <a:pt x="2201799" y="255524"/>
                              </a:lnTo>
                              <a:lnTo>
                                <a:pt x="2156841" y="286893"/>
                              </a:lnTo>
                              <a:lnTo>
                                <a:pt x="2142236" y="307721"/>
                              </a:lnTo>
                              <a:lnTo>
                                <a:pt x="2144268" y="316357"/>
                              </a:lnTo>
                              <a:lnTo>
                                <a:pt x="2175256" y="338582"/>
                              </a:lnTo>
                              <a:lnTo>
                                <a:pt x="2267026" y="385762"/>
                              </a:lnTo>
                              <a:lnTo>
                                <a:pt x="2543137" y="525754"/>
                              </a:lnTo>
                              <a:lnTo>
                                <a:pt x="2680970" y="596265"/>
                              </a:lnTo>
                              <a:lnTo>
                                <a:pt x="2932938" y="848360"/>
                              </a:lnTo>
                              <a:lnTo>
                                <a:pt x="2935986" y="850646"/>
                              </a:lnTo>
                              <a:lnTo>
                                <a:pt x="2939034" y="851789"/>
                              </a:lnTo>
                              <a:lnTo>
                                <a:pt x="2941701" y="853186"/>
                              </a:lnTo>
                              <a:lnTo>
                                <a:pt x="2945003" y="853059"/>
                              </a:lnTo>
                              <a:lnTo>
                                <a:pt x="2948432" y="851662"/>
                              </a:lnTo>
                              <a:lnTo>
                                <a:pt x="2952496" y="850900"/>
                              </a:lnTo>
                              <a:lnTo>
                                <a:pt x="2985897" y="822706"/>
                              </a:lnTo>
                              <a:lnTo>
                                <a:pt x="2994533" y="805561"/>
                              </a:lnTo>
                              <a:lnTo>
                                <a:pt x="2995803" y="80225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52.480011pt;margin-top:214.649948pt;width:235.9pt;height:235.8pt;mso-position-horizontal-relative:page;mso-position-vertical-relative:page;z-index:-25517056" id="docshape171" coordorigin="5050,4293" coordsize="4718,4716" path="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w10:wrap type="none"/>
              </v:shape>
            </w:pict>
          </mc:Fallback>
        </mc:AlternateContent>
      </w:r>
      <w:r>
        <w:rPr>
          <w:b/>
          <w:sz w:val="24"/>
        </w:rPr>
        <w:t>Appendix</w:t>
      </w:r>
      <w:r>
        <w:rPr>
          <w:b/>
          <w:spacing w:val="-4"/>
          <w:sz w:val="24"/>
        </w:rPr>
        <w:t> </w:t>
      </w:r>
      <w:r>
        <w:rPr>
          <w:b/>
          <w:sz w:val="24"/>
        </w:rPr>
        <w:t>21:</w:t>
      </w:r>
      <w:r>
        <w:rPr>
          <w:b/>
          <w:spacing w:val="-1"/>
          <w:sz w:val="24"/>
        </w:rPr>
        <w:t> </w:t>
      </w:r>
      <w:r>
        <w:rPr>
          <w:b/>
          <w:sz w:val="24"/>
        </w:rPr>
        <w:t>Table</w:t>
      </w:r>
      <w:r>
        <w:rPr>
          <w:b/>
          <w:spacing w:val="-2"/>
          <w:sz w:val="24"/>
        </w:rPr>
        <w:t> </w:t>
      </w:r>
      <w:r>
        <w:rPr>
          <w:b/>
          <w:sz w:val="24"/>
        </w:rPr>
        <w:t>4.10:</w:t>
      </w:r>
      <w:r>
        <w:rPr>
          <w:b/>
          <w:spacing w:val="-1"/>
          <w:sz w:val="24"/>
        </w:rPr>
        <w:t> </w:t>
      </w:r>
      <w:r>
        <w:rPr>
          <w:b/>
          <w:sz w:val="24"/>
        </w:rPr>
        <w:t>VREL</w:t>
      </w:r>
      <w:r>
        <w:rPr>
          <w:b/>
          <w:spacing w:val="-2"/>
          <w:sz w:val="24"/>
        </w:rPr>
        <w:t> </w:t>
      </w:r>
      <w:r>
        <w:rPr>
          <w:b/>
          <w:sz w:val="24"/>
        </w:rPr>
        <w:t>and</w:t>
      </w:r>
      <w:r>
        <w:rPr>
          <w:b/>
          <w:spacing w:val="-1"/>
          <w:sz w:val="24"/>
        </w:rPr>
        <w:t> </w:t>
      </w:r>
      <w:r>
        <w:rPr>
          <w:b/>
          <w:sz w:val="24"/>
        </w:rPr>
        <w:t>Board</w:t>
      </w:r>
      <w:r>
        <w:rPr>
          <w:b/>
          <w:spacing w:val="-1"/>
          <w:sz w:val="24"/>
        </w:rPr>
        <w:t> </w:t>
      </w:r>
      <w:r>
        <w:rPr>
          <w:b/>
          <w:sz w:val="24"/>
        </w:rPr>
        <w:t>Structure</w:t>
      </w:r>
      <w:r>
        <w:rPr>
          <w:b/>
          <w:spacing w:val="-2"/>
          <w:sz w:val="24"/>
        </w:rPr>
        <w:t> </w:t>
      </w:r>
      <w:r>
        <w:rPr>
          <w:b/>
          <w:sz w:val="24"/>
        </w:rPr>
        <w:t>Regression</w:t>
      </w:r>
      <w:r>
        <w:rPr>
          <w:b/>
          <w:spacing w:val="-2"/>
          <w:sz w:val="24"/>
        </w:rPr>
        <w:t> </w:t>
      </w:r>
      <w:r>
        <w:rPr>
          <w:b/>
          <w:sz w:val="24"/>
        </w:rPr>
        <w:t>Result</w:t>
      </w:r>
      <w:r>
        <w:rPr>
          <w:b/>
          <w:spacing w:val="-1"/>
          <w:sz w:val="24"/>
        </w:rPr>
        <w:t> </w:t>
      </w:r>
      <w:r>
        <w:rPr>
          <w:b/>
          <w:spacing w:val="-2"/>
          <w:sz w:val="24"/>
        </w:rPr>
        <w:t>(DID)</w:t>
      </w:r>
    </w:p>
    <w:p>
      <w:pPr>
        <w:pStyle w:val="BodyText"/>
        <w:spacing w:before="28"/>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40"/>
        <w:gridCol w:w="88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5" w:hRule="atLeast"/>
        </w:trPr>
        <w:tc>
          <w:tcPr>
            <w:tcW w:w="6530" w:type="dxa"/>
            <w:gridSpan w:val="5"/>
          </w:tcPr>
          <w:p>
            <w:pPr>
              <w:pStyle w:val="TableParagraph"/>
              <w:spacing w:line="199" w:lineRule="exact" w:before="6"/>
              <w:rPr>
                <w:sz w:val="18"/>
              </w:rPr>
            </w:pPr>
            <w:r>
              <w:rPr>
                <w:sz w:val="18"/>
              </w:rPr>
              <w:t>Method:</w:t>
            </w:r>
            <w:r>
              <w:rPr>
                <w:spacing w:val="-5"/>
                <w:sz w:val="18"/>
              </w:rPr>
              <w:t> </w:t>
            </w:r>
            <w:r>
              <w:rPr>
                <w:sz w:val="18"/>
              </w:rPr>
              <w:t>ARMA</w:t>
            </w:r>
            <w:r>
              <w:rPr>
                <w:spacing w:val="-6"/>
                <w:sz w:val="18"/>
              </w:rPr>
              <w:t> </w:t>
            </w:r>
            <w:r>
              <w:rPr>
                <w:sz w:val="18"/>
              </w:rPr>
              <w:t>Maximum</w:t>
            </w:r>
            <w:r>
              <w:rPr>
                <w:spacing w:val="-2"/>
                <w:sz w:val="18"/>
              </w:rPr>
              <w:t> </w:t>
            </w:r>
            <w:r>
              <w:rPr>
                <w:sz w:val="18"/>
              </w:rPr>
              <w:t>Likelihood</w:t>
            </w:r>
            <w:r>
              <w:rPr>
                <w:spacing w:val="-3"/>
                <w:sz w:val="18"/>
              </w:rPr>
              <w:t> </w:t>
            </w:r>
            <w:r>
              <w:rPr>
                <w:sz w:val="18"/>
              </w:rPr>
              <w:t>(OPG</w:t>
            </w:r>
            <w:r>
              <w:rPr>
                <w:spacing w:val="-1"/>
                <w:sz w:val="18"/>
              </w:rPr>
              <w:t> </w:t>
            </w:r>
            <w:r>
              <w:rPr>
                <w:sz w:val="18"/>
              </w:rPr>
              <w:t>-</w:t>
            </w:r>
            <w:r>
              <w:rPr>
                <w:spacing w:val="-2"/>
                <w:sz w:val="18"/>
              </w:rPr>
              <w:t> </w:t>
            </w:r>
            <w:r>
              <w:rPr>
                <w:spacing w:val="-4"/>
                <w:sz w:val="18"/>
              </w:rPr>
              <w:t>BHHH)</w:t>
            </w:r>
          </w:p>
        </w:tc>
      </w:tr>
      <w:tr>
        <w:trPr>
          <w:trHeight w:val="224" w:hRule="atLeast"/>
        </w:trPr>
        <w:tc>
          <w:tcPr>
            <w:tcW w:w="6530" w:type="dxa"/>
            <w:gridSpan w:val="5"/>
          </w:tcPr>
          <w:p>
            <w:pPr>
              <w:pStyle w:val="TableParagraph"/>
              <w:spacing w:line="198" w:lineRule="exact" w:before="6"/>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08:31</w:t>
            </w:r>
          </w:p>
        </w:tc>
      </w:tr>
      <w:tr>
        <w:trPr>
          <w:trHeight w:val="224" w:hRule="atLeast"/>
        </w:trPr>
        <w:tc>
          <w:tcPr>
            <w:tcW w:w="1925" w:type="dxa"/>
          </w:tcPr>
          <w:p>
            <w:pPr>
              <w:pStyle w:val="TableParagraph"/>
              <w:spacing w:line="199" w:lineRule="exact" w:before="5"/>
              <w:rPr>
                <w:sz w:val="18"/>
              </w:rPr>
            </w:pPr>
            <w:r>
              <w:rPr>
                <w:sz w:val="18"/>
              </w:rPr>
              <w:t>Sample:</w:t>
            </w:r>
            <w:r>
              <w:rPr>
                <w:spacing w:val="-4"/>
                <w:sz w:val="18"/>
              </w:rPr>
              <w:t> </w:t>
            </w:r>
            <w:r>
              <w:rPr>
                <w:sz w:val="18"/>
              </w:rPr>
              <w:t>1</w:t>
            </w:r>
            <w:r>
              <w:rPr>
                <w:spacing w:val="-3"/>
                <w:sz w:val="18"/>
              </w:rPr>
              <w:t> </w:t>
            </w:r>
            <w:r>
              <w:rPr>
                <w:spacing w:val="-5"/>
                <w:sz w:val="18"/>
              </w:rPr>
              <w:t>195</w:t>
            </w:r>
          </w:p>
        </w:tc>
        <w:tc>
          <w:tcPr>
            <w:tcW w:w="1290" w:type="dxa"/>
          </w:tcPr>
          <w:p>
            <w:pPr>
              <w:pStyle w:val="TableParagraph"/>
              <w:rPr>
                <w:rFonts w:ascii="Times New Roman"/>
                <w:sz w:val="16"/>
              </w:rPr>
            </w:pPr>
          </w:p>
        </w:tc>
        <w:tc>
          <w:tcPr>
            <w:tcW w:w="1491" w:type="dxa"/>
          </w:tcPr>
          <w:p>
            <w:pPr>
              <w:pStyle w:val="TableParagraph"/>
              <w:rPr>
                <w:rFonts w:ascii="Times New Roman"/>
                <w:sz w:val="16"/>
              </w:rPr>
            </w:pPr>
          </w:p>
        </w:tc>
        <w:tc>
          <w:tcPr>
            <w:tcW w:w="940"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Included</w:t>
            </w:r>
            <w:r>
              <w:rPr>
                <w:spacing w:val="-6"/>
                <w:sz w:val="18"/>
              </w:rPr>
              <w:t> </w:t>
            </w:r>
            <w:r>
              <w:rPr>
                <w:sz w:val="18"/>
              </w:rPr>
              <w:t>observations:</w:t>
            </w:r>
            <w:r>
              <w:rPr>
                <w:spacing w:val="-5"/>
                <w:sz w:val="18"/>
              </w:rPr>
              <w:t> 195</w:t>
            </w:r>
          </w:p>
        </w:tc>
      </w:tr>
      <w:tr>
        <w:trPr>
          <w:trHeight w:val="225" w:hRule="atLeast"/>
        </w:trPr>
        <w:tc>
          <w:tcPr>
            <w:tcW w:w="6530" w:type="dxa"/>
            <w:gridSpan w:val="5"/>
          </w:tcPr>
          <w:p>
            <w:pPr>
              <w:pStyle w:val="TableParagraph"/>
              <w:spacing w:line="199" w:lineRule="exact" w:before="6"/>
              <w:rPr>
                <w:sz w:val="18"/>
              </w:rPr>
            </w:pPr>
            <w:r>
              <w:rPr>
                <w:sz w:val="18"/>
              </w:rPr>
              <w:t>Convergence</w:t>
            </w:r>
            <w:r>
              <w:rPr>
                <w:spacing w:val="-10"/>
                <w:sz w:val="18"/>
              </w:rPr>
              <w:t> </w:t>
            </w:r>
            <w:r>
              <w:rPr>
                <w:sz w:val="18"/>
              </w:rPr>
              <w:t>achieved</w:t>
            </w:r>
            <w:r>
              <w:rPr>
                <w:spacing w:val="-10"/>
                <w:sz w:val="18"/>
              </w:rPr>
              <w:t> </w:t>
            </w:r>
            <w:r>
              <w:rPr>
                <w:sz w:val="18"/>
              </w:rPr>
              <w:t>after</w:t>
            </w:r>
            <w:r>
              <w:rPr>
                <w:spacing w:val="-10"/>
                <w:sz w:val="18"/>
              </w:rPr>
              <w:t> </w:t>
            </w:r>
            <w:r>
              <w:rPr>
                <w:sz w:val="18"/>
              </w:rPr>
              <w:t>40</w:t>
            </w:r>
            <w:r>
              <w:rPr>
                <w:spacing w:val="-10"/>
                <w:sz w:val="18"/>
              </w:rPr>
              <w:t> </w:t>
            </w:r>
            <w:r>
              <w:rPr>
                <w:spacing w:val="-2"/>
                <w:sz w:val="18"/>
              </w:rPr>
              <w:t>iterations</w:t>
            </w:r>
          </w:p>
        </w:tc>
      </w:tr>
      <w:tr>
        <w:trPr>
          <w:trHeight w:val="301" w:hRule="atLeast"/>
        </w:trPr>
        <w:tc>
          <w:tcPr>
            <w:tcW w:w="6530" w:type="dxa"/>
            <w:gridSpan w:val="5"/>
            <w:tcBorders>
              <w:bottom w:val="double" w:sz="6" w:space="0" w:color="000000"/>
            </w:tcBorders>
          </w:tcPr>
          <w:p>
            <w:pPr>
              <w:pStyle w:val="TableParagraph"/>
              <w:spacing w:before="6"/>
              <w:rPr>
                <w:sz w:val="18"/>
              </w:rPr>
            </w:pPr>
            <w:r>
              <w:rPr>
                <w:sz w:val="18"/>
              </w:rPr>
              <w:t>Coefficient</w:t>
            </w:r>
            <w:r>
              <w:rPr>
                <w:spacing w:val="-10"/>
                <w:sz w:val="18"/>
              </w:rPr>
              <w:t> </w:t>
            </w:r>
            <w:r>
              <w:rPr>
                <w:sz w:val="18"/>
              </w:rPr>
              <w:t>covariance</w:t>
            </w:r>
            <w:r>
              <w:rPr>
                <w:spacing w:val="-11"/>
                <w:sz w:val="18"/>
              </w:rPr>
              <w:t> </w:t>
            </w:r>
            <w:r>
              <w:rPr>
                <w:sz w:val="18"/>
              </w:rPr>
              <w:t>computed</w:t>
            </w:r>
            <w:r>
              <w:rPr>
                <w:spacing w:val="-9"/>
                <w:sz w:val="18"/>
              </w:rPr>
              <w:t> </w:t>
            </w:r>
            <w:r>
              <w:rPr>
                <w:sz w:val="18"/>
              </w:rPr>
              <w:t>using</w:t>
            </w:r>
            <w:r>
              <w:rPr>
                <w:spacing w:val="-11"/>
                <w:sz w:val="18"/>
              </w:rPr>
              <w:t> </w:t>
            </w:r>
            <w:r>
              <w:rPr>
                <w:sz w:val="18"/>
              </w:rPr>
              <w:t>outer</w:t>
            </w:r>
            <w:r>
              <w:rPr>
                <w:spacing w:val="-10"/>
                <w:sz w:val="18"/>
              </w:rPr>
              <w:t> </w:t>
            </w:r>
            <w:r>
              <w:rPr>
                <w:sz w:val="18"/>
              </w:rPr>
              <w:t>product</w:t>
            </w:r>
            <w:r>
              <w:rPr>
                <w:spacing w:val="-9"/>
                <w:sz w:val="18"/>
              </w:rPr>
              <w:t> </w:t>
            </w:r>
            <w:r>
              <w:rPr>
                <w:sz w:val="18"/>
              </w:rPr>
              <w:t>of</w:t>
            </w:r>
            <w:r>
              <w:rPr>
                <w:spacing w:val="-11"/>
                <w:sz w:val="18"/>
              </w:rPr>
              <w:t> </w:t>
            </w:r>
            <w:r>
              <w:rPr>
                <w:spacing w:val="-2"/>
                <w:sz w:val="18"/>
              </w:rPr>
              <w:t>gradients</w:t>
            </w:r>
          </w:p>
        </w:tc>
      </w:tr>
      <w:tr>
        <w:trPr>
          <w:trHeight w:val="406"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left="33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before="108"/>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5"/>
              <w:rPr>
                <w:sz w:val="18"/>
              </w:rPr>
            </w:pPr>
            <w:r>
              <w:rPr>
                <w:spacing w:val="-2"/>
                <w:sz w:val="18"/>
              </w:rPr>
              <w:t>Prob.</w:t>
            </w:r>
          </w:p>
        </w:tc>
      </w:tr>
      <w:tr>
        <w:trPr>
          <w:trHeight w:val="326" w:hRule="atLeast"/>
        </w:trPr>
        <w:tc>
          <w:tcPr>
            <w:tcW w:w="1925" w:type="dxa"/>
            <w:tcBorders>
              <w:top w:val="double" w:sz="6" w:space="0" w:color="000000"/>
            </w:tcBorders>
          </w:tcPr>
          <w:p>
            <w:pPr>
              <w:pStyle w:val="TableParagraph"/>
              <w:spacing w:line="198" w:lineRule="exact" w:before="108"/>
              <w:ind w:left="92" w:right="1"/>
              <w:jc w:val="center"/>
              <w:rPr>
                <w:sz w:val="18"/>
              </w:rPr>
            </w:pPr>
            <w:r>
              <w:rPr>
                <w:spacing w:val="-10"/>
                <w:sz w:val="18"/>
              </w:rPr>
              <w:t>C</w:t>
            </w:r>
          </w:p>
        </w:tc>
        <w:tc>
          <w:tcPr>
            <w:tcW w:w="1290" w:type="dxa"/>
            <w:tcBorders>
              <w:top w:val="double" w:sz="6" w:space="0" w:color="000000"/>
            </w:tcBorders>
          </w:tcPr>
          <w:p>
            <w:pPr>
              <w:pStyle w:val="TableParagraph"/>
              <w:spacing w:line="198" w:lineRule="exact" w:before="108"/>
              <w:ind w:left="432"/>
              <w:rPr>
                <w:sz w:val="18"/>
              </w:rPr>
            </w:pPr>
            <w:r>
              <w:rPr>
                <w:spacing w:val="-2"/>
                <w:sz w:val="18"/>
              </w:rPr>
              <w:t>21.19209</w:t>
            </w:r>
          </w:p>
        </w:tc>
        <w:tc>
          <w:tcPr>
            <w:tcW w:w="1491" w:type="dxa"/>
            <w:tcBorders>
              <w:top w:val="double" w:sz="6" w:space="0" w:color="000000"/>
            </w:tcBorders>
          </w:tcPr>
          <w:p>
            <w:pPr>
              <w:pStyle w:val="TableParagraph"/>
              <w:spacing w:line="198" w:lineRule="exact" w:before="108"/>
              <w:ind w:left="351"/>
              <w:rPr>
                <w:sz w:val="18"/>
              </w:rPr>
            </w:pPr>
            <w:r>
              <w:rPr>
                <w:spacing w:val="-2"/>
                <w:sz w:val="18"/>
              </w:rPr>
              <w:t>98.56280</w:t>
            </w:r>
          </w:p>
        </w:tc>
        <w:tc>
          <w:tcPr>
            <w:tcW w:w="940" w:type="dxa"/>
            <w:tcBorders>
              <w:top w:val="double" w:sz="6" w:space="0" w:color="000000"/>
            </w:tcBorders>
          </w:tcPr>
          <w:p>
            <w:pPr>
              <w:pStyle w:val="TableParagraph"/>
              <w:spacing w:line="198" w:lineRule="exact" w:before="108"/>
              <w:ind w:right="119"/>
              <w:jc w:val="right"/>
              <w:rPr>
                <w:sz w:val="18"/>
              </w:rPr>
            </w:pPr>
            <w:r>
              <w:rPr>
                <w:spacing w:val="-2"/>
                <w:sz w:val="18"/>
              </w:rPr>
              <w:t>0.215011</w:t>
            </w:r>
          </w:p>
        </w:tc>
        <w:tc>
          <w:tcPr>
            <w:tcW w:w="884" w:type="dxa"/>
            <w:tcBorders>
              <w:top w:val="double" w:sz="6" w:space="0" w:color="000000"/>
            </w:tcBorders>
          </w:tcPr>
          <w:p>
            <w:pPr>
              <w:pStyle w:val="TableParagraph"/>
              <w:spacing w:line="198" w:lineRule="exact" w:before="108"/>
              <w:ind w:right="5"/>
              <w:jc w:val="right"/>
              <w:rPr>
                <w:sz w:val="18"/>
              </w:rPr>
            </w:pPr>
            <w:r>
              <w:rPr>
                <w:spacing w:val="-2"/>
                <w:sz w:val="18"/>
              </w:rPr>
              <w:t>0.8300</w:t>
            </w:r>
          </w:p>
        </w:tc>
      </w:tr>
      <w:tr>
        <w:trPr>
          <w:trHeight w:val="224" w:hRule="atLeast"/>
        </w:trPr>
        <w:tc>
          <w:tcPr>
            <w:tcW w:w="1925" w:type="dxa"/>
          </w:tcPr>
          <w:p>
            <w:pPr>
              <w:pStyle w:val="TableParagraph"/>
              <w:spacing w:line="199" w:lineRule="exact" w:before="5"/>
              <w:ind w:left="92"/>
              <w:jc w:val="center"/>
              <w:rPr>
                <w:sz w:val="18"/>
              </w:rPr>
            </w:pPr>
            <w:r>
              <w:rPr>
                <w:spacing w:val="-5"/>
                <w:sz w:val="18"/>
              </w:rPr>
              <w:t>TG</w:t>
            </w:r>
          </w:p>
        </w:tc>
        <w:tc>
          <w:tcPr>
            <w:tcW w:w="1290" w:type="dxa"/>
          </w:tcPr>
          <w:p>
            <w:pPr>
              <w:pStyle w:val="TableParagraph"/>
              <w:spacing w:line="199" w:lineRule="exact" w:before="5"/>
              <w:ind w:left="432"/>
              <w:rPr>
                <w:sz w:val="18"/>
              </w:rPr>
            </w:pPr>
            <w:r>
              <w:rPr>
                <w:spacing w:val="-2"/>
                <w:sz w:val="18"/>
              </w:rPr>
              <w:t>0.827271</w:t>
            </w:r>
          </w:p>
        </w:tc>
        <w:tc>
          <w:tcPr>
            <w:tcW w:w="1491" w:type="dxa"/>
          </w:tcPr>
          <w:p>
            <w:pPr>
              <w:pStyle w:val="TableParagraph"/>
              <w:spacing w:line="199" w:lineRule="exact" w:before="5"/>
              <w:ind w:left="351"/>
              <w:rPr>
                <w:sz w:val="18"/>
              </w:rPr>
            </w:pPr>
            <w:r>
              <w:rPr>
                <w:spacing w:val="-2"/>
                <w:sz w:val="18"/>
              </w:rPr>
              <w:t>97.22281</w:t>
            </w:r>
          </w:p>
        </w:tc>
        <w:tc>
          <w:tcPr>
            <w:tcW w:w="940" w:type="dxa"/>
          </w:tcPr>
          <w:p>
            <w:pPr>
              <w:pStyle w:val="TableParagraph"/>
              <w:spacing w:line="199" w:lineRule="exact" w:before="5"/>
              <w:ind w:right="119"/>
              <w:jc w:val="right"/>
              <w:rPr>
                <w:sz w:val="18"/>
              </w:rPr>
            </w:pPr>
            <w:r>
              <w:rPr>
                <w:spacing w:val="-2"/>
                <w:sz w:val="18"/>
              </w:rPr>
              <w:t>0.008509</w:t>
            </w:r>
          </w:p>
        </w:tc>
        <w:tc>
          <w:tcPr>
            <w:tcW w:w="884" w:type="dxa"/>
          </w:tcPr>
          <w:p>
            <w:pPr>
              <w:pStyle w:val="TableParagraph"/>
              <w:spacing w:line="199" w:lineRule="exact" w:before="5"/>
              <w:ind w:right="5"/>
              <w:jc w:val="right"/>
              <w:rPr>
                <w:sz w:val="18"/>
              </w:rPr>
            </w:pPr>
            <w:r>
              <w:rPr>
                <w:spacing w:val="-2"/>
                <w:sz w:val="18"/>
              </w:rPr>
              <w:t>0.9932</w:t>
            </w:r>
          </w:p>
        </w:tc>
      </w:tr>
      <w:tr>
        <w:trPr>
          <w:trHeight w:val="225" w:hRule="atLeast"/>
        </w:trPr>
        <w:tc>
          <w:tcPr>
            <w:tcW w:w="1925" w:type="dxa"/>
          </w:tcPr>
          <w:p>
            <w:pPr>
              <w:pStyle w:val="TableParagraph"/>
              <w:spacing w:line="200" w:lineRule="exact" w:before="6"/>
              <w:ind w:left="92" w:right="4"/>
              <w:jc w:val="center"/>
              <w:rPr>
                <w:sz w:val="18"/>
              </w:rPr>
            </w:pPr>
            <w:r>
              <w:rPr>
                <w:spacing w:val="-4"/>
                <w:sz w:val="18"/>
              </w:rPr>
              <w:t>IFRS</w:t>
            </w:r>
          </w:p>
        </w:tc>
        <w:tc>
          <w:tcPr>
            <w:tcW w:w="1290" w:type="dxa"/>
          </w:tcPr>
          <w:p>
            <w:pPr>
              <w:pStyle w:val="TableParagraph"/>
              <w:spacing w:line="200" w:lineRule="exact" w:before="6"/>
              <w:ind w:left="372"/>
              <w:rPr>
                <w:sz w:val="18"/>
              </w:rPr>
            </w:pPr>
            <w:r>
              <w:rPr>
                <w:spacing w:val="-2"/>
                <w:sz w:val="18"/>
              </w:rPr>
              <w:t>-8.661362</w:t>
            </w:r>
          </w:p>
        </w:tc>
        <w:tc>
          <w:tcPr>
            <w:tcW w:w="1491" w:type="dxa"/>
          </w:tcPr>
          <w:p>
            <w:pPr>
              <w:pStyle w:val="TableParagraph"/>
              <w:spacing w:line="200" w:lineRule="exact" w:before="6"/>
              <w:ind w:left="351"/>
              <w:rPr>
                <w:sz w:val="18"/>
              </w:rPr>
            </w:pPr>
            <w:r>
              <w:rPr>
                <w:spacing w:val="-2"/>
                <w:sz w:val="18"/>
              </w:rPr>
              <w:t>97.25678</w:t>
            </w:r>
          </w:p>
        </w:tc>
        <w:tc>
          <w:tcPr>
            <w:tcW w:w="940" w:type="dxa"/>
          </w:tcPr>
          <w:p>
            <w:pPr>
              <w:pStyle w:val="TableParagraph"/>
              <w:spacing w:line="200" w:lineRule="exact" w:before="6"/>
              <w:ind w:right="119"/>
              <w:jc w:val="right"/>
              <w:rPr>
                <w:sz w:val="18"/>
              </w:rPr>
            </w:pPr>
            <w:r>
              <w:rPr>
                <w:spacing w:val="-2"/>
                <w:sz w:val="18"/>
              </w:rPr>
              <w:t>-0.089057</w:t>
            </w:r>
          </w:p>
        </w:tc>
        <w:tc>
          <w:tcPr>
            <w:tcW w:w="884" w:type="dxa"/>
          </w:tcPr>
          <w:p>
            <w:pPr>
              <w:pStyle w:val="TableParagraph"/>
              <w:spacing w:line="200" w:lineRule="exact" w:before="6"/>
              <w:ind w:right="5"/>
              <w:jc w:val="right"/>
              <w:rPr>
                <w:sz w:val="18"/>
              </w:rPr>
            </w:pPr>
            <w:r>
              <w:rPr>
                <w:spacing w:val="-2"/>
                <w:sz w:val="18"/>
              </w:rPr>
              <w:t>0.9291</w:t>
            </w:r>
          </w:p>
        </w:tc>
      </w:tr>
      <w:tr>
        <w:trPr>
          <w:trHeight w:val="225" w:hRule="atLeast"/>
        </w:trPr>
        <w:tc>
          <w:tcPr>
            <w:tcW w:w="1925" w:type="dxa"/>
          </w:tcPr>
          <w:p>
            <w:pPr>
              <w:pStyle w:val="TableParagraph"/>
              <w:spacing w:line="199" w:lineRule="exact" w:before="6"/>
              <w:ind w:left="643"/>
              <w:rPr>
                <w:sz w:val="18"/>
              </w:rPr>
            </w:pPr>
            <w:r>
              <w:rPr>
                <w:spacing w:val="-2"/>
                <w:sz w:val="18"/>
              </w:rPr>
              <w:t>IFRS*TG</w:t>
            </w:r>
          </w:p>
        </w:tc>
        <w:tc>
          <w:tcPr>
            <w:tcW w:w="1290" w:type="dxa"/>
          </w:tcPr>
          <w:p>
            <w:pPr>
              <w:pStyle w:val="TableParagraph"/>
              <w:spacing w:line="199" w:lineRule="exact" w:before="6"/>
              <w:ind w:left="372"/>
              <w:rPr>
                <w:sz w:val="18"/>
              </w:rPr>
            </w:pPr>
            <w:r>
              <w:rPr>
                <w:spacing w:val="-2"/>
                <w:sz w:val="18"/>
              </w:rPr>
              <w:t>-7.085269</w:t>
            </w:r>
          </w:p>
        </w:tc>
        <w:tc>
          <w:tcPr>
            <w:tcW w:w="1491" w:type="dxa"/>
          </w:tcPr>
          <w:p>
            <w:pPr>
              <w:pStyle w:val="TableParagraph"/>
              <w:spacing w:line="199" w:lineRule="exact" w:before="6"/>
              <w:ind w:left="351"/>
              <w:rPr>
                <w:sz w:val="18"/>
              </w:rPr>
            </w:pPr>
            <w:r>
              <w:rPr>
                <w:spacing w:val="-2"/>
                <w:sz w:val="18"/>
              </w:rPr>
              <w:t>101.1136</w:t>
            </w:r>
          </w:p>
        </w:tc>
        <w:tc>
          <w:tcPr>
            <w:tcW w:w="940" w:type="dxa"/>
          </w:tcPr>
          <w:p>
            <w:pPr>
              <w:pStyle w:val="TableParagraph"/>
              <w:spacing w:line="199" w:lineRule="exact" w:before="6"/>
              <w:ind w:right="119"/>
              <w:jc w:val="right"/>
              <w:rPr>
                <w:sz w:val="18"/>
              </w:rPr>
            </w:pPr>
            <w:r>
              <w:rPr>
                <w:spacing w:val="-2"/>
                <w:sz w:val="18"/>
              </w:rPr>
              <w:t>-0.070072</w:t>
            </w:r>
          </w:p>
        </w:tc>
        <w:tc>
          <w:tcPr>
            <w:tcW w:w="884" w:type="dxa"/>
          </w:tcPr>
          <w:p>
            <w:pPr>
              <w:pStyle w:val="TableParagraph"/>
              <w:spacing w:line="199" w:lineRule="exact" w:before="6"/>
              <w:ind w:right="5"/>
              <w:jc w:val="right"/>
              <w:rPr>
                <w:sz w:val="18"/>
              </w:rPr>
            </w:pPr>
            <w:r>
              <w:rPr>
                <w:spacing w:val="-2"/>
                <w:sz w:val="18"/>
              </w:rPr>
              <w:t>0.9442</w:t>
            </w:r>
          </w:p>
        </w:tc>
      </w:tr>
      <w:tr>
        <w:trPr>
          <w:trHeight w:val="224" w:hRule="atLeast"/>
        </w:trPr>
        <w:tc>
          <w:tcPr>
            <w:tcW w:w="1925" w:type="dxa"/>
          </w:tcPr>
          <w:p>
            <w:pPr>
              <w:pStyle w:val="TableParagraph"/>
              <w:spacing w:line="198" w:lineRule="exact" w:before="6"/>
              <w:ind w:left="727"/>
              <w:rPr>
                <w:sz w:val="18"/>
              </w:rPr>
            </w:pPr>
            <w:r>
              <w:rPr>
                <w:spacing w:val="-2"/>
                <w:sz w:val="18"/>
              </w:rPr>
              <w:t>BDIND</w:t>
            </w:r>
          </w:p>
        </w:tc>
        <w:tc>
          <w:tcPr>
            <w:tcW w:w="1290" w:type="dxa"/>
          </w:tcPr>
          <w:p>
            <w:pPr>
              <w:pStyle w:val="TableParagraph"/>
              <w:spacing w:line="198" w:lineRule="exact" w:before="6"/>
              <w:ind w:left="372"/>
              <w:rPr>
                <w:sz w:val="18"/>
              </w:rPr>
            </w:pPr>
            <w:r>
              <w:rPr>
                <w:spacing w:val="-2"/>
                <w:sz w:val="18"/>
              </w:rPr>
              <w:t>-11.50232</w:t>
            </w:r>
          </w:p>
        </w:tc>
        <w:tc>
          <w:tcPr>
            <w:tcW w:w="1491" w:type="dxa"/>
          </w:tcPr>
          <w:p>
            <w:pPr>
              <w:pStyle w:val="TableParagraph"/>
              <w:spacing w:line="198" w:lineRule="exact" w:before="6"/>
              <w:ind w:left="351"/>
              <w:rPr>
                <w:sz w:val="18"/>
              </w:rPr>
            </w:pPr>
            <w:r>
              <w:rPr>
                <w:spacing w:val="-2"/>
                <w:sz w:val="18"/>
              </w:rPr>
              <w:t>5.692453</w:t>
            </w:r>
          </w:p>
        </w:tc>
        <w:tc>
          <w:tcPr>
            <w:tcW w:w="940" w:type="dxa"/>
          </w:tcPr>
          <w:p>
            <w:pPr>
              <w:pStyle w:val="TableParagraph"/>
              <w:spacing w:line="198" w:lineRule="exact" w:before="6"/>
              <w:ind w:right="119"/>
              <w:jc w:val="right"/>
              <w:rPr>
                <w:sz w:val="18"/>
              </w:rPr>
            </w:pPr>
            <w:r>
              <w:rPr>
                <w:spacing w:val="-2"/>
                <w:sz w:val="18"/>
              </w:rPr>
              <w:t>-2.020627</w:t>
            </w:r>
          </w:p>
        </w:tc>
        <w:tc>
          <w:tcPr>
            <w:tcW w:w="884" w:type="dxa"/>
          </w:tcPr>
          <w:p>
            <w:pPr>
              <w:pStyle w:val="TableParagraph"/>
              <w:spacing w:line="198" w:lineRule="exact" w:before="6"/>
              <w:ind w:right="5"/>
              <w:jc w:val="right"/>
              <w:rPr>
                <w:sz w:val="18"/>
              </w:rPr>
            </w:pPr>
            <w:r>
              <w:rPr>
                <w:spacing w:val="-2"/>
                <w:sz w:val="18"/>
              </w:rPr>
              <w:t>0.0448</w:t>
            </w:r>
          </w:p>
        </w:tc>
      </w:tr>
      <w:tr>
        <w:trPr>
          <w:trHeight w:val="224" w:hRule="atLeast"/>
        </w:trPr>
        <w:tc>
          <w:tcPr>
            <w:tcW w:w="1925" w:type="dxa"/>
          </w:tcPr>
          <w:p>
            <w:pPr>
              <w:pStyle w:val="TableParagraph"/>
              <w:spacing w:line="199" w:lineRule="exact" w:before="5"/>
              <w:ind w:left="92" w:right="1"/>
              <w:jc w:val="center"/>
              <w:rPr>
                <w:sz w:val="18"/>
              </w:rPr>
            </w:pPr>
            <w:r>
              <w:rPr>
                <w:spacing w:val="-5"/>
                <w:sz w:val="18"/>
              </w:rPr>
              <w:t>BDS</w:t>
            </w:r>
          </w:p>
        </w:tc>
        <w:tc>
          <w:tcPr>
            <w:tcW w:w="1290" w:type="dxa"/>
          </w:tcPr>
          <w:p>
            <w:pPr>
              <w:pStyle w:val="TableParagraph"/>
              <w:spacing w:line="199" w:lineRule="exact" w:before="5"/>
              <w:ind w:left="372"/>
              <w:rPr>
                <w:sz w:val="18"/>
              </w:rPr>
            </w:pPr>
            <w:r>
              <w:rPr>
                <w:spacing w:val="-2"/>
                <w:sz w:val="18"/>
              </w:rPr>
              <w:t>-0.943288</w:t>
            </w:r>
          </w:p>
        </w:tc>
        <w:tc>
          <w:tcPr>
            <w:tcW w:w="1491" w:type="dxa"/>
          </w:tcPr>
          <w:p>
            <w:pPr>
              <w:pStyle w:val="TableParagraph"/>
              <w:spacing w:line="199" w:lineRule="exact" w:before="5"/>
              <w:ind w:left="351"/>
              <w:rPr>
                <w:sz w:val="18"/>
              </w:rPr>
            </w:pPr>
            <w:r>
              <w:rPr>
                <w:spacing w:val="-2"/>
                <w:sz w:val="18"/>
              </w:rPr>
              <w:t>0.269186</w:t>
            </w:r>
          </w:p>
        </w:tc>
        <w:tc>
          <w:tcPr>
            <w:tcW w:w="940" w:type="dxa"/>
          </w:tcPr>
          <w:p>
            <w:pPr>
              <w:pStyle w:val="TableParagraph"/>
              <w:spacing w:line="199" w:lineRule="exact" w:before="5"/>
              <w:ind w:right="119"/>
              <w:jc w:val="right"/>
              <w:rPr>
                <w:sz w:val="18"/>
              </w:rPr>
            </w:pPr>
            <w:r>
              <w:rPr>
                <w:spacing w:val="-2"/>
                <w:sz w:val="18"/>
              </w:rPr>
              <w:t>-3.504219</w:t>
            </w:r>
          </w:p>
        </w:tc>
        <w:tc>
          <w:tcPr>
            <w:tcW w:w="884" w:type="dxa"/>
          </w:tcPr>
          <w:p>
            <w:pPr>
              <w:pStyle w:val="TableParagraph"/>
              <w:spacing w:line="199" w:lineRule="exact" w:before="5"/>
              <w:ind w:right="5"/>
              <w:jc w:val="right"/>
              <w:rPr>
                <w:sz w:val="18"/>
              </w:rPr>
            </w:pPr>
            <w:r>
              <w:rPr>
                <w:spacing w:val="-2"/>
                <w:sz w:val="18"/>
              </w:rPr>
              <w:t>0.0006</w:t>
            </w:r>
          </w:p>
        </w:tc>
      </w:tr>
      <w:tr>
        <w:trPr>
          <w:trHeight w:val="225" w:hRule="atLeast"/>
        </w:trPr>
        <w:tc>
          <w:tcPr>
            <w:tcW w:w="1925" w:type="dxa"/>
          </w:tcPr>
          <w:p>
            <w:pPr>
              <w:pStyle w:val="TableParagraph"/>
              <w:spacing w:line="199" w:lineRule="exact" w:before="6"/>
              <w:ind w:left="712"/>
              <w:rPr>
                <w:sz w:val="18"/>
              </w:rPr>
            </w:pPr>
            <w:r>
              <w:rPr>
                <w:spacing w:val="-2"/>
                <w:sz w:val="18"/>
              </w:rPr>
              <w:t>BFEXP</w:t>
            </w:r>
          </w:p>
        </w:tc>
        <w:tc>
          <w:tcPr>
            <w:tcW w:w="1290" w:type="dxa"/>
          </w:tcPr>
          <w:p>
            <w:pPr>
              <w:pStyle w:val="TableParagraph"/>
              <w:spacing w:line="199" w:lineRule="exact" w:before="6"/>
              <w:ind w:left="432"/>
              <w:rPr>
                <w:sz w:val="18"/>
              </w:rPr>
            </w:pPr>
            <w:r>
              <w:rPr>
                <w:spacing w:val="-2"/>
                <w:sz w:val="18"/>
              </w:rPr>
              <w:t>8.170077</w:t>
            </w:r>
          </w:p>
        </w:tc>
        <w:tc>
          <w:tcPr>
            <w:tcW w:w="1491" w:type="dxa"/>
          </w:tcPr>
          <w:p>
            <w:pPr>
              <w:pStyle w:val="TableParagraph"/>
              <w:spacing w:line="199" w:lineRule="exact" w:before="6"/>
              <w:ind w:left="351"/>
              <w:rPr>
                <w:sz w:val="18"/>
              </w:rPr>
            </w:pPr>
            <w:r>
              <w:rPr>
                <w:spacing w:val="-2"/>
                <w:sz w:val="18"/>
              </w:rPr>
              <w:t>6.776797</w:t>
            </w:r>
          </w:p>
        </w:tc>
        <w:tc>
          <w:tcPr>
            <w:tcW w:w="940" w:type="dxa"/>
          </w:tcPr>
          <w:p>
            <w:pPr>
              <w:pStyle w:val="TableParagraph"/>
              <w:spacing w:line="199" w:lineRule="exact" w:before="6"/>
              <w:ind w:right="119"/>
              <w:jc w:val="right"/>
              <w:rPr>
                <w:sz w:val="18"/>
              </w:rPr>
            </w:pPr>
            <w:r>
              <w:rPr>
                <w:spacing w:val="-2"/>
                <w:sz w:val="18"/>
              </w:rPr>
              <w:t>1.205596</w:t>
            </w:r>
          </w:p>
        </w:tc>
        <w:tc>
          <w:tcPr>
            <w:tcW w:w="884" w:type="dxa"/>
          </w:tcPr>
          <w:p>
            <w:pPr>
              <w:pStyle w:val="TableParagraph"/>
              <w:spacing w:line="199" w:lineRule="exact" w:before="6"/>
              <w:ind w:right="5"/>
              <w:jc w:val="right"/>
              <w:rPr>
                <w:sz w:val="18"/>
              </w:rPr>
            </w:pPr>
            <w:r>
              <w:rPr>
                <w:spacing w:val="-2"/>
                <w:sz w:val="18"/>
              </w:rPr>
              <w:t>0.2295</w:t>
            </w:r>
          </w:p>
        </w:tc>
      </w:tr>
      <w:tr>
        <w:trPr>
          <w:trHeight w:val="225" w:hRule="atLeast"/>
        </w:trPr>
        <w:tc>
          <w:tcPr>
            <w:tcW w:w="1925" w:type="dxa"/>
          </w:tcPr>
          <w:p>
            <w:pPr>
              <w:pStyle w:val="TableParagraph"/>
              <w:spacing w:line="199" w:lineRule="exact" w:before="6"/>
              <w:ind w:left="92" w:right="1"/>
              <w:jc w:val="center"/>
              <w:rPr>
                <w:sz w:val="18"/>
              </w:rPr>
            </w:pPr>
            <w:r>
              <w:rPr>
                <w:spacing w:val="-4"/>
                <w:sz w:val="18"/>
              </w:rPr>
              <w:t>FAGE</w:t>
            </w:r>
          </w:p>
        </w:tc>
        <w:tc>
          <w:tcPr>
            <w:tcW w:w="1290" w:type="dxa"/>
          </w:tcPr>
          <w:p>
            <w:pPr>
              <w:pStyle w:val="TableParagraph"/>
              <w:spacing w:line="199" w:lineRule="exact" w:before="6"/>
              <w:ind w:left="372"/>
              <w:rPr>
                <w:sz w:val="18"/>
              </w:rPr>
            </w:pPr>
            <w:r>
              <w:rPr>
                <w:spacing w:val="-2"/>
                <w:sz w:val="18"/>
              </w:rPr>
              <w:t>-0.064623</w:t>
            </w:r>
          </w:p>
        </w:tc>
        <w:tc>
          <w:tcPr>
            <w:tcW w:w="1491" w:type="dxa"/>
          </w:tcPr>
          <w:p>
            <w:pPr>
              <w:pStyle w:val="TableParagraph"/>
              <w:spacing w:line="199" w:lineRule="exact" w:before="6"/>
              <w:ind w:left="351"/>
              <w:rPr>
                <w:sz w:val="18"/>
              </w:rPr>
            </w:pPr>
            <w:r>
              <w:rPr>
                <w:spacing w:val="-2"/>
                <w:sz w:val="18"/>
              </w:rPr>
              <w:t>0.136966</w:t>
            </w:r>
          </w:p>
        </w:tc>
        <w:tc>
          <w:tcPr>
            <w:tcW w:w="940" w:type="dxa"/>
          </w:tcPr>
          <w:p>
            <w:pPr>
              <w:pStyle w:val="TableParagraph"/>
              <w:spacing w:line="199" w:lineRule="exact" w:before="6"/>
              <w:ind w:right="119"/>
              <w:jc w:val="right"/>
              <w:rPr>
                <w:sz w:val="18"/>
              </w:rPr>
            </w:pPr>
            <w:r>
              <w:rPr>
                <w:spacing w:val="-2"/>
                <w:sz w:val="18"/>
              </w:rPr>
              <w:t>-0.471818</w:t>
            </w:r>
          </w:p>
        </w:tc>
        <w:tc>
          <w:tcPr>
            <w:tcW w:w="884" w:type="dxa"/>
          </w:tcPr>
          <w:p>
            <w:pPr>
              <w:pStyle w:val="TableParagraph"/>
              <w:spacing w:line="199" w:lineRule="exact" w:before="6"/>
              <w:ind w:right="5"/>
              <w:jc w:val="right"/>
              <w:rPr>
                <w:sz w:val="18"/>
              </w:rPr>
            </w:pPr>
            <w:r>
              <w:rPr>
                <w:spacing w:val="-2"/>
                <w:sz w:val="18"/>
              </w:rPr>
              <w:t>0.6376</w:t>
            </w:r>
          </w:p>
        </w:tc>
      </w:tr>
      <w:tr>
        <w:trPr>
          <w:trHeight w:val="224" w:hRule="atLeast"/>
        </w:trPr>
        <w:tc>
          <w:tcPr>
            <w:tcW w:w="1925" w:type="dxa"/>
          </w:tcPr>
          <w:p>
            <w:pPr>
              <w:pStyle w:val="TableParagraph"/>
              <w:spacing w:line="198" w:lineRule="exact" w:before="6"/>
              <w:ind w:left="92" w:right="5"/>
              <w:jc w:val="center"/>
              <w:rPr>
                <w:sz w:val="18"/>
              </w:rPr>
            </w:pPr>
            <w:r>
              <w:rPr>
                <w:spacing w:val="-2"/>
                <w:sz w:val="18"/>
              </w:rPr>
              <w:t>FSIZE</w:t>
            </w:r>
          </w:p>
        </w:tc>
        <w:tc>
          <w:tcPr>
            <w:tcW w:w="1290" w:type="dxa"/>
          </w:tcPr>
          <w:p>
            <w:pPr>
              <w:pStyle w:val="TableParagraph"/>
              <w:spacing w:line="198" w:lineRule="exact" w:before="6"/>
              <w:ind w:left="432"/>
              <w:rPr>
                <w:sz w:val="18"/>
              </w:rPr>
            </w:pPr>
            <w:r>
              <w:rPr>
                <w:spacing w:val="-2"/>
                <w:sz w:val="18"/>
              </w:rPr>
              <w:t>1.056596</w:t>
            </w:r>
          </w:p>
        </w:tc>
        <w:tc>
          <w:tcPr>
            <w:tcW w:w="1491" w:type="dxa"/>
          </w:tcPr>
          <w:p>
            <w:pPr>
              <w:pStyle w:val="TableParagraph"/>
              <w:spacing w:line="198" w:lineRule="exact" w:before="6"/>
              <w:ind w:left="351"/>
              <w:rPr>
                <w:sz w:val="18"/>
              </w:rPr>
            </w:pPr>
            <w:r>
              <w:rPr>
                <w:spacing w:val="-2"/>
                <w:sz w:val="18"/>
              </w:rPr>
              <w:t>1.804471</w:t>
            </w:r>
          </w:p>
        </w:tc>
        <w:tc>
          <w:tcPr>
            <w:tcW w:w="940" w:type="dxa"/>
          </w:tcPr>
          <w:p>
            <w:pPr>
              <w:pStyle w:val="TableParagraph"/>
              <w:spacing w:line="198" w:lineRule="exact" w:before="6"/>
              <w:ind w:right="119"/>
              <w:jc w:val="right"/>
              <w:rPr>
                <w:sz w:val="18"/>
              </w:rPr>
            </w:pPr>
            <w:r>
              <w:rPr>
                <w:spacing w:val="-2"/>
                <w:sz w:val="18"/>
              </w:rPr>
              <w:t>0.585543</w:t>
            </w:r>
          </w:p>
        </w:tc>
        <w:tc>
          <w:tcPr>
            <w:tcW w:w="884" w:type="dxa"/>
          </w:tcPr>
          <w:p>
            <w:pPr>
              <w:pStyle w:val="TableParagraph"/>
              <w:spacing w:line="198" w:lineRule="exact" w:before="6"/>
              <w:ind w:right="5"/>
              <w:jc w:val="right"/>
              <w:rPr>
                <w:sz w:val="18"/>
              </w:rPr>
            </w:pPr>
            <w:r>
              <w:rPr>
                <w:spacing w:val="-2"/>
                <w:sz w:val="18"/>
              </w:rPr>
              <w:t>0.5589</w:t>
            </w:r>
          </w:p>
        </w:tc>
      </w:tr>
      <w:tr>
        <w:trPr>
          <w:trHeight w:val="224" w:hRule="atLeast"/>
        </w:trPr>
        <w:tc>
          <w:tcPr>
            <w:tcW w:w="1925" w:type="dxa"/>
          </w:tcPr>
          <w:p>
            <w:pPr>
              <w:pStyle w:val="TableParagraph"/>
              <w:spacing w:line="199" w:lineRule="exact" w:before="5"/>
              <w:ind w:left="523"/>
              <w:rPr>
                <w:sz w:val="18"/>
              </w:rPr>
            </w:pPr>
            <w:r>
              <w:rPr>
                <w:spacing w:val="-2"/>
                <w:sz w:val="18"/>
              </w:rPr>
              <w:t>LEVERAGE</w:t>
            </w:r>
          </w:p>
        </w:tc>
        <w:tc>
          <w:tcPr>
            <w:tcW w:w="1290" w:type="dxa"/>
          </w:tcPr>
          <w:p>
            <w:pPr>
              <w:pStyle w:val="TableParagraph"/>
              <w:spacing w:line="199" w:lineRule="exact" w:before="5"/>
              <w:ind w:left="372"/>
              <w:rPr>
                <w:sz w:val="18"/>
              </w:rPr>
            </w:pPr>
            <w:r>
              <w:rPr>
                <w:spacing w:val="-2"/>
                <w:sz w:val="18"/>
              </w:rPr>
              <w:t>-0.044543</w:t>
            </w:r>
          </w:p>
        </w:tc>
        <w:tc>
          <w:tcPr>
            <w:tcW w:w="1491" w:type="dxa"/>
          </w:tcPr>
          <w:p>
            <w:pPr>
              <w:pStyle w:val="TableParagraph"/>
              <w:spacing w:line="199" w:lineRule="exact" w:before="5"/>
              <w:ind w:left="351"/>
              <w:rPr>
                <w:sz w:val="18"/>
              </w:rPr>
            </w:pPr>
            <w:r>
              <w:rPr>
                <w:spacing w:val="-2"/>
                <w:sz w:val="18"/>
              </w:rPr>
              <w:t>1.044443</w:t>
            </w:r>
          </w:p>
        </w:tc>
        <w:tc>
          <w:tcPr>
            <w:tcW w:w="940" w:type="dxa"/>
          </w:tcPr>
          <w:p>
            <w:pPr>
              <w:pStyle w:val="TableParagraph"/>
              <w:spacing w:line="199" w:lineRule="exact" w:before="5"/>
              <w:ind w:right="119"/>
              <w:jc w:val="right"/>
              <w:rPr>
                <w:sz w:val="18"/>
              </w:rPr>
            </w:pPr>
            <w:r>
              <w:rPr>
                <w:spacing w:val="-2"/>
                <w:sz w:val="18"/>
              </w:rPr>
              <w:t>-0.042647</w:t>
            </w:r>
          </w:p>
        </w:tc>
        <w:tc>
          <w:tcPr>
            <w:tcW w:w="884" w:type="dxa"/>
          </w:tcPr>
          <w:p>
            <w:pPr>
              <w:pStyle w:val="TableParagraph"/>
              <w:spacing w:line="199" w:lineRule="exact" w:before="5"/>
              <w:ind w:right="5"/>
              <w:jc w:val="right"/>
              <w:rPr>
                <w:sz w:val="18"/>
              </w:rPr>
            </w:pPr>
            <w:r>
              <w:rPr>
                <w:spacing w:val="-2"/>
                <w:sz w:val="18"/>
              </w:rPr>
              <w:t>0.9660</w:t>
            </w:r>
          </w:p>
        </w:tc>
      </w:tr>
      <w:tr>
        <w:trPr>
          <w:trHeight w:val="225" w:hRule="atLeast"/>
        </w:trPr>
        <w:tc>
          <w:tcPr>
            <w:tcW w:w="1925" w:type="dxa"/>
          </w:tcPr>
          <w:p>
            <w:pPr>
              <w:pStyle w:val="TableParagraph"/>
              <w:spacing w:line="199" w:lineRule="exact" w:before="6"/>
              <w:ind w:left="92" w:right="2"/>
              <w:jc w:val="center"/>
              <w:rPr>
                <w:sz w:val="18"/>
              </w:rPr>
            </w:pPr>
            <w:r>
              <w:rPr>
                <w:spacing w:val="-2"/>
                <w:sz w:val="18"/>
              </w:rPr>
              <w:t>AR(1)</w:t>
            </w:r>
          </w:p>
        </w:tc>
        <w:tc>
          <w:tcPr>
            <w:tcW w:w="1290" w:type="dxa"/>
          </w:tcPr>
          <w:p>
            <w:pPr>
              <w:pStyle w:val="TableParagraph"/>
              <w:spacing w:line="199" w:lineRule="exact" w:before="6"/>
              <w:ind w:left="432"/>
              <w:rPr>
                <w:sz w:val="18"/>
              </w:rPr>
            </w:pPr>
            <w:r>
              <w:rPr>
                <w:spacing w:val="-2"/>
                <w:sz w:val="18"/>
              </w:rPr>
              <w:t>0.741956</w:t>
            </w:r>
          </w:p>
        </w:tc>
        <w:tc>
          <w:tcPr>
            <w:tcW w:w="1491" w:type="dxa"/>
          </w:tcPr>
          <w:p>
            <w:pPr>
              <w:pStyle w:val="TableParagraph"/>
              <w:spacing w:line="199" w:lineRule="exact" w:before="6"/>
              <w:ind w:left="351"/>
              <w:rPr>
                <w:sz w:val="18"/>
              </w:rPr>
            </w:pPr>
            <w:r>
              <w:rPr>
                <w:spacing w:val="-2"/>
                <w:sz w:val="18"/>
              </w:rPr>
              <w:t>0.048179</w:t>
            </w:r>
          </w:p>
        </w:tc>
        <w:tc>
          <w:tcPr>
            <w:tcW w:w="940" w:type="dxa"/>
          </w:tcPr>
          <w:p>
            <w:pPr>
              <w:pStyle w:val="TableParagraph"/>
              <w:spacing w:line="199" w:lineRule="exact" w:before="6"/>
              <w:ind w:right="119"/>
              <w:jc w:val="right"/>
              <w:rPr>
                <w:sz w:val="18"/>
              </w:rPr>
            </w:pPr>
            <w:r>
              <w:rPr>
                <w:spacing w:val="-2"/>
                <w:sz w:val="18"/>
              </w:rPr>
              <w:t>15.40012</w:t>
            </w:r>
          </w:p>
        </w:tc>
        <w:tc>
          <w:tcPr>
            <w:tcW w:w="884" w:type="dxa"/>
          </w:tcPr>
          <w:p>
            <w:pPr>
              <w:pStyle w:val="TableParagraph"/>
              <w:spacing w:line="199" w:lineRule="exact" w:before="6"/>
              <w:ind w:right="5"/>
              <w:jc w:val="right"/>
              <w:rPr>
                <w:sz w:val="18"/>
              </w:rPr>
            </w:pPr>
            <w:r>
              <w:rPr>
                <w:spacing w:val="-2"/>
                <w:sz w:val="18"/>
              </w:rPr>
              <w:t>0.0000</w:t>
            </w:r>
          </w:p>
        </w:tc>
      </w:tr>
      <w:tr>
        <w:trPr>
          <w:trHeight w:val="303" w:hRule="atLeast"/>
        </w:trPr>
        <w:tc>
          <w:tcPr>
            <w:tcW w:w="1925" w:type="dxa"/>
            <w:tcBorders>
              <w:bottom w:val="double" w:sz="6" w:space="0" w:color="000000"/>
            </w:tcBorders>
          </w:tcPr>
          <w:p>
            <w:pPr>
              <w:pStyle w:val="TableParagraph"/>
              <w:spacing w:before="6"/>
              <w:ind w:left="587"/>
              <w:rPr>
                <w:sz w:val="18"/>
              </w:rPr>
            </w:pPr>
            <w:r>
              <w:rPr>
                <w:spacing w:val="-2"/>
                <w:sz w:val="18"/>
              </w:rPr>
              <w:t>SIGMASQ</w:t>
            </w:r>
          </w:p>
        </w:tc>
        <w:tc>
          <w:tcPr>
            <w:tcW w:w="1290" w:type="dxa"/>
            <w:tcBorders>
              <w:bottom w:val="double" w:sz="6" w:space="0" w:color="000000"/>
            </w:tcBorders>
          </w:tcPr>
          <w:p>
            <w:pPr>
              <w:pStyle w:val="TableParagraph"/>
              <w:spacing w:before="6"/>
              <w:ind w:left="432"/>
              <w:rPr>
                <w:sz w:val="18"/>
              </w:rPr>
            </w:pPr>
            <w:r>
              <w:rPr>
                <w:spacing w:val="-2"/>
                <w:sz w:val="18"/>
              </w:rPr>
              <w:t>46.40211</w:t>
            </w:r>
          </w:p>
        </w:tc>
        <w:tc>
          <w:tcPr>
            <w:tcW w:w="1491" w:type="dxa"/>
            <w:tcBorders>
              <w:bottom w:val="double" w:sz="6" w:space="0" w:color="000000"/>
            </w:tcBorders>
          </w:tcPr>
          <w:p>
            <w:pPr>
              <w:pStyle w:val="TableParagraph"/>
              <w:spacing w:before="6"/>
              <w:ind w:left="351"/>
              <w:rPr>
                <w:sz w:val="18"/>
              </w:rPr>
            </w:pPr>
            <w:r>
              <w:rPr>
                <w:spacing w:val="-2"/>
                <w:sz w:val="18"/>
              </w:rPr>
              <w:t>3.647800</w:t>
            </w:r>
          </w:p>
        </w:tc>
        <w:tc>
          <w:tcPr>
            <w:tcW w:w="940" w:type="dxa"/>
            <w:tcBorders>
              <w:bottom w:val="double" w:sz="6" w:space="0" w:color="000000"/>
            </w:tcBorders>
          </w:tcPr>
          <w:p>
            <w:pPr>
              <w:pStyle w:val="TableParagraph"/>
              <w:spacing w:before="6"/>
              <w:ind w:right="119"/>
              <w:jc w:val="right"/>
              <w:rPr>
                <w:sz w:val="18"/>
              </w:rPr>
            </w:pPr>
            <w:r>
              <w:rPr>
                <w:spacing w:val="-2"/>
                <w:sz w:val="18"/>
              </w:rPr>
              <w:t>12.72057</w:t>
            </w:r>
          </w:p>
        </w:tc>
        <w:tc>
          <w:tcPr>
            <w:tcW w:w="884" w:type="dxa"/>
            <w:tcBorders>
              <w:bottom w:val="double" w:sz="6" w:space="0" w:color="000000"/>
            </w:tcBorders>
          </w:tcPr>
          <w:p>
            <w:pPr>
              <w:pStyle w:val="TableParagraph"/>
              <w:spacing w:before="6"/>
              <w:ind w:right="5"/>
              <w:jc w:val="right"/>
              <w:rPr>
                <w:sz w:val="18"/>
              </w:rPr>
            </w:pPr>
            <w:r>
              <w:rPr>
                <w:spacing w:val="-2"/>
                <w:sz w:val="18"/>
              </w:rPr>
              <w:t>0.0000</w:t>
            </w:r>
          </w:p>
        </w:tc>
      </w:tr>
      <w:tr>
        <w:trPr>
          <w:trHeight w:val="325" w:hRule="atLeast"/>
        </w:trPr>
        <w:tc>
          <w:tcPr>
            <w:tcW w:w="1925" w:type="dxa"/>
            <w:tcBorders>
              <w:top w:val="double" w:sz="6" w:space="0" w:color="000000"/>
            </w:tcBorders>
          </w:tcPr>
          <w:p>
            <w:pPr>
              <w:pStyle w:val="TableParagraph"/>
              <w:spacing w:line="199" w:lineRule="exact" w:before="106"/>
              <w:rPr>
                <w:sz w:val="18"/>
              </w:rPr>
            </w:pPr>
            <w:r>
              <w:rPr>
                <w:spacing w:val="-2"/>
                <w:sz w:val="18"/>
              </w:rPr>
              <w:t>R-squared</w:t>
            </w:r>
          </w:p>
        </w:tc>
        <w:tc>
          <w:tcPr>
            <w:tcW w:w="1290" w:type="dxa"/>
            <w:tcBorders>
              <w:top w:val="double" w:sz="6" w:space="0" w:color="000000"/>
            </w:tcBorders>
          </w:tcPr>
          <w:p>
            <w:pPr>
              <w:pStyle w:val="TableParagraph"/>
              <w:spacing w:line="199" w:lineRule="exact" w:before="106"/>
              <w:ind w:left="432"/>
              <w:rPr>
                <w:sz w:val="18"/>
              </w:rPr>
            </w:pPr>
            <w:r>
              <w:rPr>
                <w:spacing w:val="-2"/>
                <w:sz w:val="18"/>
              </w:rPr>
              <w:t>0.559705</w:t>
            </w:r>
          </w:p>
        </w:tc>
        <w:tc>
          <w:tcPr>
            <w:tcW w:w="2431" w:type="dxa"/>
            <w:gridSpan w:val="2"/>
            <w:tcBorders>
              <w:top w:val="double" w:sz="6" w:space="0" w:color="000000"/>
            </w:tcBorders>
          </w:tcPr>
          <w:p>
            <w:pPr>
              <w:pStyle w:val="TableParagraph"/>
              <w:spacing w:line="199" w:lineRule="exact" w:before="106"/>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6"/>
              <w:ind w:right="5"/>
              <w:jc w:val="right"/>
              <w:rPr>
                <w:sz w:val="18"/>
              </w:rPr>
            </w:pPr>
            <w:r>
              <w:rPr>
                <w:spacing w:val="-2"/>
                <w:sz w:val="18"/>
              </w:rPr>
              <w:t>9.750667</w:t>
            </w:r>
          </w:p>
        </w:tc>
      </w:tr>
      <w:tr>
        <w:trPr>
          <w:trHeight w:val="225" w:hRule="atLeast"/>
        </w:trPr>
        <w:tc>
          <w:tcPr>
            <w:tcW w:w="1925" w:type="dxa"/>
          </w:tcPr>
          <w:p>
            <w:pPr>
              <w:pStyle w:val="TableParagraph"/>
              <w:spacing w:line="199"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9" w:lineRule="exact" w:before="6"/>
              <w:ind w:left="432"/>
              <w:rPr>
                <w:sz w:val="18"/>
              </w:rPr>
            </w:pPr>
            <w:r>
              <w:rPr>
                <w:spacing w:val="-2"/>
                <w:sz w:val="18"/>
              </w:rPr>
              <w:t>0.533239</w:t>
            </w:r>
          </w:p>
        </w:tc>
        <w:tc>
          <w:tcPr>
            <w:tcW w:w="2431" w:type="dxa"/>
            <w:gridSpan w:val="2"/>
          </w:tcPr>
          <w:p>
            <w:pPr>
              <w:pStyle w:val="TableParagraph"/>
              <w:spacing w:line="199"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6"/>
              <w:ind w:right="5"/>
              <w:jc w:val="right"/>
              <w:rPr>
                <w:sz w:val="18"/>
              </w:rPr>
            </w:pPr>
            <w:r>
              <w:rPr>
                <w:spacing w:val="-2"/>
                <w:sz w:val="18"/>
              </w:rPr>
              <w:t>10.29232</w:t>
            </w:r>
          </w:p>
        </w:tc>
      </w:tr>
      <w:tr>
        <w:trPr>
          <w:trHeight w:val="225" w:hRule="atLeast"/>
        </w:trPr>
        <w:tc>
          <w:tcPr>
            <w:tcW w:w="1925" w:type="dxa"/>
          </w:tcPr>
          <w:p>
            <w:pPr>
              <w:pStyle w:val="TableParagraph"/>
              <w:spacing w:line="199" w:lineRule="exact" w:before="6"/>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9" w:lineRule="exact" w:before="6"/>
              <w:ind w:left="432"/>
              <w:rPr>
                <w:sz w:val="18"/>
              </w:rPr>
            </w:pPr>
            <w:r>
              <w:rPr>
                <w:spacing w:val="-2"/>
                <w:sz w:val="18"/>
              </w:rPr>
              <w:t>7.031705</w:t>
            </w:r>
          </w:p>
        </w:tc>
        <w:tc>
          <w:tcPr>
            <w:tcW w:w="2431" w:type="dxa"/>
            <w:gridSpan w:val="2"/>
          </w:tcPr>
          <w:p>
            <w:pPr>
              <w:pStyle w:val="TableParagraph"/>
              <w:spacing w:line="199" w:lineRule="exact" w:before="6"/>
              <w:ind w:left="107"/>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line="199" w:lineRule="exact" w:before="6"/>
              <w:ind w:right="5"/>
              <w:jc w:val="right"/>
              <w:rPr>
                <w:sz w:val="18"/>
              </w:rPr>
            </w:pPr>
            <w:r>
              <w:rPr>
                <w:spacing w:val="-2"/>
                <w:sz w:val="18"/>
              </w:rPr>
              <w:t>6.802400</w:t>
            </w:r>
          </w:p>
        </w:tc>
      </w:tr>
      <w:tr>
        <w:trPr>
          <w:trHeight w:val="224" w:hRule="atLeast"/>
        </w:trPr>
        <w:tc>
          <w:tcPr>
            <w:tcW w:w="1925" w:type="dxa"/>
          </w:tcPr>
          <w:p>
            <w:pPr>
              <w:pStyle w:val="TableParagraph"/>
              <w:spacing w:line="198"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line="198" w:lineRule="exact" w:before="6"/>
              <w:ind w:left="432"/>
              <w:rPr>
                <w:sz w:val="18"/>
              </w:rPr>
            </w:pPr>
            <w:r>
              <w:rPr>
                <w:spacing w:val="-2"/>
                <w:sz w:val="18"/>
              </w:rPr>
              <w:t>9048.411</w:t>
            </w:r>
          </w:p>
        </w:tc>
        <w:tc>
          <w:tcPr>
            <w:tcW w:w="1491" w:type="dxa"/>
          </w:tcPr>
          <w:p>
            <w:pPr>
              <w:pStyle w:val="TableParagraph"/>
              <w:spacing w:line="198" w:lineRule="exact" w:before="6"/>
              <w:ind w:left="107"/>
              <w:rPr>
                <w:sz w:val="18"/>
              </w:rPr>
            </w:pPr>
            <w:r>
              <w:rPr>
                <w:sz w:val="18"/>
              </w:rPr>
              <w:t>Schwarz</w:t>
            </w:r>
            <w:r>
              <w:rPr>
                <w:spacing w:val="-4"/>
                <w:sz w:val="18"/>
              </w:rPr>
              <w:t> </w:t>
            </w:r>
            <w:r>
              <w:rPr>
                <w:spacing w:val="-2"/>
                <w:sz w:val="18"/>
              </w:rPr>
              <w:t>criterion</w:t>
            </w:r>
          </w:p>
        </w:tc>
        <w:tc>
          <w:tcPr>
            <w:tcW w:w="940" w:type="dxa"/>
          </w:tcPr>
          <w:p>
            <w:pPr>
              <w:pStyle w:val="TableParagraph"/>
              <w:rPr>
                <w:rFonts w:ascii="Times New Roman"/>
                <w:sz w:val="16"/>
              </w:rPr>
            </w:pPr>
          </w:p>
        </w:tc>
        <w:tc>
          <w:tcPr>
            <w:tcW w:w="884" w:type="dxa"/>
          </w:tcPr>
          <w:p>
            <w:pPr>
              <w:pStyle w:val="TableParagraph"/>
              <w:spacing w:line="198" w:lineRule="exact" w:before="6"/>
              <w:ind w:right="5"/>
              <w:jc w:val="right"/>
              <w:rPr>
                <w:sz w:val="18"/>
              </w:rPr>
            </w:pPr>
            <w:r>
              <w:rPr>
                <w:spacing w:val="-2"/>
                <w:sz w:val="18"/>
              </w:rPr>
              <w:t>7.003815</w:t>
            </w:r>
          </w:p>
        </w:tc>
      </w:tr>
      <w:tr>
        <w:trPr>
          <w:trHeight w:val="224" w:hRule="atLeast"/>
        </w:trPr>
        <w:tc>
          <w:tcPr>
            <w:tcW w:w="1925" w:type="dxa"/>
          </w:tcPr>
          <w:p>
            <w:pPr>
              <w:pStyle w:val="TableParagraph"/>
              <w:spacing w:line="199" w:lineRule="exact" w:before="5"/>
              <w:rPr>
                <w:sz w:val="18"/>
              </w:rPr>
            </w:pPr>
            <w:r>
              <w:rPr>
                <w:sz w:val="18"/>
              </w:rPr>
              <w:t>Log</w:t>
            </w:r>
            <w:r>
              <w:rPr>
                <w:spacing w:val="-3"/>
                <w:sz w:val="18"/>
              </w:rPr>
              <w:t> </w:t>
            </w:r>
            <w:r>
              <w:rPr>
                <w:spacing w:val="-2"/>
                <w:sz w:val="18"/>
              </w:rPr>
              <w:t>likelihood</w:t>
            </w:r>
          </w:p>
        </w:tc>
        <w:tc>
          <w:tcPr>
            <w:tcW w:w="1290" w:type="dxa"/>
          </w:tcPr>
          <w:p>
            <w:pPr>
              <w:pStyle w:val="TableParagraph"/>
              <w:spacing w:line="199" w:lineRule="exact" w:before="5"/>
              <w:ind w:left="372"/>
              <w:rPr>
                <w:sz w:val="18"/>
              </w:rPr>
            </w:pPr>
            <w:r>
              <w:rPr>
                <w:spacing w:val="-2"/>
                <w:sz w:val="18"/>
              </w:rPr>
              <w:t>-651.2340</w:t>
            </w:r>
          </w:p>
        </w:tc>
        <w:tc>
          <w:tcPr>
            <w:tcW w:w="2431" w:type="dxa"/>
            <w:gridSpan w:val="2"/>
          </w:tcPr>
          <w:p>
            <w:pPr>
              <w:pStyle w:val="TableParagraph"/>
              <w:spacing w:line="199" w:lineRule="exact" w:before="5"/>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spacing w:line="199" w:lineRule="exact" w:before="5"/>
              <w:ind w:right="5"/>
              <w:jc w:val="right"/>
              <w:rPr>
                <w:sz w:val="18"/>
              </w:rPr>
            </w:pPr>
            <w:r>
              <w:rPr>
                <w:spacing w:val="-2"/>
                <w:sz w:val="18"/>
              </w:rPr>
              <w:t>6.883950</w:t>
            </w:r>
          </w:p>
        </w:tc>
      </w:tr>
      <w:tr>
        <w:trPr>
          <w:trHeight w:val="225" w:hRule="atLeast"/>
        </w:trPr>
        <w:tc>
          <w:tcPr>
            <w:tcW w:w="1925" w:type="dxa"/>
          </w:tcPr>
          <w:p>
            <w:pPr>
              <w:pStyle w:val="TableParagraph"/>
              <w:spacing w:line="199" w:lineRule="exact" w:before="6"/>
              <w:rPr>
                <w:sz w:val="18"/>
              </w:rPr>
            </w:pPr>
            <w:r>
              <w:rPr>
                <w:spacing w:val="-2"/>
                <w:sz w:val="18"/>
              </w:rPr>
              <w:t>F-statistic</w:t>
            </w:r>
          </w:p>
        </w:tc>
        <w:tc>
          <w:tcPr>
            <w:tcW w:w="1290" w:type="dxa"/>
          </w:tcPr>
          <w:p>
            <w:pPr>
              <w:pStyle w:val="TableParagraph"/>
              <w:spacing w:line="199" w:lineRule="exact" w:before="6"/>
              <w:ind w:left="432"/>
              <w:rPr>
                <w:sz w:val="18"/>
              </w:rPr>
            </w:pPr>
            <w:r>
              <w:rPr>
                <w:spacing w:val="-2"/>
                <w:sz w:val="18"/>
              </w:rPr>
              <w:t>21.14822</w:t>
            </w:r>
          </w:p>
        </w:tc>
        <w:tc>
          <w:tcPr>
            <w:tcW w:w="243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6"/>
              <w:ind w:right="5"/>
              <w:jc w:val="right"/>
              <w:rPr>
                <w:sz w:val="18"/>
              </w:rPr>
            </w:pPr>
            <w:r>
              <w:rPr>
                <w:spacing w:val="-2"/>
                <w:sz w:val="18"/>
              </w:rPr>
              <w:t>1.806744</w:t>
            </w:r>
          </w:p>
        </w:tc>
      </w:tr>
      <w:tr>
        <w:trPr>
          <w:trHeight w:val="303" w:hRule="atLeast"/>
        </w:trPr>
        <w:tc>
          <w:tcPr>
            <w:tcW w:w="1925" w:type="dxa"/>
            <w:tcBorders>
              <w:bottom w:val="double" w:sz="6" w:space="0" w:color="000000"/>
            </w:tcBorders>
          </w:tcPr>
          <w:p>
            <w:pPr>
              <w:pStyle w:val="TableParagraph"/>
              <w:spacing w:before="6"/>
              <w:rPr>
                <w:sz w:val="18"/>
              </w:rPr>
            </w:pPr>
            <w:r>
              <w:rPr>
                <w:spacing w:val="-2"/>
                <w:sz w:val="18"/>
              </w:rPr>
              <w:t>Prob(F-statistic)</w:t>
            </w:r>
          </w:p>
        </w:tc>
        <w:tc>
          <w:tcPr>
            <w:tcW w:w="1290" w:type="dxa"/>
            <w:tcBorders>
              <w:bottom w:val="double" w:sz="6" w:space="0" w:color="000000"/>
            </w:tcBorders>
          </w:tcPr>
          <w:p>
            <w:pPr>
              <w:pStyle w:val="TableParagraph"/>
              <w:spacing w:before="6"/>
              <w:ind w:left="432"/>
              <w:rPr>
                <w:sz w:val="18"/>
              </w:rPr>
            </w:pPr>
            <w:r>
              <w:rPr>
                <w:spacing w:val="-2"/>
                <w:sz w:val="18"/>
              </w:rPr>
              <w:t>0.000000</w:t>
            </w:r>
          </w:p>
        </w:tc>
        <w:tc>
          <w:tcPr>
            <w:tcW w:w="2431" w:type="dxa"/>
            <w:gridSpan w:val="2"/>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3" w:hRule="atLeast"/>
        </w:trPr>
        <w:tc>
          <w:tcPr>
            <w:tcW w:w="1925" w:type="dxa"/>
            <w:tcBorders>
              <w:top w:val="double" w:sz="6" w:space="0" w:color="000000"/>
              <w:bottom w:val="double" w:sz="6" w:space="0" w:color="000000"/>
            </w:tcBorders>
          </w:tcPr>
          <w:p>
            <w:pPr>
              <w:pStyle w:val="TableParagraph"/>
              <w:spacing w:before="106"/>
              <w:rPr>
                <w:sz w:val="18"/>
              </w:rPr>
            </w:pPr>
            <w:r>
              <w:rPr>
                <w:sz w:val="18"/>
              </w:rPr>
              <w:t>Inverted</w:t>
            </w:r>
            <w:r>
              <w:rPr>
                <w:spacing w:val="-3"/>
                <w:sz w:val="18"/>
              </w:rPr>
              <w:t> </w:t>
            </w:r>
            <w:r>
              <w:rPr>
                <w:sz w:val="18"/>
              </w:rPr>
              <w:t>AR</w:t>
            </w:r>
            <w:r>
              <w:rPr>
                <w:spacing w:val="-2"/>
                <w:sz w:val="18"/>
              </w:rPr>
              <w:t> Roots</w:t>
            </w:r>
          </w:p>
        </w:tc>
        <w:tc>
          <w:tcPr>
            <w:tcW w:w="1290" w:type="dxa"/>
            <w:tcBorders>
              <w:top w:val="double" w:sz="6" w:space="0" w:color="000000"/>
              <w:bottom w:val="double" w:sz="6" w:space="0" w:color="000000"/>
            </w:tcBorders>
          </w:tcPr>
          <w:p>
            <w:pPr>
              <w:pStyle w:val="TableParagraph"/>
              <w:spacing w:before="106"/>
              <w:ind w:left="393"/>
              <w:rPr>
                <w:sz w:val="18"/>
              </w:rPr>
            </w:pPr>
            <w:r>
              <w:rPr>
                <w:spacing w:val="-5"/>
                <w:sz w:val="18"/>
              </w:rPr>
              <w:t>.74</w:t>
            </w:r>
          </w:p>
        </w:tc>
        <w:tc>
          <w:tcPr>
            <w:tcW w:w="2431" w:type="dxa"/>
            <w:gridSpan w:val="2"/>
            <w:tcBorders>
              <w:top w:val="double" w:sz="6" w:space="0" w:color="000000"/>
              <w:bottom w:val="double" w:sz="6" w:space="0" w:color="000000"/>
            </w:tcBorders>
          </w:tcPr>
          <w:p>
            <w:pPr>
              <w:pStyle w:val="TableParagraph"/>
              <w:rPr>
                <w:rFonts w:ascii="Times New Roman"/>
                <w:sz w:val="18"/>
              </w:rPr>
            </w:pPr>
          </w:p>
        </w:tc>
        <w:tc>
          <w:tcPr>
            <w:tcW w:w="884" w:type="dxa"/>
            <w:tcBorders>
              <w:top w:val="double" w:sz="6" w:space="0" w:color="000000"/>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799936">
                <wp:simplePos x="0" y="0"/>
                <wp:positionH relativeFrom="page">
                  <wp:posOffset>1095451</wp:posOffset>
                </wp:positionH>
                <wp:positionV relativeFrom="page">
                  <wp:posOffset>7242047</wp:posOffset>
                </wp:positionV>
                <wp:extent cx="721995" cy="722630"/>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6544" id="docshape172"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800448">
                <wp:simplePos x="0" y="0"/>
                <wp:positionH relativeFrom="page">
                  <wp:posOffset>1269060</wp:posOffset>
                </wp:positionH>
                <wp:positionV relativeFrom="page">
                  <wp:posOffset>6421183</wp:posOffset>
                </wp:positionV>
                <wp:extent cx="1360170" cy="128143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99.926003pt;margin-top:505.60498pt;width:107.1pt;height:100.9pt;mso-position-horizontal-relative:page;mso-position-vertical-relative:page;z-index:-25516032" id="docshape173"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800960">
                <wp:simplePos x="0" y="0"/>
                <wp:positionH relativeFrom="page">
                  <wp:posOffset>2386838</wp:posOffset>
                </wp:positionH>
                <wp:positionV relativeFrom="page">
                  <wp:posOffset>2726054</wp:posOffset>
                </wp:positionV>
                <wp:extent cx="3815715" cy="396494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3815715" cy="3964940"/>
                          <a:chExt cx="3815715" cy="3964940"/>
                        </a:xfrm>
                      </wpg:grpSpPr>
                      <pic:pic>
                        <pic:nvPicPr>
                          <pic:cNvPr id="368" name="Image 368"/>
                          <pic:cNvPicPr/>
                        </pic:nvPicPr>
                        <pic:blipFill>
                          <a:blip r:embed="rId9" cstate="print"/>
                          <a:stretch>
                            <a:fillRect/>
                          </a:stretch>
                        </pic:blipFill>
                        <pic:spPr>
                          <a:xfrm>
                            <a:off x="130555" y="3743197"/>
                            <a:ext cx="221995" cy="221614"/>
                          </a:xfrm>
                          <a:prstGeom prst="rect">
                            <a:avLst/>
                          </a:prstGeom>
                        </pic:spPr>
                      </pic:pic>
                      <wps:wsp>
                        <wps:cNvPr id="369" name="Graphic 369"/>
                        <wps:cNvSpPr/>
                        <wps:spPr>
                          <a:xfrm>
                            <a:off x="0"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87.940002pt;margin-top:214.649979pt;width:300.45pt;height:312.2pt;mso-position-horizontal-relative:page;mso-position-vertical-relative:page;z-index:-25515520" id="docshapegroup174" coordorigin="3759,4293" coordsize="6009,6244">
                <v:shape style="position:absolute;left:3964;top:10187;width:350;height:349" type="#_x0000_t75" id="docshape175" stroked="false">
                  <v:imagedata r:id="rId9" o:title=""/>
                </v:shape>
                <v:shape style="position:absolute;left:3758;top:4293;width:6009;height:6216" id="docshape176"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22:</w:t>
      </w:r>
      <w:r>
        <w:rPr>
          <w:b/>
          <w:spacing w:val="-2"/>
          <w:sz w:val="24"/>
        </w:rPr>
        <w:t> </w:t>
      </w:r>
      <w:r>
        <w:rPr>
          <w:b/>
          <w:sz w:val="24"/>
        </w:rPr>
        <w:t>Table</w:t>
      </w:r>
      <w:r>
        <w:rPr>
          <w:b/>
          <w:spacing w:val="-1"/>
          <w:sz w:val="24"/>
        </w:rPr>
        <w:t> </w:t>
      </w:r>
      <w:r>
        <w:rPr>
          <w:b/>
          <w:sz w:val="24"/>
        </w:rPr>
        <w:t>4.10:</w:t>
      </w:r>
      <w:r>
        <w:rPr>
          <w:b/>
          <w:spacing w:val="-2"/>
          <w:sz w:val="24"/>
        </w:rPr>
        <w:t> </w:t>
      </w:r>
      <w:r>
        <w:rPr>
          <w:b/>
          <w:sz w:val="24"/>
        </w:rPr>
        <w:t>VREL</w:t>
      </w:r>
      <w:r>
        <w:rPr>
          <w:b/>
          <w:spacing w:val="-2"/>
          <w:sz w:val="24"/>
        </w:rPr>
        <w:t> </w:t>
      </w:r>
      <w:r>
        <w:rPr>
          <w:b/>
          <w:sz w:val="24"/>
        </w:rPr>
        <w:t>and</w:t>
      </w:r>
      <w:r>
        <w:rPr>
          <w:b/>
          <w:spacing w:val="-1"/>
          <w:sz w:val="24"/>
        </w:rPr>
        <w:t> </w:t>
      </w:r>
      <w:r>
        <w:rPr>
          <w:b/>
          <w:sz w:val="24"/>
        </w:rPr>
        <w:t>Board</w:t>
      </w:r>
      <w:r>
        <w:rPr>
          <w:b/>
          <w:spacing w:val="-2"/>
          <w:sz w:val="24"/>
        </w:rPr>
        <w:t> </w:t>
      </w:r>
      <w:r>
        <w:rPr>
          <w:b/>
          <w:sz w:val="24"/>
        </w:rPr>
        <w:t>Structure</w:t>
      </w:r>
      <w:r>
        <w:rPr>
          <w:b/>
          <w:spacing w:val="-3"/>
          <w:sz w:val="24"/>
        </w:rPr>
        <w:t> </w:t>
      </w:r>
      <w:r>
        <w:rPr>
          <w:b/>
          <w:sz w:val="24"/>
        </w:rPr>
        <w:t>Regression</w:t>
      </w:r>
      <w:r>
        <w:rPr>
          <w:b/>
          <w:spacing w:val="-1"/>
          <w:sz w:val="24"/>
        </w:rPr>
        <w:t> </w:t>
      </w:r>
      <w:r>
        <w:rPr>
          <w:b/>
          <w:sz w:val="24"/>
        </w:rPr>
        <w:t>Result</w:t>
      </w:r>
      <w:r>
        <w:rPr>
          <w:b/>
          <w:spacing w:val="-2"/>
          <w:sz w:val="24"/>
        </w:rPr>
        <w:t> </w:t>
      </w:r>
      <w:r>
        <w:rPr>
          <w:b/>
          <w:sz w:val="24"/>
        </w:rPr>
        <w:t>(fixed</w:t>
      </w:r>
      <w:r>
        <w:rPr>
          <w:b/>
          <w:spacing w:val="-1"/>
          <w:sz w:val="24"/>
        </w:rPr>
        <w:t> </w:t>
      </w:r>
      <w:r>
        <w:rPr>
          <w:b/>
          <w:spacing w:val="-2"/>
          <w:sz w:val="24"/>
        </w:rPr>
        <w:t>effects)</w:t>
      </w:r>
    </w:p>
    <w:p>
      <w:pPr>
        <w:pStyle w:val="BodyText"/>
        <w:rPr>
          <w:b/>
          <w:sz w:val="20"/>
        </w:rPr>
      </w:pPr>
    </w:p>
    <w:p>
      <w:pPr>
        <w:pStyle w:val="BodyText"/>
        <w:spacing w:before="4"/>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300"/>
        <w:gridCol w:w="1131"/>
        <w:gridCol w:w="88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5" w:hRule="atLeast"/>
        </w:trPr>
        <w:tc>
          <w:tcPr>
            <w:tcW w:w="6530" w:type="dxa"/>
            <w:gridSpan w:val="5"/>
          </w:tcPr>
          <w:p>
            <w:pPr>
              <w:pStyle w:val="TableParagraph"/>
              <w:spacing w:line="199" w:lineRule="exact" w:before="6"/>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5" w:hRule="atLeast"/>
        </w:trPr>
        <w:tc>
          <w:tcPr>
            <w:tcW w:w="6530" w:type="dxa"/>
            <w:gridSpan w:val="5"/>
          </w:tcPr>
          <w:p>
            <w:pPr>
              <w:pStyle w:val="TableParagraph"/>
              <w:spacing w:line="199" w:lineRule="exact" w:before="6"/>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08:25</w:t>
            </w:r>
          </w:p>
        </w:tc>
      </w:tr>
      <w:tr>
        <w:trPr>
          <w:trHeight w:val="224" w:hRule="atLeast"/>
        </w:trPr>
        <w:tc>
          <w:tcPr>
            <w:tcW w:w="1925" w:type="dxa"/>
          </w:tcPr>
          <w:p>
            <w:pPr>
              <w:pStyle w:val="TableParagraph"/>
              <w:spacing w:line="198"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9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1925" w:type="dxa"/>
          </w:tcPr>
          <w:p>
            <w:pPr>
              <w:pStyle w:val="TableParagraph"/>
              <w:spacing w:line="199" w:lineRule="exact" w:before="5"/>
              <w:rPr>
                <w:sz w:val="18"/>
              </w:rPr>
            </w:pPr>
            <w:r>
              <w:rPr>
                <w:sz w:val="18"/>
              </w:rPr>
              <w:t>Periods</w:t>
            </w:r>
            <w:r>
              <w:rPr>
                <w:spacing w:val="-4"/>
                <w:sz w:val="18"/>
              </w:rPr>
              <w:t> </w:t>
            </w:r>
            <w:r>
              <w:rPr>
                <w:sz w:val="18"/>
              </w:rPr>
              <w:t>included:</w:t>
            </w:r>
            <w:r>
              <w:rPr>
                <w:spacing w:val="-3"/>
                <w:sz w:val="18"/>
              </w:rPr>
              <w:t> </w:t>
            </w:r>
            <w:r>
              <w:rPr>
                <w:spacing w:val="-5"/>
                <w:sz w:val="18"/>
              </w:rPr>
              <w:t>15</w:t>
            </w:r>
          </w:p>
        </w:tc>
        <w:tc>
          <w:tcPr>
            <w:tcW w:w="129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0" w:type="dxa"/>
            <w:gridSpan w:val="5"/>
          </w:tcPr>
          <w:p>
            <w:pPr>
              <w:pStyle w:val="TableParagraph"/>
              <w:spacing w:line="199"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224" w:hRule="atLeast"/>
        </w:trPr>
        <w:tc>
          <w:tcPr>
            <w:tcW w:w="6530" w:type="dxa"/>
            <w:gridSpan w:val="5"/>
          </w:tcPr>
          <w:p>
            <w:pPr>
              <w:pStyle w:val="TableParagraph"/>
              <w:spacing w:line="198" w:lineRule="exact" w:before="6"/>
              <w:rPr>
                <w:sz w:val="18"/>
              </w:rPr>
            </w:pPr>
            <w:r>
              <w:rPr>
                <w:sz w:val="18"/>
              </w:rPr>
              <w:t>Linear</w:t>
            </w:r>
            <w:r>
              <w:rPr>
                <w:spacing w:val="-9"/>
                <w:sz w:val="18"/>
              </w:rPr>
              <w:t> </w:t>
            </w:r>
            <w:r>
              <w:rPr>
                <w:sz w:val="18"/>
              </w:rPr>
              <w:t>estimation</w:t>
            </w:r>
            <w:r>
              <w:rPr>
                <w:spacing w:val="-4"/>
                <w:sz w:val="18"/>
              </w:rPr>
              <w:t> </w:t>
            </w:r>
            <w:r>
              <w:rPr>
                <w:sz w:val="18"/>
              </w:rPr>
              <w:t>after</w:t>
            </w:r>
            <w:r>
              <w:rPr>
                <w:spacing w:val="-4"/>
                <w:sz w:val="18"/>
              </w:rPr>
              <w:t> </w:t>
            </w:r>
            <w:r>
              <w:rPr>
                <w:sz w:val="18"/>
              </w:rPr>
              <w:t>one-step</w:t>
            </w:r>
            <w:r>
              <w:rPr>
                <w:spacing w:val="-4"/>
                <w:sz w:val="18"/>
              </w:rPr>
              <w:t> </w:t>
            </w:r>
            <w:r>
              <w:rPr>
                <w:sz w:val="18"/>
              </w:rPr>
              <w:t>weighting</w:t>
            </w:r>
            <w:r>
              <w:rPr>
                <w:spacing w:val="-4"/>
                <w:sz w:val="18"/>
              </w:rPr>
              <w:t> </w:t>
            </w:r>
            <w:r>
              <w:rPr>
                <w:spacing w:val="-2"/>
                <w:sz w:val="18"/>
              </w:rPr>
              <w:t>matrix</w:t>
            </w:r>
          </w:p>
        </w:tc>
      </w:tr>
      <w:tr>
        <w:trPr>
          <w:trHeight w:val="302" w:hRule="atLeast"/>
        </w:trPr>
        <w:tc>
          <w:tcPr>
            <w:tcW w:w="6530" w:type="dxa"/>
            <w:gridSpan w:val="5"/>
            <w:tcBorders>
              <w:bottom w:val="double" w:sz="6" w:space="0" w:color="000000"/>
            </w:tcBorders>
          </w:tcPr>
          <w:p>
            <w:pPr>
              <w:pStyle w:val="TableParagraph"/>
              <w:spacing w:before="5"/>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406"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right="103"/>
              <w:jc w:val="right"/>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8"/>
              <w:ind w:left="155" w:right="18"/>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8"/>
              <w:ind w:left="147"/>
              <w:jc w:val="center"/>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5"/>
              <w:rPr>
                <w:sz w:val="18"/>
              </w:rPr>
            </w:pPr>
            <w:r>
              <w:rPr>
                <w:spacing w:val="-2"/>
                <w:sz w:val="18"/>
              </w:rPr>
              <w:t>Prob.</w:t>
            </w:r>
          </w:p>
        </w:tc>
      </w:tr>
      <w:tr>
        <w:trPr>
          <w:trHeight w:val="327" w:hRule="atLeast"/>
        </w:trPr>
        <w:tc>
          <w:tcPr>
            <w:tcW w:w="1925" w:type="dxa"/>
            <w:tcBorders>
              <w:top w:val="double" w:sz="6" w:space="0" w:color="000000"/>
            </w:tcBorders>
          </w:tcPr>
          <w:p>
            <w:pPr>
              <w:pStyle w:val="TableParagraph"/>
              <w:spacing w:line="201" w:lineRule="exact" w:before="107"/>
              <w:ind w:left="92" w:right="1"/>
              <w:jc w:val="center"/>
              <w:rPr>
                <w:sz w:val="18"/>
              </w:rPr>
            </w:pPr>
            <w:r>
              <w:rPr>
                <w:color w:val="000000"/>
                <w:spacing w:val="-10"/>
                <w:sz w:val="18"/>
                <w:highlight w:val="yellow"/>
              </w:rPr>
              <w:t>C</w:t>
            </w:r>
          </w:p>
        </w:tc>
        <w:tc>
          <w:tcPr>
            <w:tcW w:w="1290" w:type="dxa"/>
            <w:tcBorders>
              <w:top w:val="double" w:sz="6" w:space="0" w:color="000000"/>
            </w:tcBorders>
          </w:tcPr>
          <w:p>
            <w:pPr>
              <w:pStyle w:val="TableParagraph"/>
              <w:spacing w:line="201" w:lineRule="exact" w:before="107"/>
              <w:ind w:right="103"/>
              <w:jc w:val="right"/>
              <w:rPr>
                <w:sz w:val="18"/>
              </w:rPr>
            </w:pPr>
            <w:r>
              <w:rPr>
                <w:color w:val="000000"/>
                <w:spacing w:val="-2"/>
                <w:sz w:val="18"/>
                <w:highlight w:val="yellow"/>
              </w:rPr>
              <w:t>4.080832</w:t>
            </w:r>
          </w:p>
        </w:tc>
        <w:tc>
          <w:tcPr>
            <w:tcW w:w="1300" w:type="dxa"/>
            <w:tcBorders>
              <w:top w:val="double" w:sz="6" w:space="0" w:color="000000"/>
            </w:tcBorders>
          </w:tcPr>
          <w:p>
            <w:pPr>
              <w:pStyle w:val="TableParagraph"/>
              <w:spacing w:line="201" w:lineRule="exact" w:before="107"/>
              <w:ind w:left="155"/>
              <w:jc w:val="center"/>
              <w:rPr>
                <w:sz w:val="18"/>
              </w:rPr>
            </w:pPr>
            <w:r>
              <w:rPr>
                <w:color w:val="000000"/>
                <w:spacing w:val="-2"/>
                <w:sz w:val="18"/>
                <w:highlight w:val="yellow"/>
              </w:rPr>
              <w:t>14.64831</w:t>
            </w:r>
          </w:p>
        </w:tc>
        <w:tc>
          <w:tcPr>
            <w:tcW w:w="1131" w:type="dxa"/>
            <w:tcBorders>
              <w:top w:val="double" w:sz="6" w:space="0" w:color="000000"/>
            </w:tcBorders>
          </w:tcPr>
          <w:p>
            <w:pPr>
              <w:pStyle w:val="TableParagraph"/>
              <w:spacing w:line="201" w:lineRule="exact" w:before="107"/>
              <w:ind w:left="147" w:right="12"/>
              <w:jc w:val="center"/>
              <w:rPr>
                <w:sz w:val="18"/>
              </w:rPr>
            </w:pPr>
            <w:r>
              <w:rPr>
                <w:color w:val="000000"/>
                <w:spacing w:val="-2"/>
                <w:sz w:val="18"/>
                <w:highlight w:val="yellow"/>
              </w:rPr>
              <w:t>0.278587</w:t>
            </w:r>
          </w:p>
        </w:tc>
        <w:tc>
          <w:tcPr>
            <w:tcW w:w="884" w:type="dxa"/>
            <w:tcBorders>
              <w:top w:val="double" w:sz="6" w:space="0" w:color="000000"/>
            </w:tcBorders>
          </w:tcPr>
          <w:p>
            <w:pPr>
              <w:pStyle w:val="TableParagraph"/>
              <w:spacing w:line="201" w:lineRule="exact" w:before="107"/>
              <w:ind w:right="5"/>
              <w:jc w:val="right"/>
              <w:rPr>
                <w:sz w:val="18"/>
              </w:rPr>
            </w:pPr>
            <w:r>
              <w:rPr>
                <w:color w:val="000000"/>
                <w:spacing w:val="-2"/>
                <w:sz w:val="18"/>
                <w:highlight w:val="yellow"/>
              </w:rPr>
              <w:t>0.7809</w:t>
            </w:r>
          </w:p>
        </w:tc>
      </w:tr>
      <w:tr>
        <w:trPr>
          <w:trHeight w:val="224" w:hRule="atLeast"/>
        </w:trPr>
        <w:tc>
          <w:tcPr>
            <w:tcW w:w="1925" w:type="dxa"/>
          </w:tcPr>
          <w:p>
            <w:pPr>
              <w:pStyle w:val="TableParagraph"/>
              <w:spacing w:line="199" w:lineRule="exact" w:before="5"/>
              <w:ind w:left="92" w:right="1"/>
              <w:jc w:val="center"/>
              <w:rPr>
                <w:sz w:val="18"/>
              </w:rPr>
            </w:pPr>
            <w:r>
              <w:rPr>
                <w:spacing w:val="-5"/>
                <w:sz w:val="18"/>
              </w:rPr>
              <w:t>BDS</w:t>
            </w:r>
          </w:p>
        </w:tc>
        <w:tc>
          <w:tcPr>
            <w:tcW w:w="1290" w:type="dxa"/>
          </w:tcPr>
          <w:p>
            <w:pPr>
              <w:pStyle w:val="TableParagraph"/>
              <w:spacing w:line="199" w:lineRule="exact" w:before="5"/>
              <w:ind w:right="103"/>
              <w:jc w:val="right"/>
              <w:rPr>
                <w:sz w:val="18"/>
              </w:rPr>
            </w:pPr>
            <w:r>
              <w:rPr>
                <w:spacing w:val="-2"/>
                <w:sz w:val="18"/>
              </w:rPr>
              <w:t>0.360708</w:t>
            </w:r>
          </w:p>
        </w:tc>
        <w:tc>
          <w:tcPr>
            <w:tcW w:w="1300" w:type="dxa"/>
          </w:tcPr>
          <w:p>
            <w:pPr>
              <w:pStyle w:val="TableParagraph"/>
              <w:spacing w:line="199" w:lineRule="exact" w:before="5"/>
              <w:ind w:left="155"/>
              <w:jc w:val="center"/>
              <w:rPr>
                <w:sz w:val="18"/>
              </w:rPr>
            </w:pPr>
            <w:r>
              <w:rPr>
                <w:spacing w:val="-2"/>
                <w:sz w:val="18"/>
              </w:rPr>
              <w:t>0.235432</w:t>
            </w:r>
          </w:p>
        </w:tc>
        <w:tc>
          <w:tcPr>
            <w:tcW w:w="1131" w:type="dxa"/>
          </w:tcPr>
          <w:p>
            <w:pPr>
              <w:pStyle w:val="TableParagraph"/>
              <w:spacing w:line="199" w:lineRule="exact" w:before="5"/>
              <w:ind w:left="147" w:right="12"/>
              <w:jc w:val="center"/>
              <w:rPr>
                <w:sz w:val="18"/>
              </w:rPr>
            </w:pPr>
            <w:r>
              <w:rPr>
                <w:spacing w:val="-2"/>
                <w:sz w:val="18"/>
              </w:rPr>
              <w:t>1.532109</w:t>
            </w:r>
          </w:p>
        </w:tc>
        <w:tc>
          <w:tcPr>
            <w:tcW w:w="884" w:type="dxa"/>
          </w:tcPr>
          <w:p>
            <w:pPr>
              <w:pStyle w:val="TableParagraph"/>
              <w:spacing w:line="199" w:lineRule="exact" w:before="5"/>
              <w:ind w:right="5"/>
              <w:jc w:val="right"/>
              <w:rPr>
                <w:sz w:val="18"/>
              </w:rPr>
            </w:pPr>
            <w:r>
              <w:rPr>
                <w:spacing w:val="-2"/>
                <w:sz w:val="18"/>
              </w:rPr>
              <w:t>0.1273</w:t>
            </w:r>
          </w:p>
        </w:tc>
      </w:tr>
      <w:tr>
        <w:trPr>
          <w:trHeight w:val="225" w:hRule="atLeast"/>
        </w:trPr>
        <w:tc>
          <w:tcPr>
            <w:tcW w:w="1925" w:type="dxa"/>
          </w:tcPr>
          <w:p>
            <w:pPr>
              <w:pStyle w:val="TableParagraph"/>
              <w:spacing w:line="199" w:lineRule="exact" w:before="6"/>
              <w:ind w:left="727"/>
              <w:rPr>
                <w:sz w:val="18"/>
              </w:rPr>
            </w:pPr>
            <w:r>
              <w:rPr>
                <w:spacing w:val="-2"/>
                <w:sz w:val="18"/>
              </w:rPr>
              <w:t>BDIND</w:t>
            </w:r>
          </w:p>
        </w:tc>
        <w:tc>
          <w:tcPr>
            <w:tcW w:w="1290" w:type="dxa"/>
          </w:tcPr>
          <w:p>
            <w:pPr>
              <w:pStyle w:val="TableParagraph"/>
              <w:spacing w:line="199" w:lineRule="exact" w:before="6"/>
              <w:ind w:right="103"/>
              <w:jc w:val="right"/>
              <w:rPr>
                <w:sz w:val="18"/>
              </w:rPr>
            </w:pPr>
            <w:r>
              <w:rPr>
                <w:spacing w:val="-2"/>
                <w:sz w:val="18"/>
              </w:rPr>
              <w:t>11.30071</w:t>
            </w:r>
          </w:p>
        </w:tc>
        <w:tc>
          <w:tcPr>
            <w:tcW w:w="1300" w:type="dxa"/>
          </w:tcPr>
          <w:p>
            <w:pPr>
              <w:pStyle w:val="TableParagraph"/>
              <w:spacing w:line="199" w:lineRule="exact" w:before="6"/>
              <w:ind w:left="155"/>
              <w:jc w:val="center"/>
              <w:rPr>
                <w:sz w:val="18"/>
              </w:rPr>
            </w:pPr>
            <w:r>
              <w:rPr>
                <w:spacing w:val="-2"/>
                <w:sz w:val="18"/>
              </w:rPr>
              <w:t>6.023194</w:t>
            </w:r>
          </w:p>
        </w:tc>
        <w:tc>
          <w:tcPr>
            <w:tcW w:w="1131" w:type="dxa"/>
          </w:tcPr>
          <w:p>
            <w:pPr>
              <w:pStyle w:val="TableParagraph"/>
              <w:spacing w:line="199" w:lineRule="exact" w:before="6"/>
              <w:ind w:left="147" w:right="12"/>
              <w:jc w:val="center"/>
              <w:rPr>
                <w:sz w:val="18"/>
              </w:rPr>
            </w:pPr>
            <w:r>
              <w:rPr>
                <w:spacing w:val="-2"/>
                <w:sz w:val="18"/>
              </w:rPr>
              <w:t>1.876199</w:t>
            </w:r>
          </w:p>
        </w:tc>
        <w:tc>
          <w:tcPr>
            <w:tcW w:w="884" w:type="dxa"/>
          </w:tcPr>
          <w:p>
            <w:pPr>
              <w:pStyle w:val="TableParagraph"/>
              <w:spacing w:line="199" w:lineRule="exact" w:before="6"/>
              <w:ind w:right="5"/>
              <w:jc w:val="right"/>
              <w:rPr>
                <w:sz w:val="18"/>
              </w:rPr>
            </w:pPr>
            <w:r>
              <w:rPr>
                <w:spacing w:val="-2"/>
                <w:sz w:val="18"/>
              </w:rPr>
              <w:t>0.0623</w:t>
            </w:r>
          </w:p>
        </w:tc>
      </w:tr>
      <w:tr>
        <w:trPr>
          <w:trHeight w:val="224" w:hRule="atLeast"/>
        </w:trPr>
        <w:tc>
          <w:tcPr>
            <w:tcW w:w="1925" w:type="dxa"/>
          </w:tcPr>
          <w:p>
            <w:pPr>
              <w:pStyle w:val="TableParagraph"/>
              <w:spacing w:line="198" w:lineRule="exact" w:before="6"/>
              <w:ind w:left="712"/>
              <w:rPr>
                <w:sz w:val="18"/>
              </w:rPr>
            </w:pPr>
            <w:r>
              <w:rPr>
                <w:spacing w:val="-2"/>
                <w:sz w:val="18"/>
              </w:rPr>
              <w:t>BFEXP</w:t>
            </w:r>
          </w:p>
        </w:tc>
        <w:tc>
          <w:tcPr>
            <w:tcW w:w="1290" w:type="dxa"/>
          </w:tcPr>
          <w:p>
            <w:pPr>
              <w:pStyle w:val="TableParagraph"/>
              <w:spacing w:line="198" w:lineRule="exact" w:before="6"/>
              <w:ind w:right="103"/>
              <w:jc w:val="right"/>
              <w:rPr>
                <w:sz w:val="18"/>
              </w:rPr>
            </w:pPr>
            <w:r>
              <w:rPr>
                <w:spacing w:val="-2"/>
                <w:sz w:val="18"/>
              </w:rPr>
              <w:t>-7.524777</w:t>
            </w:r>
          </w:p>
        </w:tc>
        <w:tc>
          <w:tcPr>
            <w:tcW w:w="1300" w:type="dxa"/>
          </w:tcPr>
          <w:p>
            <w:pPr>
              <w:pStyle w:val="TableParagraph"/>
              <w:spacing w:line="198" w:lineRule="exact" w:before="6"/>
              <w:ind w:left="155"/>
              <w:jc w:val="center"/>
              <w:rPr>
                <w:sz w:val="18"/>
              </w:rPr>
            </w:pPr>
            <w:r>
              <w:rPr>
                <w:spacing w:val="-2"/>
                <w:sz w:val="18"/>
              </w:rPr>
              <w:t>3.416417</w:t>
            </w:r>
          </w:p>
        </w:tc>
        <w:tc>
          <w:tcPr>
            <w:tcW w:w="1131" w:type="dxa"/>
          </w:tcPr>
          <w:p>
            <w:pPr>
              <w:pStyle w:val="TableParagraph"/>
              <w:spacing w:line="198" w:lineRule="exact" w:before="6"/>
              <w:ind w:left="147" w:right="72"/>
              <w:jc w:val="center"/>
              <w:rPr>
                <w:sz w:val="18"/>
              </w:rPr>
            </w:pPr>
            <w:r>
              <w:rPr>
                <w:spacing w:val="-2"/>
                <w:sz w:val="18"/>
              </w:rPr>
              <w:t>-2.202535</w:t>
            </w:r>
          </w:p>
        </w:tc>
        <w:tc>
          <w:tcPr>
            <w:tcW w:w="884" w:type="dxa"/>
          </w:tcPr>
          <w:p>
            <w:pPr>
              <w:pStyle w:val="TableParagraph"/>
              <w:spacing w:line="198" w:lineRule="exact" w:before="6"/>
              <w:ind w:right="5"/>
              <w:jc w:val="right"/>
              <w:rPr>
                <w:sz w:val="18"/>
              </w:rPr>
            </w:pPr>
            <w:r>
              <w:rPr>
                <w:spacing w:val="-2"/>
                <w:sz w:val="18"/>
              </w:rPr>
              <w:t>0.0290</w:t>
            </w:r>
          </w:p>
        </w:tc>
      </w:tr>
      <w:tr>
        <w:trPr>
          <w:trHeight w:val="224" w:hRule="atLeast"/>
        </w:trPr>
        <w:tc>
          <w:tcPr>
            <w:tcW w:w="1925" w:type="dxa"/>
          </w:tcPr>
          <w:p>
            <w:pPr>
              <w:pStyle w:val="TableParagraph"/>
              <w:spacing w:line="199" w:lineRule="exact" w:before="5"/>
              <w:ind w:left="92" w:right="1"/>
              <w:jc w:val="center"/>
              <w:rPr>
                <w:sz w:val="18"/>
              </w:rPr>
            </w:pPr>
            <w:r>
              <w:rPr>
                <w:spacing w:val="-4"/>
                <w:sz w:val="18"/>
              </w:rPr>
              <w:t>FAGE</w:t>
            </w:r>
          </w:p>
        </w:tc>
        <w:tc>
          <w:tcPr>
            <w:tcW w:w="1290" w:type="dxa"/>
          </w:tcPr>
          <w:p>
            <w:pPr>
              <w:pStyle w:val="TableParagraph"/>
              <w:spacing w:line="199" w:lineRule="exact" w:before="5"/>
              <w:ind w:right="103"/>
              <w:jc w:val="right"/>
              <w:rPr>
                <w:sz w:val="18"/>
              </w:rPr>
            </w:pPr>
            <w:r>
              <w:rPr>
                <w:spacing w:val="-2"/>
                <w:sz w:val="18"/>
              </w:rPr>
              <w:t>-0.419159</w:t>
            </w:r>
          </w:p>
        </w:tc>
        <w:tc>
          <w:tcPr>
            <w:tcW w:w="1300" w:type="dxa"/>
          </w:tcPr>
          <w:p>
            <w:pPr>
              <w:pStyle w:val="TableParagraph"/>
              <w:spacing w:line="199" w:lineRule="exact" w:before="5"/>
              <w:ind w:left="155"/>
              <w:jc w:val="center"/>
              <w:rPr>
                <w:sz w:val="18"/>
              </w:rPr>
            </w:pPr>
            <w:r>
              <w:rPr>
                <w:spacing w:val="-2"/>
                <w:sz w:val="18"/>
              </w:rPr>
              <w:t>0.194443</w:t>
            </w:r>
          </w:p>
        </w:tc>
        <w:tc>
          <w:tcPr>
            <w:tcW w:w="1131" w:type="dxa"/>
          </w:tcPr>
          <w:p>
            <w:pPr>
              <w:pStyle w:val="TableParagraph"/>
              <w:spacing w:line="199" w:lineRule="exact" w:before="5"/>
              <w:ind w:left="147" w:right="72"/>
              <w:jc w:val="center"/>
              <w:rPr>
                <w:sz w:val="18"/>
              </w:rPr>
            </w:pPr>
            <w:r>
              <w:rPr>
                <w:spacing w:val="-2"/>
                <w:sz w:val="18"/>
              </w:rPr>
              <w:t>-2.155688</w:t>
            </w:r>
          </w:p>
        </w:tc>
        <w:tc>
          <w:tcPr>
            <w:tcW w:w="884" w:type="dxa"/>
          </w:tcPr>
          <w:p>
            <w:pPr>
              <w:pStyle w:val="TableParagraph"/>
              <w:spacing w:line="199" w:lineRule="exact" w:before="5"/>
              <w:ind w:right="5"/>
              <w:jc w:val="right"/>
              <w:rPr>
                <w:sz w:val="18"/>
              </w:rPr>
            </w:pPr>
            <w:r>
              <w:rPr>
                <w:spacing w:val="-2"/>
                <w:sz w:val="18"/>
              </w:rPr>
              <w:t>0.0325</w:t>
            </w:r>
          </w:p>
        </w:tc>
      </w:tr>
      <w:tr>
        <w:trPr>
          <w:trHeight w:val="225" w:hRule="atLeast"/>
        </w:trPr>
        <w:tc>
          <w:tcPr>
            <w:tcW w:w="1925" w:type="dxa"/>
          </w:tcPr>
          <w:p>
            <w:pPr>
              <w:pStyle w:val="TableParagraph"/>
              <w:spacing w:line="199" w:lineRule="exact" w:before="6"/>
              <w:ind w:left="92" w:right="5"/>
              <w:jc w:val="center"/>
              <w:rPr>
                <w:sz w:val="18"/>
              </w:rPr>
            </w:pPr>
            <w:r>
              <w:rPr>
                <w:spacing w:val="-2"/>
                <w:sz w:val="18"/>
              </w:rPr>
              <w:t>FSIZE</w:t>
            </w:r>
          </w:p>
        </w:tc>
        <w:tc>
          <w:tcPr>
            <w:tcW w:w="1290" w:type="dxa"/>
          </w:tcPr>
          <w:p>
            <w:pPr>
              <w:pStyle w:val="TableParagraph"/>
              <w:spacing w:line="199" w:lineRule="exact" w:before="6"/>
              <w:ind w:right="103"/>
              <w:jc w:val="right"/>
              <w:rPr>
                <w:sz w:val="18"/>
              </w:rPr>
            </w:pPr>
            <w:r>
              <w:rPr>
                <w:spacing w:val="-2"/>
                <w:sz w:val="18"/>
              </w:rPr>
              <w:t>1.239782</w:t>
            </w:r>
          </w:p>
        </w:tc>
        <w:tc>
          <w:tcPr>
            <w:tcW w:w="1300" w:type="dxa"/>
          </w:tcPr>
          <w:p>
            <w:pPr>
              <w:pStyle w:val="TableParagraph"/>
              <w:spacing w:line="199" w:lineRule="exact" w:before="6"/>
              <w:ind w:left="155"/>
              <w:jc w:val="center"/>
              <w:rPr>
                <w:sz w:val="18"/>
              </w:rPr>
            </w:pPr>
            <w:r>
              <w:rPr>
                <w:spacing w:val="-2"/>
                <w:sz w:val="18"/>
              </w:rPr>
              <w:t>0.897109</w:t>
            </w:r>
          </w:p>
        </w:tc>
        <w:tc>
          <w:tcPr>
            <w:tcW w:w="1131" w:type="dxa"/>
          </w:tcPr>
          <w:p>
            <w:pPr>
              <w:pStyle w:val="TableParagraph"/>
              <w:spacing w:line="199" w:lineRule="exact" w:before="6"/>
              <w:ind w:left="147" w:right="12"/>
              <w:jc w:val="center"/>
              <w:rPr>
                <w:sz w:val="18"/>
              </w:rPr>
            </w:pPr>
            <w:r>
              <w:rPr>
                <w:spacing w:val="-2"/>
                <w:sz w:val="18"/>
              </w:rPr>
              <w:t>1.381975</w:t>
            </w:r>
          </w:p>
        </w:tc>
        <w:tc>
          <w:tcPr>
            <w:tcW w:w="884" w:type="dxa"/>
          </w:tcPr>
          <w:p>
            <w:pPr>
              <w:pStyle w:val="TableParagraph"/>
              <w:spacing w:line="199" w:lineRule="exact" w:before="6"/>
              <w:ind w:right="5"/>
              <w:jc w:val="right"/>
              <w:rPr>
                <w:sz w:val="18"/>
              </w:rPr>
            </w:pPr>
            <w:r>
              <w:rPr>
                <w:spacing w:val="-2"/>
                <w:sz w:val="18"/>
              </w:rPr>
              <w:t>0.1688</w:t>
            </w:r>
          </w:p>
        </w:tc>
      </w:tr>
      <w:tr>
        <w:trPr>
          <w:trHeight w:val="225" w:hRule="atLeast"/>
        </w:trPr>
        <w:tc>
          <w:tcPr>
            <w:tcW w:w="1925" w:type="dxa"/>
          </w:tcPr>
          <w:p>
            <w:pPr>
              <w:pStyle w:val="TableParagraph"/>
              <w:spacing w:line="199" w:lineRule="exact" w:before="6"/>
              <w:ind w:left="523"/>
              <w:rPr>
                <w:sz w:val="18"/>
              </w:rPr>
            </w:pPr>
            <w:r>
              <w:rPr>
                <w:spacing w:val="-2"/>
                <w:sz w:val="18"/>
              </w:rPr>
              <w:t>LEVERAGE</w:t>
            </w:r>
          </w:p>
        </w:tc>
        <w:tc>
          <w:tcPr>
            <w:tcW w:w="1290" w:type="dxa"/>
          </w:tcPr>
          <w:p>
            <w:pPr>
              <w:pStyle w:val="TableParagraph"/>
              <w:spacing w:line="199" w:lineRule="exact" w:before="6"/>
              <w:ind w:right="103"/>
              <w:jc w:val="right"/>
              <w:rPr>
                <w:sz w:val="18"/>
              </w:rPr>
            </w:pPr>
            <w:r>
              <w:rPr>
                <w:spacing w:val="-2"/>
                <w:sz w:val="18"/>
              </w:rPr>
              <w:t>0.025671</w:t>
            </w:r>
          </w:p>
        </w:tc>
        <w:tc>
          <w:tcPr>
            <w:tcW w:w="1300" w:type="dxa"/>
          </w:tcPr>
          <w:p>
            <w:pPr>
              <w:pStyle w:val="TableParagraph"/>
              <w:spacing w:line="199" w:lineRule="exact" w:before="6"/>
              <w:ind w:left="155"/>
              <w:jc w:val="center"/>
              <w:rPr>
                <w:sz w:val="18"/>
              </w:rPr>
            </w:pPr>
            <w:r>
              <w:rPr>
                <w:spacing w:val="-2"/>
                <w:sz w:val="18"/>
              </w:rPr>
              <w:t>0.432779</w:t>
            </w:r>
          </w:p>
        </w:tc>
        <w:tc>
          <w:tcPr>
            <w:tcW w:w="1131" w:type="dxa"/>
          </w:tcPr>
          <w:p>
            <w:pPr>
              <w:pStyle w:val="TableParagraph"/>
              <w:spacing w:line="199" w:lineRule="exact" w:before="6"/>
              <w:ind w:left="147" w:right="12"/>
              <w:jc w:val="center"/>
              <w:rPr>
                <w:sz w:val="18"/>
              </w:rPr>
            </w:pPr>
            <w:r>
              <w:rPr>
                <w:spacing w:val="-2"/>
                <w:sz w:val="18"/>
              </w:rPr>
              <w:t>0.059316</w:t>
            </w:r>
          </w:p>
        </w:tc>
        <w:tc>
          <w:tcPr>
            <w:tcW w:w="884" w:type="dxa"/>
          </w:tcPr>
          <w:p>
            <w:pPr>
              <w:pStyle w:val="TableParagraph"/>
              <w:spacing w:line="199" w:lineRule="exact" w:before="6"/>
              <w:ind w:right="5"/>
              <w:jc w:val="right"/>
              <w:rPr>
                <w:sz w:val="18"/>
              </w:rPr>
            </w:pPr>
            <w:r>
              <w:rPr>
                <w:spacing w:val="-2"/>
                <w:sz w:val="18"/>
              </w:rPr>
              <w:t>0.9528</w:t>
            </w:r>
          </w:p>
        </w:tc>
      </w:tr>
      <w:tr>
        <w:trPr>
          <w:trHeight w:val="224" w:hRule="atLeast"/>
        </w:trPr>
        <w:tc>
          <w:tcPr>
            <w:tcW w:w="1925" w:type="dxa"/>
          </w:tcPr>
          <w:p>
            <w:pPr>
              <w:pStyle w:val="TableParagraph"/>
              <w:spacing w:line="198" w:lineRule="exact" w:before="6"/>
              <w:ind w:left="92" w:right="4"/>
              <w:jc w:val="center"/>
              <w:rPr>
                <w:sz w:val="18"/>
              </w:rPr>
            </w:pPr>
            <w:r>
              <w:rPr>
                <w:spacing w:val="-4"/>
                <w:sz w:val="18"/>
              </w:rPr>
              <w:t>IFRS</w:t>
            </w:r>
          </w:p>
        </w:tc>
        <w:tc>
          <w:tcPr>
            <w:tcW w:w="1290" w:type="dxa"/>
          </w:tcPr>
          <w:p>
            <w:pPr>
              <w:pStyle w:val="TableParagraph"/>
              <w:spacing w:line="198" w:lineRule="exact" w:before="6"/>
              <w:ind w:right="103"/>
              <w:jc w:val="right"/>
              <w:rPr>
                <w:sz w:val="18"/>
              </w:rPr>
            </w:pPr>
            <w:r>
              <w:rPr>
                <w:spacing w:val="-2"/>
                <w:sz w:val="18"/>
              </w:rPr>
              <w:t>20.53519</w:t>
            </w:r>
          </w:p>
        </w:tc>
        <w:tc>
          <w:tcPr>
            <w:tcW w:w="1300" w:type="dxa"/>
          </w:tcPr>
          <w:p>
            <w:pPr>
              <w:pStyle w:val="TableParagraph"/>
              <w:spacing w:line="198" w:lineRule="exact" w:before="6"/>
              <w:ind w:left="155"/>
              <w:jc w:val="center"/>
              <w:rPr>
                <w:sz w:val="18"/>
              </w:rPr>
            </w:pPr>
            <w:r>
              <w:rPr>
                <w:spacing w:val="-2"/>
                <w:sz w:val="18"/>
              </w:rPr>
              <w:t>7.201272</w:t>
            </w:r>
          </w:p>
        </w:tc>
        <w:tc>
          <w:tcPr>
            <w:tcW w:w="1131" w:type="dxa"/>
          </w:tcPr>
          <w:p>
            <w:pPr>
              <w:pStyle w:val="TableParagraph"/>
              <w:spacing w:line="198" w:lineRule="exact" w:before="6"/>
              <w:ind w:left="147" w:right="12"/>
              <w:jc w:val="center"/>
              <w:rPr>
                <w:sz w:val="18"/>
              </w:rPr>
            </w:pPr>
            <w:r>
              <w:rPr>
                <w:spacing w:val="-2"/>
                <w:sz w:val="18"/>
              </w:rPr>
              <w:t>2.851606</w:t>
            </w:r>
          </w:p>
        </w:tc>
        <w:tc>
          <w:tcPr>
            <w:tcW w:w="884" w:type="dxa"/>
          </w:tcPr>
          <w:p>
            <w:pPr>
              <w:pStyle w:val="TableParagraph"/>
              <w:spacing w:line="198" w:lineRule="exact" w:before="6"/>
              <w:ind w:right="5"/>
              <w:jc w:val="right"/>
              <w:rPr>
                <w:sz w:val="18"/>
              </w:rPr>
            </w:pPr>
            <w:r>
              <w:rPr>
                <w:spacing w:val="-2"/>
                <w:sz w:val="18"/>
              </w:rPr>
              <w:t>0.0049</w:t>
            </w:r>
          </w:p>
        </w:tc>
      </w:tr>
      <w:tr>
        <w:trPr>
          <w:trHeight w:val="224" w:hRule="atLeast"/>
        </w:trPr>
        <w:tc>
          <w:tcPr>
            <w:tcW w:w="1925" w:type="dxa"/>
          </w:tcPr>
          <w:p>
            <w:pPr>
              <w:pStyle w:val="TableParagraph"/>
              <w:spacing w:line="199" w:lineRule="exact" w:before="5"/>
              <w:ind w:left="583"/>
              <w:rPr>
                <w:sz w:val="18"/>
              </w:rPr>
            </w:pPr>
            <w:r>
              <w:rPr>
                <w:spacing w:val="-2"/>
                <w:sz w:val="18"/>
              </w:rPr>
              <w:t>BDS*IFRS</w:t>
            </w:r>
          </w:p>
        </w:tc>
        <w:tc>
          <w:tcPr>
            <w:tcW w:w="1290" w:type="dxa"/>
          </w:tcPr>
          <w:p>
            <w:pPr>
              <w:pStyle w:val="TableParagraph"/>
              <w:spacing w:line="199" w:lineRule="exact" w:before="5"/>
              <w:ind w:right="103"/>
              <w:jc w:val="right"/>
              <w:rPr>
                <w:sz w:val="18"/>
              </w:rPr>
            </w:pPr>
            <w:r>
              <w:rPr>
                <w:spacing w:val="-2"/>
                <w:sz w:val="18"/>
              </w:rPr>
              <w:t>-0.481416</w:t>
            </w:r>
          </w:p>
        </w:tc>
        <w:tc>
          <w:tcPr>
            <w:tcW w:w="1300" w:type="dxa"/>
          </w:tcPr>
          <w:p>
            <w:pPr>
              <w:pStyle w:val="TableParagraph"/>
              <w:spacing w:line="199" w:lineRule="exact" w:before="5"/>
              <w:ind w:left="155"/>
              <w:jc w:val="center"/>
              <w:rPr>
                <w:sz w:val="18"/>
              </w:rPr>
            </w:pPr>
            <w:r>
              <w:rPr>
                <w:spacing w:val="-2"/>
                <w:sz w:val="18"/>
              </w:rPr>
              <w:t>0.242264</w:t>
            </w:r>
          </w:p>
        </w:tc>
        <w:tc>
          <w:tcPr>
            <w:tcW w:w="1131" w:type="dxa"/>
          </w:tcPr>
          <w:p>
            <w:pPr>
              <w:pStyle w:val="TableParagraph"/>
              <w:spacing w:line="199" w:lineRule="exact" w:before="5"/>
              <w:ind w:left="147" w:right="72"/>
              <w:jc w:val="center"/>
              <w:rPr>
                <w:sz w:val="18"/>
              </w:rPr>
            </w:pPr>
            <w:r>
              <w:rPr>
                <w:spacing w:val="-2"/>
                <w:sz w:val="18"/>
              </w:rPr>
              <w:t>-1.987156</w:t>
            </w:r>
          </w:p>
        </w:tc>
        <w:tc>
          <w:tcPr>
            <w:tcW w:w="884" w:type="dxa"/>
          </w:tcPr>
          <w:p>
            <w:pPr>
              <w:pStyle w:val="TableParagraph"/>
              <w:spacing w:line="199" w:lineRule="exact" w:before="5"/>
              <w:ind w:right="5"/>
              <w:jc w:val="right"/>
              <w:rPr>
                <w:sz w:val="18"/>
              </w:rPr>
            </w:pPr>
            <w:r>
              <w:rPr>
                <w:spacing w:val="-2"/>
                <w:sz w:val="18"/>
              </w:rPr>
              <w:t>0.0485</w:t>
            </w:r>
          </w:p>
        </w:tc>
      </w:tr>
      <w:tr>
        <w:trPr>
          <w:trHeight w:val="225" w:hRule="atLeast"/>
        </w:trPr>
        <w:tc>
          <w:tcPr>
            <w:tcW w:w="1925" w:type="dxa"/>
          </w:tcPr>
          <w:p>
            <w:pPr>
              <w:pStyle w:val="TableParagraph"/>
              <w:spacing w:line="199" w:lineRule="exact" w:before="6"/>
              <w:ind w:left="487"/>
              <w:rPr>
                <w:sz w:val="18"/>
              </w:rPr>
            </w:pPr>
            <w:r>
              <w:rPr>
                <w:spacing w:val="-2"/>
                <w:sz w:val="18"/>
              </w:rPr>
              <w:t>BDIND*IFRS</w:t>
            </w:r>
          </w:p>
        </w:tc>
        <w:tc>
          <w:tcPr>
            <w:tcW w:w="1290" w:type="dxa"/>
          </w:tcPr>
          <w:p>
            <w:pPr>
              <w:pStyle w:val="TableParagraph"/>
              <w:spacing w:line="199" w:lineRule="exact" w:before="6"/>
              <w:ind w:right="103"/>
              <w:jc w:val="right"/>
              <w:rPr>
                <w:sz w:val="18"/>
              </w:rPr>
            </w:pPr>
            <w:r>
              <w:rPr>
                <w:spacing w:val="-2"/>
                <w:sz w:val="18"/>
              </w:rPr>
              <w:t>-26.33769</w:t>
            </w:r>
          </w:p>
        </w:tc>
        <w:tc>
          <w:tcPr>
            <w:tcW w:w="1300" w:type="dxa"/>
          </w:tcPr>
          <w:p>
            <w:pPr>
              <w:pStyle w:val="TableParagraph"/>
              <w:spacing w:line="199" w:lineRule="exact" w:before="6"/>
              <w:ind w:left="155"/>
              <w:jc w:val="center"/>
              <w:rPr>
                <w:sz w:val="18"/>
              </w:rPr>
            </w:pPr>
            <w:r>
              <w:rPr>
                <w:spacing w:val="-2"/>
                <w:sz w:val="18"/>
              </w:rPr>
              <w:t>7.546127</w:t>
            </w:r>
          </w:p>
        </w:tc>
        <w:tc>
          <w:tcPr>
            <w:tcW w:w="1131" w:type="dxa"/>
          </w:tcPr>
          <w:p>
            <w:pPr>
              <w:pStyle w:val="TableParagraph"/>
              <w:spacing w:line="199" w:lineRule="exact" w:before="6"/>
              <w:ind w:left="147" w:right="72"/>
              <w:jc w:val="center"/>
              <w:rPr>
                <w:sz w:val="18"/>
              </w:rPr>
            </w:pPr>
            <w:r>
              <w:rPr>
                <w:spacing w:val="-2"/>
                <w:sz w:val="18"/>
              </w:rPr>
              <w:t>-3.490227</w:t>
            </w:r>
          </w:p>
        </w:tc>
        <w:tc>
          <w:tcPr>
            <w:tcW w:w="884" w:type="dxa"/>
          </w:tcPr>
          <w:p>
            <w:pPr>
              <w:pStyle w:val="TableParagraph"/>
              <w:spacing w:line="199" w:lineRule="exact" w:before="6"/>
              <w:ind w:right="5"/>
              <w:jc w:val="right"/>
              <w:rPr>
                <w:sz w:val="18"/>
              </w:rPr>
            </w:pPr>
            <w:r>
              <w:rPr>
                <w:spacing w:val="-2"/>
                <w:sz w:val="18"/>
              </w:rPr>
              <w:t>0.0006</w:t>
            </w:r>
          </w:p>
        </w:tc>
      </w:tr>
      <w:tr>
        <w:trPr>
          <w:trHeight w:val="303" w:hRule="atLeast"/>
        </w:trPr>
        <w:tc>
          <w:tcPr>
            <w:tcW w:w="1925" w:type="dxa"/>
            <w:tcBorders>
              <w:bottom w:val="double" w:sz="6" w:space="0" w:color="000000"/>
            </w:tcBorders>
          </w:tcPr>
          <w:p>
            <w:pPr>
              <w:pStyle w:val="TableParagraph"/>
              <w:spacing w:before="6"/>
              <w:ind w:left="472"/>
              <w:rPr>
                <w:sz w:val="18"/>
              </w:rPr>
            </w:pPr>
            <w:r>
              <w:rPr>
                <w:spacing w:val="-2"/>
                <w:sz w:val="18"/>
              </w:rPr>
              <w:t>BFEXP*IFRS</w:t>
            </w:r>
          </w:p>
        </w:tc>
        <w:tc>
          <w:tcPr>
            <w:tcW w:w="1290" w:type="dxa"/>
            <w:tcBorders>
              <w:bottom w:val="double" w:sz="6" w:space="0" w:color="000000"/>
            </w:tcBorders>
          </w:tcPr>
          <w:p>
            <w:pPr>
              <w:pStyle w:val="TableParagraph"/>
              <w:spacing w:before="6"/>
              <w:ind w:right="103"/>
              <w:jc w:val="right"/>
              <w:rPr>
                <w:sz w:val="18"/>
              </w:rPr>
            </w:pPr>
            <w:r>
              <w:rPr>
                <w:spacing w:val="-2"/>
                <w:sz w:val="18"/>
              </w:rPr>
              <w:t>3.472338</w:t>
            </w:r>
          </w:p>
        </w:tc>
        <w:tc>
          <w:tcPr>
            <w:tcW w:w="1300" w:type="dxa"/>
            <w:tcBorders>
              <w:bottom w:val="double" w:sz="6" w:space="0" w:color="000000"/>
            </w:tcBorders>
          </w:tcPr>
          <w:p>
            <w:pPr>
              <w:pStyle w:val="TableParagraph"/>
              <w:spacing w:before="6"/>
              <w:ind w:left="155"/>
              <w:jc w:val="center"/>
              <w:rPr>
                <w:sz w:val="18"/>
              </w:rPr>
            </w:pPr>
            <w:r>
              <w:rPr>
                <w:spacing w:val="-2"/>
                <w:sz w:val="18"/>
              </w:rPr>
              <w:t>6.345107</w:t>
            </w:r>
          </w:p>
        </w:tc>
        <w:tc>
          <w:tcPr>
            <w:tcW w:w="1131" w:type="dxa"/>
            <w:tcBorders>
              <w:bottom w:val="double" w:sz="6" w:space="0" w:color="000000"/>
            </w:tcBorders>
          </w:tcPr>
          <w:p>
            <w:pPr>
              <w:pStyle w:val="TableParagraph"/>
              <w:spacing w:before="6"/>
              <w:ind w:left="147" w:right="12"/>
              <w:jc w:val="center"/>
              <w:rPr>
                <w:sz w:val="18"/>
              </w:rPr>
            </w:pPr>
            <w:r>
              <w:rPr>
                <w:spacing w:val="-2"/>
                <w:sz w:val="18"/>
              </w:rPr>
              <w:t>0.547247</w:t>
            </w:r>
          </w:p>
        </w:tc>
        <w:tc>
          <w:tcPr>
            <w:tcW w:w="884" w:type="dxa"/>
            <w:tcBorders>
              <w:bottom w:val="double" w:sz="6" w:space="0" w:color="000000"/>
            </w:tcBorders>
          </w:tcPr>
          <w:p>
            <w:pPr>
              <w:pStyle w:val="TableParagraph"/>
              <w:spacing w:before="6"/>
              <w:ind w:right="5"/>
              <w:jc w:val="right"/>
              <w:rPr>
                <w:sz w:val="18"/>
              </w:rPr>
            </w:pPr>
            <w:r>
              <w:rPr>
                <w:spacing w:val="-2"/>
                <w:sz w:val="18"/>
              </w:rPr>
              <w:t>0.5849</w:t>
            </w:r>
          </w:p>
        </w:tc>
      </w:tr>
      <w:tr>
        <w:trPr>
          <w:trHeight w:val="403" w:hRule="atLeast"/>
        </w:trPr>
        <w:tc>
          <w:tcPr>
            <w:tcW w:w="6530" w:type="dxa"/>
            <w:gridSpan w:val="5"/>
            <w:tcBorders>
              <w:top w:val="double" w:sz="6" w:space="0" w:color="000000"/>
              <w:bottom w:val="double" w:sz="6" w:space="0" w:color="000000"/>
            </w:tcBorders>
          </w:tcPr>
          <w:p>
            <w:pPr>
              <w:pStyle w:val="TableParagraph"/>
              <w:spacing w:before="106"/>
              <w:ind w:left="3" w:right="186"/>
              <w:jc w:val="center"/>
              <w:rPr>
                <w:sz w:val="18"/>
              </w:rPr>
            </w:pPr>
            <w:r>
              <w:rPr>
                <w:sz w:val="18"/>
              </w:rPr>
              <w:t>Effects </w:t>
            </w:r>
            <w:r>
              <w:rPr>
                <w:spacing w:val="-2"/>
                <w:sz w:val="18"/>
              </w:rPr>
              <w:t>Specification</w:t>
            </w:r>
          </w:p>
        </w:tc>
      </w:tr>
      <w:tr>
        <w:trPr>
          <w:trHeight w:val="406" w:hRule="atLeast"/>
        </w:trPr>
        <w:tc>
          <w:tcPr>
            <w:tcW w:w="6530" w:type="dxa"/>
            <w:gridSpan w:val="5"/>
            <w:tcBorders>
              <w:top w:val="double" w:sz="6" w:space="0" w:color="000000"/>
              <w:bottom w:val="double" w:sz="6" w:space="0" w:color="000000"/>
            </w:tcBorders>
          </w:tcPr>
          <w:p>
            <w:pPr>
              <w:pStyle w:val="TableParagraph"/>
              <w:spacing w:before="108"/>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3" w:hRule="atLeast"/>
        </w:trPr>
        <w:tc>
          <w:tcPr>
            <w:tcW w:w="6530" w:type="dxa"/>
            <w:gridSpan w:val="5"/>
            <w:tcBorders>
              <w:top w:val="double" w:sz="6" w:space="0" w:color="000000"/>
              <w:bottom w:val="double" w:sz="6" w:space="0" w:color="000000"/>
            </w:tcBorders>
          </w:tcPr>
          <w:p>
            <w:pPr>
              <w:pStyle w:val="TableParagraph"/>
              <w:spacing w:before="106"/>
              <w:ind w:right="186"/>
              <w:jc w:val="center"/>
              <w:rPr>
                <w:sz w:val="18"/>
              </w:rPr>
            </w:pPr>
            <w:r>
              <w:rPr>
                <w:sz w:val="18"/>
              </w:rPr>
              <w:t>Weighted</w:t>
            </w:r>
            <w:r>
              <w:rPr>
                <w:spacing w:val="-3"/>
                <w:sz w:val="18"/>
              </w:rPr>
              <w:t> </w:t>
            </w:r>
            <w:r>
              <w:rPr>
                <w:spacing w:val="-2"/>
                <w:sz w:val="18"/>
              </w:rPr>
              <w:t>Statistics</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right="103"/>
              <w:jc w:val="right"/>
              <w:rPr>
                <w:sz w:val="18"/>
              </w:rPr>
            </w:pPr>
            <w:r>
              <w:rPr>
                <w:spacing w:val="-2"/>
                <w:sz w:val="18"/>
              </w:rPr>
              <w:t>0.617210</w:t>
            </w:r>
          </w:p>
        </w:tc>
        <w:tc>
          <w:tcPr>
            <w:tcW w:w="243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5"/>
              <w:jc w:val="right"/>
              <w:rPr>
                <w:sz w:val="18"/>
              </w:rPr>
            </w:pPr>
            <w:r>
              <w:rPr>
                <w:spacing w:val="-2"/>
                <w:sz w:val="18"/>
              </w:rPr>
              <w:t>9.632967</w:t>
            </w:r>
          </w:p>
        </w:tc>
      </w:tr>
      <w:tr>
        <w:trPr>
          <w:trHeight w:val="224" w:hRule="atLeast"/>
        </w:trPr>
        <w:tc>
          <w:tcPr>
            <w:tcW w:w="1925" w:type="dxa"/>
          </w:tcPr>
          <w:p>
            <w:pPr>
              <w:pStyle w:val="TableParagraph"/>
              <w:spacing w:line="198"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8" w:lineRule="exact" w:before="6"/>
              <w:ind w:right="103"/>
              <w:jc w:val="right"/>
              <w:rPr>
                <w:sz w:val="18"/>
              </w:rPr>
            </w:pPr>
            <w:r>
              <w:rPr>
                <w:spacing w:val="-2"/>
                <w:sz w:val="18"/>
              </w:rPr>
              <w:t>0.568248</w:t>
            </w:r>
          </w:p>
        </w:tc>
        <w:tc>
          <w:tcPr>
            <w:tcW w:w="2431" w:type="dxa"/>
            <w:gridSpan w:val="2"/>
          </w:tcPr>
          <w:p>
            <w:pPr>
              <w:pStyle w:val="TableParagraph"/>
              <w:spacing w:line="198"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8" w:lineRule="exact" w:before="6"/>
              <w:ind w:right="5"/>
              <w:jc w:val="right"/>
              <w:rPr>
                <w:sz w:val="18"/>
              </w:rPr>
            </w:pPr>
            <w:r>
              <w:rPr>
                <w:spacing w:val="-2"/>
                <w:sz w:val="18"/>
              </w:rPr>
              <w:t>8.056602</w:t>
            </w:r>
          </w:p>
        </w:tc>
      </w:tr>
      <w:tr>
        <w:trPr>
          <w:trHeight w:val="224" w:hRule="atLeast"/>
        </w:trPr>
        <w:tc>
          <w:tcPr>
            <w:tcW w:w="1925" w:type="dxa"/>
          </w:tcPr>
          <w:p>
            <w:pPr>
              <w:pStyle w:val="TableParagraph"/>
              <w:spacing w:line="199" w:lineRule="exact" w:before="5"/>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9" w:lineRule="exact" w:before="5"/>
              <w:ind w:right="103"/>
              <w:jc w:val="right"/>
              <w:rPr>
                <w:sz w:val="18"/>
              </w:rPr>
            </w:pPr>
            <w:r>
              <w:rPr>
                <w:spacing w:val="-2"/>
                <w:sz w:val="18"/>
              </w:rPr>
              <w:t>6.765825</w:t>
            </w:r>
          </w:p>
        </w:tc>
        <w:tc>
          <w:tcPr>
            <w:tcW w:w="2431" w:type="dxa"/>
            <w:gridSpan w:val="2"/>
          </w:tcPr>
          <w:p>
            <w:pPr>
              <w:pStyle w:val="TableParagraph"/>
              <w:spacing w:line="199" w:lineRule="exact" w:before="5"/>
              <w:ind w:left="107"/>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9" w:lineRule="exact" w:before="5"/>
              <w:ind w:right="5"/>
              <w:jc w:val="right"/>
              <w:rPr>
                <w:sz w:val="18"/>
              </w:rPr>
            </w:pPr>
            <w:r>
              <w:rPr>
                <w:spacing w:val="-2"/>
                <w:sz w:val="18"/>
              </w:rPr>
              <w:t>7873.538</w:t>
            </w:r>
          </w:p>
        </w:tc>
      </w:tr>
      <w:tr>
        <w:trPr>
          <w:trHeight w:val="225" w:hRule="atLeast"/>
        </w:trPr>
        <w:tc>
          <w:tcPr>
            <w:tcW w:w="1925" w:type="dxa"/>
          </w:tcPr>
          <w:p>
            <w:pPr>
              <w:pStyle w:val="TableParagraph"/>
              <w:spacing w:line="199" w:lineRule="exact" w:before="6"/>
              <w:rPr>
                <w:sz w:val="18"/>
              </w:rPr>
            </w:pPr>
            <w:r>
              <w:rPr>
                <w:spacing w:val="-2"/>
                <w:sz w:val="18"/>
              </w:rPr>
              <w:t>F-statistic</w:t>
            </w:r>
          </w:p>
        </w:tc>
        <w:tc>
          <w:tcPr>
            <w:tcW w:w="1290" w:type="dxa"/>
          </w:tcPr>
          <w:p>
            <w:pPr>
              <w:pStyle w:val="TableParagraph"/>
              <w:spacing w:line="199" w:lineRule="exact" w:before="6"/>
              <w:ind w:right="103"/>
              <w:jc w:val="right"/>
              <w:rPr>
                <w:sz w:val="18"/>
              </w:rPr>
            </w:pPr>
            <w:r>
              <w:rPr>
                <w:spacing w:val="-2"/>
                <w:sz w:val="18"/>
              </w:rPr>
              <w:t>12.60600</w:t>
            </w:r>
          </w:p>
        </w:tc>
        <w:tc>
          <w:tcPr>
            <w:tcW w:w="2431" w:type="dxa"/>
            <w:gridSpan w:val="2"/>
          </w:tcPr>
          <w:p>
            <w:pPr>
              <w:pStyle w:val="TableParagraph"/>
              <w:spacing w:line="199" w:lineRule="exact" w:before="6"/>
              <w:ind w:left="107"/>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6"/>
              <w:ind w:right="5"/>
              <w:jc w:val="right"/>
              <w:rPr>
                <w:sz w:val="18"/>
              </w:rPr>
            </w:pPr>
            <w:r>
              <w:rPr>
                <w:spacing w:val="-2"/>
                <w:sz w:val="18"/>
              </w:rPr>
              <w:t>1.203731</w:t>
            </w:r>
          </w:p>
        </w:tc>
      </w:tr>
      <w:tr>
        <w:trPr>
          <w:trHeight w:val="303" w:hRule="atLeast"/>
        </w:trPr>
        <w:tc>
          <w:tcPr>
            <w:tcW w:w="1925" w:type="dxa"/>
            <w:tcBorders>
              <w:bottom w:val="double" w:sz="6" w:space="0" w:color="000000"/>
            </w:tcBorders>
          </w:tcPr>
          <w:p>
            <w:pPr>
              <w:pStyle w:val="TableParagraph"/>
              <w:spacing w:before="6"/>
              <w:rPr>
                <w:sz w:val="18"/>
              </w:rPr>
            </w:pPr>
            <w:r>
              <w:rPr>
                <w:spacing w:val="-2"/>
                <w:sz w:val="18"/>
              </w:rPr>
              <w:t>Prob(F-statistic)</w:t>
            </w:r>
          </w:p>
        </w:tc>
        <w:tc>
          <w:tcPr>
            <w:tcW w:w="1290" w:type="dxa"/>
            <w:tcBorders>
              <w:bottom w:val="double" w:sz="6" w:space="0" w:color="000000"/>
            </w:tcBorders>
          </w:tcPr>
          <w:p>
            <w:pPr>
              <w:pStyle w:val="TableParagraph"/>
              <w:spacing w:before="6"/>
              <w:ind w:right="103"/>
              <w:jc w:val="right"/>
              <w:rPr>
                <w:sz w:val="18"/>
              </w:rPr>
            </w:pPr>
            <w:r>
              <w:rPr>
                <w:spacing w:val="-2"/>
                <w:sz w:val="18"/>
              </w:rPr>
              <w:t>0.000000</w:t>
            </w: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3" w:hRule="atLeast"/>
        </w:trPr>
        <w:tc>
          <w:tcPr>
            <w:tcW w:w="6530" w:type="dxa"/>
            <w:gridSpan w:val="5"/>
            <w:tcBorders>
              <w:top w:val="double" w:sz="6" w:space="0" w:color="000000"/>
              <w:bottom w:val="double" w:sz="6" w:space="0" w:color="000000"/>
            </w:tcBorders>
          </w:tcPr>
          <w:p>
            <w:pPr>
              <w:pStyle w:val="TableParagraph"/>
              <w:spacing w:before="106"/>
              <w:ind w:left="2" w:right="186"/>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right="103"/>
              <w:jc w:val="right"/>
              <w:rPr>
                <w:sz w:val="18"/>
              </w:rPr>
            </w:pPr>
            <w:r>
              <w:rPr>
                <w:spacing w:val="-2"/>
                <w:sz w:val="18"/>
              </w:rPr>
              <w:t>0.507527</w:t>
            </w:r>
          </w:p>
        </w:tc>
        <w:tc>
          <w:tcPr>
            <w:tcW w:w="243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5"/>
              <w:jc w:val="right"/>
              <w:rPr>
                <w:sz w:val="18"/>
              </w:rPr>
            </w:pPr>
            <w:r>
              <w:rPr>
                <w:spacing w:val="-2"/>
                <w:sz w:val="18"/>
              </w:rPr>
              <w:t>9.750667</w:t>
            </w:r>
          </w:p>
        </w:tc>
      </w:tr>
      <w:tr>
        <w:trPr>
          <w:trHeight w:val="301" w:hRule="atLeast"/>
        </w:trPr>
        <w:tc>
          <w:tcPr>
            <w:tcW w:w="1925" w:type="dxa"/>
            <w:tcBorders>
              <w:bottom w:val="double" w:sz="6" w:space="0" w:color="000000"/>
            </w:tcBorders>
          </w:tcPr>
          <w:p>
            <w:pPr>
              <w:pStyle w:val="TableParagraph"/>
              <w:spacing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Borders>
              <w:bottom w:val="double" w:sz="6" w:space="0" w:color="000000"/>
            </w:tcBorders>
          </w:tcPr>
          <w:p>
            <w:pPr>
              <w:pStyle w:val="TableParagraph"/>
              <w:spacing w:before="6"/>
              <w:ind w:right="103"/>
              <w:jc w:val="right"/>
              <w:rPr>
                <w:sz w:val="18"/>
              </w:rPr>
            </w:pPr>
            <w:r>
              <w:rPr>
                <w:spacing w:val="-2"/>
                <w:sz w:val="18"/>
              </w:rPr>
              <w:t>10120.70</w:t>
            </w:r>
          </w:p>
        </w:tc>
        <w:tc>
          <w:tcPr>
            <w:tcW w:w="2431" w:type="dxa"/>
            <w:gridSpan w:val="2"/>
            <w:tcBorders>
              <w:bottom w:val="double" w:sz="6" w:space="0" w:color="000000"/>
            </w:tcBorders>
          </w:tcPr>
          <w:p>
            <w:pPr>
              <w:pStyle w:val="TableParagraph"/>
              <w:spacing w:before="6"/>
              <w:ind w:left="107"/>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6"/>
              <w:ind w:right="5"/>
              <w:jc w:val="right"/>
              <w:rPr>
                <w:sz w:val="18"/>
              </w:rPr>
            </w:pPr>
            <w:r>
              <w:rPr>
                <w:spacing w:val="-2"/>
                <w:sz w:val="18"/>
              </w:rPr>
              <w:t>0.890345</w:t>
            </w:r>
          </w:p>
        </w:tc>
      </w:tr>
    </w:tbl>
    <w:p>
      <w:pPr>
        <w:spacing w:after="0"/>
        <w:jc w:val="right"/>
        <w:rPr>
          <w:sz w:val="18"/>
        </w:rPr>
        <w:sectPr>
          <w:pgSz w:w="11910" w:h="16840"/>
          <w:pgMar w:header="0" w:footer="971" w:top="1360" w:bottom="1160" w:left="500" w:right="0"/>
        </w:sectPr>
      </w:pPr>
    </w:p>
    <w:p>
      <w:pPr>
        <w:spacing w:before="61"/>
        <w:ind w:left="940" w:right="0" w:firstLine="0"/>
        <w:jc w:val="left"/>
        <w:rPr>
          <w:b/>
          <w:sz w:val="24"/>
        </w:rPr>
      </w:pPr>
      <w:r>
        <w:rPr/>
        <mc:AlternateContent>
          <mc:Choice Requires="wps">
            <w:drawing>
              <wp:anchor distT="0" distB="0" distL="0" distR="0" allowOverlap="1" layoutInCell="1" locked="0" behindDoc="1" simplePos="0" relativeHeight="477801472">
                <wp:simplePos x="0" y="0"/>
                <wp:positionH relativeFrom="page">
                  <wp:posOffset>1095451</wp:posOffset>
                </wp:positionH>
                <wp:positionV relativeFrom="page">
                  <wp:posOffset>7242047</wp:posOffset>
                </wp:positionV>
                <wp:extent cx="721995" cy="72263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5008" id="docshape177"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801984">
                <wp:simplePos x="0" y="0"/>
                <wp:positionH relativeFrom="page">
                  <wp:posOffset>1269060</wp:posOffset>
                </wp:positionH>
                <wp:positionV relativeFrom="page">
                  <wp:posOffset>5648406</wp:posOffset>
                </wp:positionV>
                <wp:extent cx="2014220" cy="2054225"/>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2014220" cy="2054225"/>
                          <a:chExt cx="2014220" cy="2054225"/>
                        </a:xfrm>
                      </wpg:grpSpPr>
                      <wps:wsp>
                        <wps:cNvPr id="372" name="Graphic 372"/>
                        <wps:cNvSpPr/>
                        <wps:spPr>
                          <a:xfrm>
                            <a:off x="0" y="772776"/>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73" name="Image 373"/>
                          <pic:cNvPicPr/>
                        </pic:nvPicPr>
                        <pic:blipFill>
                          <a:blip r:embed="rId9" cstate="print"/>
                          <a:stretch>
                            <a:fillRect/>
                          </a:stretch>
                        </pic:blipFill>
                        <pic:spPr>
                          <a:xfrm>
                            <a:off x="1248333" y="820846"/>
                            <a:ext cx="221995" cy="221614"/>
                          </a:xfrm>
                          <a:prstGeom prst="rect">
                            <a:avLst/>
                          </a:prstGeom>
                        </pic:spPr>
                      </pic:pic>
                      <wps:wsp>
                        <wps:cNvPr id="374" name="Graphic 374"/>
                        <wps:cNvSpPr/>
                        <wps:spPr>
                          <a:xfrm>
                            <a:off x="1117777" y="7"/>
                            <a:ext cx="896619" cy="1024890"/>
                          </a:xfrm>
                          <a:custGeom>
                            <a:avLst/>
                            <a:gdLst/>
                            <a:ahLst/>
                            <a:cxnLst/>
                            <a:rect l="l" t="t" r="r" b="b"/>
                            <a:pathLst>
                              <a:path w="896619" h="1024890">
                                <a:moveTo>
                                  <a:pt x="721741" y="973620"/>
                                </a:moveTo>
                                <a:lnTo>
                                  <a:pt x="721487" y="970699"/>
                                </a:lnTo>
                                <a:lnTo>
                                  <a:pt x="719328" y="964603"/>
                                </a:lnTo>
                                <a:lnTo>
                                  <a:pt x="717042" y="961555"/>
                                </a:lnTo>
                                <a:lnTo>
                                  <a:pt x="714375" y="959015"/>
                                </a:lnTo>
                                <a:lnTo>
                                  <a:pt x="62357" y="306997"/>
                                </a:lnTo>
                                <a:lnTo>
                                  <a:pt x="59436" y="304711"/>
                                </a:lnTo>
                                <a:lnTo>
                                  <a:pt x="53213" y="302425"/>
                                </a:lnTo>
                                <a:lnTo>
                                  <a:pt x="50292" y="302298"/>
                                </a:lnTo>
                                <a:lnTo>
                                  <a:pt x="46355" y="303060"/>
                                </a:lnTo>
                                <a:lnTo>
                                  <a:pt x="13970" y="327063"/>
                                </a:lnTo>
                                <a:lnTo>
                                  <a:pt x="0" y="355638"/>
                                </a:lnTo>
                                <a:lnTo>
                                  <a:pt x="2286" y="361861"/>
                                </a:lnTo>
                                <a:lnTo>
                                  <a:pt x="658749" y="1019848"/>
                                </a:lnTo>
                                <a:lnTo>
                                  <a:pt x="670941" y="1024420"/>
                                </a:lnTo>
                                <a:lnTo>
                                  <a:pt x="674243" y="1023150"/>
                                </a:lnTo>
                                <a:lnTo>
                                  <a:pt x="678307" y="1022388"/>
                                </a:lnTo>
                                <a:lnTo>
                                  <a:pt x="712089" y="993940"/>
                                </a:lnTo>
                                <a:lnTo>
                                  <a:pt x="720344" y="977049"/>
                                </a:lnTo>
                                <a:lnTo>
                                  <a:pt x="721741" y="973620"/>
                                </a:lnTo>
                                <a:close/>
                              </a:path>
                              <a:path w="896619" h="1024890">
                                <a:moveTo>
                                  <a:pt x="896239" y="795947"/>
                                </a:moveTo>
                                <a:lnTo>
                                  <a:pt x="645541" y="540550"/>
                                </a:lnTo>
                                <a:lnTo>
                                  <a:pt x="695325" y="490766"/>
                                </a:lnTo>
                                <a:lnTo>
                                  <a:pt x="729310" y="449046"/>
                                </a:lnTo>
                                <a:lnTo>
                                  <a:pt x="749681" y="405041"/>
                                </a:lnTo>
                                <a:lnTo>
                                  <a:pt x="757631" y="359829"/>
                                </a:lnTo>
                                <a:lnTo>
                                  <a:pt x="757694" y="335356"/>
                                </a:lnTo>
                                <a:lnTo>
                                  <a:pt x="754634" y="311061"/>
                                </a:lnTo>
                                <a:lnTo>
                                  <a:pt x="740511" y="261505"/>
                                </a:lnTo>
                                <a:lnTo>
                                  <a:pt x="716026" y="210604"/>
                                </a:lnTo>
                                <a:lnTo>
                                  <a:pt x="680796" y="159423"/>
                                </a:lnTo>
                                <a:lnTo>
                                  <a:pt x="661314" y="136093"/>
                                </a:lnTo>
                                <a:lnTo>
                                  <a:pt x="661314" y="331343"/>
                                </a:lnTo>
                                <a:lnTo>
                                  <a:pt x="660438" y="345795"/>
                                </a:lnTo>
                                <a:lnTo>
                                  <a:pt x="645807" y="387451"/>
                                </a:lnTo>
                                <a:lnTo>
                                  <a:pt x="571754" y="466763"/>
                                </a:lnTo>
                                <a:lnTo>
                                  <a:pt x="300482" y="195364"/>
                                </a:lnTo>
                                <a:lnTo>
                                  <a:pt x="354330" y="141643"/>
                                </a:lnTo>
                                <a:lnTo>
                                  <a:pt x="388747" y="114465"/>
                                </a:lnTo>
                                <a:lnTo>
                                  <a:pt x="436499" y="101257"/>
                                </a:lnTo>
                                <a:lnTo>
                                  <a:pt x="451167" y="101879"/>
                                </a:lnTo>
                                <a:lnTo>
                                  <a:pt x="502412" y="117767"/>
                                </a:lnTo>
                                <a:lnTo>
                                  <a:pt x="540804" y="141452"/>
                                </a:lnTo>
                                <a:lnTo>
                                  <a:pt x="581406" y="176949"/>
                                </a:lnTo>
                                <a:lnTo>
                                  <a:pt x="609015" y="207860"/>
                                </a:lnTo>
                                <a:lnTo>
                                  <a:pt x="631190" y="239052"/>
                                </a:lnTo>
                                <a:lnTo>
                                  <a:pt x="653580" y="286296"/>
                                </a:lnTo>
                                <a:lnTo>
                                  <a:pt x="661314" y="331343"/>
                                </a:lnTo>
                                <a:lnTo>
                                  <a:pt x="661314" y="136093"/>
                                </a:lnTo>
                                <a:lnTo>
                                  <a:pt x="659422" y="133819"/>
                                </a:lnTo>
                                <a:lnTo>
                                  <a:pt x="635381" y="108242"/>
                                </a:lnTo>
                                <a:lnTo>
                                  <a:pt x="628015" y="101257"/>
                                </a:lnTo>
                                <a:lnTo>
                                  <a:pt x="616153" y="90004"/>
                                </a:lnTo>
                                <a:lnTo>
                                  <a:pt x="577710" y="58521"/>
                                </a:lnTo>
                                <a:lnTo>
                                  <a:pt x="539343" y="33794"/>
                                </a:lnTo>
                                <a:lnTo>
                                  <a:pt x="501675" y="16268"/>
                                </a:lnTo>
                                <a:lnTo>
                                  <a:pt x="464718" y="4673"/>
                                </a:lnTo>
                                <a:lnTo>
                                  <a:pt x="428688" y="0"/>
                                </a:lnTo>
                                <a:lnTo>
                                  <a:pt x="411099" y="38"/>
                                </a:lnTo>
                                <a:lnTo>
                                  <a:pt x="365036" y="8636"/>
                                </a:lnTo>
                                <a:lnTo>
                                  <a:pt x="321881" y="31356"/>
                                </a:lnTo>
                                <a:lnTo>
                                  <a:pt x="291896" y="55676"/>
                                </a:lnTo>
                                <a:lnTo>
                                  <a:pt x="190881" y="156502"/>
                                </a:lnTo>
                                <a:lnTo>
                                  <a:pt x="183692" y="173710"/>
                                </a:lnTo>
                                <a:lnTo>
                                  <a:pt x="183896" y="181140"/>
                                </a:lnTo>
                                <a:lnTo>
                                  <a:pt x="206629" y="218097"/>
                                </a:lnTo>
                                <a:lnTo>
                                  <a:pt x="830961" y="842429"/>
                                </a:lnTo>
                                <a:lnTo>
                                  <a:pt x="833501" y="845096"/>
                                </a:lnTo>
                                <a:lnTo>
                                  <a:pt x="836549" y="847382"/>
                                </a:lnTo>
                                <a:lnTo>
                                  <a:pt x="839597" y="848525"/>
                                </a:lnTo>
                                <a:lnTo>
                                  <a:pt x="842772" y="849414"/>
                                </a:lnTo>
                                <a:lnTo>
                                  <a:pt x="845693" y="849668"/>
                                </a:lnTo>
                                <a:lnTo>
                                  <a:pt x="848995" y="848398"/>
                                </a:lnTo>
                                <a:lnTo>
                                  <a:pt x="853059" y="847636"/>
                                </a:lnTo>
                                <a:lnTo>
                                  <a:pt x="886828" y="819061"/>
                                </a:lnTo>
                                <a:lnTo>
                                  <a:pt x="895096" y="802297"/>
                                </a:lnTo>
                                <a:lnTo>
                                  <a:pt x="896112" y="799249"/>
                                </a:lnTo>
                                <a:lnTo>
                                  <a:pt x="896239" y="79594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444.756378pt;width:158.6pt;height:161.75pt;mso-position-horizontal-relative:page;mso-position-vertical-relative:page;z-index:-25514496" id="docshapegroup178" coordorigin="1999,8895" coordsize="3172,3235">
                <v:shape style="position:absolute;left:1998;top:10112;width:2142;height:2018" id="docshape179"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80" stroked="false">
                  <v:imagedata r:id="rId9" o:title=""/>
                </v:shape>
                <v:shape style="position:absolute;left:3758;top:8895;width:1412;height:1614" id="docshape181" coordorigin="3759,8895" coordsize="1412,1614"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e" filled="true" fillcolor="#c0c0c0" stroked="false">
                  <v:path arrowok="t"/>
                  <v:fill opacity="32896f" type="solid"/>
                </v:shape>
                <w10:wrap type="none"/>
              </v:group>
            </w:pict>
          </mc:Fallback>
        </mc:AlternateContent>
      </w:r>
      <w:r>
        <w:rPr/>
        <mc:AlternateContent>
          <mc:Choice Requires="wps">
            <w:drawing>
              <wp:anchor distT="0" distB="0" distL="0" distR="0" allowOverlap="1" layoutInCell="1" locked="0" behindDoc="1" simplePos="0" relativeHeight="477802496">
                <wp:simplePos x="0" y="0"/>
                <wp:positionH relativeFrom="page">
                  <wp:posOffset>2868549</wp:posOffset>
                </wp:positionH>
                <wp:positionV relativeFrom="page">
                  <wp:posOffset>2726054</wp:posOffset>
                </wp:positionV>
                <wp:extent cx="3333750" cy="3332479"/>
                <wp:effectExtent l="0" t="0" r="0" b="0"/>
                <wp:wrapNone/>
                <wp:docPr id="375" name="Graphic 375"/>
                <wp:cNvGraphicFramePr>
                  <a:graphicFrameLocks/>
                </wp:cNvGraphicFramePr>
                <a:graphic>
                  <a:graphicData uri="http://schemas.microsoft.com/office/word/2010/wordprocessingShape">
                    <wps:wsp>
                      <wps:cNvPr id="375" name="Graphic 375"/>
                      <wps:cNvSpPr/>
                      <wps:spPr>
                        <a:xfrm>
                          <a:off x="0" y="0"/>
                          <a:ext cx="3333750" cy="3332479"/>
                        </a:xfrm>
                        <a:custGeom>
                          <a:avLst/>
                          <a:gdLst/>
                          <a:ahLst/>
                          <a:cxnLst/>
                          <a:rect l="l" t="t" r="r" b="b"/>
                          <a:pathLst>
                            <a:path w="3333750" h="3332479">
                              <a:moveTo>
                                <a:pt x="854583" y="3281299"/>
                              </a:moveTo>
                              <a:lnTo>
                                <a:pt x="854456" y="3278378"/>
                              </a:lnTo>
                              <a:lnTo>
                                <a:pt x="852297" y="3272155"/>
                              </a:lnTo>
                              <a:lnTo>
                                <a:pt x="850011" y="3269234"/>
                              </a:lnTo>
                              <a:lnTo>
                                <a:pt x="260731" y="2679954"/>
                              </a:lnTo>
                              <a:lnTo>
                                <a:pt x="385699" y="2554986"/>
                              </a:lnTo>
                              <a:lnTo>
                                <a:pt x="386829" y="2552827"/>
                              </a:lnTo>
                              <a:lnTo>
                                <a:pt x="386956" y="2549525"/>
                              </a:lnTo>
                              <a:lnTo>
                                <a:pt x="386715" y="2546477"/>
                              </a:lnTo>
                              <a:lnTo>
                                <a:pt x="386067" y="2543048"/>
                              </a:lnTo>
                              <a:lnTo>
                                <a:pt x="383921" y="2538984"/>
                              </a:lnTo>
                              <a:lnTo>
                                <a:pt x="382270" y="2535301"/>
                              </a:lnTo>
                              <a:lnTo>
                                <a:pt x="351028" y="2500757"/>
                              </a:lnTo>
                              <a:lnTo>
                                <a:pt x="317754" y="2477516"/>
                              </a:lnTo>
                              <a:lnTo>
                                <a:pt x="311531" y="2477516"/>
                              </a:lnTo>
                              <a:lnTo>
                                <a:pt x="309372" y="2478659"/>
                              </a:lnTo>
                              <a:lnTo>
                                <a:pt x="1143" y="2786888"/>
                              </a:lnTo>
                              <a:lnTo>
                                <a:pt x="0" y="2789047"/>
                              </a:lnTo>
                              <a:lnTo>
                                <a:pt x="254" y="2791968"/>
                              </a:lnTo>
                              <a:lnTo>
                                <a:pt x="0" y="2795270"/>
                              </a:lnTo>
                              <a:lnTo>
                                <a:pt x="1143" y="2798318"/>
                              </a:lnTo>
                              <a:lnTo>
                                <a:pt x="5334" y="2806573"/>
                              </a:lnTo>
                              <a:lnTo>
                                <a:pt x="8890" y="2811526"/>
                              </a:lnTo>
                              <a:lnTo>
                                <a:pt x="13335" y="2816479"/>
                              </a:lnTo>
                              <a:lnTo>
                                <a:pt x="17780" y="2822448"/>
                              </a:lnTo>
                              <a:lnTo>
                                <a:pt x="23241" y="2828544"/>
                              </a:lnTo>
                              <a:lnTo>
                                <a:pt x="36830" y="2842133"/>
                              </a:lnTo>
                              <a:lnTo>
                                <a:pt x="42926" y="2847594"/>
                              </a:lnTo>
                              <a:lnTo>
                                <a:pt x="48260" y="2851531"/>
                              </a:lnTo>
                              <a:lnTo>
                                <a:pt x="53340" y="2855976"/>
                              </a:lnTo>
                              <a:lnTo>
                                <a:pt x="58166" y="2859405"/>
                              </a:lnTo>
                              <a:lnTo>
                                <a:pt x="66040" y="2863088"/>
                              </a:lnTo>
                              <a:lnTo>
                                <a:pt x="69088" y="2864231"/>
                              </a:lnTo>
                              <a:lnTo>
                                <a:pt x="72390" y="2864104"/>
                              </a:lnTo>
                              <a:lnTo>
                                <a:pt x="75311" y="2864358"/>
                              </a:lnTo>
                              <a:lnTo>
                                <a:pt x="77470" y="2863088"/>
                              </a:lnTo>
                              <a:lnTo>
                                <a:pt x="202438" y="2738120"/>
                              </a:lnTo>
                              <a:lnTo>
                                <a:pt x="791845" y="3327400"/>
                              </a:lnTo>
                              <a:lnTo>
                                <a:pt x="794766" y="3329686"/>
                              </a:lnTo>
                              <a:lnTo>
                                <a:pt x="800989" y="3331845"/>
                              </a:lnTo>
                              <a:lnTo>
                                <a:pt x="803783" y="3332099"/>
                              </a:lnTo>
                              <a:lnTo>
                                <a:pt x="807339" y="3330829"/>
                              </a:lnTo>
                              <a:lnTo>
                                <a:pt x="811276" y="3330067"/>
                              </a:lnTo>
                              <a:lnTo>
                                <a:pt x="845058" y="3301492"/>
                              </a:lnTo>
                              <a:lnTo>
                                <a:pt x="853313" y="3284728"/>
                              </a:lnTo>
                              <a:lnTo>
                                <a:pt x="854583" y="3281299"/>
                              </a:lnTo>
                              <a:close/>
                            </a:path>
                            <a:path w="3333750" h="3332479">
                              <a:moveTo>
                                <a:pt x="1192657" y="2943352"/>
                              </a:moveTo>
                              <a:lnTo>
                                <a:pt x="1192530" y="2940304"/>
                              </a:lnTo>
                              <a:lnTo>
                                <a:pt x="1190244" y="2934208"/>
                              </a:lnTo>
                              <a:lnTo>
                                <a:pt x="1188085" y="2931160"/>
                              </a:lnTo>
                              <a:lnTo>
                                <a:pt x="598678" y="2341880"/>
                              </a:lnTo>
                              <a:lnTo>
                                <a:pt x="723646" y="2216912"/>
                              </a:lnTo>
                              <a:lnTo>
                                <a:pt x="724916" y="2214753"/>
                              </a:lnTo>
                              <a:lnTo>
                                <a:pt x="725043" y="2211451"/>
                              </a:lnTo>
                              <a:lnTo>
                                <a:pt x="724027" y="2205101"/>
                              </a:lnTo>
                              <a:lnTo>
                                <a:pt x="720344" y="2197354"/>
                              </a:lnTo>
                              <a:lnTo>
                                <a:pt x="716915" y="2192401"/>
                              </a:lnTo>
                              <a:lnTo>
                                <a:pt x="712343" y="2187448"/>
                              </a:lnTo>
                              <a:lnTo>
                                <a:pt x="702691" y="2176272"/>
                              </a:lnTo>
                              <a:lnTo>
                                <a:pt x="695833" y="2169541"/>
                              </a:lnTo>
                              <a:lnTo>
                                <a:pt x="689102" y="2162683"/>
                              </a:lnTo>
                              <a:lnTo>
                                <a:pt x="672338" y="2147951"/>
                              </a:lnTo>
                              <a:lnTo>
                                <a:pt x="667512" y="2144522"/>
                              </a:lnTo>
                              <a:lnTo>
                                <a:pt x="659257" y="2140204"/>
                              </a:lnTo>
                              <a:lnTo>
                                <a:pt x="655701" y="2139569"/>
                              </a:lnTo>
                              <a:lnTo>
                                <a:pt x="652780" y="2139315"/>
                              </a:lnTo>
                              <a:lnTo>
                                <a:pt x="649605" y="2139442"/>
                              </a:lnTo>
                              <a:lnTo>
                                <a:pt x="647319" y="2140712"/>
                              </a:lnTo>
                              <a:lnTo>
                                <a:pt x="339217" y="2448814"/>
                              </a:lnTo>
                              <a:lnTo>
                                <a:pt x="337947" y="2451100"/>
                              </a:lnTo>
                              <a:lnTo>
                                <a:pt x="338201" y="2454021"/>
                              </a:lnTo>
                              <a:lnTo>
                                <a:pt x="338074" y="2457196"/>
                              </a:lnTo>
                              <a:lnTo>
                                <a:pt x="339217" y="2460371"/>
                              </a:lnTo>
                              <a:lnTo>
                                <a:pt x="343408" y="2468626"/>
                              </a:lnTo>
                              <a:lnTo>
                                <a:pt x="346837" y="2473452"/>
                              </a:lnTo>
                              <a:lnTo>
                                <a:pt x="351282" y="2478532"/>
                              </a:lnTo>
                              <a:lnTo>
                                <a:pt x="355854" y="2484501"/>
                              </a:lnTo>
                              <a:lnTo>
                                <a:pt x="361188" y="2490597"/>
                              </a:lnTo>
                              <a:lnTo>
                                <a:pt x="374777" y="2504186"/>
                              </a:lnTo>
                              <a:lnTo>
                                <a:pt x="380873" y="2509520"/>
                              </a:lnTo>
                              <a:lnTo>
                                <a:pt x="386334" y="2513584"/>
                              </a:lnTo>
                              <a:lnTo>
                                <a:pt x="391287" y="2518029"/>
                              </a:lnTo>
                              <a:lnTo>
                                <a:pt x="396240" y="2521458"/>
                              </a:lnTo>
                              <a:lnTo>
                                <a:pt x="403987" y="2525141"/>
                              </a:lnTo>
                              <a:lnTo>
                                <a:pt x="407035" y="2526157"/>
                              </a:lnTo>
                              <a:lnTo>
                                <a:pt x="410337" y="2526157"/>
                              </a:lnTo>
                              <a:lnTo>
                                <a:pt x="413258" y="2526411"/>
                              </a:lnTo>
                              <a:lnTo>
                                <a:pt x="415404" y="2525141"/>
                              </a:lnTo>
                              <a:lnTo>
                                <a:pt x="540512" y="2400173"/>
                              </a:lnTo>
                              <a:lnTo>
                                <a:pt x="1129792" y="2989453"/>
                              </a:lnTo>
                              <a:lnTo>
                                <a:pt x="1132840" y="2991739"/>
                              </a:lnTo>
                              <a:lnTo>
                                <a:pt x="1138936" y="2993898"/>
                              </a:lnTo>
                              <a:lnTo>
                                <a:pt x="1141857" y="2994152"/>
                              </a:lnTo>
                              <a:lnTo>
                                <a:pt x="1145286" y="2992755"/>
                              </a:lnTo>
                              <a:lnTo>
                                <a:pt x="1149223" y="2992120"/>
                              </a:lnTo>
                              <a:lnTo>
                                <a:pt x="1186307" y="2959227"/>
                              </a:lnTo>
                              <a:lnTo>
                                <a:pt x="1191387" y="2946781"/>
                              </a:lnTo>
                              <a:lnTo>
                                <a:pt x="1192657" y="2943352"/>
                              </a:lnTo>
                              <a:close/>
                            </a:path>
                            <a:path w="3333750" h="3332479">
                              <a:moveTo>
                                <a:pt x="1641106" y="2409596"/>
                              </a:moveTo>
                              <a:lnTo>
                                <a:pt x="1628140" y="2340483"/>
                              </a:lnTo>
                              <a:lnTo>
                                <a:pt x="1598701" y="2267801"/>
                              </a:lnTo>
                              <a:lnTo>
                                <a:pt x="1578127" y="2230069"/>
                              </a:lnTo>
                              <a:lnTo>
                                <a:pt x="1553464" y="2191385"/>
                              </a:lnTo>
                              <a:lnTo>
                                <a:pt x="1541564" y="2174900"/>
                              </a:lnTo>
                              <a:lnTo>
                                <a:pt x="1541564" y="2395855"/>
                              </a:lnTo>
                              <a:lnTo>
                                <a:pt x="1541272" y="2420239"/>
                              </a:lnTo>
                              <a:lnTo>
                                <a:pt x="1528673" y="2465794"/>
                              </a:lnTo>
                              <a:lnTo>
                                <a:pt x="1498854" y="2506472"/>
                              </a:lnTo>
                              <a:lnTo>
                                <a:pt x="1458442" y="2536787"/>
                              </a:lnTo>
                              <a:lnTo>
                                <a:pt x="1414526" y="2550033"/>
                              </a:lnTo>
                              <a:lnTo>
                                <a:pt x="1391272" y="2551353"/>
                              </a:lnTo>
                              <a:lnTo>
                                <a:pt x="1367282" y="2549296"/>
                              </a:lnTo>
                              <a:lnTo>
                                <a:pt x="1316990" y="2534539"/>
                              </a:lnTo>
                              <a:lnTo>
                                <a:pt x="1264373" y="2507856"/>
                              </a:lnTo>
                              <a:lnTo>
                                <a:pt x="1209294" y="2469642"/>
                              </a:lnTo>
                              <a:lnTo>
                                <a:pt x="1151953" y="2421953"/>
                              </a:lnTo>
                              <a:lnTo>
                                <a:pt x="1122705" y="2395105"/>
                              </a:lnTo>
                              <a:lnTo>
                                <a:pt x="1093089" y="2366264"/>
                              </a:lnTo>
                              <a:lnTo>
                                <a:pt x="1042200" y="2311831"/>
                              </a:lnTo>
                              <a:lnTo>
                                <a:pt x="996950" y="2256536"/>
                              </a:lnTo>
                              <a:lnTo>
                                <a:pt x="960475" y="2201799"/>
                              </a:lnTo>
                              <a:lnTo>
                                <a:pt x="934593" y="2148205"/>
                              </a:lnTo>
                              <a:lnTo>
                                <a:pt x="919962" y="2096960"/>
                              </a:lnTo>
                              <a:lnTo>
                                <a:pt x="917422" y="2072233"/>
                              </a:lnTo>
                              <a:lnTo>
                                <a:pt x="917829" y="2048002"/>
                              </a:lnTo>
                              <a:lnTo>
                                <a:pt x="929982" y="2002663"/>
                              </a:lnTo>
                              <a:lnTo>
                                <a:pt x="959485" y="1962277"/>
                              </a:lnTo>
                              <a:lnTo>
                                <a:pt x="999464" y="1932406"/>
                              </a:lnTo>
                              <a:lnTo>
                                <a:pt x="1043559" y="1919097"/>
                              </a:lnTo>
                              <a:lnTo>
                                <a:pt x="1067015" y="1918068"/>
                              </a:lnTo>
                              <a:lnTo>
                                <a:pt x="1091120" y="1920201"/>
                              </a:lnTo>
                              <a:lnTo>
                                <a:pt x="1141349" y="1934337"/>
                              </a:lnTo>
                              <a:lnTo>
                                <a:pt x="1194244" y="1960918"/>
                              </a:lnTo>
                              <a:lnTo>
                                <a:pt x="1249045" y="1997964"/>
                              </a:lnTo>
                              <a:lnTo>
                                <a:pt x="1305585" y="2044814"/>
                              </a:lnTo>
                              <a:lnTo>
                                <a:pt x="1334122" y="2070963"/>
                              </a:lnTo>
                              <a:lnTo>
                                <a:pt x="1362710" y="2098802"/>
                              </a:lnTo>
                              <a:lnTo>
                                <a:pt x="1389367" y="2126310"/>
                              </a:lnTo>
                              <a:lnTo>
                                <a:pt x="1437894" y="2181695"/>
                              </a:lnTo>
                              <a:lnTo>
                                <a:pt x="1480019" y="2237359"/>
                              </a:lnTo>
                              <a:lnTo>
                                <a:pt x="1511655" y="2291994"/>
                              </a:lnTo>
                              <a:lnTo>
                                <a:pt x="1532966" y="2344915"/>
                              </a:lnTo>
                              <a:lnTo>
                                <a:pt x="1541564" y="2395855"/>
                              </a:lnTo>
                              <a:lnTo>
                                <a:pt x="1541564" y="2174900"/>
                              </a:lnTo>
                              <a:lnTo>
                                <a:pt x="1493012" y="2112073"/>
                              </a:lnTo>
                              <a:lnTo>
                                <a:pt x="1457375" y="2071738"/>
                              </a:lnTo>
                              <a:lnTo>
                                <a:pt x="1418082" y="2030857"/>
                              </a:lnTo>
                              <a:lnTo>
                                <a:pt x="1377378" y="1991601"/>
                              </a:lnTo>
                              <a:lnTo>
                                <a:pt x="1337589" y="1956104"/>
                              </a:lnTo>
                              <a:lnTo>
                                <a:pt x="1298702" y="1924405"/>
                              </a:lnTo>
                              <a:lnTo>
                                <a:pt x="1260729" y="1896491"/>
                              </a:lnTo>
                              <a:lnTo>
                                <a:pt x="1223657" y="1872564"/>
                              </a:lnTo>
                              <a:lnTo>
                                <a:pt x="1187551" y="1852841"/>
                              </a:lnTo>
                              <a:lnTo>
                                <a:pt x="1152474" y="1837169"/>
                              </a:lnTo>
                              <a:lnTo>
                                <a:pt x="1085621" y="1817751"/>
                              </a:lnTo>
                              <a:lnTo>
                                <a:pt x="1053858" y="1814499"/>
                              </a:lnTo>
                              <a:lnTo>
                                <a:pt x="1023061" y="1815325"/>
                              </a:lnTo>
                              <a:lnTo>
                                <a:pt x="964412" y="1828647"/>
                              </a:lnTo>
                              <a:lnTo>
                                <a:pt x="911047" y="1859737"/>
                              </a:lnTo>
                              <a:lnTo>
                                <a:pt x="863511" y="1907641"/>
                              </a:lnTo>
                              <a:lnTo>
                                <a:pt x="831938" y="1963788"/>
                              </a:lnTo>
                              <a:lnTo>
                                <a:pt x="819137" y="2025954"/>
                              </a:lnTo>
                              <a:lnTo>
                                <a:pt x="818921" y="2058835"/>
                              </a:lnTo>
                              <a:lnTo>
                                <a:pt x="822845" y="2092617"/>
                              </a:lnTo>
                              <a:lnTo>
                                <a:pt x="843953" y="2163254"/>
                              </a:lnTo>
                              <a:lnTo>
                                <a:pt x="860374" y="2200122"/>
                              </a:lnTo>
                              <a:lnTo>
                                <a:pt x="880630" y="2237803"/>
                              </a:lnTo>
                              <a:lnTo>
                                <a:pt x="904875" y="2276221"/>
                              </a:lnTo>
                              <a:lnTo>
                                <a:pt x="932980" y="2315273"/>
                              </a:lnTo>
                              <a:lnTo>
                                <a:pt x="964539" y="2354643"/>
                              </a:lnTo>
                              <a:lnTo>
                                <a:pt x="999502" y="2394318"/>
                              </a:lnTo>
                              <a:lnTo>
                                <a:pt x="1037844" y="2434209"/>
                              </a:lnTo>
                              <a:lnTo>
                                <a:pt x="1079246" y="2474214"/>
                              </a:lnTo>
                              <a:lnTo>
                                <a:pt x="1119543" y="2510180"/>
                              </a:lnTo>
                              <a:lnTo>
                                <a:pt x="1158900" y="2542286"/>
                              </a:lnTo>
                              <a:lnTo>
                                <a:pt x="1197356" y="2570607"/>
                              </a:lnTo>
                              <a:lnTo>
                                <a:pt x="1234732" y="2594978"/>
                              </a:lnTo>
                              <a:lnTo>
                                <a:pt x="1271028" y="2615158"/>
                              </a:lnTo>
                              <a:lnTo>
                                <a:pt x="1306207" y="2631186"/>
                              </a:lnTo>
                              <a:lnTo>
                                <a:pt x="1372958" y="2651048"/>
                              </a:lnTo>
                              <a:lnTo>
                                <a:pt x="1404823" y="2654579"/>
                              </a:lnTo>
                              <a:lnTo>
                                <a:pt x="1435760" y="2653931"/>
                              </a:lnTo>
                              <a:lnTo>
                                <a:pt x="1494790" y="2640863"/>
                              </a:lnTo>
                              <a:lnTo>
                                <a:pt x="1548866" y="2609545"/>
                              </a:lnTo>
                              <a:lnTo>
                                <a:pt x="1596847" y="2561234"/>
                              </a:lnTo>
                              <a:lnTo>
                                <a:pt x="1628254" y="2504833"/>
                              </a:lnTo>
                              <a:lnTo>
                                <a:pt x="1640979" y="2442514"/>
                              </a:lnTo>
                              <a:lnTo>
                                <a:pt x="1641106" y="2409596"/>
                              </a:lnTo>
                              <a:close/>
                            </a:path>
                            <a:path w="3333750" h="3332479">
                              <a:moveTo>
                                <a:pt x="2245995" y="1820926"/>
                              </a:moveTo>
                              <a:lnTo>
                                <a:pt x="2241931" y="1781048"/>
                              </a:lnTo>
                              <a:lnTo>
                                <a:pt x="2210054" y="1739773"/>
                              </a:lnTo>
                              <a:lnTo>
                                <a:pt x="2175383" y="1709674"/>
                              </a:lnTo>
                              <a:lnTo>
                                <a:pt x="2168906" y="1706626"/>
                              </a:lnTo>
                              <a:lnTo>
                                <a:pt x="2164842" y="1706626"/>
                              </a:lnTo>
                              <a:lnTo>
                                <a:pt x="2162937" y="1707388"/>
                              </a:lnTo>
                              <a:lnTo>
                                <a:pt x="2157857" y="1712468"/>
                              </a:lnTo>
                              <a:lnTo>
                                <a:pt x="2156079" y="1720469"/>
                              </a:lnTo>
                              <a:lnTo>
                                <a:pt x="2157349" y="1733042"/>
                              </a:lnTo>
                              <a:lnTo>
                                <a:pt x="2157907" y="1742833"/>
                              </a:lnTo>
                              <a:lnTo>
                                <a:pt x="2155736" y="1790687"/>
                              </a:lnTo>
                              <a:lnTo>
                                <a:pt x="2145792" y="1833245"/>
                              </a:lnTo>
                              <a:lnTo>
                                <a:pt x="2121979" y="1875840"/>
                              </a:lnTo>
                              <a:lnTo>
                                <a:pt x="2093836" y="1903031"/>
                              </a:lnTo>
                              <a:lnTo>
                                <a:pt x="2057412" y="1922272"/>
                              </a:lnTo>
                              <a:lnTo>
                                <a:pt x="2015998" y="1929790"/>
                              </a:lnTo>
                              <a:lnTo>
                                <a:pt x="1993722" y="1929218"/>
                              </a:lnTo>
                              <a:lnTo>
                                <a:pt x="1945767" y="1918335"/>
                              </a:lnTo>
                              <a:lnTo>
                                <a:pt x="1893697" y="1896033"/>
                              </a:lnTo>
                              <a:lnTo>
                                <a:pt x="1837436" y="1861439"/>
                              </a:lnTo>
                              <a:lnTo>
                                <a:pt x="1777568" y="1815312"/>
                              </a:lnTo>
                              <a:lnTo>
                                <a:pt x="1746542" y="1787791"/>
                              </a:lnTo>
                              <a:lnTo>
                                <a:pt x="1714754" y="1757172"/>
                              </a:lnTo>
                              <a:lnTo>
                                <a:pt x="1683753" y="1724990"/>
                              </a:lnTo>
                              <a:lnTo>
                                <a:pt x="1655826" y="1693494"/>
                              </a:lnTo>
                              <a:lnTo>
                                <a:pt x="1630845" y="1662557"/>
                              </a:lnTo>
                              <a:lnTo>
                                <a:pt x="1589595" y="1602892"/>
                              </a:lnTo>
                              <a:lnTo>
                                <a:pt x="1560195" y="1547228"/>
                              </a:lnTo>
                              <a:lnTo>
                                <a:pt x="1541792" y="1495412"/>
                              </a:lnTo>
                              <a:lnTo>
                                <a:pt x="1535861" y="1448181"/>
                              </a:lnTo>
                              <a:lnTo>
                                <a:pt x="1537208" y="1426464"/>
                              </a:lnTo>
                              <a:lnTo>
                                <a:pt x="1549057" y="1387754"/>
                              </a:lnTo>
                              <a:lnTo>
                                <a:pt x="1573022" y="1355229"/>
                              </a:lnTo>
                              <a:lnTo>
                                <a:pt x="1614373" y="1324686"/>
                              </a:lnTo>
                              <a:lnTo>
                                <a:pt x="1657629" y="1312062"/>
                              </a:lnTo>
                              <a:lnTo>
                                <a:pt x="1696643" y="1308544"/>
                              </a:lnTo>
                              <a:lnTo>
                                <a:pt x="1718665" y="1308862"/>
                              </a:lnTo>
                              <a:lnTo>
                                <a:pt x="1728470" y="1309509"/>
                              </a:lnTo>
                              <a:lnTo>
                                <a:pt x="1741043" y="1310640"/>
                              </a:lnTo>
                              <a:lnTo>
                                <a:pt x="1749044" y="1309878"/>
                              </a:lnTo>
                              <a:lnTo>
                                <a:pt x="1753743" y="1305052"/>
                              </a:lnTo>
                              <a:lnTo>
                                <a:pt x="1754378" y="1302385"/>
                              </a:lnTo>
                              <a:lnTo>
                                <a:pt x="1754251" y="1299464"/>
                              </a:lnTo>
                              <a:lnTo>
                                <a:pt x="1729867" y="1263015"/>
                              </a:lnTo>
                              <a:lnTo>
                                <a:pt x="1701546" y="1235964"/>
                              </a:lnTo>
                              <a:lnTo>
                                <a:pt x="1697228" y="1233043"/>
                              </a:lnTo>
                              <a:lnTo>
                                <a:pt x="1693291" y="1229614"/>
                              </a:lnTo>
                              <a:lnTo>
                                <a:pt x="1651342" y="1217066"/>
                              </a:lnTo>
                              <a:lnTo>
                                <a:pt x="1631442" y="1217295"/>
                              </a:lnTo>
                              <a:lnTo>
                                <a:pt x="1584960" y="1225042"/>
                              </a:lnTo>
                              <a:lnTo>
                                <a:pt x="1537589" y="1244092"/>
                              </a:lnTo>
                              <a:lnTo>
                                <a:pt x="1505127" y="1266621"/>
                              </a:lnTo>
                              <a:lnTo>
                                <a:pt x="1475752" y="1298308"/>
                              </a:lnTo>
                              <a:lnTo>
                                <a:pt x="1448562" y="1349425"/>
                              </a:lnTo>
                              <a:lnTo>
                                <a:pt x="1437716" y="1408658"/>
                              </a:lnTo>
                              <a:lnTo>
                                <a:pt x="1437779" y="1440586"/>
                              </a:lnTo>
                              <a:lnTo>
                                <a:pt x="1449959" y="1508506"/>
                              </a:lnTo>
                              <a:lnTo>
                                <a:pt x="1462379" y="1544840"/>
                              </a:lnTo>
                              <a:lnTo>
                                <a:pt x="1478470" y="1582191"/>
                              </a:lnTo>
                              <a:lnTo>
                                <a:pt x="1498460" y="1620507"/>
                              </a:lnTo>
                              <a:lnTo>
                                <a:pt x="1522603" y="1659763"/>
                              </a:lnTo>
                              <a:lnTo>
                                <a:pt x="1550530" y="1700022"/>
                              </a:lnTo>
                              <a:lnTo>
                                <a:pt x="1582483" y="1740877"/>
                              </a:lnTo>
                              <a:lnTo>
                                <a:pt x="1618424" y="1782229"/>
                              </a:lnTo>
                              <a:lnTo>
                                <a:pt x="1658366" y="1823974"/>
                              </a:lnTo>
                              <a:lnTo>
                                <a:pt x="1699107" y="1863077"/>
                              </a:lnTo>
                              <a:lnTo>
                                <a:pt x="1739036" y="1897976"/>
                              </a:lnTo>
                              <a:lnTo>
                                <a:pt x="1778165" y="1928799"/>
                              </a:lnTo>
                              <a:lnTo>
                                <a:pt x="1816481" y="1955673"/>
                              </a:lnTo>
                              <a:lnTo>
                                <a:pt x="1853933" y="1978990"/>
                              </a:lnTo>
                              <a:lnTo>
                                <a:pt x="1890306" y="1998052"/>
                              </a:lnTo>
                              <a:lnTo>
                                <a:pt x="1925612" y="2013127"/>
                              </a:lnTo>
                              <a:lnTo>
                                <a:pt x="1992642" y="2032203"/>
                              </a:lnTo>
                              <a:lnTo>
                                <a:pt x="2024138" y="2035619"/>
                              </a:lnTo>
                              <a:lnTo>
                                <a:pt x="2054313" y="2035048"/>
                              </a:lnTo>
                              <a:lnTo>
                                <a:pt x="2110435" y="2022957"/>
                              </a:lnTo>
                              <a:lnTo>
                                <a:pt x="2159914" y="1995424"/>
                              </a:lnTo>
                              <a:lnTo>
                                <a:pt x="2193937" y="1963369"/>
                              </a:lnTo>
                              <a:lnTo>
                                <a:pt x="2221103" y="1923415"/>
                              </a:lnTo>
                              <a:lnTo>
                                <a:pt x="2236736" y="1881987"/>
                              </a:lnTo>
                              <a:lnTo>
                                <a:pt x="2244547" y="1843811"/>
                              </a:lnTo>
                              <a:lnTo>
                                <a:pt x="2245741" y="1832127"/>
                              </a:lnTo>
                              <a:lnTo>
                                <a:pt x="2245995" y="1820926"/>
                              </a:lnTo>
                              <a:close/>
                            </a:path>
                            <a:path w="3333750" h="3332479">
                              <a:moveTo>
                                <a:pt x="2627020" y="1423746"/>
                              </a:moveTo>
                              <a:lnTo>
                                <a:pt x="2614168" y="1354582"/>
                              </a:lnTo>
                              <a:lnTo>
                                <a:pt x="2601277" y="1318704"/>
                              </a:lnTo>
                              <a:lnTo>
                                <a:pt x="2584640" y="1281874"/>
                              </a:lnTo>
                              <a:lnTo>
                                <a:pt x="2564079" y="1244104"/>
                              </a:lnTo>
                              <a:lnTo>
                                <a:pt x="2539492" y="1205357"/>
                              </a:lnTo>
                              <a:lnTo>
                                <a:pt x="2527465" y="1188770"/>
                              </a:lnTo>
                              <a:lnTo>
                                <a:pt x="2527465" y="1409928"/>
                              </a:lnTo>
                              <a:lnTo>
                                <a:pt x="2527173" y="1434338"/>
                              </a:lnTo>
                              <a:lnTo>
                                <a:pt x="2514625" y="1479892"/>
                              </a:lnTo>
                              <a:lnTo>
                                <a:pt x="2484755" y="1520571"/>
                              </a:lnTo>
                              <a:lnTo>
                                <a:pt x="2444331" y="1550949"/>
                              </a:lnTo>
                              <a:lnTo>
                                <a:pt x="2400300" y="1564259"/>
                              </a:lnTo>
                              <a:lnTo>
                                <a:pt x="2377148" y="1565490"/>
                              </a:lnTo>
                              <a:lnTo>
                                <a:pt x="2353208" y="1563357"/>
                              </a:lnTo>
                              <a:lnTo>
                                <a:pt x="2302891" y="1548638"/>
                              </a:lnTo>
                              <a:lnTo>
                                <a:pt x="2250376" y="1521955"/>
                              </a:lnTo>
                              <a:lnTo>
                                <a:pt x="2195195" y="1483741"/>
                              </a:lnTo>
                              <a:lnTo>
                                <a:pt x="2137854" y="1436065"/>
                              </a:lnTo>
                              <a:lnTo>
                                <a:pt x="2108606" y="1409204"/>
                              </a:lnTo>
                              <a:lnTo>
                                <a:pt x="2078990" y="1380363"/>
                              </a:lnTo>
                              <a:lnTo>
                                <a:pt x="2028101" y="1325930"/>
                              </a:lnTo>
                              <a:lnTo>
                                <a:pt x="1982851" y="1270635"/>
                              </a:lnTo>
                              <a:lnTo>
                                <a:pt x="1946376" y="1215898"/>
                              </a:lnTo>
                              <a:lnTo>
                                <a:pt x="1920494" y="1162304"/>
                              </a:lnTo>
                              <a:lnTo>
                                <a:pt x="1905914" y="1111059"/>
                              </a:lnTo>
                              <a:lnTo>
                                <a:pt x="1903374" y="1086294"/>
                              </a:lnTo>
                              <a:lnTo>
                                <a:pt x="1903730" y="1062101"/>
                              </a:lnTo>
                              <a:lnTo>
                                <a:pt x="1915833" y="1016787"/>
                              </a:lnTo>
                              <a:lnTo>
                                <a:pt x="1945386" y="976503"/>
                              </a:lnTo>
                              <a:lnTo>
                                <a:pt x="1985327" y="946569"/>
                              </a:lnTo>
                              <a:lnTo>
                                <a:pt x="2029460" y="933196"/>
                              </a:lnTo>
                              <a:lnTo>
                                <a:pt x="2052916" y="932218"/>
                              </a:lnTo>
                              <a:lnTo>
                                <a:pt x="2077021" y="934326"/>
                              </a:lnTo>
                              <a:lnTo>
                                <a:pt x="2127250" y="948309"/>
                              </a:lnTo>
                              <a:lnTo>
                                <a:pt x="2180145" y="975004"/>
                              </a:lnTo>
                              <a:lnTo>
                                <a:pt x="2234946" y="1012063"/>
                              </a:lnTo>
                              <a:lnTo>
                                <a:pt x="2291486" y="1058913"/>
                              </a:lnTo>
                              <a:lnTo>
                                <a:pt x="2320023" y="1085062"/>
                              </a:lnTo>
                              <a:lnTo>
                                <a:pt x="2348611" y="1112901"/>
                              </a:lnTo>
                              <a:lnTo>
                                <a:pt x="2375268" y="1140409"/>
                              </a:lnTo>
                              <a:lnTo>
                                <a:pt x="2423795" y="1195793"/>
                              </a:lnTo>
                              <a:lnTo>
                                <a:pt x="2465921" y="1251458"/>
                              </a:lnTo>
                              <a:lnTo>
                                <a:pt x="2497556" y="1306093"/>
                              </a:lnTo>
                              <a:lnTo>
                                <a:pt x="2518867" y="1358963"/>
                              </a:lnTo>
                              <a:lnTo>
                                <a:pt x="2527465" y="1409928"/>
                              </a:lnTo>
                              <a:lnTo>
                                <a:pt x="2527465" y="1188770"/>
                              </a:lnTo>
                              <a:lnTo>
                                <a:pt x="2478925" y="1126159"/>
                              </a:lnTo>
                              <a:lnTo>
                                <a:pt x="2443276" y="1085824"/>
                              </a:lnTo>
                              <a:lnTo>
                                <a:pt x="2403983" y="1044956"/>
                              </a:lnTo>
                              <a:lnTo>
                                <a:pt x="2363279" y="1005700"/>
                              </a:lnTo>
                              <a:lnTo>
                                <a:pt x="2323490" y="970203"/>
                              </a:lnTo>
                              <a:lnTo>
                                <a:pt x="2284603" y="938504"/>
                              </a:lnTo>
                              <a:lnTo>
                                <a:pt x="2246630" y="910590"/>
                              </a:lnTo>
                              <a:lnTo>
                                <a:pt x="2209533" y="886663"/>
                              </a:lnTo>
                              <a:lnTo>
                                <a:pt x="2173414" y="866940"/>
                              </a:lnTo>
                              <a:lnTo>
                                <a:pt x="2138324" y="851268"/>
                              </a:lnTo>
                              <a:lnTo>
                                <a:pt x="2071509" y="831850"/>
                              </a:lnTo>
                              <a:lnTo>
                                <a:pt x="2039708" y="828611"/>
                              </a:lnTo>
                              <a:lnTo>
                                <a:pt x="2008911" y="829475"/>
                              </a:lnTo>
                              <a:lnTo>
                                <a:pt x="1950313" y="842860"/>
                              </a:lnTo>
                              <a:lnTo>
                                <a:pt x="1896948" y="873861"/>
                              </a:lnTo>
                              <a:lnTo>
                                <a:pt x="1849399" y="921740"/>
                              </a:lnTo>
                              <a:lnTo>
                                <a:pt x="1817738" y="977887"/>
                              </a:lnTo>
                              <a:lnTo>
                                <a:pt x="1804974" y="1040053"/>
                              </a:lnTo>
                              <a:lnTo>
                                <a:pt x="1804784" y="1072946"/>
                              </a:lnTo>
                              <a:lnTo>
                                <a:pt x="1808695" y="1106766"/>
                              </a:lnTo>
                              <a:lnTo>
                                <a:pt x="1829727" y="1177404"/>
                              </a:lnTo>
                              <a:lnTo>
                                <a:pt x="1846160" y="1214234"/>
                              </a:lnTo>
                              <a:lnTo>
                                <a:pt x="1866455" y="1251902"/>
                              </a:lnTo>
                              <a:lnTo>
                                <a:pt x="1890776" y="1290320"/>
                              </a:lnTo>
                              <a:lnTo>
                                <a:pt x="1918868" y="1329372"/>
                              </a:lnTo>
                              <a:lnTo>
                                <a:pt x="1950377" y="1368742"/>
                              </a:lnTo>
                              <a:lnTo>
                                <a:pt x="1985302" y="1408417"/>
                              </a:lnTo>
                              <a:lnTo>
                                <a:pt x="2023618" y="1448308"/>
                              </a:lnTo>
                              <a:lnTo>
                                <a:pt x="2065070" y="1488313"/>
                              </a:lnTo>
                              <a:lnTo>
                                <a:pt x="2105418" y="1524317"/>
                              </a:lnTo>
                              <a:lnTo>
                                <a:pt x="2144750" y="1556435"/>
                              </a:lnTo>
                              <a:lnTo>
                                <a:pt x="2183130" y="1584706"/>
                              </a:lnTo>
                              <a:lnTo>
                                <a:pt x="2220582" y="1609077"/>
                              </a:lnTo>
                              <a:lnTo>
                                <a:pt x="2256917" y="1629257"/>
                              </a:lnTo>
                              <a:lnTo>
                                <a:pt x="2292096" y="1645297"/>
                              </a:lnTo>
                              <a:lnTo>
                                <a:pt x="2358860" y="1665147"/>
                              </a:lnTo>
                              <a:lnTo>
                                <a:pt x="2390724" y="1668691"/>
                              </a:lnTo>
                              <a:lnTo>
                                <a:pt x="2421661" y="1668081"/>
                              </a:lnTo>
                              <a:lnTo>
                                <a:pt x="2480691" y="1655089"/>
                              </a:lnTo>
                              <a:lnTo>
                                <a:pt x="2534767" y="1623720"/>
                              </a:lnTo>
                              <a:lnTo>
                                <a:pt x="2582735" y="1575333"/>
                              </a:lnTo>
                              <a:lnTo>
                                <a:pt x="2614104" y="1518932"/>
                              </a:lnTo>
                              <a:lnTo>
                                <a:pt x="2626880" y="1456677"/>
                              </a:lnTo>
                              <a:lnTo>
                                <a:pt x="2627020" y="1423746"/>
                              </a:lnTo>
                              <a:close/>
                            </a:path>
                            <a:path w="3333750" h="3332479">
                              <a:moveTo>
                                <a:pt x="2893949" y="1238885"/>
                              </a:moveTo>
                              <a:lnTo>
                                <a:pt x="2892933" y="1235837"/>
                              </a:lnTo>
                              <a:lnTo>
                                <a:pt x="2891790" y="1232789"/>
                              </a:lnTo>
                              <a:lnTo>
                                <a:pt x="2889504" y="1229741"/>
                              </a:lnTo>
                              <a:lnTo>
                                <a:pt x="2643251" y="983488"/>
                              </a:lnTo>
                              <a:lnTo>
                                <a:pt x="2693035" y="933704"/>
                              </a:lnTo>
                              <a:lnTo>
                                <a:pt x="2711691" y="913079"/>
                              </a:lnTo>
                              <a:lnTo>
                                <a:pt x="2714129" y="909701"/>
                              </a:lnTo>
                              <a:lnTo>
                                <a:pt x="2727033" y="891921"/>
                              </a:lnTo>
                              <a:lnTo>
                                <a:pt x="2747518" y="847852"/>
                              </a:lnTo>
                              <a:lnTo>
                                <a:pt x="2755379" y="802767"/>
                              </a:lnTo>
                              <a:lnTo>
                                <a:pt x="2755455" y="778319"/>
                              </a:lnTo>
                              <a:lnTo>
                                <a:pt x="2752471" y="753999"/>
                              </a:lnTo>
                              <a:lnTo>
                                <a:pt x="2738285" y="704456"/>
                              </a:lnTo>
                              <a:lnTo>
                                <a:pt x="2713736" y="653669"/>
                              </a:lnTo>
                              <a:lnTo>
                                <a:pt x="2678531" y="602348"/>
                              </a:lnTo>
                              <a:lnTo>
                                <a:pt x="2659075" y="579158"/>
                              </a:lnTo>
                              <a:lnTo>
                                <a:pt x="2659075" y="774280"/>
                              </a:lnTo>
                              <a:lnTo>
                                <a:pt x="2658173" y="788733"/>
                              </a:lnTo>
                              <a:lnTo>
                                <a:pt x="2643568" y="830376"/>
                              </a:lnTo>
                              <a:lnTo>
                                <a:pt x="2569464" y="909701"/>
                              </a:lnTo>
                              <a:lnTo>
                                <a:pt x="2298065" y="638429"/>
                              </a:lnTo>
                              <a:lnTo>
                                <a:pt x="2352052" y="584441"/>
                              </a:lnTo>
                              <a:lnTo>
                                <a:pt x="2386584" y="557403"/>
                              </a:lnTo>
                              <a:lnTo>
                                <a:pt x="2434209" y="544068"/>
                              </a:lnTo>
                              <a:lnTo>
                                <a:pt x="2448928" y="544715"/>
                              </a:lnTo>
                              <a:lnTo>
                                <a:pt x="2500249" y="560705"/>
                              </a:lnTo>
                              <a:lnTo>
                                <a:pt x="2538552" y="584454"/>
                              </a:lnTo>
                              <a:lnTo>
                                <a:pt x="2579116" y="619887"/>
                              </a:lnTo>
                              <a:lnTo>
                                <a:pt x="2606738" y="650608"/>
                              </a:lnTo>
                              <a:lnTo>
                                <a:pt x="2629027" y="681990"/>
                              </a:lnTo>
                              <a:lnTo>
                                <a:pt x="2651290" y="729234"/>
                              </a:lnTo>
                              <a:lnTo>
                                <a:pt x="2659075" y="774280"/>
                              </a:lnTo>
                              <a:lnTo>
                                <a:pt x="2659075" y="579158"/>
                              </a:lnTo>
                              <a:lnTo>
                                <a:pt x="2657094" y="576795"/>
                              </a:lnTo>
                              <a:lnTo>
                                <a:pt x="2632964" y="551307"/>
                              </a:lnTo>
                              <a:lnTo>
                                <a:pt x="2625394" y="544068"/>
                              </a:lnTo>
                              <a:lnTo>
                                <a:pt x="2613825" y="532993"/>
                              </a:lnTo>
                              <a:lnTo>
                                <a:pt x="2575522" y="501472"/>
                              </a:lnTo>
                              <a:lnTo>
                                <a:pt x="2537104" y="476669"/>
                              </a:lnTo>
                              <a:lnTo>
                                <a:pt x="2499385" y="459130"/>
                              </a:lnTo>
                              <a:lnTo>
                                <a:pt x="2462441" y="447548"/>
                              </a:lnTo>
                              <a:lnTo>
                                <a:pt x="2408936" y="442849"/>
                              </a:lnTo>
                              <a:lnTo>
                                <a:pt x="2392045" y="444538"/>
                              </a:lnTo>
                              <a:lnTo>
                                <a:pt x="2350135" y="456692"/>
                              </a:lnTo>
                              <a:lnTo>
                                <a:pt x="2311527" y="479679"/>
                              </a:lnTo>
                              <a:lnTo>
                                <a:pt x="2282571" y="505460"/>
                              </a:lnTo>
                              <a:lnTo>
                                <a:pt x="2188718" y="599313"/>
                              </a:lnTo>
                              <a:lnTo>
                                <a:pt x="2181479" y="616623"/>
                              </a:lnTo>
                              <a:lnTo>
                                <a:pt x="2181606" y="624205"/>
                              </a:lnTo>
                              <a:lnTo>
                                <a:pt x="2204339" y="661035"/>
                              </a:lnTo>
                              <a:lnTo>
                                <a:pt x="2828671" y="1285367"/>
                              </a:lnTo>
                              <a:lnTo>
                                <a:pt x="2831211" y="1288034"/>
                              </a:lnTo>
                              <a:lnTo>
                                <a:pt x="2834259" y="1290193"/>
                              </a:lnTo>
                              <a:lnTo>
                                <a:pt x="2840355" y="1292479"/>
                              </a:lnTo>
                              <a:lnTo>
                                <a:pt x="2843403" y="1292606"/>
                              </a:lnTo>
                              <a:lnTo>
                                <a:pt x="2846832" y="1291336"/>
                              </a:lnTo>
                              <a:lnTo>
                                <a:pt x="2850769" y="1290574"/>
                              </a:lnTo>
                              <a:lnTo>
                                <a:pt x="2884551" y="1261999"/>
                              </a:lnTo>
                              <a:lnTo>
                                <a:pt x="2892806" y="1245235"/>
                              </a:lnTo>
                              <a:lnTo>
                                <a:pt x="2893822" y="1242187"/>
                              </a:lnTo>
                              <a:lnTo>
                                <a:pt x="2893949" y="1238885"/>
                              </a:lnTo>
                              <a:close/>
                            </a:path>
                            <a:path w="3333750" h="3332479">
                              <a:moveTo>
                                <a:pt x="3333750" y="802259"/>
                              </a:moveTo>
                              <a:lnTo>
                                <a:pt x="3333623" y="799211"/>
                              </a:lnTo>
                              <a:lnTo>
                                <a:pt x="3331464" y="793115"/>
                              </a:lnTo>
                              <a:lnTo>
                                <a:pt x="3329178" y="790067"/>
                              </a:lnTo>
                              <a:lnTo>
                                <a:pt x="3077083" y="538099"/>
                              </a:lnTo>
                              <a:lnTo>
                                <a:pt x="3029953" y="446278"/>
                              </a:lnTo>
                              <a:lnTo>
                                <a:pt x="2889935" y="170192"/>
                              </a:lnTo>
                              <a:lnTo>
                                <a:pt x="2819400" y="32385"/>
                              </a:lnTo>
                              <a:lnTo>
                                <a:pt x="2789047" y="0"/>
                              </a:lnTo>
                              <a:lnTo>
                                <a:pt x="2783967" y="1905"/>
                              </a:lnTo>
                              <a:lnTo>
                                <a:pt x="2752471" y="29210"/>
                              </a:lnTo>
                              <a:lnTo>
                                <a:pt x="2737612" y="57658"/>
                              </a:lnTo>
                              <a:lnTo>
                                <a:pt x="2739136" y="61341"/>
                              </a:lnTo>
                              <a:lnTo>
                                <a:pt x="2740406" y="65278"/>
                              </a:lnTo>
                              <a:lnTo>
                                <a:pt x="2742057" y="68961"/>
                              </a:lnTo>
                              <a:lnTo>
                                <a:pt x="2745105" y="73279"/>
                              </a:lnTo>
                              <a:lnTo>
                                <a:pt x="2767660" y="116001"/>
                              </a:lnTo>
                              <a:lnTo>
                                <a:pt x="2834652" y="244411"/>
                              </a:lnTo>
                              <a:lnTo>
                                <a:pt x="2879598" y="329819"/>
                              </a:lnTo>
                              <a:lnTo>
                                <a:pt x="2942539" y="442645"/>
                              </a:lnTo>
                              <a:lnTo>
                                <a:pt x="2964434" y="480314"/>
                              </a:lnTo>
                              <a:lnTo>
                                <a:pt x="2963799" y="480949"/>
                              </a:lnTo>
                              <a:lnTo>
                                <a:pt x="2810764" y="395605"/>
                              </a:lnTo>
                              <a:lnTo>
                                <a:pt x="2768282" y="373176"/>
                              </a:lnTo>
                              <a:lnTo>
                                <a:pt x="2555494" y="261747"/>
                              </a:lnTo>
                              <a:lnTo>
                                <a:pt x="2550795" y="259080"/>
                              </a:lnTo>
                              <a:lnTo>
                                <a:pt x="2546858" y="257937"/>
                              </a:lnTo>
                              <a:lnTo>
                                <a:pt x="2543302" y="256286"/>
                              </a:lnTo>
                              <a:lnTo>
                                <a:pt x="2539746" y="255524"/>
                              </a:lnTo>
                              <a:lnTo>
                                <a:pt x="2494788" y="286893"/>
                              </a:lnTo>
                              <a:lnTo>
                                <a:pt x="2480183" y="307721"/>
                              </a:lnTo>
                              <a:lnTo>
                                <a:pt x="2482215" y="316357"/>
                              </a:lnTo>
                              <a:lnTo>
                                <a:pt x="2513203" y="338582"/>
                              </a:lnTo>
                              <a:lnTo>
                                <a:pt x="2604973" y="385762"/>
                              </a:lnTo>
                              <a:lnTo>
                                <a:pt x="2881084" y="525754"/>
                              </a:lnTo>
                              <a:lnTo>
                                <a:pt x="3018917" y="596265"/>
                              </a:lnTo>
                              <a:lnTo>
                                <a:pt x="3270885" y="848360"/>
                              </a:lnTo>
                              <a:lnTo>
                                <a:pt x="3273933" y="850646"/>
                              </a:lnTo>
                              <a:lnTo>
                                <a:pt x="3276981" y="851789"/>
                              </a:lnTo>
                              <a:lnTo>
                                <a:pt x="3279648" y="853186"/>
                              </a:lnTo>
                              <a:lnTo>
                                <a:pt x="3282950" y="853059"/>
                              </a:lnTo>
                              <a:lnTo>
                                <a:pt x="3286379" y="851662"/>
                              </a:lnTo>
                              <a:lnTo>
                                <a:pt x="3290443" y="850900"/>
                              </a:lnTo>
                              <a:lnTo>
                                <a:pt x="3323844" y="822706"/>
                              </a:lnTo>
                              <a:lnTo>
                                <a:pt x="3332480" y="805561"/>
                              </a:lnTo>
                              <a:lnTo>
                                <a:pt x="3333750" y="80225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25.87001pt;margin-top:214.649948pt;width:262.5pt;height:262.4pt;mso-position-horizontal-relative:page;mso-position-vertical-relative:page;z-index:-25513984" id="docshape182" coordorigin="4517,4293" coordsize="5250,5248" path="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w10:wrap type="none"/>
              </v:shape>
            </w:pict>
          </mc:Fallback>
        </mc:AlternateContent>
      </w:r>
      <w:r>
        <w:rPr>
          <w:b/>
          <w:sz w:val="24"/>
        </w:rPr>
        <w:t>Appendix</w:t>
      </w:r>
      <w:r>
        <w:rPr>
          <w:b/>
          <w:spacing w:val="-4"/>
          <w:sz w:val="24"/>
        </w:rPr>
        <w:t> </w:t>
      </w:r>
      <w:r>
        <w:rPr>
          <w:b/>
          <w:sz w:val="24"/>
        </w:rPr>
        <w:t>23:</w:t>
      </w:r>
      <w:r>
        <w:rPr>
          <w:b/>
          <w:spacing w:val="-1"/>
          <w:sz w:val="24"/>
        </w:rPr>
        <w:t> </w:t>
      </w:r>
      <w:r>
        <w:rPr>
          <w:b/>
          <w:sz w:val="24"/>
        </w:rPr>
        <w:t>Table</w:t>
      </w:r>
      <w:r>
        <w:rPr>
          <w:b/>
          <w:spacing w:val="-2"/>
          <w:sz w:val="24"/>
        </w:rPr>
        <w:t> </w:t>
      </w:r>
      <w:r>
        <w:rPr>
          <w:b/>
          <w:sz w:val="24"/>
        </w:rPr>
        <w:t>4.11:</w:t>
      </w:r>
      <w:r>
        <w:rPr>
          <w:b/>
          <w:spacing w:val="-2"/>
          <w:sz w:val="24"/>
        </w:rPr>
        <w:t> </w:t>
      </w:r>
      <w:r>
        <w:rPr>
          <w:b/>
          <w:sz w:val="24"/>
        </w:rPr>
        <w:t>VREL</w:t>
      </w:r>
      <w:r>
        <w:rPr>
          <w:b/>
          <w:spacing w:val="-1"/>
          <w:sz w:val="24"/>
        </w:rPr>
        <w:t> </w:t>
      </w:r>
      <w:r>
        <w:rPr>
          <w:b/>
          <w:sz w:val="24"/>
        </w:rPr>
        <w:t>and</w:t>
      </w:r>
      <w:r>
        <w:rPr>
          <w:b/>
          <w:spacing w:val="-1"/>
          <w:sz w:val="24"/>
        </w:rPr>
        <w:t> </w:t>
      </w:r>
      <w:r>
        <w:rPr>
          <w:b/>
          <w:sz w:val="24"/>
        </w:rPr>
        <w:t>Ownership</w:t>
      </w:r>
      <w:r>
        <w:rPr>
          <w:b/>
          <w:spacing w:val="-1"/>
          <w:sz w:val="24"/>
        </w:rPr>
        <w:t> </w:t>
      </w:r>
      <w:r>
        <w:rPr>
          <w:b/>
          <w:sz w:val="24"/>
        </w:rPr>
        <w:t>Structure</w:t>
      </w:r>
      <w:r>
        <w:rPr>
          <w:b/>
          <w:spacing w:val="-3"/>
          <w:sz w:val="24"/>
        </w:rPr>
        <w:t> </w:t>
      </w:r>
      <w:r>
        <w:rPr>
          <w:b/>
          <w:sz w:val="24"/>
        </w:rPr>
        <w:t>Regression</w:t>
      </w:r>
      <w:r>
        <w:rPr>
          <w:b/>
          <w:spacing w:val="-1"/>
          <w:sz w:val="24"/>
        </w:rPr>
        <w:t> </w:t>
      </w:r>
      <w:r>
        <w:rPr>
          <w:b/>
          <w:sz w:val="24"/>
        </w:rPr>
        <w:t>Result</w:t>
      </w:r>
      <w:r>
        <w:rPr>
          <w:b/>
          <w:spacing w:val="-1"/>
          <w:sz w:val="24"/>
        </w:rPr>
        <w:t> </w:t>
      </w:r>
      <w:r>
        <w:rPr>
          <w:b/>
          <w:spacing w:val="-2"/>
          <w:sz w:val="24"/>
        </w:rPr>
        <w:t>(DID)</w:t>
      </w:r>
    </w:p>
    <w:p>
      <w:pPr>
        <w:pStyle w:val="BodyText"/>
        <w:rPr>
          <w:b/>
          <w:sz w:val="20"/>
        </w:rPr>
      </w:pPr>
    </w:p>
    <w:p>
      <w:pPr>
        <w:pStyle w:val="BodyText"/>
        <w:rPr>
          <w:b/>
          <w:sz w:val="20"/>
        </w:rPr>
      </w:pPr>
    </w:p>
    <w:p>
      <w:pPr>
        <w:pStyle w:val="BodyText"/>
        <w:spacing w:before="43"/>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5"/>
        <w:gridCol w:w="1290"/>
        <w:gridCol w:w="1491"/>
        <w:gridCol w:w="940"/>
        <w:gridCol w:w="884"/>
      </w:tblGrid>
      <w:tr>
        <w:trPr>
          <w:trHeight w:val="213" w:hRule="atLeast"/>
        </w:trPr>
        <w:tc>
          <w:tcPr>
            <w:tcW w:w="6530" w:type="dxa"/>
            <w:gridSpan w:val="5"/>
          </w:tcPr>
          <w:p>
            <w:pPr>
              <w:pStyle w:val="TableParagraph"/>
              <w:spacing w:line="193"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4" w:hRule="atLeast"/>
        </w:trPr>
        <w:tc>
          <w:tcPr>
            <w:tcW w:w="6530" w:type="dxa"/>
            <w:gridSpan w:val="5"/>
          </w:tcPr>
          <w:p>
            <w:pPr>
              <w:pStyle w:val="TableParagraph"/>
              <w:spacing w:line="198" w:lineRule="exact" w:before="6"/>
              <w:rPr>
                <w:sz w:val="18"/>
              </w:rPr>
            </w:pPr>
            <w:r>
              <w:rPr>
                <w:sz w:val="18"/>
              </w:rPr>
              <w:t>Method:</w:t>
            </w:r>
            <w:r>
              <w:rPr>
                <w:spacing w:val="-5"/>
                <w:sz w:val="18"/>
              </w:rPr>
              <w:t> </w:t>
            </w:r>
            <w:r>
              <w:rPr>
                <w:sz w:val="18"/>
              </w:rPr>
              <w:t>ARMA</w:t>
            </w:r>
            <w:r>
              <w:rPr>
                <w:spacing w:val="-6"/>
                <w:sz w:val="18"/>
              </w:rPr>
              <w:t> </w:t>
            </w:r>
            <w:r>
              <w:rPr>
                <w:sz w:val="18"/>
              </w:rPr>
              <w:t>Maximum</w:t>
            </w:r>
            <w:r>
              <w:rPr>
                <w:spacing w:val="-2"/>
                <w:sz w:val="18"/>
              </w:rPr>
              <w:t> </w:t>
            </w:r>
            <w:r>
              <w:rPr>
                <w:sz w:val="18"/>
              </w:rPr>
              <w:t>Likelihood</w:t>
            </w:r>
            <w:r>
              <w:rPr>
                <w:spacing w:val="-3"/>
                <w:sz w:val="18"/>
              </w:rPr>
              <w:t> </w:t>
            </w:r>
            <w:r>
              <w:rPr>
                <w:sz w:val="18"/>
              </w:rPr>
              <w:t>(OPG</w:t>
            </w:r>
            <w:r>
              <w:rPr>
                <w:spacing w:val="-1"/>
                <w:sz w:val="18"/>
              </w:rPr>
              <w:t> </w:t>
            </w:r>
            <w:r>
              <w:rPr>
                <w:sz w:val="18"/>
              </w:rPr>
              <w:t>-</w:t>
            </w:r>
            <w:r>
              <w:rPr>
                <w:spacing w:val="-2"/>
                <w:sz w:val="18"/>
              </w:rPr>
              <w:t> </w:t>
            </w:r>
            <w:r>
              <w:rPr>
                <w:spacing w:val="-4"/>
                <w:sz w:val="18"/>
              </w:rPr>
              <w:t>BHHH)</w:t>
            </w:r>
          </w:p>
        </w:tc>
      </w:tr>
      <w:tr>
        <w:trPr>
          <w:trHeight w:val="224" w:hRule="atLeast"/>
        </w:trPr>
        <w:tc>
          <w:tcPr>
            <w:tcW w:w="6530" w:type="dxa"/>
            <w:gridSpan w:val="5"/>
          </w:tcPr>
          <w:p>
            <w:pPr>
              <w:pStyle w:val="TableParagraph"/>
              <w:spacing w:line="199" w:lineRule="exact" w:before="5"/>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08:29</w:t>
            </w:r>
          </w:p>
        </w:tc>
      </w:tr>
      <w:tr>
        <w:trPr>
          <w:trHeight w:val="225" w:hRule="atLeast"/>
        </w:trPr>
        <w:tc>
          <w:tcPr>
            <w:tcW w:w="1925" w:type="dxa"/>
          </w:tcPr>
          <w:p>
            <w:pPr>
              <w:pStyle w:val="TableParagraph"/>
              <w:spacing w:line="199" w:lineRule="exact" w:before="6"/>
              <w:rPr>
                <w:sz w:val="18"/>
              </w:rPr>
            </w:pPr>
            <w:r>
              <w:rPr>
                <w:sz w:val="18"/>
              </w:rPr>
              <w:t>Sample:</w:t>
            </w:r>
            <w:r>
              <w:rPr>
                <w:spacing w:val="-4"/>
                <w:sz w:val="18"/>
              </w:rPr>
              <w:t> </w:t>
            </w:r>
            <w:r>
              <w:rPr>
                <w:sz w:val="18"/>
              </w:rPr>
              <w:t>1</w:t>
            </w:r>
            <w:r>
              <w:rPr>
                <w:spacing w:val="-3"/>
                <w:sz w:val="18"/>
              </w:rPr>
              <w:t> </w:t>
            </w:r>
            <w:r>
              <w:rPr>
                <w:spacing w:val="-5"/>
                <w:sz w:val="18"/>
              </w:rPr>
              <w:t>195</w:t>
            </w:r>
          </w:p>
        </w:tc>
        <w:tc>
          <w:tcPr>
            <w:tcW w:w="1290" w:type="dxa"/>
          </w:tcPr>
          <w:p>
            <w:pPr>
              <w:pStyle w:val="TableParagraph"/>
              <w:rPr>
                <w:rFonts w:ascii="Times New Roman"/>
                <w:sz w:val="16"/>
              </w:rPr>
            </w:pPr>
          </w:p>
        </w:tc>
        <w:tc>
          <w:tcPr>
            <w:tcW w:w="1491" w:type="dxa"/>
          </w:tcPr>
          <w:p>
            <w:pPr>
              <w:pStyle w:val="TableParagraph"/>
              <w:rPr>
                <w:rFonts w:ascii="Times New Roman"/>
                <w:sz w:val="16"/>
              </w:rPr>
            </w:pPr>
          </w:p>
        </w:tc>
        <w:tc>
          <w:tcPr>
            <w:tcW w:w="940" w:type="dxa"/>
          </w:tcPr>
          <w:p>
            <w:pPr>
              <w:pStyle w:val="TableParagraph"/>
              <w:rPr>
                <w:rFonts w:ascii="Times New Roman"/>
                <w:sz w:val="16"/>
              </w:rPr>
            </w:pPr>
          </w:p>
        </w:tc>
        <w:tc>
          <w:tcPr>
            <w:tcW w:w="884" w:type="dxa"/>
          </w:tcPr>
          <w:p>
            <w:pPr>
              <w:pStyle w:val="TableParagraph"/>
              <w:rPr>
                <w:rFonts w:ascii="Times New Roman"/>
                <w:sz w:val="16"/>
              </w:rPr>
            </w:pPr>
          </w:p>
        </w:tc>
      </w:tr>
      <w:tr>
        <w:trPr>
          <w:trHeight w:val="225" w:hRule="atLeast"/>
        </w:trPr>
        <w:tc>
          <w:tcPr>
            <w:tcW w:w="6530" w:type="dxa"/>
            <w:gridSpan w:val="5"/>
          </w:tcPr>
          <w:p>
            <w:pPr>
              <w:pStyle w:val="TableParagraph"/>
              <w:spacing w:line="199" w:lineRule="exact" w:before="6"/>
              <w:rPr>
                <w:sz w:val="18"/>
              </w:rPr>
            </w:pPr>
            <w:r>
              <w:rPr>
                <w:sz w:val="18"/>
              </w:rPr>
              <w:t>Included</w:t>
            </w:r>
            <w:r>
              <w:rPr>
                <w:spacing w:val="-6"/>
                <w:sz w:val="18"/>
              </w:rPr>
              <w:t> </w:t>
            </w:r>
            <w:r>
              <w:rPr>
                <w:sz w:val="18"/>
              </w:rPr>
              <w:t>observations:</w:t>
            </w:r>
            <w:r>
              <w:rPr>
                <w:spacing w:val="-5"/>
                <w:sz w:val="18"/>
              </w:rPr>
              <w:t> 195</w:t>
            </w:r>
          </w:p>
        </w:tc>
      </w:tr>
      <w:tr>
        <w:trPr>
          <w:trHeight w:val="224" w:hRule="atLeast"/>
        </w:trPr>
        <w:tc>
          <w:tcPr>
            <w:tcW w:w="6530" w:type="dxa"/>
            <w:gridSpan w:val="5"/>
          </w:tcPr>
          <w:p>
            <w:pPr>
              <w:pStyle w:val="TableParagraph"/>
              <w:spacing w:line="198" w:lineRule="exact" w:before="6"/>
              <w:rPr>
                <w:sz w:val="18"/>
              </w:rPr>
            </w:pPr>
            <w:r>
              <w:rPr>
                <w:sz w:val="18"/>
              </w:rPr>
              <w:t>Convergence</w:t>
            </w:r>
            <w:r>
              <w:rPr>
                <w:spacing w:val="-10"/>
                <w:sz w:val="18"/>
              </w:rPr>
              <w:t> </w:t>
            </w:r>
            <w:r>
              <w:rPr>
                <w:sz w:val="18"/>
              </w:rPr>
              <w:t>achieved</w:t>
            </w:r>
            <w:r>
              <w:rPr>
                <w:spacing w:val="-10"/>
                <w:sz w:val="18"/>
              </w:rPr>
              <w:t> </w:t>
            </w:r>
            <w:r>
              <w:rPr>
                <w:sz w:val="18"/>
              </w:rPr>
              <w:t>after</w:t>
            </w:r>
            <w:r>
              <w:rPr>
                <w:spacing w:val="-10"/>
                <w:sz w:val="18"/>
              </w:rPr>
              <w:t> </w:t>
            </w:r>
            <w:r>
              <w:rPr>
                <w:sz w:val="18"/>
              </w:rPr>
              <w:t>74</w:t>
            </w:r>
            <w:r>
              <w:rPr>
                <w:spacing w:val="-10"/>
                <w:sz w:val="18"/>
              </w:rPr>
              <w:t> </w:t>
            </w:r>
            <w:r>
              <w:rPr>
                <w:spacing w:val="-2"/>
                <w:sz w:val="18"/>
              </w:rPr>
              <w:t>iterations</w:t>
            </w:r>
          </w:p>
        </w:tc>
      </w:tr>
      <w:tr>
        <w:trPr>
          <w:trHeight w:val="302" w:hRule="atLeast"/>
        </w:trPr>
        <w:tc>
          <w:tcPr>
            <w:tcW w:w="6530" w:type="dxa"/>
            <w:gridSpan w:val="5"/>
            <w:tcBorders>
              <w:bottom w:val="double" w:sz="6" w:space="0" w:color="000000"/>
            </w:tcBorders>
          </w:tcPr>
          <w:p>
            <w:pPr>
              <w:pStyle w:val="TableParagraph"/>
              <w:spacing w:before="5"/>
              <w:rPr>
                <w:sz w:val="18"/>
              </w:rPr>
            </w:pPr>
            <w:r>
              <w:rPr>
                <w:sz w:val="18"/>
              </w:rPr>
              <w:t>Coefficient</w:t>
            </w:r>
            <w:r>
              <w:rPr>
                <w:spacing w:val="-10"/>
                <w:sz w:val="18"/>
              </w:rPr>
              <w:t> </w:t>
            </w:r>
            <w:r>
              <w:rPr>
                <w:sz w:val="18"/>
              </w:rPr>
              <w:t>covariance</w:t>
            </w:r>
            <w:r>
              <w:rPr>
                <w:spacing w:val="-11"/>
                <w:sz w:val="18"/>
              </w:rPr>
              <w:t> </w:t>
            </w:r>
            <w:r>
              <w:rPr>
                <w:sz w:val="18"/>
              </w:rPr>
              <w:t>computed</w:t>
            </w:r>
            <w:r>
              <w:rPr>
                <w:spacing w:val="-9"/>
                <w:sz w:val="18"/>
              </w:rPr>
              <w:t> </w:t>
            </w:r>
            <w:r>
              <w:rPr>
                <w:sz w:val="18"/>
              </w:rPr>
              <w:t>using</w:t>
            </w:r>
            <w:r>
              <w:rPr>
                <w:spacing w:val="-11"/>
                <w:sz w:val="18"/>
              </w:rPr>
              <w:t> </w:t>
            </w:r>
            <w:r>
              <w:rPr>
                <w:sz w:val="18"/>
              </w:rPr>
              <w:t>outer</w:t>
            </w:r>
            <w:r>
              <w:rPr>
                <w:spacing w:val="-10"/>
                <w:sz w:val="18"/>
              </w:rPr>
              <w:t> </w:t>
            </w:r>
            <w:r>
              <w:rPr>
                <w:sz w:val="18"/>
              </w:rPr>
              <w:t>product</w:t>
            </w:r>
            <w:r>
              <w:rPr>
                <w:spacing w:val="-9"/>
                <w:sz w:val="18"/>
              </w:rPr>
              <w:t> </w:t>
            </w:r>
            <w:r>
              <w:rPr>
                <w:sz w:val="18"/>
              </w:rPr>
              <w:t>of</w:t>
            </w:r>
            <w:r>
              <w:rPr>
                <w:spacing w:val="-11"/>
                <w:sz w:val="18"/>
              </w:rPr>
              <w:t> </w:t>
            </w:r>
            <w:r>
              <w:rPr>
                <w:spacing w:val="-2"/>
                <w:sz w:val="18"/>
              </w:rPr>
              <w:t>gradients</w:t>
            </w:r>
          </w:p>
        </w:tc>
      </w:tr>
      <w:tr>
        <w:trPr>
          <w:trHeight w:val="403" w:hRule="atLeast"/>
        </w:trPr>
        <w:tc>
          <w:tcPr>
            <w:tcW w:w="1925" w:type="dxa"/>
            <w:tcBorders>
              <w:top w:val="double" w:sz="6" w:space="0" w:color="000000"/>
              <w:bottom w:val="double" w:sz="6" w:space="0" w:color="000000"/>
            </w:tcBorders>
          </w:tcPr>
          <w:p>
            <w:pPr>
              <w:pStyle w:val="TableParagraph"/>
              <w:spacing w:before="108"/>
              <w:ind w:left="676"/>
              <w:rPr>
                <w:sz w:val="18"/>
              </w:rPr>
            </w:pPr>
            <w:r>
              <w:rPr>
                <w:spacing w:val="-2"/>
                <w:sz w:val="18"/>
              </w:rPr>
              <w:t>Variable</w:t>
            </w:r>
          </w:p>
        </w:tc>
        <w:tc>
          <w:tcPr>
            <w:tcW w:w="1290" w:type="dxa"/>
            <w:tcBorders>
              <w:top w:val="double" w:sz="6" w:space="0" w:color="000000"/>
              <w:bottom w:val="double" w:sz="6" w:space="0" w:color="000000"/>
            </w:tcBorders>
          </w:tcPr>
          <w:p>
            <w:pPr>
              <w:pStyle w:val="TableParagraph"/>
              <w:spacing w:before="108"/>
              <w:ind w:left="333"/>
              <w:rPr>
                <w:sz w:val="18"/>
              </w:rPr>
            </w:pPr>
            <w:r>
              <w:rPr>
                <w:spacing w:val="-2"/>
                <w:sz w:val="18"/>
              </w:rPr>
              <w:t>Coefficient</w:t>
            </w:r>
          </w:p>
        </w:tc>
        <w:tc>
          <w:tcPr>
            <w:tcW w:w="1491" w:type="dxa"/>
            <w:tcBorders>
              <w:top w:val="double" w:sz="6" w:space="0" w:color="000000"/>
              <w:bottom w:val="double" w:sz="6" w:space="0" w:color="000000"/>
            </w:tcBorders>
          </w:tcPr>
          <w:p>
            <w:pPr>
              <w:pStyle w:val="TableParagraph"/>
              <w:spacing w:before="108"/>
              <w:ind w:left="332"/>
              <w:rPr>
                <w:sz w:val="18"/>
              </w:rPr>
            </w:pPr>
            <w:r>
              <w:rPr>
                <w:sz w:val="18"/>
              </w:rPr>
              <w:t>Std.</w:t>
            </w:r>
            <w:r>
              <w:rPr>
                <w:spacing w:val="-2"/>
                <w:sz w:val="18"/>
              </w:rPr>
              <w:t> Error</w:t>
            </w:r>
          </w:p>
        </w:tc>
        <w:tc>
          <w:tcPr>
            <w:tcW w:w="940" w:type="dxa"/>
            <w:tcBorders>
              <w:top w:val="double" w:sz="6" w:space="0" w:color="000000"/>
              <w:bottom w:val="double" w:sz="6" w:space="0" w:color="000000"/>
            </w:tcBorders>
          </w:tcPr>
          <w:p>
            <w:pPr>
              <w:pStyle w:val="TableParagraph"/>
              <w:spacing w:before="108"/>
              <w:ind w:right="120"/>
              <w:jc w:val="right"/>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8"/>
              <w:ind w:left="345"/>
              <w:rPr>
                <w:sz w:val="18"/>
              </w:rPr>
            </w:pPr>
            <w:r>
              <w:rPr>
                <w:spacing w:val="-2"/>
                <w:sz w:val="18"/>
              </w:rPr>
              <w:t>Prob.</w:t>
            </w:r>
          </w:p>
        </w:tc>
      </w:tr>
      <w:tr>
        <w:trPr>
          <w:trHeight w:val="328" w:hRule="atLeast"/>
        </w:trPr>
        <w:tc>
          <w:tcPr>
            <w:tcW w:w="1925" w:type="dxa"/>
            <w:tcBorders>
              <w:top w:val="double" w:sz="6" w:space="0" w:color="000000"/>
            </w:tcBorders>
          </w:tcPr>
          <w:p>
            <w:pPr>
              <w:pStyle w:val="TableParagraph"/>
              <w:spacing w:line="200" w:lineRule="exact" w:before="108"/>
              <w:ind w:left="92" w:right="1"/>
              <w:jc w:val="center"/>
              <w:rPr>
                <w:sz w:val="18"/>
              </w:rPr>
            </w:pPr>
            <w:r>
              <w:rPr>
                <w:spacing w:val="-10"/>
                <w:sz w:val="18"/>
              </w:rPr>
              <w:t>C</w:t>
            </w:r>
          </w:p>
        </w:tc>
        <w:tc>
          <w:tcPr>
            <w:tcW w:w="1290" w:type="dxa"/>
            <w:tcBorders>
              <w:top w:val="double" w:sz="6" w:space="0" w:color="000000"/>
            </w:tcBorders>
          </w:tcPr>
          <w:p>
            <w:pPr>
              <w:pStyle w:val="TableParagraph"/>
              <w:spacing w:line="200" w:lineRule="exact" w:before="108"/>
              <w:ind w:left="432"/>
              <w:rPr>
                <w:sz w:val="18"/>
              </w:rPr>
            </w:pPr>
            <w:r>
              <w:rPr>
                <w:spacing w:val="-2"/>
                <w:sz w:val="18"/>
              </w:rPr>
              <w:t>14.67462</w:t>
            </w:r>
          </w:p>
        </w:tc>
        <w:tc>
          <w:tcPr>
            <w:tcW w:w="1491" w:type="dxa"/>
            <w:tcBorders>
              <w:top w:val="double" w:sz="6" w:space="0" w:color="000000"/>
            </w:tcBorders>
          </w:tcPr>
          <w:p>
            <w:pPr>
              <w:pStyle w:val="TableParagraph"/>
              <w:spacing w:line="200" w:lineRule="exact" w:before="108"/>
              <w:ind w:left="351"/>
              <w:rPr>
                <w:sz w:val="18"/>
              </w:rPr>
            </w:pPr>
            <w:r>
              <w:rPr>
                <w:spacing w:val="-2"/>
                <w:sz w:val="18"/>
              </w:rPr>
              <w:t>105.2133</w:t>
            </w:r>
          </w:p>
        </w:tc>
        <w:tc>
          <w:tcPr>
            <w:tcW w:w="940" w:type="dxa"/>
            <w:tcBorders>
              <w:top w:val="double" w:sz="6" w:space="0" w:color="000000"/>
            </w:tcBorders>
          </w:tcPr>
          <w:p>
            <w:pPr>
              <w:pStyle w:val="TableParagraph"/>
              <w:spacing w:line="200" w:lineRule="exact" w:before="108"/>
              <w:ind w:right="119"/>
              <w:jc w:val="right"/>
              <w:rPr>
                <w:sz w:val="18"/>
              </w:rPr>
            </w:pPr>
            <w:r>
              <w:rPr>
                <w:spacing w:val="-2"/>
                <w:sz w:val="18"/>
              </w:rPr>
              <w:t>0.139475</w:t>
            </w:r>
          </w:p>
        </w:tc>
        <w:tc>
          <w:tcPr>
            <w:tcW w:w="884" w:type="dxa"/>
            <w:tcBorders>
              <w:top w:val="double" w:sz="6" w:space="0" w:color="000000"/>
            </w:tcBorders>
          </w:tcPr>
          <w:p>
            <w:pPr>
              <w:pStyle w:val="TableParagraph"/>
              <w:spacing w:line="200" w:lineRule="exact" w:before="108"/>
              <w:ind w:right="5"/>
              <w:jc w:val="right"/>
              <w:rPr>
                <w:sz w:val="18"/>
              </w:rPr>
            </w:pPr>
            <w:r>
              <w:rPr>
                <w:spacing w:val="-2"/>
                <w:sz w:val="18"/>
              </w:rPr>
              <w:t>0.8892</w:t>
            </w:r>
          </w:p>
        </w:tc>
      </w:tr>
      <w:tr>
        <w:trPr>
          <w:trHeight w:val="225" w:hRule="atLeast"/>
        </w:trPr>
        <w:tc>
          <w:tcPr>
            <w:tcW w:w="1925" w:type="dxa"/>
          </w:tcPr>
          <w:p>
            <w:pPr>
              <w:pStyle w:val="TableParagraph"/>
              <w:spacing w:line="199" w:lineRule="exact" w:before="6"/>
              <w:ind w:left="92"/>
              <w:jc w:val="center"/>
              <w:rPr>
                <w:sz w:val="18"/>
              </w:rPr>
            </w:pPr>
            <w:r>
              <w:rPr>
                <w:spacing w:val="-5"/>
                <w:sz w:val="18"/>
              </w:rPr>
              <w:t>TG</w:t>
            </w:r>
          </w:p>
        </w:tc>
        <w:tc>
          <w:tcPr>
            <w:tcW w:w="1290" w:type="dxa"/>
          </w:tcPr>
          <w:p>
            <w:pPr>
              <w:pStyle w:val="TableParagraph"/>
              <w:spacing w:line="199" w:lineRule="exact" w:before="6"/>
              <w:ind w:left="372"/>
              <w:rPr>
                <w:sz w:val="18"/>
              </w:rPr>
            </w:pPr>
            <w:r>
              <w:rPr>
                <w:spacing w:val="-2"/>
                <w:sz w:val="18"/>
              </w:rPr>
              <w:t>-1.426635</w:t>
            </w:r>
          </w:p>
        </w:tc>
        <w:tc>
          <w:tcPr>
            <w:tcW w:w="1491" w:type="dxa"/>
          </w:tcPr>
          <w:p>
            <w:pPr>
              <w:pStyle w:val="TableParagraph"/>
              <w:spacing w:line="199" w:lineRule="exact" w:before="6"/>
              <w:ind w:left="351"/>
              <w:rPr>
                <w:sz w:val="18"/>
              </w:rPr>
            </w:pPr>
            <w:r>
              <w:rPr>
                <w:spacing w:val="-2"/>
                <w:sz w:val="18"/>
              </w:rPr>
              <w:t>103.9476</w:t>
            </w:r>
          </w:p>
        </w:tc>
        <w:tc>
          <w:tcPr>
            <w:tcW w:w="940" w:type="dxa"/>
          </w:tcPr>
          <w:p>
            <w:pPr>
              <w:pStyle w:val="TableParagraph"/>
              <w:spacing w:line="199" w:lineRule="exact" w:before="6"/>
              <w:ind w:right="119"/>
              <w:jc w:val="right"/>
              <w:rPr>
                <w:sz w:val="18"/>
              </w:rPr>
            </w:pPr>
            <w:r>
              <w:rPr>
                <w:spacing w:val="-2"/>
                <w:sz w:val="18"/>
              </w:rPr>
              <w:t>-0.013725</w:t>
            </w:r>
          </w:p>
        </w:tc>
        <w:tc>
          <w:tcPr>
            <w:tcW w:w="884" w:type="dxa"/>
          </w:tcPr>
          <w:p>
            <w:pPr>
              <w:pStyle w:val="TableParagraph"/>
              <w:spacing w:line="199" w:lineRule="exact" w:before="6"/>
              <w:ind w:right="5"/>
              <w:jc w:val="right"/>
              <w:rPr>
                <w:sz w:val="18"/>
              </w:rPr>
            </w:pPr>
            <w:r>
              <w:rPr>
                <w:spacing w:val="-2"/>
                <w:sz w:val="18"/>
              </w:rPr>
              <w:t>0.9891</w:t>
            </w:r>
          </w:p>
        </w:tc>
      </w:tr>
      <w:tr>
        <w:trPr>
          <w:trHeight w:val="225" w:hRule="atLeast"/>
        </w:trPr>
        <w:tc>
          <w:tcPr>
            <w:tcW w:w="1925" w:type="dxa"/>
          </w:tcPr>
          <w:p>
            <w:pPr>
              <w:pStyle w:val="TableParagraph"/>
              <w:spacing w:line="199" w:lineRule="exact" w:before="6"/>
              <w:ind w:left="92" w:right="4"/>
              <w:jc w:val="center"/>
              <w:rPr>
                <w:sz w:val="18"/>
              </w:rPr>
            </w:pPr>
            <w:r>
              <w:rPr>
                <w:spacing w:val="-4"/>
                <w:sz w:val="18"/>
              </w:rPr>
              <w:t>IFRS</w:t>
            </w:r>
          </w:p>
        </w:tc>
        <w:tc>
          <w:tcPr>
            <w:tcW w:w="1290" w:type="dxa"/>
          </w:tcPr>
          <w:p>
            <w:pPr>
              <w:pStyle w:val="TableParagraph"/>
              <w:spacing w:line="199" w:lineRule="exact" w:before="6"/>
              <w:ind w:left="372"/>
              <w:rPr>
                <w:sz w:val="18"/>
              </w:rPr>
            </w:pPr>
            <w:r>
              <w:rPr>
                <w:spacing w:val="-2"/>
                <w:sz w:val="18"/>
              </w:rPr>
              <w:t>-10.57701</w:t>
            </w:r>
          </w:p>
        </w:tc>
        <w:tc>
          <w:tcPr>
            <w:tcW w:w="1491" w:type="dxa"/>
          </w:tcPr>
          <w:p>
            <w:pPr>
              <w:pStyle w:val="TableParagraph"/>
              <w:spacing w:line="199" w:lineRule="exact" w:before="6"/>
              <w:ind w:left="351"/>
              <w:rPr>
                <w:sz w:val="18"/>
              </w:rPr>
            </w:pPr>
            <w:r>
              <w:rPr>
                <w:spacing w:val="-2"/>
                <w:sz w:val="18"/>
              </w:rPr>
              <w:t>104.0533</w:t>
            </w:r>
          </w:p>
        </w:tc>
        <w:tc>
          <w:tcPr>
            <w:tcW w:w="940" w:type="dxa"/>
          </w:tcPr>
          <w:p>
            <w:pPr>
              <w:pStyle w:val="TableParagraph"/>
              <w:spacing w:line="199" w:lineRule="exact" w:before="6"/>
              <w:ind w:right="119"/>
              <w:jc w:val="right"/>
              <w:rPr>
                <w:sz w:val="18"/>
              </w:rPr>
            </w:pPr>
            <w:r>
              <w:rPr>
                <w:spacing w:val="-2"/>
                <w:sz w:val="18"/>
              </w:rPr>
              <w:t>-0.101650</w:t>
            </w:r>
          </w:p>
        </w:tc>
        <w:tc>
          <w:tcPr>
            <w:tcW w:w="884" w:type="dxa"/>
          </w:tcPr>
          <w:p>
            <w:pPr>
              <w:pStyle w:val="TableParagraph"/>
              <w:spacing w:line="199" w:lineRule="exact" w:before="6"/>
              <w:ind w:right="5"/>
              <w:jc w:val="right"/>
              <w:rPr>
                <w:sz w:val="18"/>
              </w:rPr>
            </w:pPr>
            <w:r>
              <w:rPr>
                <w:spacing w:val="-2"/>
                <w:sz w:val="18"/>
              </w:rPr>
              <w:t>0.9191</w:t>
            </w:r>
          </w:p>
        </w:tc>
      </w:tr>
      <w:tr>
        <w:trPr>
          <w:trHeight w:val="224" w:hRule="atLeast"/>
        </w:trPr>
        <w:tc>
          <w:tcPr>
            <w:tcW w:w="1925" w:type="dxa"/>
          </w:tcPr>
          <w:p>
            <w:pPr>
              <w:pStyle w:val="TableParagraph"/>
              <w:spacing w:line="198" w:lineRule="exact" w:before="6"/>
              <w:ind w:left="643"/>
              <w:rPr>
                <w:sz w:val="18"/>
              </w:rPr>
            </w:pPr>
            <w:r>
              <w:rPr>
                <w:spacing w:val="-2"/>
                <w:sz w:val="18"/>
              </w:rPr>
              <w:t>IFRS*TG</w:t>
            </w:r>
          </w:p>
        </w:tc>
        <w:tc>
          <w:tcPr>
            <w:tcW w:w="1290" w:type="dxa"/>
          </w:tcPr>
          <w:p>
            <w:pPr>
              <w:pStyle w:val="TableParagraph"/>
              <w:spacing w:line="198" w:lineRule="exact" w:before="6"/>
              <w:ind w:left="372"/>
              <w:rPr>
                <w:sz w:val="18"/>
              </w:rPr>
            </w:pPr>
            <w:r>
              <w:rPr>
                <w:spacing w:val="-2"/>
                <w:sz w:val="18"/>
              </w:rPr>
              <w:t>-1.887698</w:t>
            </w:r>
          </w:p>
        </w:tc>
        <w:tc>
          <w:tcPr>
            <w:tcW w:w="1491" w:type="dxa"/>
          </w:tcPr>
          <w:p>
            <w:pPr>
              <w:pStyle w:val="TableParagraph"/>
              <w:spacing w:line="198" w:lineRule="exact" w:before="6"/>
              <w:ind w:left="351"/>
              <w:rPr>
                <w:sz w:val="18"/>
              </w:rPr>
            </w:pPr>
            <w:r>
              <w:rPr>
                <w:spacing w:val="-2"/>
                <w:sz w:val="18"/>
              </w:rPr>
              <w:t>109.0481</w:t>
            </w:r>
          </w:p>
        </w:tc>
        <w:tc>
          <w:tcPr>
            <w:tcW w:w="940" w:type="dxa"/>
          </w:tcPr>
          <w:p>
            <w:pPr>
              <w:pStyle w:val="TableParagraph"/>
              <w:spacing w:line="198" w:lineRule="exact" w:before="6"/>
              <w:ind w:right="119"/>
              <w:jc w:val="right"/>
              <w:rPr>
                <w:sz w:val="18"/>
              </w:rPr>
            </w:pPr>
            <w:r>
              <w:rPr>
                <w:spacing w:val="-2"/>
                <w:sz w:val="18"/>
              </w:rPr>
              <w:t>-0.017311</w:t>
            </w:r>
          </w:p>
        </w:tc>
        <w:tc>
          <w:tcPr>
            <w:tcW w:w="884" w:type="dxa"/>
          </w:tcPr>
          <w:p>
            <w:pPr>
              <w:pStyle w:val="TableParagraph"/>
              <w:spacing w:line="198" w:lineRule="exact" w:before="6"/>
              <w:ind w:right="5"/>
              <w:jc w:val="right"/>
              <w:rPr>
                <w:sz w:val="18"/>
              </w:rPr>
            </w:pPr>
            <w:r>
              <w:rPr>
                <w:spacing w:val="-2"/>
                <w:sz w:val="18"/>
              </w:rPr>
              <w:t>0.9862</w:t>
            </w:r>
          </w:p>
        </w:tc>
      </w:tr>
      <w:tr>
        <w:trPr>
          <w:trHeight w:val="224" w:hRule="atLeast"/>
        </w:trPr>
        <w:tc>
          <w:tcPr>
            <w:tcW w:w="1925" w:type="dxa"/>
          </w:tcPr>
          <w:p>
            <w:pPr>
              <w:pStyle w:val="TableParagraph"/>
              <w:spacing w:line="199" w:lineRule="exact" w:before="5"/>
              <w:ind w:left="676"/>
              <w:rPr>
                <w:sz w:val="18"/>
              </w:rPr>
            </w:pPr>
            <w:r>
              <w:rPr>
                <w:spacing w:val="-2"/>
                <w:sz w:val="18"/>
              </w:rPr>
              <w:t>BLOWN</w:t>
            </w:r>
          </w:p>
        </w:tc>
        <w:tc>
          <w:tcPr>
            <w:tcW w:w="1290" w:type="dxa"/>
          </w:tcPr>
          <w:p>
            <w:pPr>
              <w:pStyle w:val="TableParagraph"/>
              <w:spacing w:line="199" w:lineRule="exact" w:before="5"/>
              <w:ind w:left="372"/>
              <w:rPr>
                <w:sz w:val="18"/>
              </w:rPr>
            </w:pPr>
            <w:r>
              <w:rPr>
                <w:spacing w:val="-2"/>
                <w:sz w:val="18"/>
              </w:rPr>
              <w:t>-0.027525</w:t>
            </w:r>
          </w:p>
        </w:tc>
        <w:tc>
          <w:tcPr>
            <w:tcW w:w="1491" w:type="dxa"/>
          </w:tcPr>
          <w:p>
            <w:pPr>
              <w:pStyle w:val="TableParagraph"/>
              <w:spacing w:line="199" w:lineRule="exact" w:before="5"/>
              <w:ind w:left="351"/>
              <w:rPr>
                <w:sz w:val="18"/>
              </w:rPr>
            </w:pPr>
            <w:r>
              <w:rPr>
                <w:spacing w:val="-2"/>
                <w:sz w:val="18"/>
              </w:rPr>
              <w:t>0.061648</w:t>
            </w:r>
          </w:p>
        </w:tc>
        <w:tc>
          <w:tcPr>
            <w:tcW w:w="940" w:type="dxa"/>
          </w:tcPr>
          <w:p>
            <w:pPr>
              <w:pStyle w:val="TableParagraph"/>
              <w:spacing w:line="199" w:lineRule="exact" w:before="5"/>
              <w:ind w:right="119"/>
              <w:jc w:val="right"/>
              <w:rPr>
                <w:sz w:val="18"/>
              </w:rPr>
            </w:pPr>
            <w:r>
              <w:rPr>
                <w:spacing w:val="-2"/>
                <w:sz w:val="18"/>
              </w:rPr>
              <w:t>-0.446485</w:t>
            </w:r>
          </w:p>
        </w:tc>
        <w:tc>
          <w:tcPr>
            <w:tcW w:w="884" w:type="dxa"/>
          </w:tcPr>
          <w:p>
            <w:pPr>
              <w:pStyle w:val="TableParagraph"/>
              <w:spacing w:line="199" w:lineRule="exact" w:before="5"/>
              <w:ind w:right="5"/>
              <w:jc w:val="right"/>
              <w:rPr>
                <w:sz w:val="18"/>
              </w:rPr>
            </w:pPr>
            <w:r>
              <w:rPr>
                <w:spacing w:val="-2"/>
                <w:sz w:val="18"/>
              </w:rPr>
              <w:t>0.6558</w:t>
            </w:r>
          </w:p>
        </w:tc>
      </w:tr>
      <w:tr>
        <w:trPr>
          <w:trHeight w:val="225" w:hRule="atLeast"/>
        </w:trPr>
        <w:tc>
          <w:tcPr>
            <w:tcW w:w="1925" w:type="dxa"/>
          </w:tcPr>
          <w:p>
            <w:pPr>
              <w:pStyle w:val="TableParagraph"/>
              <w:spacing w:line="199" w:lineRule="exact" w:before="6"/>
              <w:ind w:left="92" w:right="4"/>
              <w:jc w:val="center"/>
              <w:rPr>
                <w:sz w:val="18"/>
              </w:rPr>
            </w:pPr>
            <w:r>
              <w:rPr>
                <w:spacing w:val="-4"/>
                <w:sz w:val="18"/>
              </w:rPr>
              <w:t>FOWN</w:t>
            </w:r>
          </w:p>
        </w:tc>
        <w:tc>
          <w:tcPr>
            <w:tcW w:w="1290" w:type="dxa"/>
          </w:tcPr>
          <w:p>
            <w:pPr>
              <w:pStyle w:val="TableParagraph"/>
              <w:spacing w:line="199" w:lineRule="exact" w:before="6"/>
              <w:ind w:left="432"/>
              <w:rPr>
                <w:sz w:val="18"/>
              </w:rPr>
            </w:pPr>
            <w:r>
              <w:rPr>
                <w:spacing w:val="-2"/>
                <w:sz w:val="18"/>
              </w:rPr>
              <w:t>0.034336</w:t>
            </w:r>
          </w:p>
        </w:tc>
        <w:tc>
          <w:tcPr>
            <w:tcW w:w="1491" w:type="dxa"/>
          </w:tcPr>
          <w:p>
            <w:pPr>
              <w:pStyle w:val="TableParagraph"/>
              <w:spacing w:line="199" w:lineRule="exact" w:before="6"/>
              <w:ind w:left="351"/>
              <w:rPr>
                <w:sz w:val="18"/>
              </w:rPr>
            </w:pPr>
            <w:r>
              <w:rPr>
                <w:spacing w:val="-2"/>
                <w:sz w:val="18"/>
              </w:rPr>
              <w:t>0.079654</w:t>
            </w:r>
          </w:p>
        </w:tc>
        <w:tc>
          <w:tcPr>
            <w:tcW w:w="940" w:type="dxa"/>
          </w:tcPr>
          <w:p>
            <w:pPr>
              <w:pStyle w:val="TableParagraph"/>
              <w:spacing w:line="199" w:lineRule="exact" w:before="6"/>
              <w:ind w:right="119"/>
              <w:jc w:val="right"/>
              <w:rPr>
                <w:sz w:val="18"/>
              </w:rPr>
            </w:pPr>
            <w:r>
              <w:rPr>
                <w:spacing w:val="-2"/>
                <w:sz w:val="18"/>
              </w:rPr>
              <w:t>0.431059</w:t>
            </w:r>
          </w:p>
        </w:tc>
        <w:tc>
          <w:tcPr>
            <w:tcW w:w="884" w:type="dxa"/>
          </w:tcPr>
          <w:p>
            <w:pPr>
              <w:pStyle w:val="TableParagraph"/>
              <w:spacing w:line="199" w:lineRule="exact" w:before="6"/>
              <w:ind w:right="5"/>
              <w:jc w:val="right"/>
              <w:rPr>
                <w:sz w:val="18"/>
              </w:rPr>
            </w:pPr>
            <w:r>
              <w:rPr>
                <w:spacing w:val="-2"/>
                <w:sz w:val="18"/>
              </w:rPr>
              <w:t>0.6669</w:t>
            </w:r>
          </w:p>
        </w:tc>
      </w:tr>
      <w:tr>
        <w:trPr>
          <w:trHeight w:val="225" w:hRule="atLeast"/>
        </w:trPr>
        <w:tc>
          <w:tcPr>
            <w:tcW w:w="1925" w:type="dxa"/>
          </w:tcPr>
          <w:p>
            <w:pPr>
              <w:pStyle w:val="TableParagraph"/>
              <w:spacing w:line="199" w:lineRule="exact" w:before="6"/>
              <w:ind w:left="583"/>
              <w:rPr>
                <w:sz w:val="18"/>
              </w:rPr>
            </w:pPr>
            <w:r>
              <w:rPr>
                <w:spacing w:val="-2"/>
                <w:sz w:val="18"/>
              </w:rPr>
              <w:t>INSTOWN</w:t>
            </w:r>
          </w:p>
        </w:tc>
        <w:tc>
          <w:tcPr>
            <w:tcW w:w="1290" w:type="dxa"/>
          </w:tcPr>
          <w:p>
            <w:pPr>
              <w:pStyle w:val="TableParagraph"/>
              <w:spacing w:line="199" w:lineRule="exact" w:before="6"/>
              <w:ind w:left="372"/>
              <w:rPr>
                <w:sz w:val="18"/>
              </w:rPr>
            </w:pPr>
            <w:r>
              <w:rPr>
                <w:spacing w:val="-2"/>
                <w:sz w:val="18"/>
              </w:rPr>
              <w:t>-0.040030</w:t>
            </w:r>
          </w:p>
        </w:tc>
        <w:tc>
          <w:tcPr>
            <w:tcW w:w="1491" w:type="dxa"/>
          </w:tcPr>
          <w:p>
            <w:pPr>
              <w:pStyle w:val="TableParagraph"/>
              <w:spacing w:line="199" w:lineRule="exact" w:before="6"/>
              <w:ind w:left="351"/>
              <w:rPr>
                <w:sz w:val="18"/>
              </w:rPr>
            </w:pPr>
            <w:r>
              <w:rPr>
                <w:spacing w:val="-2"/>
                <w:sz w:val="18"/>
              </w:rPr>
              <w:t>0.063112</w:t>
            </w:r>
          </w:p>
        </w:tc>
        <w:tc>
          <w:tcPr>
            <w:tcW w:w="940" w:type="dxa"/>
          </w:tcPr>
          <w:p>
            <w:pPr>
              <w:pStyle w:val="TableParagraph"/>
              <w:spacing w:line="199" w:lineRule="exact" w:before="6"/>
              <w:ind w:right="119"/>
              <w:jc w:val="right"/>
              <w:rPr>
                <w:sz w:val="18"/>
              </w:rPr>
            </w:pPr>
            <w:r>
              <w:rPr>
                <w:spacing w:val="-2"/>
                <w:sz w:val="18"/>
              </w:rPr>
              <w:t>-0.634265</w:t>
            </w:r>
          </w:p>
        </w:tc>
        <w:tc>
          <w:tcPr>
            <w:tcW w:w="884" w:type="dxa"/>
          </w:tcPr>
          <w:p>
            <w:pPr>
              <w:pStyle w:val="TableParagraph"/>
              <w:spacing w:line="199" w:lineRule="exact" w:before="6"/>
              <w:ind w:right="5"/>
              <w:jc w:val="right"/>
              <w:rPr>
                <w:sz w:val="18"/>
              </w:rPr>
            </w:pPr>
            <w:r>
              <w:rPr>
                <w:spacing w:val="-2"/>
                <w:sz w:val="18"/>
              </w:rPr>
              <w:t>0.5267</w:t>
            </w:r>
          </w:p>
        </w:tc>
      </w:tr>
      <w:tr>
        <w:trPr>
          <w:trHeight w:val="224" w:hRule="atLeast"/>
        </w:trPr>
        <w:tc>
          <w:tcPr>
            <w:tcW w:w="1925" w:type="dxa"/>
          </w:tcPr>
          <w:p>
            <w:pPr>
              <w:pStyle w:val="TableParagraph"/>
              <w:spacing w:line="198" w:lineRule="exact" w:before="6"/>
              <w:ind w:left="712"/>
              <w:rPr>
                <w:sz w:val="18"/>
              </w:rPr>
            </w:pPr>
            <w:r>
              <w:rPr>
                <w:spacing w:val="-4"/>
                <w:sz w:val="18"/>
              </w:rPr>
              <w:t>MOWN</w:t>
            </w:r>
          </w:p>
        </w:tc>
        <w:tc>
          <w:tcPr>
            <w:tcW w:w="1290" w:type="dxa"/>
          </w:tcPr>
          <w:p>
            <w:pPr>
              <w:pStyle w:val="TableParagraph"/>
              <w:spacing w:line="198" w:lineRule="exact" w:before="6"/>
              <w:ind w:left="432"/>
              <w:rPr>
                <w:sz w:val="18"/>
              </w:rPr>
            </w:pPr>
            <w:r>
              <w:rPr>
                <w:spacing w:val="-2"/>
                <w:sz w:val="18"/>
              </w:rPr>
              <w:t>0.004733</w:t>
            </w:r>
          </w:p>
        </w:tc>
        <w:tc>
          <w:tcPr>
            <w:tcW w:w="1491" w:type="dxa"/>
          </w:tcPr>
          <w:p>
            <w:pPr>
              <w:pStyle w:val="TableParagraph"/>
              <w:spacing w:line="198" w:lineRule="exact" w:before="6"/>
              <w:ind w:left="351"/>
              <w:rPr>
                <w:sz w:val="18"/>
              </w:rPr>
            </w:pPr>
            <w:r>
              <w:rPr>
                <w:spacing w:val="-2"/>
                <w:sz w:val="18"/>
              </w:rPr>
              <w:t>0.081751</w:t>
            </w:r>
          </w:p>
        </w:tc>
        <w:tc>
          <w:tcPr>
            <w:tcW w:w="940" w:type="dxa"/>
          </w:tcPr>
          <w:p>
            <w:pPr>
              <w:pStyle w:val="TableParagraph"/>
              <w:spacing w:line="198" w:lineRule="exact" w:before="6"/>
              <w:ind w:right="119"/>
              <w:jc w:val="right"/>
              <w:rPr>
                <w:sz w:val="18"/>
              </w:rPr>
            </w:pPr>
            <w:r>
              <w:rPr>
                <w:spacing w:val="-2"/>
                <w:sz w:val="18"/>
              </w:rPr>
              <w:t>0.057898</w:t>
            </w:r>
          </w:p>
        </w:tc>
        <w:tc>
          <w:tcPr>
            <w:tcW w:w="884" w:type="dxa"/>
          </w:tcPr>
          <w:p>
            <w:pPr>
              <w:pStyle w:val="TableParagraph"/>
              <w:spacing w:line="198" w:lineRule="exact" w:before="6"/>
              <w:ind w:right="5"/>
              <w:jc w:val="right"/>
              <w:rPr>
                <w:sz w:val="18"/>
              </w:rPr>
            </w:pPr>
            <w:r>
              <w:rPr>
                <w:spacing w:val="-2"/>
                <w:sz w:val="18"/>
              </w:rPr>
              <w:t>0.9539</w:t>
            </w:r>
          </w:p>
        </w:tc>
      </w:tr>
      <w:tr>
        <w:trPr>
          <w:trHeight w:val="224" w:hRule="atLeast"/>
        </w:trPr>
        <w:tc>
          <w:tcPr>
            <w:tcW w:w="1925" w:type="dxa"/>
          </w:tcPr>
          <w:p>
            <w:pPr>
              <w:pStyle w:val="TableParagraph"/>
              <w:spacing w:line="199" w:lineRule="exact" w:before="5"/>
              <w:ind w:left="92" w:right="1"/>
              <w:jc w:val="center"/>
              <w:rPr>
                <w:sz w:val="18"/>
              </w:rPr>
            </w:pPr>
            <w:r>
              <w:rPr>
                <w:spacing w:val="-4"/>
                <w:sz w:val="18"/>
              </w:rPr>
              <w:t>FAGE</w:t>
            </w:r>
          </w:p>
        </w:tc>
        <w:tc>
          <w:tcPr>
            <w:tcW w:w="1290" w:type="dxa"/>
          </w:tcPr>
          <w:p>
            <w:pPr>
              <w:pStyle w:val="TableParagraph"/>
              <w:spacing w:line="199" w:lineRule="exact" w:before="5"/>
              <w:ind w:left="372"/>
              <w:rPr>
                <w:sz w:val="18"/>
              </w:rPr>
            </w:pPr>
            <w:r>
              <w:rPr>
                <w:spacing w:val="-2"/>
                <w:sz w:val="18"/>
              </w:rPr>
              <w:t>-0.001931</w:t>
            </w:r>
          </w:p>
        </w:tc>
        <w:tc>
          <w:tcPr>
            <w:tcW w:w="1491" w:type="dxa"/>
          </w:tcPr>
          <w:p>
            <w:pPr>
              <w:pStyle w:val="TableParagraph"/>
              <w:spacing w:line="199" w:lineRule="exact" w:before="5"/>
              <w:ind w:left="351"/>
              <w:rPr>
                <w:sz w:val="18"/>
              </w:rPr>
            </w:pPr>
            <w:r>
              <w:rPr>
                <w:spacing w:val="-2"/>
                <w:sz w:val="18"/>
              </w:rPr>
              <w:t>0.171157</w:t>
            </w:r>
          </w:p>
        </w:tc>
        <w:tc>
          <w:tcPr>
            <w:tcW w:w="940" w:type="dxa"/>
          </w:tcPr>
          <w:p>
            <w:pPr>
              <w:pStyle w:val="TableParagraph"/>
              <w:spacing w:line="199" w:lineRule="exact" w:before="5"/>
              <w:ind w:right="119"/>
              <w:jc w:val="right"/>
              <w:rPr>
                <w:sz w:val="18"/>
              </w:rPr>
            </w:pPr>
            <w:r>
              <w:rPr>
                <w:spacing w:val="-2"/>
                <w:sz w:val="18"/>
              </w:rPr>
              <w:t>-0.011283</w:t>
            </w:r>
          </w:p>
        </w:tc>
        <w:tc>
          <w:tcPr>
            <w:tcW w:w="884" w:type="dxa"/>
          </w:tcPr>
          <w:p>
            <w:pPr>
              <w:pStyle w:val="TableParagraph"/>
              <w:spacing w:line="199" w:lineRule="exact" w:before="5"/>
              <w:ind w:right="5"/>
              <w:jc w:val="right"/>
              <w:rPr>
                <w:sz w:val="18"/>
              </w:rPr>
            </w:pPr>
            <w:r>
              <w:rPr>
                <w:spacing w:val="-2"/>
                <w:sz w:val="18"/>
              </w:rPr>
              <w:t>0.9910</w:t>
            </w:r>
          </w:p>
        </w:tc>
      </w:tr>
      <w:tr>
        <w:trPr>
          <w:trHeight w:val="225" w:hRule="atLeast"/>
        </w:trPr>
        <w:tc>
          <w:tcPr>
            <w:tcW w:w="1925" w:type="dxa"/>
          </w:tcPr>
          <w:p>
            <w:pPr>
              <w:pStyle w:val="TableParagraph"/>
              <w:spacing w:line="199" w:lineRule="exact" w:before="6"/>
              <w:ind w:left="92" w:right="5"/>
              <w:jc w:val="center"/>
              <w:rPr>
                <w:sz w:val="18"/>
              </w:rPr>
            </w:pPr>
            <w:r>
              <w:rPr>
                <w:spacing w:val="-2"/>
                <w:sz w:val="18"/>
              </w:rPr>
              <w:t>FSIZE</w:t>
            </w:r>
          </w:p>
        </w:tc>
        <w:tc>
          <w:tcPr>
            <w:tcW w:w="1290" w:type="dxa"/>
          </w:tcPr>
          <w:p>
            <w:pPr>
              <w:pStyle w:val="TableParagraph"/>
              <w:spacing w:line="199" w:lineRule="exact" w:before="6"/>
              <w:ind w:left="432"/>
              <w:rPr>
                <w:sz w:val="18"/>
              </w:rPr>
            </w:pPr>
            <w:r>
              <w:rPr>
                <w:spacing w:val="-2"/>
                <w:sz w:val="18"/>
              </w:rPr>
              <w:t>0.363443</w:t>
            </w:r>
          </w:p>
        </w:tc>
        <w:tc>
          <w:tcPr>
            <w:tcW w:w="1491" w:type="dxa"/>
          </w:tcPr>
          <w:p>
            <w:pPr>
              <w:pStyle w:val="TableParagraph"/>
              <w:spacing w:line="199" w:lineRule="exact" w:before="6"/>
              <w:ind w:left="351"/>
              <w:rPr>
                <w:sz w:val="18"/>
              </w:rPr>
            </w:pPr>
            <w:r>
              <w:rPr>
                <w:spacing w:val="-2"/>
                <w:sz w:val="18"/>
              </w:rPr>
              <w:t>2.016818</w:t>
            </w:r>
          </w:p>
        </w:tc>
        <w:tc>
          <w:tcPr>
            <w:tcW w:w="940" w:type="dxa"/>
          </w:tcPr>
          <w:p>
            <w:pPr>
              <w:pStyle w:val="TableParagraph"/>
              <w:spacing w:line="199" w:lineRule="exact" w:before="6"/>
              <w:ind w:right="119"/>
              <w:jc w:val="right"/>
              <w:rPr>
                <w:sz w:val="18"/>
              </w:rPr>
            </w:pPr>
            <w:r>
              <w:rPr>
                <w:spacing w:val="-2"/>
                <w:sz w:val="18"/>
              </w:rPr>
              <w:t>0.180206</w:t>
            </w:r>
          </w:p>
        </w:tc>
        <w:tc>
          <w:tcPr>
            <w:tcW w:w="884" w:type="dxa"/>
          </w:tcPr>
          <w:p>
            <w:pPr>
              <w:pStyle w:val="TableParagraph"/>
              <w:spacing w:line="199" w:lineRule="exact" w:before="6"/>
              <w:ind w:right="5"/>
              <w:jc w:val="right"/>
              <w:rPr>
                <w:sz w:val="18"/>
              </w:rPr>
            </w:pPr>
            <w:r>
              <w:rPr>
                <w:spacing w:val="-2"/>
                <w:sz w:val="18"/>
              </w:rPr>
              <w:t>0.8572</w:t>
            </w:r>
          </w:p>
        </w:tc>
      </w:tr>
      <w:tr>
        <w:trPr>
          <w:trHeight w:val="225" w:hRule="atLeast"/>
        </w:trPr>
        <w:tc>
          <w:tcPr>
            <w:tcW w:w="1925" w:type="dxa"/>
          </w:tcPr>
          <w:p>
            <w:pPr>
              <w:pStyle w:val="TableParagraph"/>
              <w:spacing w:line="199" w:lineRule="exact" w:before="6"/>
              <w:ind w:left="523"/>
              <w:rPr>
                <w:sz w:val="18"/>
              </w:rPr>
            </w:pPr>
            <w:r>
              <w:rPr>
                <w:spacing w:val="-2"/>
                <w:sz w:val="18"/>
              </w:rPr>
              <w:t>LEVERAGE</w:t>
            </w:r>
          </w:p>
        </w:tc>
        <w:tc>
          <w:tcPr>
            <w:tcW w:w="1290" w:type="dxa"/>
          </w:tcPr>
          <w:p>
            <w:pPr>
              <w:pStyle w:val="TableParagraph"/>
              <w:spacing w:line="199" w:lineRule="exact" w:before="6"/>
              <w:ind w:left="372"/>
              <w:rPr>
                <w:sz w:val="18"/>
              </w:rPr>
            </w:pPr>
            <w:r>
              <w:rPr>
                <w:spacing w:val="-2"/>
                <w:sz w:val="18"/>
              </w:rPr>
              <w:t>-0.449683</w:t>
            </w:r>
          </w:p>
        </w:tc>
        <w:tc>
          <w:tcPr>
            <w:tcW w:w="1491" w:type="dxa"/>
          </w:tcPr>
          <w:p>
            <w:pPr>
              <w:pStyle w:val="TableParagraph"/>
              <w:spacing w:line="199" w:lineRule="exact" w:before="6"/>
              <w:ind w:left="351"/>
              <w:rPr>
                <w:sz w:val="18"/>
              </w:rPr>
            </w:pPr>
            <w:r>
              <w:rPr>
                <w:spacing w:val="-2"/>
                <w:sz w:val="18"/>
              </w:rPr>
              <w:t>1.954188</w:t>
            </w:r>
          </w:p>
        </w:tc>
        <w:tc>
          <w:tcPr>
            <w:tcW w:w="940" w:type="dxa"/>
          </w:tcPr>
          <w:p>
            <w:pPr>
              <w:pStyle w:val="TableParagraph"/>
              <w:spacing w:line="199" w:lineRule="exact" w:before="6"/>
              <w:ind w:right="119"/>
              <w:jc w:val="right"/>
              <w:rPr>
                <w:sz w:val="18"/>
              </w:rPr>
            </w:pPr>
            <w:r>
              <w:rPr>
                <w:spacing w:val="-2"/>
                <w:sz w:val="18"/>
              </w:rPr>
              <w:t>-0.230112</w:t>
            </w:r>
          </w:p>
        </w:tc>
        <w:tc>
          <w:tcPr>
            <w:tcW w:w="884" w:type="dxa"/>
          </w:tcPr>
          <w:p>
            <w:pPr>
              <w:pStyle w:val="TableParagraph"/>
              <w:spacing w:line="199" w:lineRule="exact" w:before="6"/>
              <w:ind w:right="5"/>
              <w:jc w:val="right"/>
              <w:rPr>
                <w:sz w:val="18"/>
              </w:rPr>
            </w:pPr>
            <w:r>
              <w:rPr>
                <w:spacing w:val="-2"/>
                <w:sz w:val="18"/>
              </w:rPr>
              <w:t>0.8183</w:t>
            </w:r>
          </w:p>
        </w:tc>
      </w:tr>
      <w:tr>
        <w:trPr>
          <w:trHeight w:val="224" w:hRule="atLeast"/>
        </w:trPr>
        <w:tc>
          <w:tcPr>
            <w:tcW w:w="1925" w:type="dxa"/>
          </w:tcPr>
          <w:p>
            <w:pPr>
              <w:pStyle w:val="TableParagraph"/>
              <w:spacing w:line="198" w:lineRule="exact" w:before="6"/>
              <w:ind w:left="92" w:right="2"/>
              <w:jc w:val="center"/>
              <w:rPr>
                <w:sz w:val="18"/>
              </w:rPr>
            </w:pPr>
            <w:r>
              <w:rPr>
                <w:spacing w:val="-2"/>
                <w:sz w:val="18"/>
              </w:rPr>
              <w:t>AR(1)</w:t>
            </w:r>
          </w:p>
        </w:tc>
        <w:tc>
          <w:tcPr>
            <w:tcW w:w="1290" w:type="dxa"/>
          </w:tcPr>
          <w:p>
            <w:pPr>
              <w:pStyle w:val="TableParagraph"/>
              <w:spacing w:line="198" w:lineRule="exact" w:before="6"/>
              <w:ind w:left="432"/>
              <w:rPr>
                <w:sz w:val="18"/>
              </w:rPr>
            </w:pPr>
            <w:r>
              <w:rPr>
                <w:spacing w:val="-2"/>
                <w:sz w:val="18"/>
              </w:rPr>
              <w:t>0.738446</w:t>
            </w:r>
          </w:p>
        </w:tc>
        <w:tc>
          <w:tcPr>
            <w:tcW w:w="1491" w:type="dxa"/>
          </w:tcPr>
          <w:p>
            <w:pPr>
              <w:pStyle w:val="TableParagraph"/>
              <w:spacing w:line="198" w:lineRule="exact" w:before="6"/>
              <w:ind w:left="351"/>
              <w:rPr>
                <w:sz w:val="18"/>
              </w:rPr>
            </w:pPr>
            <w:r>
              <w:rPr>
                <w:spacing w:val="-2"/>
                <w:sz w:val="18"/>
              </w:rPr>
              <w:t>0.052258</w:t>
            </w:r>
          </w:p>
        </w:tc>
        <w:tc>
          <w:tcPr>
            <w:tcW w:w="940" w:type="dxa"/>
          </w:tcPr>
          <w:p>
            <w:pPr>
              <w:pStyle w:val="TableParagraph"/>
              <w:spacing w:line="198" w:lineRule="exact" w:before="6"/>
              <w:ind w:right="119"/>
              <w:jc w:val="right"/>
              <w:rPr>
                <w:sz w:val="18"/>
              </w:rPr>
            </w:pPr>
            <w:r>
              <w:rPr>
                <w:spacing w:val="-2"/>
                <w:sz w:val="18"/>
              </w:rPr>
              <w:t>14.13073</w:t>
            </w:r>
          </w:p>
        </w:tc>
        <w:tc>
          <w:tcPr>
            <w:tcW w:w="884" w:type="dxa"/>
          </w:tcPr>
          <w:p>
            <w:pPr>
              <w:pStyle w:val="TableParagraph"/>
              <w:spacing w:line="198" w:lineRule="exact" w:before="6"/>
              <w:ind w:right="5"/>
              <w:jc w:val="right"/>
              <w:rPr>
                <w:sz w:val="18"/>
              </w:rPr>
            </w:pPr>
            <w:r>
              <w:rPr>
                <w:spacing w:val="-2"/>
                <w:sz w:val="18"/>
              </w:rPr>
              <w:t>0.0000</w:t>
            </w:r>
          </w:p>
        </w:tc>
      </w:tr>
      <w:tr>
        <w:trPr>
          <w:trHeight w:val="302" w:hRule="atLeast"/>
        </w:trPr>
        <w:tc>
          <w:tcPr>
            <w:tcW w:w="1925" w:type="dxa"/>
            <w:tcBorders>
              <w:bottom w:val="double" w:sz="6" w:space="0" w:color="000000"/>
            </w:tcBorders>
          </w:tcPr>
          <w:p>
            <w:pPr>
              <w:pStyle w:val="TableParagraph"/>
              <w:spacing w:before="5"/>
              <w:ind w:left="587"/>
              <w:rPr>
                <w:sz w:val="18"/>
              </w:rPr>
            </w:pPr>
            <w:r>
              <w:rPr>
                <w:spacing w:val="-2"/>
                <w:sz w:val="18"/>
              </w:rPr>
              <w:t>SIGMASQ</w:t>
            </w:r>
          </w:p>
        </w:tc>
        <w:tc>
          <w:tcPr>
            <w:tcW w:w="1290" w:type="dxa"/>
            <w:tcBorders>
              <w:bottom w:val="double" w:sz="6" w:space="0" w:color="000000"/>
            </w:tcBorders>
          </w:tcPr>
          <w:p>
            <w:pPr>
              <w:pStyle w:val="TableParagraph"/>
              <w:spacing w:before="5"/>
              <w:ind w:left="432"/>
              <w:rPr>
                <w:sz w:val="18"/>
              </w:rPr>
            </w:pPr>
            <w:r>
              <w:rPr>
                <w:spacing w:val="-2"/>
                <w:sz w:val="18"/>
              </w:rPr>
              <w:t>50.22450</w:t>
            </w:r>
          </w:p>
        </w:tc>
        <w:tc>
          <w:tcPr>
            <w:tcW w:w="1491" w:type="dxa"/>
            <w:tcBorders>
              <w:bottom w:val="double" w:sz="6" w:space="0" w:color="000000"/>
            </w:tcBorders>
          </w:tcPr>
          <w:p>
            <w:pPr>
              <w:pStyle w:val="TableParagraph"/>
              <w:spacing w:before="5"/>
              <w:ind w:left="351"/>
              <w:rPr>
                <w:sz w:val="18"/>
              </w:rPr>
            </w:pPr>
            <w:r>
              <w:rPr>
                <w:spacing w:val="-2"/>
                <w:sz w:val="18"/>
              </w:rPr>
              <w:t>4.140570</w:t>
            </w:r>
          </w:p>
        </w:tc>
        <w:tc>
          <w:tcPr>
            <w:tcW w:w="940" w:type="dxa"/>
            <w:tcBorders>
              <w:bottom w:val="double" w:sz="6" w:space="0" w:color="000000"/>
            </w:tcBorders>
          </w:tcPr>
          <w:p>
            <w:pPr>
              <w:pStyle w:val="TableParagraph"/>
              <w:spacing w:before="5"/>
              <w:ind w:right="119"/>
              <w:jc w:val="right"/>
              <w:rPr>
                <w:sz w:val="18"/>
              </w:rPr>
            </w:pPr>
            <w:r>
              <w:rPr>
                <w:spacing w:val="-2"/>
                <w:sz w:val="18"/>
              </w:rPr>
              <w:t>12.12985</w:t>
            </w:r>
          </w:p>
        </w:tc>
        <w:tc>
          <w:tcPr>
            <w:tcW w:w="884" w:type="dxa"/>
            <w:tcBorders>
              <w:bottom w:val="double" w:sz="6" w:space="0" w:color="000000"/>
            </w:tcBorders>
          </w:tcPr>
          <w:p>
            <w:pPr>
              <w:pStyle w:val="TableParagraph"/>
              <w:spacing w:before="5"/>
              <w:ind w:right="5"/>
              <w:jc w:val="right"/>
              <w:rPr>
                <w:sz w:val="18"/>
              </w:rPr>
            </w:pPr>
            <w:r>
              <w:rPr>
                <w:spacing w:val="-2"/>
                <w:sz w:val="18"/>
              </w:rPr>
              <w:t>0.0000</w:t>
            </w:r>
          </w:p>
        </w:tc>
      </w:tr>
      <w:tr>
        <w:trPr>
          <w:trHeight w:val="327" w:hRule="atLeast"/>
        </w:trPr>
        <w:tc>
          <w:tcPr>
            <w:tcW w:w="1925" w:type="dxa"/>
            <w:tcBorders>
              <w:top w:val="double" w:sz="6" w:space="0" w:color="000000"/>
            </w:tcBorders>
          </w:tcPr>
          <w:p>
            <w:pPr>
              <w:pStyle w:val="TableParagraph"/>
              <w:spacing w:line="199" w:lineRule="exact" w:before="108"/>
              <w:rPr>
                <w:sz w:val="18"/>
              </w:rPr>
            </w:pPr>
            <w:r>
              <w:rPr>
                <w:spacing w:val="-2"/>
                <w:sz w:val="18"/>
              </w:rPr>
              <w:t>R-squared</w:t>
            </w:r>
          </w:p>
        </w:tc>
        <w:tc>
          <w:tcPr>
            <w:tcW w:w="1290" w:type="dxa"/>
            <w:tcBorders>
              <w:top w:val="double" w:sz="6" w:space="0" w:color="000000"/>
            </w:tcBorders>
          </w:tcPr>
          <w:p>
            <w:pPr>
              <w:pStyle w:val="TableParagraph"/>
              <w:spacing w:line="199" w:lineRule="exact" w:before="108"/>
              <w:ind w:left="432"/>
              <w:rPr>
                <w:sz w:val="18"/>
              </w:rPr>
            </w:pPr>
            <w:r>
              <w:rPr>
                <w:spacing w:val="-2"/>
                <w:sz w:val="18"/>
              </w:rPr>
              <w:t>0.523436</w:t>
            </w:r>
          </w:p>
        </w:tc>
        <w:tc>
          <w:tcPr>
            <w:tcW w:w="2431" w:type="dxa"/>
            <w:gridSpan w:val="2"/>
            <w:tcBorders>
              <w:top w:val="double" w:sz="6" w:space="0" w:color="000000"/>
            </w:tcBorders>
          </w:tcPr>
          <w:p>
            <w:pPr>
              <w:pStyle w:val="TableParagraph"/>
              <w:spacing w:line="199" w:lineRule="exact" w:before="108"/>
              <w:ind w:left="107"/>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9" w:lineRule="exact" w:before="108"/>
              <w:ind w:right="5"/>
              <w:jc w:val="right"/>
              <w:rPr>
                <w:sz w:val="18"/>
              </w:rPr>
            </w:pPr>
            <w:r>
              <w:rPr>
                <w:spacing w:val="-2"/>
                <w:sz w:val="18"/>
              </w:rPr>
              <w:t>9.750667</w:t>
            </w:r>
          </w:p>
        </w:tc>
      </w:tr>
      <w:tr>
        <w:trPr>
          <w:trHeight w:val="224" w:hRule="atLeast"/>
        </w:trPr>
        <w:tc>
          <w:tcPr>
            <w:tcW w:w="1925" w:type="dxa"/>
          </w:tcPr>
          <w:p>
            <w:pPr>
              <w:pStyle w:val="TableParagraph"/>
              <w:spacing w:line="198" w:lineRule="exact" w:before="6"/>
              <w:rPr>
                <w:sz w:val="18"/>
              </w:rPr>
            </w:pPr>
            <w:r>
              <w:rPr>
                <w:sz w:val="18"/>
              </w:rPr>
              <w:t>Adjusted</w:t>
            </w:r>
            <w:r>
              <w:rPr>
                <w:spacing w:val="-9"/>
                <w:sz w:val="18"/>
              </w:rPr>
              <w:t> </w:t>
            </w:r>
            <w:r>
              <w:rPr>
                <w:sz w:val="18"/>
              </w:rPr>
              <w:t>R-</w:t>
            </w:r>
            <w:r>
              <w:rPr>
                <w:spacing w:val="-2"/>
                <w:sz w:val="18"/>
              </w:rPr>
              <w:t>squared</w:t>
            </w:r>
          </w:p>
        </w:tc>
        <w:tc>
          <w:tcPr>
            <w:tcW w:w="1290" w:type="dxa"/>
          </w:tcPr>
          <w:p>
            <w:pPr>
              <w:pStyle w:val="TableParagraph"/>
              <w:spacing w:line="198" w:lineRule="exact" w:before="6"/>
              <w:ind w:left="432"/>
              <w:rPr>
                <w:sz w:val="18"/>
              </w:rPr>
            </w:pPr>
            <w:r>
              <w:rPr>
                <w:spacing w:val="-2"/>
                <w:sz w:val="18"/>
              </w:rPr>
              <w:t>0.492014</w:t>
            </w:r>
          </w:p>
        </w:tc>
        <w:tc>
          <w:tcPr>
            <w:tcW w:w="2431" w:type="dxa"/>
            <w:gridSpan w:val="2"/>
          </w:tcPr>
          <w:p>
            <w:pPr>
              <w:pStyle w:val="TableParagraph"/>
              <w:spacing w:line="198" w:lineRule="exact" w:before="6"/>
              <w:ind w:left="107"/>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8" w:lineRule="exact" w:before="6"/>
              <w:ind w:right="5"/>
              <w:jc w:val="right"/>
              <w:rPr>
                <w:sz w:val="18"/>
              </w:rPr>
            </w:pPr>
            <w:r>
              <w:rPr>
                <w:spacing w:val="-2"/>
                <w:sz w:val="18"/>
              </w:rPr>
              <w:t>10.29232</w:t>
            </w:r>
          </w:p>
        </w:tc>
      </w:tr>
      <w:tr>
        <w:trPr>
          <w:trHeight w:val="224" w:hRule="atLeast"/>
        </w:trPr>
        <w:tc>
          <w:tcPr>
            <w:tcW w:w="1925" w:type="dxa"/>
          </w:tcPr>
          <w:p>
            <w:pPr>
              <w:pStyle w:val="TableParagraph"/>
              <w:spacing w:line="199" w:lineRule="exact" w:before="5"/>
              <w:rPr>
                <w:sz w:val="18"/>
              </w:rPr>
            </w:pPr>
            <w:r>
              <w:rPr>
                <w:sz w:val="18"/>
              </w:rPr>
              <w:t>S.E.</w:t>
            </w:r>
            <w:r>
              <w:rPr>
                <w:spacing w:val="-2"/>
                <w:sz w:val="18"/>
              </w:rPr>
              <w:t> </w:t>
            </w:r>
            <w:r>
              <w:rPr>
                <w:sz w:val="18"/>
              </w:rPr>
              <w:t>of </w:t>
            </w:r>
            <w:r>
              <w:rPr>
                <w:spacing w:val="-2"/>
                <w:sz w:val="18"/>
              </w:rPr>
              <w:t>regression</w:t>
            </w:r>
          </w:p>
        </w:tc>
        <w:tc>
          <w:tcPr>
            <w:tcW w:w="1290" w:type="dxa"/>
          </w:tcPr>
          <w:p>
            <w:pPr>
              <w:pStyle w:val="TableParagraph"/>
              <w:spacing w:line="199" w:lineRule="exact" w:before="5"/>
              <w:ind w:left="432"/>
              <w:rPr>
                <w:sz w:val="18"/>
              </w:rPr>
            </w:pPr>
            <w:r>
              <w:rPr>
                <w:spacing w:val="-2"/>
                <w:sz w:val="18"/>
              </w:rPr>
              <w:t>7.335664</w:t>
            </w:r>
          </w:p>
        </w:tc>
        <w:tc>
          <w:tcPr>
            <w:tcW w:w="2431" w:type="dxa"/>
            <w:gridSpan w:val="2"/>
          </w:tcPr>
          <w:p>
            <w:pPr>
              <w:pStyle w:val="TableParagraph"/>
              <w:spacing w:line="199" w:lineRule="exact" w:before="5"/>
              <w:ind w:left="107"/>
              <w:rPr>
                <w:sz w:val="18"/>
              </w:rPr>
            </w:pPr>
            <w:r>
              <w:rPr>
                <w:sz w:val="18"/>
              </w:rPr>
              <w:t>Akaike</w:t>
            </w:r>
            <w:r>
              <w:rPr>
                <w:spacing w:val="-3"/>
                <w:sz w:val="18"/>
              </w:rPr>
              <w:t> </w:t>
            </w:r>
            <w:r>
              <w:rPr>
                <w:sz w:val="18"/>
              </w:rPr>
              <w:t>info</w:t>
            </w:r>
            <w:r>
              <w:rPr>
                <w:spacing w:val="-2"/>
                <w:sz w:val="18"/>
              </w:rPr>
              <w:t> criterion</w:t>
            </w:r>
          </w:p>
        </w:tc>
        <w:tc>
          <w:tcPr>
            <w:tcW w:w="884" w:type="dxa"/>
          </w:tcPr>
          <w:p>
            <w:pPr>
              <w:pStyle w:val="TableParagraph"/>
              <w:spacing w:line="199" w:lineRule="exact" w:before="5"/>
              <w:ind w:right="5"/>
              <w:jc w:val="right"/>
              <w:rPr>
                <w:sz w:val="18"/>
              </w:rPr>
            </w:pPr>
            <w:r>
              <w:rPr>
                <w:spacing w:val="-2"/>
                <w:sz w:val="18"/>
              </w:rPr>
              <w:t>6.891755</w:t>
            </w:r>
          </w:p>
        </w:tc>
      </w:tr>
      <w:tr>
        <w:trPr>
          <w:trHeight w:val="225" w:hRule="atLeast"/>
        </w:trPr>
        <w:tc>
          <w:tcPr>
            <w:tcW w:w="1925" w:type="dxa"/>
          </w:tcPr>
          <w:p>
            <w:pPr>
              <w:pStyle w:val="TableParagraph"/>
              <w:spacing w:line="199" w:lineRule="exact" w:before="6"/>
              <w:rPr>
                <w:sz w:val="18"/>
              </w:rPr>
            </w:pPr>
            <w:r>
              <w:rPr>
                <w:sz w:val="18"/>
              </w:rPr>
              <w:t>Sum</w:t>
            </w:r>
            <w:r>
              <w:rPr>
                <w:spacing w:val="-4"/>
                <w:sz w:val="18"/>
              </w:rPr>
              <w:t> </w:t>
            </w:r>
            <w:r>
              <w:rPr>
                <w:sz w:val="18"/>
              </w:rPr>
              <w:t>squared</w:t>
            </w:r>
            <w:r>
              <w:rPr>
                <w:spacing w:val="-2"/>
                <w:sz w:val="18"/>
              </w:rPr>
              <w:t> </w:t>
            </w:r>
            <w:r>
              <w:rPr>
                <w:spacing w:val="-4"/>
                <w:sz w:val="18"/>
              </w:rPr>
              <w:t>resid</w:t>
            </w:r>
          </w:p>
        </w:tc>
        <w:tc>
          <w:tcPr>
            <w:tcW w:w="1290" w:type="dxa"/>
          </w:tcPr>
          <w:p>
            <w:pPr>
              <w:pStyle w:val="TableParagraph"/>
              <w:spacing w:line="199" w:lineRule="exact" w:before="6"/>
              <w:ind w:left="432"/>
              <w:rPr>
                <w:sz w:val="18"/>
              </w:rPr>
            </w:pPr>
            <w:r>
              <w:rPr>
                <w:spacing w:val="-2"/>
                <w:sz w:val="18"/>
              </w:rPr>
              <w:t>9793.778</w:t>
            </w:r>
          </w:p>
        </w:tc>
        <w:tc>
          <w:tcPr>
            <w:tcW w:w="1491" w:type="dxa"/>
          </w:tcPr>
          <w:p>
            <w:pPr>
              <w:pStyle w:val="TableParagraph"/>
              <w:spacing w:line="199" w:lineRule="exact" w:before="6"/>
              <w:ind w:left="107"/>
              <w:rPr>
                <w:sz w:val="18"/>
              </w:rPr>
            </w:pPr>
            <w:r>
              <w:rPr>
                <w:sz w:val="18"/>
              </w:rPr>
              <w:t>Schwarz</w:t>
            </w:r>
            <w:r>
              <w:rPr>
                <w:spacing w:val="-4"/>
                <w:sz w:val="18"/>
              </w:rPr>
              <w:t> </w:t>
            </w:r>
            <w:r>
              <w:rPr>
                <w:spacing w:val="-2"/>
                <w:sz w:val="18"/>
              </w:rPr>
              <w:t>criterion</w:t>
            </w:r>
          </w:p>
        </w:tc>
        <w:tc>
          <w:tcPr>
            <w:tcW w:w="940" w:type="dxa"/>
          </w:tcPr>
          <w:p>
            <w:pPr>
              <w:pStyle w:val="TableParagraph"/>
              <w:rPr>
                <w:rFonts w:ascii="Times New Roman"/>
                <w:sz w:val="16"/>
              </w:rPr>
            </w:pPr>
          </w:p>
        </w:tc>
        <w:tc>
          <w:tcPr>
            <w:tcW w:w="884" w:type="dxa"/>
          </w:tcPr>
          <w:p>
            <w:pPr>
              <w:pStyle w:val="TableParagraph"/>
              <w:spacing w:line="199" w:lineRule="exact" w:before="6"/>
              <w:ind w:right="5"/>
              <w:jc w:val="right"/>
              <w:rPr>
                <w:sz w:val="18"/>
              </w:rPr>
            </w:pPr>
            <w:r>
              <w:rPr>
                <w:spacing w:val="-2"/>
                <w:sz w:val="18"/>
              </w:rPr>
              <w:t>7.109955</w:t>
            </w:r>
          </w:p>
        </w:tc>
      </w:tr>
      <w:tr>
        <w:trPr>
          <w:trHeight w:val="225" w:hRule="atLeast"/>
        </w:trPr>
        <w:tc>
          <w:tcPr>
            <w:tcW w:w="1925" w:type="dxa"/>
          </w:tcPr>
          <w:p>
            <w:pPr>
              <w:pStyle w:val="TableParagraph"/>
              <w:spacing w:line="199" w:lineRule="exact" w:before="6"/>
              <w:rPr>
                <w:sz w:val="18"/>
              </w:rPr>
            </w:pPr>
            <w:r>
              <w:rPr>
                <w:sz w:val="18"/>
              </w:rPr>
              <w:t>Log</w:t>
            </w:r>
            <w:r>
              <w:rPr>
                <w:spacing w:val="-3"/>
                <w:sz w:val="18"/>
              </w:rPr>
              <w:t> </w:t>
            </w:r>
            <w:r>
              <w:rPr>
                <w:spacing w:val="-2"/>
                <w:sz w:val="18"/>
              </w:rPr>
              <w:t>likelihood</w:t>
            </w:r>
          </w:p>
        </w:tc>
        <w:tc>
          <w:tcPr>
            <w:tcW w:w="1290" w:type="dxa"/>
          </w:tcPr>
          <w:p>
            <w:pPr>
              <w:pStyle w:val="TableParagraph"/>
              <w:spacing w:line="199" w:lineRule="exact" w:before="6"/>
              <w:ind w:left="372"/>
              <w:rPr>
                <w:sz w:val="18"/>
              </w:rPr>
            </w:pPr>
            <w:r>
              <w:rPr>
                <w:spacing w:val="-2"/>
                <w:sz w:val="18"/>
              </w:rPr>
              <w:t>-658.9461</w:t>
            </w:r>
          </w:p>
        </w:tc>
        <w:tc>
          <w:tcPr>
            <w:tcW w:w="2431" w:type="dxa"/>
            <w:gridSpan w:val="2"/>
          </w:tcPr>
          <w:p>
            <w:pPr>
              <w:pStyle w:val="TableParagraph"/>
              <w:spacing w:line="199" w:lineRule="exact" w:before="6"/>
              <w:ind w:left="107"/>
              <w:rPr>
                <w:sz w:val="18"/>
              </w:rPr>
            </w:pPr>
            <w:r>
              <w:rPr>
                <w:spacing w:val="-2"/>
                <w:sz w:val="18"/>
              </w:rPr>
              <w:t>Hannan-Quinn</w:t>
            </w:r>
            <w:r>
              <w:rPr>
                <w:spacing w:val="11"/>
                <w:sz w:val="18"/>
              </w:rPr>
              <w:t> </w:t>
            </w:r>
            <w:r>
              <w:rPr>
                <w:spacing w:val="-2"/>
                <w:sz w:val="18"/>
              </w:rPr>
              <w:t>criter.</w:t>
            </w:r>
          </w:p>
        </w:tc>
        <w:tc>
          <w:tcPr>
            <w:tcW w:w="884" w:type="dxa"/>
          </w:tcPr>
          <w:p>
            <w:pPr>
              <w:pStyle w:val="TableParagraph"/>
              <w:spacing w:line="199" w:lineRule="exact" w:before="6"/>
              <w:ind w:right="5"/>
              <w:jc w:val="right"/>
              <w:rPr>
                <w:sz w:val="18"/>
              </w:rPr>
            </w:pPr>
            <w:r>
              <w:rPr>
                <w:spacing w:val="-2"/>
                <w:sz w:val="18"/>
              </w:rPr>
              <w:t>6.980102</w:t>
            </w:r>
          </w:p>
        </w:tc>
      </w:tr>
      <w:tr>
        <w:trPr>
          <w:trHeight w:val="224" w:hRule="atLeast"/>
        </w:trPr>
        <w:tc>
          <w:tcPr>
            <w:tcW w:w="1925" w:type="dxa"/>
          </w:tcPr>
          <w:p>
            <w:pPr>
              <w:pStyle w:val="TableParagraph"/>
              <w:spacing w:line="198" w:lineRule="exact" w:before="6"/>
              <w:rPr>
                <w:sz w:val="18"/>
              </w:rPr>
            </w:pPr>
            <w:r>
              <w:rPr>
                <w:spacing w:val="-2"/>
                <w:sz w:val="18"/>
              </w:rPr>
              <w:t>F-statistic</w:t>
            </w:r>
          </w:p>
        </w:tc>
        <w:tc>
          <w:tcPr>
            <w:tcW w:w="1290" w:type="dxa"/>
          </w:tcPr>
          <w:p>
            <w:pPr>
              <w:pStyle w:val="TableParagraph"/>
              <w:spacing w:line="198" w:lineRule="exact" w:before="6"/>
              <w:ind w:left="432"/>
              <w:rPr>
                <w:sz w:val="18"/>
              </w:rPr>
            </w:pPr>
            <w:r>
              <w:rPr>
                <w:spacing w:val="-2"/>
                <w:sz w:val="18"/>
              </w:rPr>
              <w:t>16.65834</w:t>
            </w:r>
          </w:p>
        </w:tc>
        <w:tc>
          <w:tcPr>
            <w:tcW w:w="2431" w:type="dxa"/>
            <w:gridSpan w:val="2"/>
          </w:tcPr>
          <w:p>
            <w:pPr>
              <w:pStyle w:val="TableParagraph"/>
              <w:spacing w:line="198" w:lineRule="exact" w:before="6"/>
              <w:ind w:left="107"/>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8" w:lineRule="exact" w:before="6"/>
              <w:ind w:right="5"/>
              <w:jc w:val="right"/>
              <w:rPr>
                <w:sz w:val="18"/>
              </w:rPr>
            </w:pPr>
            <w:r>
              <w:rPr>
                <w:spacing w:val="-2"/>
                <w:sz w:val="18"/>
              </w:rPr>
              <w:t>1.815492</w:t>
            </w:r>
          </w:p>
        </w:tc>
      </w:tr>
      <w:tr>
        <w:trPr>
          <w:trHeight w:val="302" w:hRule="atLeast"/>
        </w:trPr>
        <w:tc>
          <w:tcPr>
            <w:tcW w:w="1925" w:type="dxa"/>
            <w:tcBorders>
              <w:bottom w:val="double" w:sz="6" w:space="0" w:color="000000"/>
            </w:tcBorders>
          </w:tcPr>
          <w:p>
            <w:pPr>
              <w:pStyle w:val="TableParagraph"/>
              <w:spacing w:before="5"/>
              <w:rPr>
                <w:sz w:val="18"/>
              </w:rPr>
            </w:pPr>
            <w:r>
              <w:rPr>
                <w:spacing w:val="-2"/>
                <w:sz w:val="18"/>
              </w:rPr>
              <w:t>Prob(F-statistic)</w:t>
            </w:r>
          </w:p>
        </w:tc>
        <w:tc>
          <w:tcPr>
            <w:tcW w:w="1290" w:type="dxa"/>
            <w:tcBorders>
              <w:bottom w:val="double" w:sz="6" w:space="0" w:color="000000"/>
            </w:tcBorders>
          </w:tcPr>
          <w:p>
            <w:pPr>
              <w:pStyle w:val="TableParagraph"/>
              <w:spacing w:before="5"/>
              <w:ind w:left="432"/>
              <w:rPr>
                <w:sz w:val="18"/>
              </w:rPr>
            </w:pPr>
            <w:r>
              <w:rPr>
                <w:spacing w:val="-2"/>
                <w:sz w:val="18"/>
              </w:rPr>
              <w:t>0.000000</w:t>
            </w:r>
          </w:p>
        </w:tc>
        <w:tc>
          <w:tcPr>
            <w:tcW w:w="2431" w:type="dxa"/>
            <w:gridSpan w:val="2"/>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3" w:hRule="atLeast"/>
        </w:trPr>
        <w:tc>
          <w:tcPr>
            <w:tcW w:w="1925" w:type="dxa"/>
            <w:tcBorders>
              <w:top w:val="double" w:sz="6" w:space="0" w:color="000000"/>
              <w:bottom w:val="double" w:sz="6" w:space="0" w:color="000000"/>
            </w:tcBorders>
          </w:tcPr>
          <w:p>
            <w:pPr>
              <w:pStyle w:val="TableParagraph"/>
              <w:spacing w:before="108"/>
              <w:rPr>
                <w:sz w:val="18"/>
              </w:rPr>
            </w:pPr>
            <w:r>
              <w:rPr>
                <w:sz w:val="18"/>
              </w:rPr>
              <w:t>Inverted</w:t>
            </w:r>
            <w:r>
              <w:rPr>
                <w:spacing w:val="-3"/>
                <w:sz w:val="18"/>
              </w:rPr>
              <w:t> </w:t>
            </w:r>
            <w:r>
              <w:rPr>
                <w:sz w:val="18"/>
              </w:rPr>
              <w:t>AR</w:t>
            </w:r>
            <w:r>
              <w:rPr>
                <w:spacing w:val="-2"/>
                <w:sz w:val="18"/>
              </w:rPr>
              <w:t> Roots</w:t>
            </w:r>
          </w:p>
        </w:tc>
        <w:tc>
          <w:tcPr>
            <w:tcW w:w="1290" w:type="dxa"/>
            <w:tcBorders>
              <w:top w:val="double" w:sz="6" w:space="0" w:color="000000"/>
              <w:bottom w:val="double" w:sz="6" w:space="0" w:color="000000"/>
            </w:tcBorders>
          </w:tcPr>
          <w:p>
            <w:pPr>
              <w:pStyle w:val="TableParagraph"/>
              <w:spacing w:before="108"/>
              <w:ind w:left="393"/>
              <w:rPr>
                <w:sz w:val="18"/>
              </w:rPr>
            </w:pPr>
            <w:r>
              <w:rPr>
                <w:spacing w:val="-5"/>
                <w:sz w:val="18"/>
              </w:rPr>
              <w:t>.74</w:t>
            </w:r>
          </w:p>
        </w:tc>
        <w:tc>
          <w:tcPr>
            <w:tcW w:w="2431" w:type="dxa"/>
            <w:gridSpan w:val="2"/>
            <w:tcBorders>
              <w:top w:val="double" w:sz="6" w:space="0" w:color="000000"/>
              <w:bottom w:val="double" w:sz="6" w:space="0" w:color="000000"/>
            </w:tcBorders>
          </w:tcPr>
          <w:p>
            <w:pPr>
              <w:pStyle w:val="TableParagraph"/>
              <w:rPr>
                <w:rFonts w:ascii="Times New Roman"/>
                <w:sz w:val="18"/>
              </w:rPr>
            </w:pPr>
          </w:p>
        </w:tc>
        <w:tc>
          <w:tcPr>
            <w:tcW w:w="884" w:type="dxa"/>
            <w:tcBorders>
              <w:top w:val="double" w:sz="6" w:space="0" w:color="000000"/>
              <w:bottom w:val="double" w:sz="6" w:space="0" w:color="000000"/>
            </w:tcBorders>
          </w:tcPr>
          <w:p>
            <w:pPr>
              <w:pStyle w:val="TableParagraph"/>
              <w:rPr>
                <w:rFonts w:ascii="Times New Roman"/>
                <w:sz w:val="18"/>
              </w:rPr>
            </w:pPr>
          </w:p>
        </w:tc>
      </w:tr>
    </w:tbl>
    <w:p>
      <w:pPr>
        <w:spacing w:after="0"/>
        <w:rPr>
          <w:rFonts w:ascii="Times New Roman"/>
          <w:sz w:val="18"/>
        </w:rPr>
        <w:sectPr>
          <w:pgSz w:w="11910" w:h="16840"/>
          <w:pgMar w:header="0" w:footer="971" w:top="1360" w:bottom="1160" w:left="500" w:right="0"/>
        </w:sectPr>
      </w:pPr>
    </w:p>
    <w:p>
      <w:pPr>
        <w:spacing w:before="61"/>
        <w:ind w:left="940" w:right="1436" w:firstLine="0"/>
        <w:jc w:val="left"/>
        <w:rPr>
          <w:b/>
          <w:sz w:val="24"/>
        </w:rPr>
      </w:pPr>
      <w:r>
        <w:rPr/>
        <mc:AlternateContent>
          <mc:Choice Requires="wps">
            <w:drawing>
              <wp:anchor distT="0" distB="0" distL="0" distR="0" allowOverlap="1" layoutInCell="1" locked="0" behindDoc="1" simplePos="0" relativeHeight="477803008">
                <wp:simplePos x="0" y="0"/>
                <wp:positionH relativeFrom="page">
                  <wp:posOffset>1095451</wp:posOffset>
                </wp:positionH>
                <wp:positionV relativeFrom="page">
                  <wp:posOffset>7242047</wp:posOffset>
                </wp:positionV>
                <wp:extent cx="721995" cy="722630"/>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3472" id="docshape183"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803520">
                <wp:simplePos x="0" y="0"/>
                <wp:positionH relativeFrom="page">
                  <wp:posOffset>1269060</wp:posOffset>
                </wp:positionH>
                <wp:positionV relativeFrom="page">
                  <wp:posOffset>2726054</wp:posOffset>
                </wp:positionV>
                <wp:extent cx="4933315" cy="4976495"/>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4933315" cy="4976495"/>
                          <a:chExt cx="4933315" cy="4976495"/>
                        </a:xfrm>
                      </wpg:grpSpPr>
                      <wps:wsp>
                        <wps:cNvPr id="378" name="Graphic 378"/>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79" name="Image 379"/>
                          <pic:cNvPicPr/>
                        </pic:nvPicPr>
                        <pic:blipFill>
                          <a:blip r:embed="rId9" cstate="print"/>
                          <a:stretch>
                            <a:fillRect/>
                          </a:stretch>
                        </pic:blipFill>
                        <pic:spPr>
                          <a:xfrm>
                            <a:off x="1248333" y="3743197"/>
                            <a:ext cx="221995" cy="221614"/>
                          </a:xfrm>
                          <a:prstGeom prst="rect">
                            <a:avLst/>
                          </a:prstGeom>
                        </pic:spPr>
                      </pic:pic>
                      <wps:wsp>
                        <wps:cNvPr id="380" name="Graphic 380"/>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12960" id="docshapegroup184" coordorigin="1999,4293" coordsize="7769,7837">
                <v:shape style="position:absolute;left:1998;top:10112;width:2142;height:2018" id="docshape185"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86" stroked="false">
                  <v:imagedata r:id="rId9" o:title=""/>
                </v:shape>
                <v:shape style="position:absolute;left:3758;top:4293;width:6009;height:6216" id="docshape187"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r>
        <w:rPr>
          <w:b/>
          <w:sz w:val="24"/>
        </w:rPr>
        <w:t>Appendix</w:t>
      </w:r>
      <w:r>
        <w:rPr>
          <w:b/>
          <w:spacing w:val="-4"/>
          <w:sz w:val="24"/>
        </w:rPr>
        <w:t> </w:t>
      </w:r>
      <w:r>
        <w:rPr>
          <w:b/>
          <w:sz w:val="24"/>
        </w:rPr>
        <w:t>24:</w:t>
      </w:r>
      <w:r>
        <w:rPr>
          <w:b/>
          <w:spacing w:val="-4"/>
          <w:sz w:val="24"/>
        </w:rPr>
        <w:t> </w:t>
      </w:r>
      <w:r>
        <w:rPr>
          <w:b/>
          <w:sz w:val="24"/>
        </w:rPr>
        <w:t>Table</w:t>
      </w:r>
      <w:r>
        <w:rPr>
          <w:b/>
          <w:spacing w:val="-4"/>
          <w:sz w:val="24"/>
        </w:rPr>
        <w:t> </w:t>
      </w:r>
      <w:r>
        <w:rPr>
          <w:b/>
          <w:sz w:val="24"/>
        </w:rPr>
        <w:t>4.11:</w:t>
      </w:r>
      <w:r>
        <w:rPr>
          <w:b/>
          <w:spacing w:val="-5"/>
          <w:sz w:val="24"/>
        </w:rPr>
        <w:t> </w:t>
      </w:r>
      <w:r>
        <w:rPr>
          <w:b/>
          <w:sz w:val="24"/>
        </w:rPr>
        <w:t>VREL</w:t>
      </w:r>
      <w:r>
        <w:rPr>
          <w:b/>
          <w:spacing w:val="-4"/>
          <w:sz w:val="24"/>
        </w:rPr>
        <w:t> </w:t>
      </w:r>
      <w:r>
        <w:rPr>
          <w:b/>
          <w:sz w:val="24"/>
        </w:rPr>
        <w:t>and</w:t>
      </w:r>
      <w:r>
        <w:rPr>
          <w:b/>
          <w:spacing w:val="-4"/>
          <w:sz w:val="24"/>
        </w:rPr>
        <w:t> </w:t>
      </w:r>
      <w:r>
        <w:rPr>
          <w:b/>
          <w:sz w:val="24"/>
        </w:rPr>
        <w:t>Ownership</w:t>
      </w:r>
      <w:r>
        <w:rPr>
          <w:b/>
          <w:spacing w:val="-4"/>
          <w:sz w:val="24"/>
        </w:rPr>
        <w:t> </w:t>
      </w:r>
      <w:r>
        <w:rPr>
          <w:b/>
          <w:sz w:val="24"/>
        </w:rPr>
        <w:t>Structure</w:t>
      </w:r>
      <w:r>
        <w:rPr>
          <w:b/>
          <w:spacing w:val="-5"/>
          <w:sz w:val="24"/>
        </w:rPr>
        <w:t> </w:t>
      </w:r>
      <w:r>
        <w:rPr>
          <w:b/>
          <w:sz w:val="24"/>
        </w:rPr>
        <w:t>Regression</w:t>
      </w:r>
      <w:r>
        <w:rPr>
          <w:b/>
          <w:spacing w:val="-4"/>
          <w:sz w:val="24"/>
        </w:rPr>
        <w:t> </w:t>
      </w:r>
      <w:r>
        <w:rPr>
          <w:b/>
          <w:sz w:val="24"/>
        </w:rPr>
        <w:t>Result</w:t>
      </w:r>
      <w:r>
        <w:rPr>
          <w:b/>
          <w:spacing w:val="40"/>
          <w:sz w:val="24"/>
        </w:rPr>
        <w:t> </w:t>
      </w:r>
      <w:r>
        <w:rPr>
          <w:b/>
          <w:sz w:val="24"/>
        </w:rPr>
        <w:t>(Fixed </w:t>
      </w:r>
      <w:r>
        <w:rPr>
          <w:b/>
          <w:spacing w:val="-2"/>
          <w:sz w:val="24"/>
        </w:rPr>
        <w:t>Effects)</w:t>
      </w:r>
    </w:p>
    <w:p>
      <w:pPr>
        <w:pStyle w:val="BodyText"/>
        <w:rPr>
          <w:b/>
          <w:sz w:val="20"/>
        </w:rPr>
      </w:pPr>
    </w:p>
    <w:p>
      <w:pPr>
        <w:pStyle w:val="BodyText"/>
        <w:rPr>
          <w:b/>
          <w:sz w:val="20"/>
        </w:rPr>
      </w:pPr>
    </w:p>
    <w:p>
      <w:pPr>
        <w:pStyle w:val="BodyText"/>
        <w:spacing w:before="43"/>
        <w:rPr>
          <w:b/>
          <w:sz w:val="20"/>
        </w:rPr>
      </w:pP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6"/>
        <w:gridCol w:w="1250"/>
        <w:gridCol w:w="1300"/>
        <w:gridCol w:w="1131"/>
        <w:gridCol w:w="884"/>
      </w:tblGrid>
      <w:tr>
        <w:trPr>
          <w:trHeight w:val="212" w:hRule="atLeast"/>
        </w:trPr>
        <w:tc>
          <w:tcPr>
            <w:tcW w:w="6531" w:type="dxa"/>
            <w:gridSpan w:val="5"/>
          </w:tcPr>
          <w:p>
            <w:pPr>
              <w:pStyle w:val="TableParagraph"/>
              <w:spacing w:line="192" w:lineRule="exact"/>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r>
      <w:tr>
        <w:trPr>
          <w:trHeight w:val="224" w:hRule="atLeast"/>
        </w:trPr>
        <w:tc>
          <w:tcPr>
            <w:tcW w:w="6531" w:type="dxa"/>
            <w:gridSpan w:val="5"/>
          </w:tcPr>
          <w:p>
            <w:pPr>
              <w:pStyle w:val="TableParagraph"/>
              <w:spacing w:line="199" w:lineRule="exact" w:before="5"/>
              <w:rPr>
                <w:sz w:val="18"/>
              </w:rPr>
            </w:pPr>
            <w:r>
              <w:rPr>
                <w:sz w:val="18"/>
              </w:rPr>
              <w:t>Method:</w:t>
            </w:r>
            <w:r>
              <w:rPr>
                <w:spacing w:val="-8"/>
                <w:sz w:val="18"/>
              </w:rPr>
              <w:t> </w:t>
            </w:r>
            <w:r>
              <w:rPr>
                <w:sz w:val="18"/>
              </w:rPr>
              <w:t>Panel</w:t>
            </w:r>
            <w:r>
              <w:rPr>
                <w:spacing w:val="-8"/>
                <w:sz w:val="18"/>
              </w:rPr>
              <w:t> </w:t>
            </w:r>
            <w:r>
              <w:rPr>
                <w:sz w:val="18"/>
              </w:rPr>
              <w:t>EGLS</w:t>
            </w:r>
            <w:r>
              <w:rPr>
                <w:spacing w:val="-10"/>
                <w:sz w:val="18"/>
              </w:rPr>
              <w:t> </w:t>
            </w:r>
            <w:r>
              <w:rPr>
                <w:sz w:val="18"/>
              </w:rPr>
              <w:t>(Cross-section</w:t>
            </w:r>
            <w:r>
              <w:rPr>
                <w:spacing w:val="-9"/>
                <w:sz w:val="18"/>
              </w:rPr>
              <w:t> </w:t>
            </w:r>
            <w:r>
              <w:rPr>
                <w:spacing w:val="-2"/>
                <w:sz w:val="18"/>
              </w:rPr>
              <w:t>weights)</w:t>
            </w:r>
          </w:p>
        </w:tc>
      </w:tr>
      <w:tr>
        <w:trPr>
          <w:trHeight w:val="225" w:hRule="atLeast"/>
        </w:trPr>
        <w:tc>
          <w:tcPr>
            <w:tcW w:w="6531" w:type="dxa"/>
            <w:gridSpan w:val="5"/>
          </w:tcPr>
          <w:p>
            <w:pPr>
              <w:pStyle w:val="TableParagraph"/>
              <w:spacing w:line="199" w:lineRule="exact" w:before="6"/>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08:32</w:t>
            </w:r>
          </w:p>
        </w:tc>
      </w:tr>
      <w:tr>
        <w:trPr>
          <w:trHeight w:val="225" w:hRule="atLeast"/>
        </w:trPr>
        <w:tc>
          <w:tcPr>
            <w:tcW w:w="1966"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125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1966" w:type="dxa"/>
          </w:tcPr>
          <w:p>
            <w:pPr>
              <w:pStyle w:val="TableParagraph"/>
              <w:spacing w:line="198" w:lineRule="exact" w:before="6"/>
              <w:rPr>
                <w:sz w:val="18"/>
              </w:rPr>
            </w:pPr>
            <w:r>
              <w:rPr>
                <w:sz w:val="18"/>
              </w:rPr>
              <w:t>Periods</w:t>
            </w:r>
            <w:r>
              <w:rPr>
                <w:spacing w:val="-4"/>
                <w:sz w:val="18"/>
              </w:rPr>
              <w:t> </w:t>
            </w:r>
            <w:r>
              <w:rPr>
                <w:sz w:val="18"/>
              </w:rPr>
              <w:t>included:</w:t>
            </w:r>
            <w:r>
              <w:rPr>
                <w:spacing w:val="-3"/>
                <w:sz w:val="18"/>
              </w:rPr>
              <w:t> </w:t>
            </w:r>
            <w:r>
              <w:rPr>
                <w:spacing w:val="-5"/>
                <w:sz w:val="18"/>
              </w:rPr>
              <w:t>15</w:t>
            </w:r>
          </w:p>
        </w:tc>
        <w:tc>
          <w:tcPr>
            <w:tcW w:w="1250" w:type="dxa"/>
          </w:tcPr>
          <w:p>
            <w:pPr>
              <w:pStyle w:val="TableParagraph"/>
              <w:rPr>
                <w:rFonts w:ascii="Times New Roman"/>
                <w:sz w:val="16"/>
              </w:rPr>
            </w:pPr>
          </w:p>
        </w:tc>
        <w:tc>
          <w:tcPr>
            <w:tcW w:w="1300" w:type="dxa"/>
          </w:tcPr>
          <w:p>
            <w:pPr>
              <w:pStyle w:val="TableParagraph"/>
              <w:rPr>
                <w:rFonts w:ascii="Times New Roman"/>
                <w:sz w:val="16"/>
              </w:rPr>
            </w:pPr>
          </w:p>
        </w:tc>
        <w:tc>
          <w:tcPr>
            <w:tcW w:w="1131" w:type="dxa"/>
          </w:tcPr>
          <w:p>
            <w:pPr>
              <w:pStyle w:val="TableParagraph"/>
              <w:rPr>
                <w:rFonts w:ascii="Times New Roman"/>
                <w:sz w:val="16"/>
              </w:rPr>
            </w:pPr>
          </w:p>
        </w:tc>
        <w:tc>
          <w:tcPr>
            <w:tcW w:w="884" w:type="dxa"/>
          </w:tcPr>
          <w:p>
            <w:pPr>
              <w:pStyle w:val="TableParagraph"/>
              <w:rPr>
                <w:rFonts w:ascii="Times New Roman"/>
                <w:sz w:val="16"/>
              </w:rPr>
            </w:pPr>
          </w:p>
        </w:tc>
      </w:tr>
      <w:tr>
        <w:trPr>
          <w:trHeight w:val="224" w:hRule="atLeast"/>
        </w:trPr>
        <w:tc>
          <w:tcPr>
            <w:tcW w:w="6531" w:type="dxa"/>
            <w:gridSpan w:val="5"/>
          </w:tcPr>
          <w:p>
            <w:pPr>
              <w:pStyle w:val="TableParagraph"/>
              <w:spacing w:line="199" w:lineRule="exact" w:before="5"/>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r>
      <w:tr>
        <w:trPr>
          <w:trHeight w:val="225" w:hRule="atLeast"/>
        </w:trPr>
        <w:tc>
          <w:tcPr>
            <w:tcW w:w="6531" w:type="dxa"/>
            <w:gridSpan w:val="5"/>
          </w:tcPr>
          <w:p>
            <w:pPr>
              <w:pStyle w:val="TableParagraph"/>
              <w:spacing w:line="199" w:lineRule="exact" w:before="6"/>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r>
      <w:tr>
        <w:trPr>
          <w:trHeight w:val="225" w:hRule="atLeast"/>
        </w:trPr>
        <w:tc>
          <w:tcPr>
            <w:tcW w:w="6531" w:type="dxa"/>
            <w:gridSpan w:val="5"/>
          </w:tcPr>
          <w:p>
            <w:pPr>
              <w:pStyle w:val="TableParagraph"/>
              <w:spacing w:line="199" w:lineRule="exact" w:before="6"/>
              <w:rPr>
                <w:sz w:val="18"/>
              </w:rPr>
            </w:pPr>
            <w:r>
              <w:rPr>
                <w:sz w:val="18"/>
              </w:rPr>
              <w:t>Linear</w:t>
            </w:r>
            <w:r>
              <w:rPr>
                <w:spacing w:val="-10"/>
                <w:sz w:val="18"/>
              </w:rPr>
              <w:t> </w:t>
            </w:r>
            <w:r>
              <w:rPr>
                <w:sz w:val="18"/>
              </w:rPr>
              <w:t>estimation</w:t>
            </w:r>
            <w:r>
              <w:rPr>
                <w:spacing w:val="-4"/>
                <w:sz w:val="18"/>
              </w:rPr>
              <w:t> </w:t>
            </w:r>
            <w:r>
              <w:rPr>
                <w:sz w:val="18"/>
              </w:rPr>
              <w:t>after</w:t>
            </w:r>
            <w:r>
              <w:rPr>
                <w:spacing w:val="-3"/>
                <w:sz w:val="18"/>
              </w:rPr>
              <w:t> </w:t>
            </w:r>
            <w:r>
              <w:rPr>
                <w:sz w:val="18"/>
              </w:rPr>
              <w:t>one-step</w:t>
            </w:r>
            <w:r>
              <w:rPr>
                <w:spacing w:val="-4"/>
                <w:sz w:val="18"/>
              </w:rPr>
              <w:t> </w:t>
            </w:r>
            <w:r>
              <w:rPr>
                <w:sz w:val="18"/>
              </w:rPr>
              <w:t>weighting</w:t>
            </w:r>
            <w:r>
              <w:rPr>
                <w:spacing w:val="-4"/>
                <w:sz w:val="18"/>
              </w:rPr>
              <w:t> </w:t>
            </w:r>
            <w:r>
              <w:rPr>
                <w:spacing w:val="-2"/>
                <w:sz w:val="18"/>
              </w:rPr>
              <w:t>matrix</w:t>
            </w:r>
          </w:p>
        </w:tc>
      </w:tr>
      <w:tr>
        <w:trPr>
          <w:trHeight w:val="301" w:hRule="atLeast"/>
        </w:trPr>
        <w:tc>
          <w:tcPr>
            <w:tcW w:w="6531" w:type="dxa"/>
            <w:gridSpan w:val="5"/>
            <w:tcBorders>
              <w:bottom w:val="double" w:sz="6" w:space="0" w:color="000000"/>
            </w:tcBorders>
          </w:tcPr>
          <w:p>
            <w:pPr>
              <w:pStyle w:val="TableParagraph"/>
              <w:spacing w:before="6"/>
              <w:rPr>
                <w:sz w:val="18"/>
              </w:rPr>
            </w:pPr>
            <w:r>
              <w:rPr>
                <w:sz w:val="18"/>
              </w:rPr>
              <w:t>White</w:t>
            </w:r>
            <w:r>
              <w:rPr>
                <w:spacing w:val="-5"/>
                <w:sz w:val="18"/>
              </w:rPr>
              <w:t> </w:t>
            </w:r>
            <w:r>
              <w:rPr>
                <w:sz w:val="18"/>
              </w:rPr>
              <w:t>cross-section</w:t>
            </w:r>
            <w:r>
              <w:rPr>
                <w:spacing w:val="-3"/>
                <w:sz w:val="18"/>
              </w:rPr>
              <w:t> </w:t>
            </w:r>
            <w:r>
              <w:rPr>
                <w:sz w:val="18"/>
              </w:rPr>
              <w:t>standard</w:t>
            </w:r>
            <w:r>
              <w:rPr>
                <w:spacing w:val="-5"/>
                <w:sz w:val="18"/>
              </w:rPr>
              <w:t> </w:t>
            </w:r>
            <w:r>
              <w:rPr>
                <w:sz w:val="18"/>
              </w:rPr>
              <w:t>errors</w:t>
            </w:r>
            <w:r>
              <w:rPr>
                <w:spacing w:val="-2"/>
                <w:sz w:val="18"/>
              </w:rPr>
              <w:t> </w:t>
            </w:r>
            <w:r>
              <w:rPr>
                <w:sz w:val="18"/>
              </w:rPr>
              <w:t>&amp;</w:t>
            </w:r>
            <w:r>
              <w:rPr>
                <w:spacing w:val="-5"/>
                <w:sz w:val="18"/>
              </w:rPr>
              <w:t> </w:t>
            </w:r>
            <w:r>
              <w:rPr>
                <w:sz w:val="18"/>
              </w:rPr>
              <w:t>covariance</w:t>
            </w:r>
            <w:r>
              <w:rPr>
                <w:spacing w:val="-3"/>
                <w:sz w:val="18"/>
              </w:rPr>
              <w:t> </w:t>
            </w:r>
            <w:r>
              <w:rPr>
                <w:sz w:val="18"/>
              </w:rPr>
              <w:t>(d.f.</w:t>
            </w:r>
            <w:r>
              <w:rPr>
                <w:spacing w:val="-2"/>
                <w:sz w:val="18"/>
              </w:rPr>
              <w:t> corrected)</w:t>
            </w:r>
          </w:p>
        </w:tc>
      </w:tr>
      <w:tr>
        <w:trPr>
          <w:trHeight w:val="406" w:hRule="atLeast"/>
        </w:trPr>
        <w:tc>
          <w:tcPr>
            <w:tcW w:w="1966" w:type="dxa"/>
            <w:tcBorders>
              <w:top w:val="double" w:sz="6" w:space="0" w:color="000000"/>
              <w:bottom w:val="double" w:sz="6" w:space="0" w:color="000000"/>
            </w:tcBorders>
          </w:tcPr>
          <w:p>
            <w:pPr>
              <w:pStyle w:val="TableParagraph"/>
              <w:spacing w:before="109"/>
              <w:ind w:left="676"/>
              <w:rPr>
                <w:sz w:val="18"/>
              </w:rPr>
            </w:pPr>
            <w:r>
              <w:rPr>
                <w:spacing w:val="-2"/>
                <w:sz w:val="18"/>
              </w:rPr>
              <w:t>Variable</w:t>
            </w:r>
          </w:p>
        </w:tc>
        <w:tc>
          <w:tcPr>
            <w:tcW w:w="1250" w:type="dxa"/>
            <w:tcBorders>
              <w:top w:val="double" w:sz="6" w:space="0" w:color="000000"/>
              <w:bottom w:val="double" w:sz="6" w:space="0" w:color="000000"/>
            </w:tcBorders>
          </w:tcPr>
          <w:p>
            <w:pPr>
              <w:pStyle w:val="TableParagraph"/>
              <w:spacing w:before="109"/>
              <w:ind w:right="104"/>
              <w:jc w:val="right"/>
              <w:rPr>
                <w:sz w:val="18"/>
              </w:rPr>
            </w:pPr>
            <w:r>
              <w:rPr>
                <w:spacing w:val="-2"/>
                <w:sz w:val="18"/>
              </w:rPr>
              <w:t>Coefficient</w:t>
            </w:r>
          </w:p>
        </w:tc>
        <w:tc>
          <w:tcPr>
            <w:tcW w:w="1300" w:type="dxa"/>
            <w:tcBorders>
              <w:top w:val="double" w:sz="6" w:space="0" w:color="000000"/>
              <w:bottom w:val="double" w:sz="6" w:space="0" w:color="000000"/>
            </w:tcBorders>
          </w:tcPr>
          <w:p>
            <w:pPr>
              <w:pStyle w:val="TableParagraph"/>
              <w:spacing w:before="109"/>
              <w:ind w:left="155" w:right="20"/>
              <w:jc w:val="center"/>
              <w:rPr>
                <w:sz w:val="18"/>
              </w:rPr>
            </w:pPr>
            <w:r>
              <w:rPr>
                <w:sz w:val="18"/>
              </w:rPr>
              <w:t>Std.</w:t>
            </w:r>
            <w:r>
              <w:rPr>
                <w:spacing w:val="-2"/>
                <w:sz w:val="18"/>
              </w:rPr>
              <w:t> Error</w:t>
            </w:r>
          </w:p>
        </w:tc>
        <w:tc>
          <w:tcPr>
            <w:tcW w:w="1131" w:type="dxa"/>
            <w:tcBorders>
              <w:top w:val="double" w:sz="6" w:space="0" w:color="000000"/>
              <w:bottom w:val="double" w:sz="6" w:space="0" w:color="000000"/>
            </w:tcBorders>
          </w:tcPr>
          <w:p>
            <w:pPr>
              <w:pStyle w:val="TableParagraph"/>
              <w:spacing w:before="109"/>
              <w:ind w:left="147" w:right="2"/>
              <w:jc w:val="center"/>
              <w:rPr>
                <w:sz w:val="18"/>
              </w:rPr>
            </w:pPr>
            <w:r>
              <w:rPr>
                <w:sz w:val="18"/>
              </w:rPr>
              <w:t>t-</w:t>
            </w:r>
            <w:r>
              <w:rPr>
                <w:spacing w:val="-2"/>
                <w:sz w:val="18"/>
              </w:rPr>
              <w:t>Statistic</w:t>
            </w:r>
          </w:p>
        </w:tc>
        <w:tc>
          <w:tcPr>
            <w:tcW w:w="884" w:type="dxa"/>
            <w:tcBorders>
              <w:top w:val="double" w:sz="6" w:space="0" w:color="000000"/>
              <w:bottom w:val="double" w:sz="6" w:space="0" w:color="000000"/>
            </w:tcBorders>
          </w:tcPr>
          <w:p>
            <w:pPr>
              <w:pStyle w:val="TableParagraph"/>
              <w:spacing w:before="109"/>
              <w:ind w:left="344"/>
              <w:rPr>
                <w:sz w:val="18"/>
              </w:rPr>
            </w:pPr>
            <w:r>
              <w:rPr>
                <w:spacing w:val="-2"/>
                <w:sz w:val="18"/>
              </w:rPr>
              <w:t>Prob.</w:t>
            </w:r>
          </w:p>
        </w:tc>
      </w:tr>
      <w:tr>
        <w:trPr>
          <w:trHeight w:val="326" w:hRule="atLeast"/>
        </w:trPr>
        <w:tc>
          <w:tcPr>
            <w:tcW w:w="1966" w:type="dxa"/>
            <w:tcBorders>
              <w:top w:val="double" w:sz="6" w:space="0" w:color="000000"/>
            </w:tcBorders>
          </w:tcPr>
          <w:p>
            <w:pPr>
              <w:pStyle w:val="TableParagraph"/>
              <w:spacing w:line="198" w:lineRule="exact" w:before="108"/>
              <w:ind w:left="50"/>
              <w:jc w:val="center"/>
              <w:rPr>
                <w:sz w:val="18"/>
              </w:rPr>
            </w:pPr>
            <w:r>
              <w:rPr>
                <w:spacing w:val="-10"/>
                <w:sz w:val="18"/>
              </w:rPr>
              <w:t>C</w:t>
            </w:r>
          </w:p>
        </w:tc>
        <w:tc>
          <w:tcPr>
            <w:tcW w:w="1250" w:type="dxa"/>
            <w:tcBorders>
              <w:top w:val="double" w:sz="6" w:space="0" w:color="000000"/>
            </w:tcBorders>
          </w:tcPr>
          <w:p>
            <w:pPr>
              <w:pStyle w:val="TableParagraph"/>
              <w:spacing w:line="198" w:lineRule="exact" w:before="108"/>
              <w:ind w:right="104"/>
              <w:jc w:val="right"/>
              <w:rPr>
                <w:sz w:val="18"/>
              </w:rPr>
            </w:pPr>
            <w:r>
              <w:rPr>
                <w:spacing w:val="-2"/>
                <w:sz w:val="18"/>
              </w:rPr>
              <w:t>1.182229</w:t>
            </w:r>
          </w:p>
        </w:tc>
        <w:tc>
          <w:tcPr>
            <w:tcW w:w="1300" w:type="dxa"/>
            <w:tcBorders>
              <w:top w:val="double" w:sz="6" w:space="0" w:color="000000"/>
            </w:tcBorders>
          </w:tcPr>
          <w:p>
            <w:pPr>
              <w:pStyle w:val="TableParagraph"/>
              <w:spacing w:line="198" w:lineRule="exact" w:before="108"/>
              <w:ind w:left="155" w:right="2"/>
              <w:jc w:val="center"/>
              <w:rPr>
                <w:sz w:val="18"/>
              </w:rPr>
            </w:pPr>
            <w:r>
              <w:rPr>
                <w:spacing w:val="-2"/>
                <w:sz w:val="18"/>
              </w:rPr>
              <w:t>9.863391</w:t>
            </w:r>
          </w:p>
        </w:tc>
        <w:tc>
          <w:tcPr>
            <w:tcW w:w="1131" w:type="dxa"/>
            <w:tcBorders>
              <w:top w:val="double" w:sz="6" w:space="0" w:color="000000"/>
            </w:tcBorders>
          </w:tcPr>
          <w:p>
            <w:pPr>
              <w:pStyle w:val="TableParagraph"/>
              <w:spacing w:line="198" w:lineRule="exact" w:before="108"/>
              <w:ind w:left="147" w:right="14"/>
              <w:jc w:val="center"/>
              <w:rPr>
                <w:sz w:val="18"/>
              </w:rPr>
            </w:pPr>
            <w:r>
              <w:rPr>
                <w:spacing w:val="-2"/>
                <w:sz w:val="18"/>
              </w:rPr>
              <w:t>0.119860</w:t>
            </w: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0.9047</w:t>
            </w:r>
          </w:p>
        </w:tc>
      </w:tr>
      <w:tr>
        <w:trPr>
          <w:trHeight w:val="224" w:hRule="atLeast"/>
        </w:trPr>
        <w:tc>
          <w:tcPr>
            <w:tcW w:w="1966" w:type="dxa"/>
          </w:tcPr>
          <w:p>
            <w:pPr>
              <w:pStyle w:val="TableParagraph"/>
              <w:spacing w:line="199" w:lineRule="exact" w:before="5"/>
              <w:ind w:left="583"/>
              <w:rPr>
                <w:sz w:val="18"/>
              </w:rPr>
            </w:pPr>
            <w:r>
              <w:rPr>
                <w:spacing w:val="-2"/>
                <w:sz w:val="18"/>
              </w:rPr>
              <w:t>INSTOWN</w:t>
            </w:r>
          </w:p>
        </w:tc>
        <w:tc>
          <w:tcPr>
            <w:tcW w:w="1250" w:type="dxa"/>
          </w:tcPr>
          <w:p>
            <w:pPr>
              <w:pStyle w:val="TableParagraph"/>
              <w:spacing w:line="199" w:lineRule="exact" w:before="5"/>
              <w:ind w:right="104"/>
              <w:jc w:val="right"/>
              <w:rPr>
                <w:sz w:val="18"/>
              </w:rPr>
            </w:pPr>
            <w:r>
              <w:rPr>
                <w:spacing w:val="-2"/>
                <w:sz w:val="18"/>
              </w:rPr>
              <w:t>0.059428</w:t>
            </w:r>
          </w:p>
        </w:tc>
        <w:tc>
          <w:tcPr>
            <w:tcW w:w="1300" w:type="dxa"/>
          </w:tcPr>
          <w:p>
            <w:pPr>
              <w:pStyle w:val="TableParagraph"/>
              <w:spacing w:line="199" w:lineRule="exact" w:before="5"/>
              <w:ind w:left="155" w:right="2"/>
              <w:jc w:val="center"/>
              <w:rPr>
                <w:sz w:val="18"/>
              </w:rPr>
            </w:pPr>
            <w:r>
              <w:rPr>
                <w:spacing w:val="-2"/>
                <w:sz w:val="18"/>
              </w:rPr>
              <w:t>0.030531</w:t>
            </w:r>
          </w:p>
        </w:tc>
        <w:tc>
          <w:tcPr>
            <w:tcW w:w="1131" w:type="dxa"/>
          </w:tcPr>
          <w:p>
            <w:pPr>
              <w:pStyle w:val="TableParagraph"/>
              <w:spacing w:line="199" w:lineRule="exact" w:before="5"/>
              <w:ind w:left="147" w:right="14"/>
              <w:jc w:val="center"/>
              <w:rPr>
                <w:sz w:val="18"/>
              </w:rPr>
            </w:pPr>
            <w:r>
              <w:rPr>
                <w:spacing w:val="-2"/>
                <w:sz w:val="18"/>
              </w:rPr>
              <w:t>1.946439</w:t>
            </w:r>
          </w:p>
        </w:tc>
        <w:tc>
          <w:tcPr>
            <w:tcW w:w="884" w:type="dxa"/>
          </w:tcPr>
          <w:p>
            <w:pPr>
              <w:pStyle w:val="TableParagraph"/>
              <w:spacing w:line="199" w:lineRule="exact" w:before="5"/>
              <w:ind w:right="6"/>
              <w:jc w:val="right"/>
              <w:rPr>
                <w:sz w:val="18"/>
              </w:rPr>
            </w:pPr>
            <w:r>
              <w:rPr>
                <w:spacing w:val="-2"/>
                <w:sz w:val="18"/>
              </w:rPr>
              <w:t>0.0533</w:t>
            </w:r>
          </w:p>
        </w:tc>
      </w:tr>
      <w:tr>
        <w:trPr>
          <w:trHeight w:val="225" w:hRule="atLeast"/>
        </w:trPr>
        <w:tc>
          <w:tcPr>
            <w:tcW w:w="1966" w:type="dxa"/>
          </w:tcPr>
          <w:p>
            <w:pPr>
              <w:pStyle w:val="TableParagraph"/>
              <w:spacing w:line="199" w:lineRule="exact" w:before="6"/>
              <w:ind w:left="50" w:right="1"/>
              <w:jc w:val="center"/>
              <w:rPr>
                <w:sz w:val="18"/>
              </w:rPr>
            </w:pPr>
            <w:r>
              <w:rPr>
                <w:spacing w:val="-4"/>
                <w:sz w:val="18"/>
              </w:rPr>
              <w:t>MOWN</w:t>
            </w:r>
          </w:p>
        </w:tc>
        <w:tc>
          <w:tcPr>
            <w:tcW w:w="1250" w:type="dxa"/>
          </w:tcPr>
          <w:p>
            <w:pPr>
              <w:pStyle w:val="TableParagraph"/>
              <w:spacing w:line="199" w:lineRule="exact" w:before="6"/>
              <w:ind w:right="104"/>
              <w:jc w:val="right"/>
              <w:rPr>
                <w:sz w:val="18"/>
              </w:rPr>
            </w:pPr>
            <w:r>
              <w:rPr>
                <w:spacing w:val="-2"/>
                <w:sz w:val="18"/>
              </w:rPr>
              <w:t>-0.017208</w:t>
            </w:r>
          </w:p>
        </w:tc>
        <w:tc>
          <w:tcPr>
            <w:tcW w:w="1300" w:type="dxa"/>
          </w:tcPr>
          <w:p>
            <w:pPr>
              <w:pStyle w:val="TableParagraph"/>
              <w:spacing w:line="199" w:lineRule="exact" w:before="6"/>
              <w:ind w:left="155" w:right="2"/>
              <w:jc w:val="center"/>
              <w:rPr>
                <w:sz w:val="18"/>
              </w:rPr>
            </w:pPr>
            <w:r>
              <w:rPr>
                <w:spacing w:val="-2"/>
                <w:sz w:val="18"/>
              </w:rPr>
              <w:t>0.040407</w:t>
            </w:r>
          </w:p>
        </w:tc>
        <w:tc>
          <w:tcPr>
            <w:tcW w:w="1131" w:type="dxa"/>
          </w:tcPr>
          <w:p>
            <w:pPr>
              <w:pStyle w:val="TableParagraph"/>
              <w:spacing w:line="199" w:lineRule="exact" w:before="6"/>
              <w:ind w:left="147" w:right="74"/>
              <w:jc w:val="center"/>
              <w:rPr>
                <w:sz w:val="18"/>
              </w:rPr>
            </w:pPr>
            <w:r>
              <w:rPr>
                <w:spacing w:val="-2"/>
                <w:sz w:val="18"/>
              </w:rPr>
              <w:t>-0.425866</w:t>
            </w:r>
          </w:p>
        </w:tc>
        <w:tc>
          <w:tcPr>
            <w:tcW w:w="884" w:type="dxa"/>
          </w:tcPr>
          <w:p>
            <w:pPr>
              <w:pStyle w:val="TableParagraph"/>
              <w:spacing w:line="199" w:lineRule="exact" w:before="6"/>
              <w:ind w:right="6"/>
              <w:jc w:val="right"/>
              <w:rPr>
                <w:sz w:val="18"/>
              </w:rPr>
            </w:pPr>
            <w:r>
              <w:rPr>
                <w:spacing w:val="-2"/>
                <w:sz w:val="18"/>
              </w:rPr>
              <w:t>0.6707</w:t>
            </w:r>
          </w:p>
        </w:tc>
      </w:tr>
      <w:tr>
        <w:trPr>
          <w:trHeight w:val="225" w:hRule="atLeast"/>
        </w:trPr>
        <w:tc>
          <w:tcPr>
            <w:tcW w:w="1966" w:type="dxa"/>
          </w:tcPr>
          <w:p>
            <w:pPr>
              <w:pStyle w:val="TableParagraph"/>
              <w:spacing w:line="199" w:lineRule="exact" w:before="6"/>
              <w:ind w:left="50" w:right="3"/>
              <w:jc w:val="center"/>
              <w:rPr>
                <w:sz w:val="18"/>
              </w:rPr>
            </w:pPr>
            <w:r>
              <w:rPr>
                <w:spacing w:val="-4"/>
                <w:sz w:val="18"/>
              </w:rPr>
              <w:t>FOWN</w:t>
            </w:r>
          </w:p>
        </w:tc>
        <w:tc>
          <w:tcPr>
            <w:tcW w:w="1250" w:type="dxa"/>
          </w:tcPr>
          <w:p>
            <w:pPr>
              <w:pStyle w:val="TableParagraph"/>
              <w:spacing w:line="199" w:lineRule="exact" w:before="6"/>
              <w:ind w:right="104"/>
              <w:jc w:val="right"/>
              <w:rPr>
                <w:sz w:val="18"/>
              </w:rPr>
            </w:pPr>
            <w:r>
              <w:rPr>
                <w:spacing w:val="-2"/>
                <w:sz w:val="18"/>
              </w:rPr>
              <w:t>-0.158728</w:t>
            </w:r>
          </w:p>
        </w:tc>
        <w:tc>
          <w:tcPr>
            <w:tcW w:w="1300" w:type="dxa"/>
          </w:tcPr>
          <w:p>
            <w:pPr>
              <w:pStyle w:val="TableParagraph"/>
              <w:spacing w:line="199" w:lineRule="exact" w:before="6"/>
              <w:ind w:left="155" w:right="2"/>
              <w:jc w:val="center"/>
              <w:rPr>
                <w:sz w:val="18"/>
              </w:rPr>
            </w:pPr>
            <w:r>
              <w:rPr>
                <w:spacing w:val="-2"/>
                <w:sz w:val="18"/>
              </w:rPr>
              <w:t>0.077500</w:t>
            </w:r>
          </w:p>
        </w:tc>
        <w:tc>
          <w:tcPr>
            <w:tcW w:w="1131" w:type="dxa"/>
          </w:tcPr>
          <w:p>
            <w:pPr>
              <w:pStyle w:val="TableParagraph"/>
              <w:spacing w:line="199" w:lineRule="exact" w:before="6"/>
              <w:ind w:left="147" w:right="74"/>
              <w:jc w:val="center"/>
              <w:rPr>
                <w:sz w:val="18"/>
              </w:rPr>
            </w:pPr>
            <w:r>
              <w:rPr>
                <w:spacing w:val="-2"/>
                <w:sz w:val="18"/>
              </w:rPr>
              <w:t>-2.048108</w:t>
            </w:r>
          </w:p>
        </w:tc>
        <w:tc>
          <w:tcPr>
            <w:tcW w:w="884" w:type="dxa"/>
          </w:tcPr>
          <w:p>
            <w:pPr>
              <w:pStyle w:val="TableParagraph"/>
              <w:spacing w:line="199" w:lineRule="exact" w:before="6"/>
              <w:ind w:right="6"/>
              <w:jc w:val="right"/>
              <w:rPr>
                <w:sz w:val="18"/>
              </w:rPr>
            </w:pPr>
            <w:r>
              <w:rPr>
                <w:spacing w:val="-2"/>
                <w:sz w:val="18"/>
              </w:rPr>
              <w:t>0.0421</w:t>
            </w:r>
          </w:p>
        </w:tc>
      </w:tr>
      <w:tr>
        <w:trPr>
          <w:trHeight w:val="224" w:hRule="atLeast"/>
        </w:trPr>
        <w:tc>
          <w:tcPr>
            <w:tcW w:w="1966" w:type="dxa"/>
          </w:tcPr>
          <w:p>
            <w:pPr>
              <w:pStyle w:val="TableParagraph"/>
              <w:spacing w:line="198" w:lineRule="exact" w:before="6"/>
              <w:ind w:left="676"/>
              <w:rPr>
                <w:sz w:val="18"/>
              </w:rPr>
            </w:pPr>
            <w:r>
              <w:rPr>
                <w:spacing w:val="-2"/>
                <w:sz w:val="18"/>
              </w:rPr>
              <w:t>BLOWN</w:t>
            </w:r>
          </w:p>
        </w:tc>
        <w:tc>
          <w:tcPr>
            <w:tcW w:w="1250" w:type="dxa"/>
          </w:tcPr>
          <w:p>
            <w:pPr>
              <w:pStyle w:val="TableParagraph"/>
              <w:spacing w:line="198" w:lineRule="exact" w:before="6"/>
              <w:ind w:right="104"/>
              <w:jc w:val="right"/>
              <w:rPr>
                <w:sz w:val="18"/>
              </w:rPr>
            </w:pPr>
            <w:r>
              <w:rPr>
                <w:spacing w:val="-2"/>
                <w:sz w:val="18"/>
              </w:rPr>
              <w:t>-0.018329</w:t>
            </w:r>
          </w:p>
        </w:tc>
        <w:tc>
          <w:tcPr>
            <w:tcW w:w="1300" w:type="dxa"/>
          </w:tcPr>
          <w:p>
            <w:pPr>
              <w:pStyle w:val="TableParagraph"/>
              <w:spacing w:line="198" w:lineRule="exact" w:before="6"/>
              <w:ind w:left="155" w:right="2"/>
              <w:jc w:val="center"/>
              <w:rPr>
                <w:sz w:val="18"/>
              </w:rPr>
            </w:pPr>
            <w:r>
              <w:rPr>
                <w:spacing w:val="-2"/>
                <w:sz w:val="18"/>
              </w:rPr>
              <w:t>0.019514</w:t>
            </w:r>
          </w:p>
        </w:tc>
        <w:tc>
          <w:tcPr>
            <w:tcW w:w="1131" w:type="dxa"/>
          </w:tcPr>
          <w:p>
            <w:pPr>
              <w:pStyle w:val="TableParagraph"/>
              <w:spacing w:line="198" w:lineRule="exact" w:before="6"/>
              <w:ind w:left="147" w:right="74"/>
              <w:jc w:val="center"/>
              <w:rPr>
                <w:sz w:val="18"/>
              </w:rPr>
            </w:pPr>
            <w:r>
              <w:rPr>
                <w:spacing w:val="-2"/>
                <w:sz w:val="18"/>
              </w:rPr>
              <w:t>-0.939282</w:t>
            </w:r>
          </w:p>
        </w:tc>
        <w:tc>
          <w:tcPr>
            <w:tcW w:w="884" w:type="dxa"/>
          </w:tcPr>
          <w:p>
            <w:pPr>
              <w:pStyle w:val="TableParagraph"/>
              <w:spacing w:line="198" w:lineRule="exact" w:before="6"/>
              <w:ind w:right="6"/>
              <w:jc w:val="right"/>
              <w:rPr>
                <w:sz w:val="18"/>
              </w:rPr>
            </w:pPr>
            <w:r>
              <w:rPr>
                <w:spacing w:val="-2"/>
                <w:sz w:val="18"/>
              </w:rPr>
              <w:t>0.3489</w:t>
            </w:r>
          </w:p>
        </w:tc>
      </w:tr>
      <w:tr>
        <w:trPr>
          <w:trHeight w:val="224" w:hRule="atLeast"/>
        </w:trPr>
        <w:tc>
          <w:tcPr>
            <w:tcW w:w="1966" w:type="dxa"/>
          </w:tcPr>
          <w:p>
            <w:pPr>
              <w:pStyle w:val="TableParagraph"/>
              <w:spacing w:line="199" w:lineRule="exact" w:before="5"/>
              <w:ind w:left="50"/>
              <w:jc w:val="center"/>
              <w:rPr>
                <w:sz w:val="18"/>
              </w:rPr>
            </w:pPr>
            <w:r>
              <w:rPr>
                <w:spacing w:val="-4"/>
                <w:sz w:val="18"/>
              </w:rPr>
              <w:t>FAGE</w:t>
            </w:r>
          </w:p>
        </w:tc>
        <w:tc>
          <w:tcPr>
            <w:tcW w:w="1250" w:type="dxa"/>
          </w:tcPr>
          <w:p>
            <w:pPr>
              <w:pStyle w:val="TableParagraph"/>
              <w:spacing w:line="199" w:lineRule="exact" w:before="5"/>
              <w:ind w:right="104"/>
              <w:jc w:val="right"/>
              <w:rPr>
                <w:sz w:val="18"/>
              </w:rPr>
            </w:pPr>
            <w:r>
              <w:rPr>
                <w:spacing w:val="-2"/>
                <w:sz w:val="18"/>
              </w:rPr>
              <w:t>-0.284941</w:t>
            </w:r>
          </w:p>
        </w:tc>
        <w:tc>
          <w:tcPr>
            <w:tcW w:w="1300" w:type="dxa"/>
          </w:tcPr>
          <w:p>
            <w:pPr>
              <w:pStyle w:val="TableParagraph"/>
              <w:spacing w:line="199" w:lineRule="exact" w:before="5"/>
              <w:ind w:left="155" w:right="2"/>
              <w:jc w:val="center"/>
              <w:rPr>
                <w:sz w:val="18"/>
              </w:rPr>
            </w:pPr>
            <w:r>
              <w:rPr>
                <w:spacing w:val="-2"/>
                <w:sz w:val="18"/>
              </w:rPr>
              <w:t>0.216838</w:t>
            </w:r>
          </w:p>
        </w:tc>
        <w:tc>
          <w:tcPr>
            <w:tcW w:w="1131" w:type="dxa"/>
          </w:tcPr>
          <w:p>
            <w:pPr>
              <w:pStyle w:val="TableParagraph"/>
              <w:spacing w:line="199" w:lineRule="exact" w:before="5"/>
              <w:ind w:left="147" w:right="74"/>
              <w:jc w:val="center"/>
              <w:rPr>
                <w:sz w:val="18"/>
              </w:rPr>
            </w:pPr>
            <w:r>
              <w:rPr>
                <w:spacing w:val="-2"/>
                <w:sz w:val="18"/>
              </w:rPr>
              <w:t>-1.314077</w:t>
            </w:r>
          </w:p>
        </w:tc>
        <w:tc>
          <w:tcPr>
            <w:tcW w:w="884" w:type="dxa"/>
          </w:tcPr>
          <w:p>
            <w:pPr>
              <w:pStyle w:val="TableParagraph"/>
              <w:spacing w:line="199" w:lineRule="exact" w:before="5"/>
              <w:ind w:right="6"/>
              <w:jc w:val="right"/>
              <w:rPr>
                <w:sz w:val="18"/>
              </w:rPr>
            </w:pPr>
            <w:r>
              <w:rPr>
                <w:spacing w:val="-2"/>
                <w:sz w:val="18"/>
              </w:rPr>
              <w:t>0.1906</w:t>
            </w:r>
          </w:p>
        </w:tc>
      </w:tr>
      <w:tr>
        <w:trPr>
          <w:trHeight w:val="225" w:hRule="atLeast"/>
        </w:trPr>
        <w:tc>
          <w:tcPr>
            <w:tcW w:w="1966" w:type="dxa"/>
          </w:tcPr>
          <w:p>
            <w:pPr>
              <w:pStyle w:val="TableParagraph"/>
              <w:spacing w:line="199" w:lineRule="exact" w:before="6"/>
              <w:ind w:left="50" w:right="4"/>
              <w:jc w:val="center"/>
              <w:rPr>
                <w:sz w:val="18"/>
              </w:rPr>
            </w:pPr>
            <w:r>
              <w:rPr>
                <w:spacing w:val="-2"/>
                <w:sz w:val="18"/>
              </w:rPr>
              <w:t>FSIZE</w:t>
            </w:r>
          </w:p>
        </w:tc>
        <w:tc>
          <w:tcPr>
            <w:tcW w:w="1250" w:type="dxa"/>
          </w:tcPr>
          <w:p>
            <w:pPr>
              <w:pStyle w:val="TableParagraph"/>
              <w:spacing w:line="199" w:lineRule="exact" w:before="6"/>
              <w:ind w:right="104"/>
              <w:jc w:val="right"/>
              <w:rPr>
                <w:sz w:val="18"/>
              </w:rPr>
            </w:pPr>
            <w:r>
              <w:rPr>
                <w:spacing w:val="-2"/>
                <w:sz w:val="18"/>
              </w:rPr>
              <w:t>2.103120</w:t>
            </w:r>
          </w:p>
        </w:tc>
        <w:tc>
          <w:tcPr>
            <w:tcW w:w="1300" w:type="dxa"/>
          </w:tcPr>
          <w:p>
            <w:pPr>
              <w:pStyle w:val="TableParagraph"/>
              <w:spacing w:line="199" w:lineRule="exact" w:before="6"/>
              <w:ind w:left="155" w:right="2"/>
              <w:jc w:val="center"/>
              <w:rPr>
                <w:sz w:val="18"/>
              </w:rPr>
            </w:pPr>
            <w:r>
              <w:rPr>
                <w:spacing w:val="-2"/>
                <w:sz w:val="18"/>
              </w:rPr>
              <w:t>0.790691</w:t>
            </w:r>
          </w:p>
        </w:tc>
        <w:tc>
          <w:tcPr>
            <w:tcW w:w="1131" w:type="dxa"/>
          </w:tcPr>
          <w:p>
            <w:pPr>
              <w:pStyle w:val="TableParagraph"/>
              <w:spacing w:line="199" w:lineRule="exact" w:before="6"/>
              <w:ind w:left="147" w:right="14"/>
              <w:jc w:val="center"/>
              <w:rPr>
                <w:sz w:val="18"/>
              </w:rPr>
            </w:pPr>
            <w:r>
              <w:rPr>
                <w:spacing w:val="-2"/>
                <w:sz w:val="18"/>
              </w:rPr>
              <w:t>2.659851</w:t>
            </w:r>
          </w:p>
        </w:tc>
        <w:tc>
          <w:tcPr>
            <w:tcW w:w="884" w:type="dxa"/>
          </w:tcPr>
          <w:p>
            <w:pPr>
              <w:pStyle w:val="TableParagraph"/>
              <w:spacing w:line="199" w:lineRule="exact" w:before="6"/>
              <w:ind w:right="6"/>
              <w:jc w:val="right"/>
              <w:rPr>
                <w:sz w:val="18"/>
              </w:rPr>
            </w:pPr>
            <w:r>
              <w:rPr>
                <w:spacing w:val="-2"/>
                <w:sz w:val="18"/>
              </w:rPr>
              <w:t>0.0086</w:t>
            </w:r>
          </w:p>
        </w:tc>
      </w:tr>
      <w:tr>
        <w:trPr>
          <w:trHeight w:val="225" w:hRule="atLeast"/>
        </w:trPr>
        <w:tc>
          <w:tcPr>
            <w:tcW w:w="1966" w:type="dxa"/>
          </w:tcPr>
          <w:p>
            <w:pPr>
              <w:pStyle w:val="TableParagraph"/>
              <w:spacing w:line="199" w:lineRule="exact" w:before="6"/>
              <w:ind w:left="523"/>
              <w:rPr>
                <w:sz w:val="18"/>
              </w:rPr>
            </w:pPr>
            <w:r>
              <w:rPr>
                <w:spacing w:val="-2"/>
                <w:sz w:val="18"/>
              </w:rPr>
              <w:t>LEVERAGE</w:t>
            </w:r>
          </w:p>
        </w:tc>
        <w:tc>
          <w:tcPr>
            <w:tcW w:w="1250" w:type="dxa"/>
          </w:tcPr>
          <w:p>
            <w:pPr>
              <w:pStyle w:val="TableParagraph"/>
              <w:spacing w:line="199" w:lineRule="exact" w:before="6"/>
              <w:ind w:right="104"/>
              <w:jc w:val="right"/>
              <w:rPr>
                <w:sz w:val="18"/>
              </w:rPr>
            </w:pPr>
            <w:r>
              <w:rPr>
                <w:spacing w:val="-2"/>
                <w:sz w:val="18"/>
              </w:rPr>
              <w:t>0.477884</w:t>
            </w:r>
          </w:p>
        </w:tc>
        <w:tc>
          <w:tcPr>
            <w:tcW w:w="1300" w:type="dxa"/>
          </w:tcPr>
          <w:p>
            <w:pPr>
              <w:pStyle w:val="TableParagraph"/>
              <w:spacing w:line="199" w:lineRule="exact" w:before="6"/>
              <w:ind w:left="155" w:right="2"/>
              <w:jc w:val="center"/>
              <w:rPr>
                <w:sz w:val="18"/>
              </w:rPr>
            </w:pPr>
            <w:r>
              <w:rPr>
                <w:spacing w:val="-2"/>
                <w:sz w:val="18"/>
              </w:rPr>
              <w:t>0.302899</w:t>
            </w:r>
          </w:p>
        </w:tc>
        <w:tc>
          <w:tcPr>
            <w:tcW w:w="1131" w:type="dxa"/>
          </w:tcPr>
          <w:p>
            <w:pPr>
              <w:pStyle w:val="TableParagraph"/>
              <w:spacing w:line="199" w:lineRule="exact" w:before="6"/>
              <w:ind w:left="147" w:right="14"/>
              <w:jc w:val="center"/>
              <w:rPr>
                <w:sz w:val="18"/>
              </w:rPr>
            </w:pPr>
            <w:r>
              <w:rPr>
                <w:spacing w:val="-2"/>
                <w:sz w:val="18"/>
              </w:rPr>
              <w:t>1.577699</w:t>
            </w:r>
          </w:p>
        </w:tc>
        <w:tc>
          <w:tcPr>
            <w:tcW w:w="884" w:type="dxa"/>
          </w:tcPr>
          <w:p>
            <w:pPr>
              <w:pStyle w:val="TableParagraph"/>
              <w:spacing w:line="199" w:lineRule="exact" w:before="6"/>
              <w:ind w:right="6"/>
              <w:jc w:val="right"/>
              <w:rPr>
                <w:sz w:val="18"/>
              </w:rPr>
            </w:pPr>
            <w:r>
              <w:rPr>
                <w:spacing w:val="-2"/>
                <w:sz w:val="18"/>
              </w:rPr>
              <w:t>0.1165</w:t>
            </w:r>
          </w:p>
        </w:tc>
      </w:tr>
      <w:tr>
        <w:trPr>
          <w:trHeight w:val="224" w:hRule="atLeast"/>
        </w:trPr>
        <w:tc>
          <w:tcPr>
            <w:tcW w:w="1966" w:type="dxa"/>
          </w:tcPr>
          <w:p>
            <w:pPr>
              <w:pStyle w:val="TableParagraph"/>
              <w:spacing w:line="198" w:lineRule="exact" w:before="6"/>
              <w:ind w:left="50" w:right="3"/>
              <w:jc w:val="center"/>
              <w:rPr>
                <w:sz w:val="18"/>
              </w:rPr>
            </w:pPr>
            <w:r>
              <w:rPr>
                <w:spacing w:val="-4"/>
                <w:sz w:val="18"/>
              </w:rPr>
              <w:t>IFRS</w:t>
            </w:r>
          </w:p>
        </w:tc>
        <w:tc>
          <w:tcPr>
            <w:tcW w:w="1250" w:type="dxa"/>
          </w:tcPr>
          <w:p>
            <w:pPr>
              <w:pStyle w:val="TableParagraph"/>
              <w:spacing w:line="198" w:lineRule="exact" w:before="6"/>
              <w:ind w:right="104"/>
              <w:jc w:val="right"/>
              <w:rPr>
                <w:sz w:val="18"/>
              </w:rPr>
            </w:pPr>
            <w:r>
              <w:rPr>
                <w:spacing w:val="-2"/>
                <w:sz w:val="18"/>
              </w:rPr>
              <w:t>-0.714270</w:t>
            </w:r>
          </w:p>
        </w:tc>
        <w:tc>
          <w:tcPr>
            <w:tcW w:w="1300" w:type="dxa"/>
          </w:tcPr>
          <w:p>
            <w:pPr>
              <w:pStyle w:val="TableParagraph"/>
              <w:spacing w:line="198" w:lineRule="exact" w:before="6"/>
              <w:ind w:left="155" w:right="2"/>
              <w:jc w:val="center"/>
              <w:rPr>
                <w:sz w:val="18"/>
              </w:rPr>
            </w:pPr>
            <w:r>
              <w:rPr>
                <w:spacing w:val="-2"/>
                <w:sz w:val="18"/>
              </w:rPr>
              <w:t>1.751289</w:t>
            </w:r>
          </w:p>
        </w:tc>
        <w:tc>
          <w:tcPr>
            <w:tcW w:w="1131" w:type="dxa"/>
          </w:tcPr>
          <w:p>
            <w:pPr>
              <w:pStyle w:val="TableParagraph"/>
              <w:spacing w:line="198" w:lineRule="exact" w:before="6"/>
              <w:ind w:left="147" w:right="74"/>
              <w:jc w:val="center"/>
              <w:rPr>
                <w:sz w:val="18"/>
              </w:rPr>
            </w:pPr>
            <w:r>
              <w:rPr>
                <w:spacing w:val="-2"/>
                <w:sz w:val="18"/>
              </w:rPr>
              <w:t>-0.407854</w:t>
            </w:r>
          </w:p>
        </w:tc>
        <w:tc>
          <w:tcPr>
            <w:tcW w:w="884" w:type="dxa"/>
          </w:tcPr>
          <w:p>
            <w:pPr>
              <w:pStyle w:val="TableParagraph"/>
              <w:spacing w:line="198" w:lineRule="exact" w:before="6"/>
              <w:ind w:right="6"/>
              <w:jc w:val="right"/>
              <w:rPr>
                <w:sz w:val="18"/>
              </w:rPr>
            </w:pPr>
            <w:r>
              <w:rPr>
                <w:spacing w:val="-2"/>
                <w:sz w:val="18"/>
              </w:rPr>
              <w:t>0.6839</w:t>
            </w:r>
          </w:p>
        </w:tc>
      </w:tr>
      <w:tr>
        <w:trPr>
          <w:trHeight w:val="224" w:hRule="atLeast"/>
        </w:trPr>
        <w:tc>
          <w:tcPr>
            <w:tcW w:w="1966" w:type="dxa"/>
          </w:tcPr>
          <w:p>
            <w:pPr>
              <w:pStyle w:val="TableParagraph"/>
              <w:spacing w:line="199" w:lineRule="exact" w:before="5"/>
              <w:ind w:left="343"/>
              <w:rPr>
                <w:sz w:val="18"/>
              </w:rPr>
            </w:pPr>
            <w:r>
              <w:rPr>
                <w:spacing w:val="-2"/>
                <w:sz w:val="18"/>
              </w:rPr>
              <w:t>INSTOWN*IFRS</w:t>
            </w:r>
          </w:p>
        </w:tc>
        <w:tc>
          <w:tcPr>
            <w:tcW w:w="1250" w:type="dxa"/>
          </w:tcPr>
          <w:p>
            <w:pPr>
              <w:pStyle w:val="TableParagraph"/>
              <w:spacing w:line="199" w:lineRule="exact" w:before="5"/>
              <w:ind w:right="104"/>
              <w:jc w:val="right"/>
              <w:rPr>
                <w:sz w:val="18"/>
              </w:rPr>
            </w:pPr>
            <w:r>
              <w:rPr>
                <w:spacing w:val="-2"/>
                <w:sz w:val="18"/>
              </w:rPr>
              <w:t>-0.179260</w:t>
            </w:r>
          </w:p>
        </w:tc>
        <w:tc>
          <w:tcPr>
            <w:tcW w:w="1300" w:type="dxa"/>
          </w:tcPr>
          <w:p>
            <w:pPr>
              <w:pStyle w:val="TableParagraph"/>
              <w:spacing w:line="199" w:lineRule="exact" w:before="5"/>
              <w:ind w:left="155" w:right="2"/>
              <w:jc w:val="center"/>
              <w:rPr>
                <w:sz w:val="18"/>
              </w:rPr>
            </w:pPr>
            <w:r>
              <w:rPr>
                <w:spacing w:val="-2"/>
                <w:sz w:val="18"/>
              </w:rPr>
              <w:t>0.051480</w:t>
            </w:r>
          </w:p>
        </w:tc>
        <w:tc>
          <w:tcPr>
            <w:tcW w:w="1131" w:type="dxa"/>
          </w:tcPr>
          <w:p>
            <w:pPr>
              <w:pStyle w:val="TableParagraph"/>
              <w:spacing w:line="199" w:lineRule="exact" w:before="5"/>
              <w:ind w:left="147" w:right="74"/>
              <w:jc w:val="center"/>
              <w:rPr>
                <w:sz w:val="18"/>
              </w:rPr>
            </w:pPr>
            <w:r>
              <w:rPr>
                <w:spacing w:val="-2"/>
                <w:sz w:val="18"/>
              </w:rPr>
              <w:t>-3.482150</w:t>
            </w:r>
          </w:p>
        </w:tc>
        <w:tc>
          <w:tcPr>
            <w:tcW w:w="884" w:type="dxa"/>
          </w:tcPr>
          <w:p>
            <w:pPr>
              <w:pStyle w:val="TableParagraph"/>
              <w:spacing w:line="199" w:lineRule="exact" w:before="5"/>
              <w:ind w:right="6"/>
              <w:jc w:val="right"/>
              <w:rPr>
                <w:sz w:val="18"/>
              </w:rPr>
            </w:pPr>
            <w:r>
              <w:rPr>
                <w:spacing w:val="-2"/>
                <w:sz w:val="18"/>
              </w:rPr>
              <w:t>0.0006</w:t>
            </w:r>
          </w:p>
        </w:tc>
      </w:tr>
      <w:tr>
        <w:trPr>
          <w:trHeight w:val="225" w:hRule="atLeast"/>
        </w:trPr>
        <w:tc>
          <w:tcPr>
            <w:tcW w:w="1966" w:type="dxa"/>
          </w:tcPr>
          <w:p>
            <w:pPr>
              <w:pStyle w:val="TableParagraph"/>
              <w:spacing w:line="199" w:lineRule="exact" w:before="6"/>
              <w:ind w:left="472"/>
              <w:rPr>
                <w:sz w:val="18"/>
              </w:rPr>
            </w:pPr>
            <w:r>
              <w:rPr>
                <w:spacing w:val="-2"/>
                <w:sz w:val="18"/>
              </w:rPr>
              <w:t>MOWN*IFRS</w:t>
            </w:r>
          </w:p>
        </w:tc>
        <w:tc>
          <w:tcPr>
            <w:tcW w:w="1250" w:type="dxa"/>
          </w:tcPr>
          <w:p>
            <w:pPr>
              <w:pStyle w:val="TableParagraph"/>
              <w:spacing w:line="199" w:lineRule="exact" w:before="6"/>
              <w:ind w:right="104"/>
              <w:jc w:val="right"/>
              <w:rPr>
                <w:sz w:val="18"/>
              </w:rPr>
            </w:pPr>
            <w:r>
              <w:rPr>
                <w:spacing w:val="-2"/>
                <w:sz w:val="18"/>
              </w:rPr>
              <w:t>0.012881</w:t>
            </w:r>
          </w:p>
        </w:tc>
        <w:tc>
          <w:tcPr>
            <w:tcW w:w="1300" w:type="dxa"/>
          </w:tcPr>
          <w:p>
            <w:pPr>
              <w:pStyle w:val="TableParagraph"/>
              <w:spacing w:line="199" w:lineRule="exact" w:before="6"/>
              <w:ind w:left="155" w:right="2"/>
              <w:jc w:val="center"/>
              <w:rPr>
                <w:sz w:val="18"/>
              </w:rPr>
            </w:pPr>
            <w:r>
              <w:rPr>
                <w:spacing w:val="-2"/>
                <w:sz w:val="18"/>
              </w:rPr>
              <w:t>0.031768</w:t>
            </w:r>
          </w:p>
        </w:tc>
        <w:tc>
          <w:tcPr>
            <w:tcW w:w="1131" w:type="dxa"/>
          </w:tcPr>
          <w:p>
            <w:pPr>
              <w:pStyle w:val="TableParagraph"/>
              <w:spacing w:line="199" w:lineRule="exact" w:before="6"/>
              <w:ind w:left="147" w:right="14"/>
              <w:jc w:val="center"/>
              <w:rPr>
                <w:sz w:val="18"/>
              </w:rPr>
            </w:pPr>
            <w:r>
              <w:rPr>
                <w:spacing w:val="-2"/>
                <w:sz w:val="18"/>
              </w:rPr>
              <w:t>0.405453</w:t>
            </w:r>
          </w:p>
        </w:tc>
        <w:tc>
          <w:tcPr>
            <w:tcW w:w="884" w:type="dxa"/>
          </w:tcPr>
          <w:p>
            <w:pPr>
              <w:pStyle w:val="TableParagraph"/>
              <w:spacing w:line="199" w:lineRule="exact" w:before="6"/>
              <w:ind w:right="6"/>
              <w:jc w:val="right"/>
              <w:rPr>
                <w:sz w:val="18"/>
              </w:rPr>
            </w:pPr>
            <w:r>
              <w:rPr>
                <w:spacing w:val="-2"/>
                <w:sz w:val="18"/>
              </w:rPr>
              <w:t>0.6857</w:t>
            </w:r>
          </w:p>
        </w:tc>
      </w:tr>
      <w:tr>
        <w:trPr>
          <w:trHeight w:val="225" w:hRule="atLeast"/>
        </w:trPr>
        <w:tc>
          <w:tcPr>
            <w:tcW w:w="1966" w:type="dxa"/>
          </w:tcPr>
          <w:p>
            <w:pPr>
              <w:pStyle w:val="TableParagraph"/>
              <w:spacing w:line="199" w:lineRule="exact" w:before="6"/>
              <w:ind w:left="491"/>
              <w:rPr>
                <w:sz w:val="18"/>
              </w:rPr>
            </w:pPr>
            <w:r>
              <w:rPr>
                <w:spacing w:val="-2"/>
                <w:sz w:val="18"/>
              </w:rPr>
              <w:t>FOWN*IFRS</w:t>
            </w:r>
          </w:p>
        </w:tc>
        <w:tc>
          <w:tcPr>
            <w:tcW w:w="1250" w:type="dxa"/>
          </w:tcPr>
          <w:p>
            <w:pPr>
              <w:pStyle w:val="TableParagraph"/>
              <w:spacing w:line="199" w:lineRule="exact" w:before="6"/>
              <w:ind w:right="104"/>
              <w:jc w:val="right"/>
              <w:rPr>
                <w:sz w:val="18"/>
              </w:rPr>
            </w:pPr>
            <w:r>
              <w:rPr>
                <w:spacing w:val="-2"/>
                <w:sz w:val="18"/>
              </w:rPr>
              <w:t>0.085227</w:t>
            </w:r>
          </w:p>
        </w:tc>
        <w:tc>
          <w:tcPr>
            <w:tcW w:w="1300" w:type="dxa"/>
          </w:tcPr>
          <w:p>
            <w:pPr>
              <w:pStyle w:val="TableParagraph"/>
              <w:spacing w:line="199" w:lineRule="exact" w:before="6"/>
              <w:ind w:left="155" w:right="2"/>
              <w:jc w:val="center"/>
              <w:rPr>
                <w:sz w:val="18"/>
              </w:rPr>
            </w:pPr>
            <w:r>
              <w:rPr>
                <w:spacing w:val="-2"/>
                <w:sz w:val="18"/>
              </w:rPr>
              <w:t>0.041191</w:t>
            </w:r>
          </w:p>
        </w:tc>
        <w:tc>
          <w:tcPr>
            <w:tcW w:w="1131" w:type="dxa"/>
          </w:tcPr>
          <w:p>
            <w:pPr>
              <w:pStyle w:val="TableParagraph"/>
              <w:spacing w:line="199" w:lineRule="exact" w:before="6"/>
              <w:ind w:left="147" w:right="14"/>
              <w:jc w:val="center"/>
              <w:rPr>
                <w:sz w:val="18"/>
              </w:rPr>
            </w:pPr>
            <w:r>
              <w:rPr>
                <w:spacing w:val="-2"/>
                <w:sz w:val="18"/>
              </w:rPr>
              <w:t>2.069057</w:t>
            </w:r>
          </w:p>
        </w:tc>
        <w:tc>
          <w:tcPr>
            <w:tcW w:w="884" w:type="dxa"/>
          </w:tcPr>
          <w:p>
            <w:pPr>
              <w:pStyle w:val="TableParagraph"/>
              <w:spacing w:line="199" w:lineRule="exact" w:before="6"/>
              <w:ind w:right="6"/>
              <w:jc w:val="right"/>
              <w:rPr>
                <w:sz w:val="18"/>
              </w:rPr>
            </w:pPr>
            <w:r>
              <w:rPr>
                <w:spacing w:val="-2"/>
                <w:sz w:val="18"/>
              </w:rPr>
              <w:t>0.0401</w:t>
            </w:r>
          </w:p>
        </w:tc>
      </w:tr>
      <w:tr>
        <w:trPr>
          <w:trHeight w:val="301" w:hRule="atLeast"/>
        </w:trPr>
        <w:tc>
          <w:tcPr>
            <w:tcW w:w="1966" w:type="dxa"/>
            <w:tcBorders>
              <w:bottom w:val="double" w:sz="6" w:space="0" w:color="000000"/>
            </w:tcBorders>
          </w:tcPr>
          <w:p>
            <w:pPr>
              <w:pStyle w:val="TableParagraph"/>
              <w:spacing w:before="6"/>
              <w:ind w:left="436"/>
              <w:rPr>
                <w:sz w:val="18"/>
              </w:rPr>
            </w:pPr>
            <w:r>
              <w:rPr>
                <w:spacing w:val="-2"/>
                <w:sz w:val="18"/>
              </w:rPr>
              <w:t>BLOWN*IFRS</w:t>
            </w:r>
          </w:p>
        </w:tc>
        <w:tc>
          <w:tcPr>
            <w:tcW w:w="1250" w:type="dxa"/>
            <w:tcBorders>
              <w:bottom w:val="double" w:sz="6" w:space="0" w:color="000000"/>
            </w:tcBorders>
          </w:tcPr>
          <w:p>
            <w:pPr>
              <w:pStyle w:val="TableParagraph"/>
              <w:spacing w:before="6"/>
              <w:ind w:right="104"/>
              <w:jc w:val="right"/>
              <w:rPr>
                <w:sz w:val="18"/>
              </w:rPr>
            </w:pPr>
            <w:r>
              <w:rPr>
                <w:spacing w:val="-2"/>
                <w:sz w:val="18"/>
              </w:rPr>
              <w:t>0.148537</w:t>
            </w:r>
          </w:p>
        </w:tc>
        <w:tc>
          <w:tcPr>
            <w:tcW w:w="1300" w:type="dxa"/>
            <w:tcBorders>
              <w:bottom w:val="double" w:sz="6" w:space="0" w:color="000000"/>
            </w:tcBorders>
          </w:tcPr>
          <w:p>
            <w:pPr>
              <w:pStyle w:val="TableParagraph"/>
              <w:spacing w:before="6"/>
              <w:ind w:left="155" w:right="2"/>
              <w:jc w:val="center"/>
              <w:rPr>
                <w:sz w:val="18"/>
              </w:rPr>
            </w:pPr>
            <w:r>
              <w:rPr>
                <w:spacing w:val="-2"/>
                <w:sz w:val="18"/>
              </w:rPr>
              <w:t>0.040667</w:t>
            </w:r>
          </w:p>
        </w:tc>
        <w:tc>
          <w:tcPr>
            <w:tcW w:w="1131" w:type="dxa"/>
            <w:tcBorders>
              <w:bottom w:val="double" w:sz="6" w:space="0" w:color="000000"/>
            </w:tcBorders>
          </w:tcPr>
          <w:p>
            <w:pPr>
              <w:pStyle w:val="TableParagraph"/>
              <w:spacing w:before="6"/>
              <w:ind w:left="147" w:right="14"/>
              <w:jc w:val="center"/>
              <w:rPr>
                <w:sz w:val="18"/>
              </w:rPr>
            </w:pPr>
            <w:r>
              <w:rPr>
                <w:spacing w:val="-2"/>
                <w:sz w:val="18"/>
              </w:rPr>
              <w:t>3.652506</w:t>
            </w:r>
          </w:p>
        </w:tc>
        <w:tc>
          <w:tcPr>
            <w:tcW w:w="884" w:type="dxa"/>
            <w:tcBorders>
              <w:bottom w:val="double" w:sz="6" w:space="0" w:color="000000"/>
            </w:tcBorders>
          </w:tcPr>
          <w:p>
            <w:pPr>
              <w:pStyle w:val="TableParagraph"/>
              <w:spacing w:before="6"/>
              <w:ind w:right="6"/>
              <w:jc w:val="right"/>
              <w:rPr>
                <w:sz w:val="18"/>
              </w:rPr>
            </w:pPr>
            <w:r>
              <w:rPr>
                <w:spacing w:val="-2"/>
                <w:sz w:val="18"/>
              </w:rPr>
              <w:t>0.0003</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left="3" w:right="187"/>
              <w:jc w:val="center"/>
              <w:rPr>
                <w:sz w:val="18"/>
              </w:rPr>
            </w:pPr>
            <w:r>
              <w:rPr>
                <w:sz w:val="18"/>
              </w:rPr>
              <w:t>Effects </w:t>
            </w:r>
            <w:r>
              <w:rPr>
                <w:spacing w:val="-2"/>
                <w:sz w:val="18"/>
              </w:rPr>
              <w:t>Specification</w:t>
            </w:r>
          </w:p>
        </w:tc>
      </w:tr>
      <w:tr>
        <w:trPr>
          <w:trHeight w:val="403" w:hRule="atLeast"/>
        </w:trPr>
        <w:tc>
          <w:tcPr>
            <w:tcW w:w="6531" w:type="dxa"/>
            <w:gridSpan w:val="5"/>
            <w:tcBorders>
              <w:top w:val="double" w:sz="6" w:space="0" w:color="000000"/>
              <w:bottom w:val="double" w:sz="6" w:space="0" w:color="000000"/>
            </w:tcBorders>
          </w:tcPr>
          <w:p>
            <w:pPr>
              <w:pStyle w:val="TableParagraph"/>
              <w:spacing w:before="108"/>
              <w:rPr>
                <w:sz w:val="18"/>
              </w:rPr>
            </w:pPr>
            <w:r>
              <w:rPr>
                <w:sz w:val="18"/>
              </w:rPr>
              <w:t>Cross-section</w:t>
            </w:r>
            <w:r>
              <w:rPr>
                <w:spacing w:val="-11"/>
                <w:sz w:val="18"/>
              </w:rPr>
              <w:t> </w:t>
            </w:r>
            <w:r>
              <w:rPr>
                <w:sz w:val="18"/>
              </w:rPr>
              <w:t>fixed</w:t>
            </w:r>
            <w:r>
              <w:rPr>
                <w:spacing w:val="-11"/>
                <w:sz w:val="18"/>
              </w:rPr>
              <w:t> </w:t>
            </w:r>
            <w:r>
              <w:rPr>
                <w:sz w:val="18"/>
              </w:rPr>
              <w:t>(dummy</w:t>
            </w:r>
            <w:r>
              <w:rPr>
                <w:spacing w:val="-10"/>
                <w:sz w:val="18"/>
              </w:rPr>
              <w:t> </w:t>
            </w:r>
            <w:r>
              <w:rPr>
                <w:spacing w:val="-2"/>
                <w:sz w:val="18"/>
              </w:rPr>
              <w:t>variables)</w:t>
            </w: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right="187"/>
              <w:jc w:val="center"/>
              <w:rPr>
                <w:sz w:val="18"/>
              </w:rPr>
            </w:pPr>
            <w:r>
              <w:rPr>
                <w:sz w:val="18"/>
              </w:rPr>
              <w:t>Weighted</w:t>
            </w:r>
            <w:r>
              <w:rPr>
                <w:spacing w:val="-3"/>
                <w:sz w:val="18"/>
              </w:rPr>
              <w:t> </w:t>
            </w:r>
            <w:r>
              <w:rPr>
                <w:spacing w:val="-2"/>
                <w:sz w:val="18"/>
              </w:rPr>
              <w:t>Statistics</w:t>
            </w:r>
          </w:p>
        </w:tc>
      </w:tr>
      <w:tr>
        <w:trPr>
          <w:trHeight w:val="326" w:hRule="atLeast"/>
        </w:trPr>
        <w:tc>
          <w:tcPr>
            <w:tcW w:w="1966" w:type="dxa"/>
            <w:tcBorders>
              <w:top w:val="double" w:sz="6" w:space="0" w:color="000000"/>
            </w:tcBorders>
          </w:tcPr>
          <w:p>
            <w:pPr>
              <w:pStyle w:val="TableParagraph"/>
              <w:spacing w:line="198" w:lineRule="exact" w:before="108"/>
              <w:rPr>
                <w:sz w:val="18"/>
              </w:rPr>
            </w:pPr>
            <w:r>
              <w:rPr>
                <w:spacing w:val="-2"/>
                <w:sz w:val="18"/>
              </w:rPr>
              <w:t>R-squared</w:t>
            </w:r>
          </w:p>
        </w:tc>
        <w:tc>
          <w:tcPr>
            <w:tcW w:w="1250" w:type="dxa"/>
            <w:tcBorders>
              <w:top w:val="double" w:sz="6" w:space="0" w:color="000000"/>
            </w:tcBorders>
          </w:tcPr>
          <w:p>
            <w:pPr>
              <w:pStyle w:val="TableParagraph"/>
              <w:spacing w:line="198" w:lineRule="exact" w:before="108"/>
              <w:ind w:right="104"/>
              <w:jc w:val="right"/>
              <w:rPr>
                <w:sz w:val="18"/>
              </w:rPr>
            </w:pPr>
            <w:r>
              <w:rPr>
                <w:spacing w:val="-2"/>
                <w:sz w:val="18"/>
              </w:rPr>
              <w:t>0.605647</w:t>
            </w:r>
          </w:p>
        </w:tc>
        <w:tc>
          <w:tcPr>
            <w:tcW w:w="2431" w:type="dxa"/>
            <w:gridSpan w:val="2"/>
            <w:tcBorders>
              <w:top w:val="double" w:sz="6" w:space="0" w:color="000000"/>
            </w:tcBorders>
          </w:tcPr>
          <w:p>
            <w:pPr>
              <w:pStyle w:val="TableParagraph"/>
              <w:spacing w:line="198" w:lineRule="exact" w:before="108"/>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8"/>
              <w:ind w:right="6"/>
              <w:jc w:val="right"/>
              <w:rPr>
                <w:sz w:val="18"/>
              </w:rPr>
            </w:pPr>
            <w:r>
              <w:rPr>
                <w:spacing w:val="-2"/>
                <w:sz w:val="18"/>
              </w:rPr>
              <w:t>9.709103</w:t>
            </w:r>
          </w:p>
        </w:tc>
      </w:tr>
      <w:tr>
        <w:trPr>
          <w:trHeight w:val="224" w:hRule="atLeast"/>
        </w:trPr>
        <w:tc>
          <w:tcPr>
            <w:tcW w:w="1966" w:type="dxa"/>
          </w:tcPr>
          <w:p>
            <w:pPr>
              <w:pStyle w:val="TableParagraph"/>
              <w:spacing w:line="199" w:lineRule="exact" w:before="5"/>
              <w:rPr>
                <w:sz w:val="18"/>
              </w:rPr>
            </w:pPr>
            <w:r>
              <w:rPr>
                <w:sz w:val="18"/>
              </w:rPr>
              <w:t>Adjusted</w:t>
            </w:r>
            <w:r>
              <w:rPr>
                <w:spacing w:val="-9"/>
                <w:sz w:val="18"/>
              </w:rPr>
              <w:t> </w:t>
            </w:r>
            <w:r>
              <w:rPr>
                <w:sz w:val="18"/>
              </w:rPr>
              <w:t>R-</w:t>
            </w:r>
            <w:r>
              <w:rPr>
                <w:spacing w:val="-2"/>
                <w:sz w:val="18"/>
              </w:rPr>
              <w:t>squared</w:t>
            </w:r>
          </w:p>
        </w:tc>
        <w:tc>
          <w:tcPr>
            <w:tcW w:w="1250" w:type="dxa"/>
          </w:tcPr>
          <w:p>
            <w:pPr>
              <w:pStyle w:val="TableParagraph"/>
              <w:spacing w:line="199" w:lineRule="exact" w:before="5"/>
              <w:ind w:right="104"/>
              <w:jc w:val="right"/>
              <w:rPr>
                <w:sz w:val="18"/>
              </w:rPr>
            </w:pPr>
            <w:r>
              <w:rPr>
                <w:spacing w:val="-2"/>
                <w:sz w:val="18"/>
              </w:rPr>
              <w:t>0.549974</w:t>
            </w:r>
          </w:p>
        </w:tc>
        <w:tc>
          <w:tcPr>
            <w:tcW w:w="2431" w:type="dxa"/>
            <w:gridSpan w:val="2"/>
          </w:tcPr>
          <w:p>
            <w:pPr>
              <w:pStyle w:val="TableParagraph"/>
              <w:spacing w:line="199" w:lineRule="exact" w:before="5"/>
              <w:ind w:left="106"/>
              <w:rPr>
                <w:sz w:val="18"/>
              </w:rPr>
            </w:pPr>
            <w:r>
              <w:rPr>
                <w:sz w:val="18"/>
              </w:rPr>
              <w:t>S.D.</w:t>
            </w:r>
            <w:r>
              <w:rPr>
                <w:spacing w:val="-3"/>
                <w:sz w:val="18"/>
              </w:rPr>
              <w:t> </w:t>
            </w:r>
            <w:r>
              <w:rPr>
                <w:sz w:val="18"/>
              </w:rPr>
              <w:t>dependent</w:t>
            </w:r>
            <w:r>
              <w:rPr>
                <w:spacing w:val="-3"/>
                <w:sz w:val="18"/>
              </w:rPr>
              <w:t> </w:t>
            </w:r>
            <w:r>
              <w:rPr>
                <w:spacing w:val="-5"/>
                <w:sz w:val="18"/>
              </w:rPr>
              <w:t>var</w:t>
            </w:r>
          </w:p>
        </w:tc>
        <w:tc>
          <w:tcPr>
            <w:tcW w:w="884" w:type="dxa"/>
          </w:tcPr>
          <w:p>
            <w:pPr>
              <w:pStyle w:val="TableParagraph"/>
              <w:spacing w:line="199" w:lineRule="exact" w:before="5"/>
              <w:ind w:right="6"/>
              <w:jc w:val="right"/>
              <w:rPr>
                <w:sz w:val="18"/>
              </w:rPr>
            </w:pPr>
            <w:r>
              <w:rPr>
                <w:spacing w:val="-2"/>
                <w:sz w:val="18"/>
              </w:rPr>
              <w:t>7.990200</w:t>
            </w:r>
          </w:p>
        </w:tc>
      </w:tr>
      <w:tr>
        <w:trPr>
          <w:trHeight w:val="225" w:hRule="atLeast"/>
        </w:trPr>
        <w:tc>
          <w:tcPr>
            <w:tcW w:w="1966" w:type="dxa"/>
          </w:tcPr>
          <w:p>
            <w:pPr>
              <w:pStyle w:val="TableParagraph"/>
              <w:spacing w:line="199" w:lineRule="exact" w:before="6"/>
              <w:rPr>
                <w:sz w:val="18"/>
              </w:rPr>
            </w:pPr>
            <w:r>
              <w:rPr>
                <w:sz w:val="18"/>
              </w:rPr>
              <w:t>S.E.</w:t>
            </w:r>
            <w:r>
              <w:rPr>
                <w:spacing w:val="-2"/>
                <w:sz w:val="18"/>
              </w:rPr>
              <w:t> </w:t>
            </w:r>
            <w:r>
              <w:rPr>
                <w:sz w:val="18"/>
              </w:rPr>
              <w:t>of</w:t>
            </w:r>
            <w:r>
              <w:rPr>
                <w:spacing w:val="1"/>
                <w:sz w:val="18"/>
              </w:rPr>
              <w:t> </w:t>
            </w:r>
            <w:r>
              <w:rPr>
                <w:spacing w:val="-2"/>
                <w:sz w:val="18"/>
              </w:rPr>
              <w:t>regression</w:t>
            </w:r>
          </w:p>
        </w:tc>
        <w:tc>
          <w:tcPr>
            <w:tcW w:w="1250" w:type="dxa"/>
          </w:tcPr>
          <w:p>
            <w:pPr>
              <w:pStyle w:val="TableParagraph"/>
              <w:spacing w:line="199" w:lineRule="exact" w:before="6"/>
              <w:ind w:right="104"/>
              <w:jc w:val="right"/>
              <w:rPr>
                <w:sz w:val="18"/>
              </w:rPr>
            </w:pPr>
            <w:r>
              <w:rPr>
                <w:spacing w:val="-2"/>
                <w:sz w:val="18"/>
              </w:rPr>
              <w:t>6.944051</w:t>
            </w:r>
          </w:p>
        </w:tc>
        <w:tc>
          <w:tcPr>
            <w:tcW w:w="2431" w:type="dxa"/>
            <w:gridSpan w:val="2"/>
          </w:tcPr>
          <w:p>
            <w:pPr>
              <w:pStyle w:val="TableParagraph"/>
              <w:spacing w:line="199" w:lineRule="exact" w:before="6"/>
              <w:ind w:left="106"/>
              <w:rPr>
                <w:sz w:val="18"/>
              </w:rPr>
            </w:pPr>
            <w:r>
              <w:rPr>
                <w:sz w:val="18"/>
              </w:rPr>
              <w:t>Sum</w:t>
            </w:r>
            <w:r>
              <w:rPr>
                <w:spacing w:val="-5"/>
                <w:sz w:val="18"/>
              </w:rPr>
              <w:t> </w:t>
            </w:r>
            <w:r>
              <w:rPr>
                <w:sz w:val="18"/>
              </w:rPr>
              <w:t>squared</w:t>
            </w:r>
            <w:r>
              <w:rPr>
                <w:spacing w:val="-2"/>
                <w:sz w:val="18"/>
              </w:rPr>
              <w:t> resid</w:t>
            </w:r>
          </w:p>
        </w:tc>
        <w:tc>
          <w:tcPr>
            <w:tcW w:w="884" w:type="dxa"/>
          </w:tcPr>
          <w:p>
            <w:pPr>
              <w:pStyle w:val="TableParagraph"/>
              <w:spacing w:line="199" w:lineRule="exact" w:before="6"/>
              <w:ind w:right="6"/>
              <w:jc w:val="right"/>
              <w:rPr>
                <w:sz w:val="18"/>
              </w:rPr>
            </w:pPr>
            <w:r>
              <w:rPr>
                <w:spacing w:val="-2"/>
                <w:sz w:val="18"/>
              </w:rPr>
              <w:t>8197.373</w:t>
            </w:r>
          </w:p>
        </w:tc>
      </w:tr>
      <w:tr>
        <w:trPr>
          <w:trHeight w:val="225" w:hRule="atLeast"/>
        </w:trPr>
        <w:tc>
          <w:tcPr>
            <w:tcW w:w="1966" w:type="dxa"/>
          </w:tcPr>
          <w:p>
            <w:pPr>
              <w:pStyle w:val="TableParagraph"/>
              <w:spacing w:line="199" w:lineRule="exact" w:before="6"/>
              <w:rPr>
                <w:sz w:val="18"/>
              </w:rPr>
            </w:pPr>
            <w:r>
              <w:rPr>
                <w:spacing w:val="-2"/>
                <w:sz w:val="18"/>
              </w:rPr>
              <w:t>F-statistic</w:t>
            </w:r>
          </w:p>
        </w:tc>
        <w:tc>
          <w:tcPr>
            <w:tcW w:w="1250" w:type="dxa"/>
          </w:tcPr>
          <w:p>
            <w:pPr>
              <w:pStyle w:val="TableParagraph"/>
              <w:spacing w:line="199" w:lineRule="exact" w:before="6"/>
              <w:ind w:right="104"/>
              <w:jc w:val="right"/>
              <w:rPr>
                <w:sz w:val="18"/>
              </w:rPr>
            </w:pPr>
            <w:r>
              <w:rPr>
                <w:spacing w:val="-2"/>
                <w:sz w:val="18"/>
              </w:rPr>
              <w:t>10.87859</w:t>
            </w:r>
          </w:p>
        </w:tc>
        <w:tc>
          <w:tcPr>
            <w:tcW w:w="2431" w:type="dxa"/>
            <w:gridSpan w:val="2"/>
          </w:tcPr>
          <w:p>
            <w:pPr>
              <w:pStyle w:val="TableParagraph"/>
              <w:spacing w:line="199" w:lineRule="exact" w:before="6"/>
              <w:ind w:left="106"/>
              <w:rPr>
                <w:sz w:val="18"/>
              </w:rPr>
            </w:pPr>
            <w:r>
              <w:rPr>
                <w:spacing w:val="-2"/>
                <w:sz w:val="18"/>
              </w:rPr>
              <w:t>Durbin-Watson</w:t>
            </w:r>
            <w:r>
              <w:rPr>
                <w:spacing w:val="13"/>
                <w:sz w:val="18"/>
              </w:rPr>
              <w:t> </w:t>
            </w:r>
            <w:r>
              <w:rPr>
                <w:spacing w:val="-4"/>
                <w:sz w:val="18"/>
              </w:rPr>
              <w:t>stat</w:t>
            </w:r>
          </w:p>
        </w:tc>
        <w:tc>
          <w:tcPr>
            <w:tcW w:w="884" w:type="dxa"/>
          </w:tcPr>
          <w:p>
            <w:pPr>
              <w:pStyle w:val="TableParagraph"/>
              <w:spacing w:line="199" w:lineRule="exact" w:before="6"/>
              <w:ind w:right="6"/>
              <w:jc w:val="right"/>
              <w:rPr>
                <w:sz w:val="18"/>
              </w:rPr>
            </w:pPr>
            <w:r>
              <w:rPr>
                <w:spacing w:val="-2"/>
                <w:sz w:val="18"/>
              </w:rPr>
              <w:t>1.251552</w:t>
            </w:r>
          </w:p>
        </w:tc>
      </w:tr>
      <w:tr>
        <w:trPr>
          <w:trHeight w:val="301" w:hRule="atLeast"/>
        </w:trPr>
        <w:tc>
          <w:tcPr>
            <w:tcW w:w="1966" w:type="dxa"/>
            <w:tcBorders>
              <w:bottom w:val="double" w:sz="6" w:space="0" w:color="000000"/>
            </w:tcBorders>
          </w:tcPr>
          <w:p>
            <w:pPr>
              <w:pStyle w:val="TableParagraph"/>
              <w:spacing w:before="6"/>
              <w:rPr>
                <w:sz w:val="18"/>
              </w:rPr>
            </w:pPr>
            <w:r>
              <w:rPr>
                <w:spacing w:val="-2"/>
                <w:sz w:val="18"/>
              </w:rPr>
              <w:t>Prob(F-statistic)</w:t>
            </w:r>
          </w:p>
        </w:tc>
        <w:tc>
          <w:tcPr>
            <w:tcW w:w="1250" w:type="dxa"/>
            <w:tcBorders>
              <w:bottom w:val="double" w:sz="6" w:space="0" w:color="000000"/>
            </w:tcBorders>
          </w:tcPr>
          <w:p>
            <w:pPr>
              <w:pStyle w:val="TableParagraph"/>
              <w:spacing w:before="6"/>
              <w:ind w:right="104"/>
              <w:jc w:val="right"/>
              <w:rPr>
                <w:sz w:val="18"/>
              </w:rPr>
            </w:pPr>
            <w:r>
              <w:rPr>
                <w:spacing w:val="-2"/>
                <w:sz w:val="18"/>
              </w:rPr>
              <w:t>0.000000</w:t>
            </w:r>
          </w:p>
        </w:tc>
        <w:tc>
          <w:tcPr>
            <w:tcW w:w="1300" w:type="dxa"/>
            <w:tcBorders>
              <w:bottom w:val="double" w:sz="6" w:space="0" w:color="000000"/>
            </w:tcBorders>
          </w:tcPr>
          <w:p>
            <w:pPr>
              <w:pStyle w:val="TableParagraph"/>
              <w:rPr>
                <w:rFonts w:ascii="Times New Roman"/>
                <w:sz w:val="18"/>
              </w:rPr>
            </w:pPr>
          </w:p>
        </w:tc>
        <w:tc>
          <w:tcPr>
            <w:tcW w:w="1131" w:type="dxa"/>
            <w:tcBorders>
              <w:bottom w:val="double" w:sz="6" w:space="0" w:color="000000"/>
            </w:tcBorders>
          </w:tcPr>
          <w:p>
            <w:pPr>
              <w:pStyle w:val="TableParagraph"/>
              <w:rPr>
                <w:rFonts w:ascii="Times New Roman"/>
                <w:sz w:val="18"/>
              </w:rPr>
            </w:pPr>
          </w:p>
        </w:tc>
        <w:tc>
          <w:tcPr>
            <w:tcW w:w="884" w:type="dxa"/>
            <w:tcBorders>
              <w:bottom w:val="double" w:sz="6" w:space="0" w:color="000000"/>
            </w:tcBorders>
          </w:tcPr>
          <w:p>
            <w:pPr>
              <w:pStyle w:val="TableParagraph"/>
              <w:rPr>
                <w:rFonts w:ascii="Times New Roman"/>
                <w:sz w:val="18"/>
              </w:rPr>
            </w:pPr>
          </w:p>
        </w:tc>
      </w:tr>
      <w:tr>
        <w:trPr>
          <w:trHeight w:val="406" w:hRule="atLeast"/>
        </w:trPr>
        <w:tc>
          <w:tcPr>
            <w:tcW w:w="6531" w:type="dxa"/>
            <w:gridSpan w:val="5"/>
            <w:tcBorders>
              <w:top w:val="double" w:sz="6" w:space="0" w:color="000000"/>
              <w:bottom w:val="double" w:sz="6" w:space="0" w:color="000000"/>
            </w:tcBorders>
          </w:tcPr>
          <w:p>
            <w:pPr>
              <w:pStyle w:val="TableParagraph"/>
              <w:spacing w:before="108"/>
              <w:ind w:left="2" w:right="187"/>
              <w:jc w:val="center"/>
              <w:rPr>
                <w:sz w:val="18"/>
              </w:rPr>
            </w:pPr>
            <w:r>
              <w:rPr>
                <w:spacing w:val="-2"/>
                <w:sz w:val="18"/>
              </w:rPr>
              <w:t>Unweighted</w:t>
            </w:r>
            <w:r>
              <w:rPr>
                <w:spacing w:val="3"/>
                <w:sz w:val="18"/>
              </w:rPr>
              <w:t> </w:t>
            </w:r>
            <w:r>
              <w:rPr>
                <w:spacing w:val="-2"/>
                <w:sz w:val="18"/>
              </w:rPr>
              <w:t>Statistics</w:t>
            </w:r>
          </w:p>
        </w:tc>
      </w:tr>
      <w:tr>
        <w:trPr>
          <w:trHeight w:val="327" w:hRule="atLeast"/>
        </w:trPr>
        <w:tc>
          <w:tcPr>
            <w:tcW w:w="1966" w:type="dxa"/>
            <w:tcBorders>
              <w:top w:val="double" w:sz="6" w:space="0" w:color="000000"/>
            </w:tcBorders>
          </w:tcPr>
          <w:p>
            <w:pPr>
              <w:pStyle w:val="TableParagraph"/>
              <w:spacing w:line="198" w:lineRule="exact" w:before="109"/>
              <w:rPr>
                <w:sz w:val="18"/>
              </w:rPr>
            </w:pPr>
            <w:r>
              <w:rPr>
                <w:spacing w:val="-2"/>
                <w:sz w:val="18"/>
              </w:rPr>
              <w:t>R-squared</w:t>
            </w:r>
          </w:p>
        </w:tc>
        <w:tc>
          <w:tcPr>
            <w:tcW w:w="1250" w:type="dxa"/>
            <w:tcBorders>
              <w:top w:val="double" w:sz="6" w:space="0" w:color="000000"/>
            </w:tcBorders>
          </w:tcPr>
          <w:p>
            <w:pPr>
              <w:pStyle w:val="TableParagraph"/>
              <w:spacing w:line="198" w:lineRule="exact" w:before="109"/>
              <w:ind w:right="104"/>
              <w:jc w:val="right"/>
              <w:rPr>
                <w:sz w:val="18"/>
              </w:rPr>
            </w:pPr>
            <w:r>
              <w:rPr>
                <w:spacing w:val="-2"/>
                <w:sz w:val="18"/>
              </w:rPr>
              <w:t>0.507391</w:t>
            </w:r>
          </w:p>
        </w:tc>
        <w:tc>
          <w:tcPr>
            <w:tcW w:w="2431" w:type="dxa"/>
            <w:gridSpan w:val="2"/>
            <w:tcBorders>
              <w:top w:val="double" w:sz="6" w:space="0" w:color="000000"/>
            </w:tcBorders>
          </w:tcPr>
          <w:p>
            <w:pPr>
              <w:pStyle w:val="TableParagraph"/>
              <w:spacing w:line="198" w:lineRule="exact" w:before="109"/>
              <w:ind w:left="106"/>
              <w:rPr>
                <w:sz w:val="18"/>
              </w:rPr>
            </w:pPr>
            <w:r>
              <w:rPr>
                <w:sz w:val="18"/>
              </w:rPr>
              <w:t>Mean</w:t>
            </w:r>
            <w:r>
              <w:rPr>
                <w:spacing w:val="-11"/>
                <w:sz w:val="18"/>
              </w:rPr>
              <w:t> </w:t>
            </w:r>
            <w:r>
              <w:rPr>
                <w:sz w:val="18"/>
              </w:rPr>
              <w:t>dependent</w:t>
            </w:r>
            <w:r>
              <w:rPr>
                <w:spacing w:val="-11"/>
                <w:sz w:val="18"/>
              </w:rPr>
              <w:t> </w:t>
            </w:r>
            <w:r>
              <w:rPr>
                <w:spacing w:val="-5"/>
                <w:sz w:val="18"/>
              </w:rPr>
              <w:t>var</w:t>
            </w:r>
          </w:p>
        </w:tc>
        <w:tc>
          <w:tcPr>
            <w:tcW w:w="884" w:type="dxa"/>
            <w:tcBorders>
              <w:top w:val="double" w:sz="6" w:space="0" w:color="000000"/>
            </w:tcBorders>
          </w:tcPr>
          <w:p>
            <w:pPr>
              <w:pStyle w:val="TableParagraph"/>
              <w:spacing w:line="198" w:lineRule="exact" w:before="109"/>
              <w:ind w:right="6"/>
              <w:jc w:val="right"/>
              <w:rPr>
                <w:sz w:val="18"/>
              </w:rPr>
            </w:pPr>
            <w:r>
              <w:rPr>
                <w:spacing w:val="-2"/>
                <w:sz w:val="18"/>
              </w:rPr>
              <w:t>9.750667</w:t>
            </w:r>
          </w:p>
        </w:tc>
      </w:tr>
      <w:tr>
        <w:trPr>
          <w:trHeight w:val="302" w:hRule="atLeast"/>
        </w:trPr>
        <w:tc>
          <w:tcPr>
            <w:tcW w:w="1966" w:type="dxa"/>
            <w:tcBorders>
              <w:bottom w:val="double" w:sz="6" w:space="0" w:color="000000"/>
            </w:tcBorders>
          </w:tcPr>
          <w:p>
            <w:pPr>
              <w:pStyle w:val="TableParagraph"/>
              <w:spacing w:before="5"/>
              <w:rPr>
                <w:sz w:val="18"/>
              </w:rPr>
            </w:pPr>
            <w:r>
              <w:rPr>
                <w:sz w:val="18"/>
              </w:rPr>
              <w:t>Sum</w:t>
            </w:r>
            <w:r>
              <w:rPr>
                <w:spacing w:val="-3"/>
                <w:sz w:val="18"/>
              </w:rPr>
              <w:t> </w:t>
            </w:r>
            <w:r>
              <w:rPr>
                <w:sz w:val="18"/>
              </w:rPr>
              <w:t>squared</w:t>
            </w:r>
            <w:r>
              <w:rPr>
                <w:spacing w:val="-2"/>
                <w:sz w:val="18"/>
              </w:rPr>
              <w:t> resid</w:t>
            </w:r>
          </w:p>
        </w:tc>
        <w:tc>
          <w:tcPr>
            <w:tcW w:w="1250" w:type="dxa"/>
            <w:tcBorders>
              <w:bottom w:val="double" w:sz="6" w:space="0" w:color="000000"/>
            </w:tcBorders>
          </w:tcPr>
          <w:p>
            <w:pPr>
              <w:pStyle w:val="TableParagraph"/>
              <w:spacing w:before="5"/>
              <w:ind w:right="104"/>
              <w:jc w:val="right"/>
              <w:rPr>
                <w:sz w:val="18"/>
              </w:rPr>
            </w:pPr>
            <w:r>
              <w:rPr>
                <w:spacing w:val="-2"/>
                <w:sz w:val="18"/>
              </w:rPr>
              <w:t>10123.51</w:t>
            </w:r>
          </w:p>
        </w:tc>
        <w:tc>
          <w:tcPr>
            <w:tcW w:w="2431" w:type="dxa"/>
            <w:gridSpan w:val="2"/>
            <w:tcBorders>
              <w:bottom w:val="double" w:sz="6" w:space="0" w:color="000000"/>
            </w:tcBorders>
          </w:tcPr>
          <w:p>
            <w:pPr>
              <w:pStyle w:val="TableParagraph"/>
              <w:spacing w:before="5"/>
              <w:ind w:left="106"/>
              <w:rPr>
                <w:sz w:val="18"/>
              </w:rPr>
            </w:pPr>
            <w:r>
              <w:rPr>
                <w:spacing w:val="-2"/>
                <w:sz w:val="18"/>
              </w:rPr>
              <w:t>Durbin-Watson</w:t>
            </w:r>
            <w:r>
              <w:rPr>
                <w:spacing w:val="13"/>
                <w:sz w:val="18"/>
              </w:rPr>
              <w:t> </w:t>
            </w:r>
            <w:r>
              <w:rPr>
                <w:spacing w:val="-4"/>
                <w:sz w:val="18"/>
              </w:rPr>
              <w:t>stat</w:t>
            </w:r>
          </w:p>
        </w:tc>
        <w:tc>
          <w:tcPr>
            <w:tcW w:w="884" w:type="dxa"/>
            <w:tcBorders>
              <w:bottom w:val="double" w:sz="6" w:space="0" w:color="000000"/>
            </w:tcBorders>
          </w:tcPr>
          <w:p>
            <w:pPr>
              <w:pStyle w:val="TableParagraph"/>
              <w:spacing w:before="5"/>
              <w:ind w:right="6"/>
              <w:jc w:val="right"/>
              <w:rPr>
                <w:sz w:val="18"/>
              </w:rPr>
            </w:pPr>
            <w:r>
              <w:rPr>
                <w:spacing w:val="-2"/>
                <w:sz w:val="18"/>
              </w:rPr>
              <w:t>0.970860</w:t>
            </w:r>
          </w:p>
        </w:tc>
      </w:tr>
    </w:tbl>
    <w:p>
      <w:pPr>
        <w:spacing w:after="0"/>
        <w:jc w:val="right"/>
        <w:rPr>
          <w:sz w:val="18"/>
        </w:rPr>
        <w:sectPr>
          <w:pgSz w:w="11910" w:h="16840"/>
          <w:pgMar w:header="0" w:footer="971" w:top="1360" w:bottom="1160" w:left="500" w:right="0"/>
        </w:sectPr>
      </w:pPr>
    </w:p>
    <w:p>
      <w:pPr>
        <w:spacing w:before="61"/>
        <w:ind w:left="940" w:right="1436" w:firstLine="0"/>
        <w:jc w:val="left"/>
        <w:rPr>
          <w:b/>
          <w:sz w:val="24"/>
        </w:rPr>
      </w:pPr>
      <w:r>
        <w:rPr/>
        <w:drawing>
          <wp:anchor distT="0" distB="0" distL="0" distR="0" allowOverlap="1" layoutInCell="1" locked="0" behindDoc="1" simplePos="0" relativeHeight="477804032">
            <wp:simplePos x="0" y="0"/>
            <wp:positionH relativeFrom="page">
              <wp:posOffset>1095451</wp:posOffset>
            </wp:positionH>
            <wp:positionV relativeFrom="page">
              <wp:posOffset>2726054</wp:posOffset>
            </wp:positionV>
            <wp:extent cx="5106847" cy="5238115"/>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5" cstate="print"/>
                    <a:stretch>
                      <a:fillRect/>
                    </a:stretch>
                  </pic:blipFill>
                  <pic:spPr>
                    <a:xfrm>
                      <a:off x="0" y="0"/>
                      <a:ext cx="5106847" cy="5238115"/>
                    </a:xfrm>
                    <a:prstGeom prst="rect">
                      <a:avLst/>
                    </a:prstGeom>
                  </pic:spPr>
                </pic:pic>
              </a:graphicData>
            </a:graphic>
          </wp:anchor>
        </w:drawing>
      </w:r>
      <w:r>
        <w:rPr>
          <w:b/>
          <w:sz w:val="24"/>
        </w:rPr>
        <w:t>Appendix</w:t>
      </w:r>
      <w:r>
        <w:rPr>
          <w:b/>
          <w:spacing w:val="-4"/>
          <w:sz w:val="24"/>
        </w:rPr>
        <w:t> </w:t>
      </w:r>
      <w:r>
        <w:rPr>
          <w:b/>
          <w:sz w:val="24"/>
        </w:rPr>
        <w:t>25:</w:t>
      </w:r>
      <w:r>
        <w:rPr>
          <w:b/>
          <w:spacing w:val="-4"/>
          <w:sz w:val="24"/>
        </w:rPr>
        <w:t> </w:t>
      </w:r>
      <w:r>
        <w:rPr>
          <w:b/>
          <w:sz w:val="24"/>
        </w:rPr>
        <w:t>Table</w:t>
      </w:r>
      <w:r>
        <w:rPr>
          <w:b/>
          <w:spacing w:val="-4"/>
          <w:sz w:val="24"/>
        </w:rPr>
        <w:t> </w:t>
      </w:r>
      <w:r>
        <w:rPr>
          <w:b/>
          <w:sz w:val="24"/>
        </w:rPr>
        <w:t>4.11:</w:t>
      </w:r>
      <w:r>
        <w:rPr>
          <w:b/>
          <w:spacing w:val="-5"/>
          <w:sz w:val="24"/>
        </w:rPr>
        <w:t> </w:t>
      </w:r>
      <w:r>
        <w:rPr>
          <w:b/>
          <w:sz w:val="24"/>
        </w:rPr>
        <w:t>VREL</w:t>
      </w:r>
      <w:r>
        <w:rPr>
          <w:b/>
          <w:spacing w:val="-4"/>
          <w:sz w:val="24"/>
        </w:rPr>
        <w:t> </w:t>
      </w:r>
      <w:r>
        <w:rPr>
          <w:b/>
          <w:sz w:val="24"/>
        </w:rPr>
        <w:t>and</w:t>
      </w:r>
      <w:r>
        <w:rPr>
          <w:b/>
          <w:spacing w:val="-4"/>
          <w:sz w:val="24"/>
        </w:rPr>
        <w:t> </w:t>
      </w:r>
      <w:r>
        <w:rPr>
          <w:b/>
          <w:sz w:val="24"/>
        </w:rPr>
        <w:t>Ownership</w:t>
      </w:r>
      <w:r>
        <w:rPr>
          <w:b/>
          <w:spacing w:val="-4"/>
          <w:sz w:val="24"/>
        </w:rPr>
        <w:t> </w:t>
      </w:r>
      <w:r>
        <w:rPr>
          <w:b/>
          <w:sz w:val="24"/>
        </w:rPr>
        <w:t>Structure</w:t>
      </w:r>
      <w:r>
        <w:rPr>
          <w:b/>
          <w:spacing w:val="-5"/>
          <w:sz w:val="24"/>
        </w:rPr>
        <w:t> </w:t>
      </w:r>
      <w:r>
        <w:rPr>
          <w:b/>
          <w:sz w:val="24"/>
        </w:rPr>
        <w:t>Regression</w:t>
      </w:r>
      <w:r>
        <w:rPr>
          <w:b/>
          <w:spacing w:val="-4"/>
          <w:sz w:val="24"/>
        </w:rPr>
        <w:t> </w:t>
      </w:r>
      <w:r>
        <w:rPr>
          <w:b/>
          <w:sz w:val="24"/>
        </w:rPr>
        <w:t>Result</w:t>
      </w:r>
      <w:r>
        <w:rPr>
          <w:b/>
          <w:spacing w:val="40"/>
          <w:sz w:val="24"/>
        </w:rPr>
        <w:t> </w:t>
      </w:r>
      <w:r>
        <w:rPr>
          <w:b/>
          <w:sz w:val="24"/>
        </w:rPr>
        <w:t>(random </w:t>
      </w:r>
      <w:r>
        <w:rPr>
          <w:b/>
          <w:spacing w:val="-2"/>
          <w:sz w:val="24"/>
        </w:rPr>
        <w:t>Effects)</w:t>
      </w:r>
    </w:p>
    <w:p>
      <w:pPr>
        <w:pStyle w:val="BodyText"/>
        <w:rPr>
          <w:b/>
          <w:sz w:val="20"/>
        </w:rPr>
      </w:pPr>
    </w:p>
    <w:p>
      <w:pPr>
        <w:pStyle w:val="BodyText"/>
        <w:spacing w:before="49" w:after="1"/>
        <w:rPr>
          <w:b/>
          <w:sz w:val="20"/>
        </w:rPr>
      </w:pPr>
    </w:p>
    <w:tbl>
      <w:tblPr>
        <w:tblW w:w="0" w:type="auto"/>
        <w:jc w:val="left"/>
        <w:tblInd w:w="950"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2018"/>
        <w:gridCol w:w="1102"/>
        <w:gridCol w:w="1207"/>
        <w:gridCol w:w="1207"/>
        <w:gridCol w:w="998"/>
      </w:tblGrid>
      <w:tr>
        <w:trPr>
          <w:trHeight w:val="225" w:hRule="atLeast"/>
        </w:trPr>
        <w:tc>
          <w:tcPr>
            <w:tcW w:w="4327" w:type="dxa"/>
            <w:gridSpan w:val="3"/>
          </w:tcPr>
          <w:p>
            <w:pPr>
              <w:pStyle w:val="TableParagraph"/>
              <w:spacing w:line="205" w:lineRule="exact"/>
              <w:ind w:left="107"/>
              <w:rPr>
                <w:sz w:val="18"/>
              </w:rPr>
            </w:pPr>
            <w:r>
              <w:rPr>
                <w:spacing w:val="-2"/>
                <w:sz w:val="18"/>
              </w:rPr>
              <w:t>Dependent</w:t>
            </w:r>
            <w:r>
              <w:rPr>
                <w:spacing w:val="4"/>
                <w:sz w:val="18"/>
              </w:rPr>
              <w:t> </w:t>
            </w:r>
            <w:r>
              <w:rPr>
                <w:spacing w:val="-2"/>
                <w:sz w:val="18"/>
              </w:rPr>
              <w:t>Variable:</w:t>
            </w:r>
            <w:r>
              <w:rPr>
                <w:spacing w:val="6"/>
                <w:sz w:val="18"/>
              </w:rPr>
              <w:t> </w:t>
            </w:r>
            <w:r>
              <w:rPr>
                <w:spacing w:val="-4"/>
                <w:sz w:val="18"/>
              </w:rPr>
              <w:t>VREL</w:t>
            </w: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225" w:hRule="atLeast"/>
        </w:trPr>
        <w:tc>
          <w:tcPr>
            <w:tcW w:w="6532" w:type="dxa"/>
            <w:gridSpan w:val="5"/>
          </w:tcPr>
          <w:p>
            <w:pPr>
              <w:pStyle w:val="TableParagraph"/>
              <w:spacing w:line="205" w:lineRule="exact"/>
              <w:ind w:left="107"/>
              <w:rPr>
                <w:sz w:val="18"/>
              </w:rPr>
            </w:pPr>
            <w:r>
              <w:rPr>
                <w:sz w:val="18"/>
              </w:rPr>
              <w:t>Method:</w:t>
            </w:r>
            <w:r>
              <w:rPr>
                <w:spacing w:val="-9"/>
                <w:sz w:val="18"/>
              </w:rPr>
              <w:t> </w:t>
            </w:r>
            <w:r>
              <w:rPr>
                <w:sz w:val="18"/>
              </w:rPr>
              <w:t>Panel</w:t>
            </w:r>
            <w:r>
              <w:rPr>
                <w:spacing w:val="-8"/>
                <w:sz w:val="18"/>
              </w:rPr>
              <w:t> </w:t>
            </w:r>
            <w:r>
              <w:rPr>
                <w:sz w:val="18"/>
              </w:rPr>
              <w:t>EGLS</w:t>
            </w:r>
            <w:r>
              <w:rPr>
                <w:spacing w:val="-11"/>
                <w:sz w:val="18"/>
              </w:rPr>
              <w:t> </w:t>
            </w:r>
            <w:r>
              <w:rPr>
                <w:sz w:val="18"/>
              </w:rPr>
              <w:t>(Cross-section</w:t>
            </w:r>
            <w:r>
              <w:rPr>
                <w:spacing w:val="-9"/>
                <w:sz w:val="18"/>
              </w:rPr>
              <w:t> </w:t>
            </w:r>
            <w:r>
              <w:rPr>
                <w:sz w:val="18"/>
              </w:rPr>
              <w:t>random</w:t>
            </w:r>
            <w:r>
              <w:rPr>
                <w:spacing w:val="-8"/>
                <w:sz w:val="18"/>
              </w:rPr>
              <w:t> </w:t>
            </w:r>
            <w:r>
              <w:rPr>
                <w:spacing w:val="-2"/>
                <w:sz w:val="18"/>
              </w:rPr>
              <w:t>effects)</w:t>
            </w:r>
          </w:p>
        </w:tc>
      </w:tr>
      <w:tr>
        <w:trPr>
          <w:trHeight w:val="225" w:hRule="atLeast"/>
        </w:trPr>
        <w:tc>
          <w:tcPr>
            <w:tcW w:w="4327" w:type="dxa"/>
            <w:gridSpan w:val="3"/>
          </w:tcPr>
          <w:p>
            <w:pPr>
              <w:pStyle w:val="TableParagraph"/>
              <w:spacing w:line="205" w:lineRule="exact"/>
              <w:ind w:left="107"/>
              <w:rPr>
                <w:sz w:val="18"/>
              </w:rPr>
            </w:pPr>
            <w:r>
              <w:rPr>
                <w:sz w:val="18"/>
              </w:rPr>
              <w:t>Date:</w:t>
            </w:r>
            <w:r>
              <w:rPr>
                <w:spacing w:val="-3"/>
                <w:sz w:val="18"/>
              </w:rPr>
              <w:t> </w:t>
            </w:r>
            <w:r>
              <w:rPr>
                <w:sz w:val="18"/>
              </w:rPr>
              <w:t>04/30/21</w:t>
            </w:r>
            <w:r>
              <w:rPr>
                <w:spacing w:val="65"/>
                <w:w w:val="150"/>
                <w:sz w:val="18"/>
              </w:rPr>
              <w:t> </w:t>
            </w:r>
            <w:r>
              <w:rPr>
                <w:sz w:val="18"/>
              </w:rPr>
              <w:t>Time:</w:t>
            </w:r>
            <w:r>
              <w:rPr>
                <w:spacing w:val="-2"/>
                <w:sz w:val="18"/>
              </w:rPr>
              <w:t> </w:t>
            </w:r>
            <w:r>
              <w:rPr>
                <w:spacing w:val="-4"/>
                <w:sz w:val="18"/>
              </w:rPr>
              <w:t>08:39</w:t>
            </w: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225" w:hRule="atLeast"/>
        </w:trPr>
        <w:tc>
          <w:tcPr>
            <w:tcW w:w="4327" w:type="dxa"/>
            <w:gridSpan w:val="3"/>
          </w:tcPr>
          <w:p>
            <w:pPr>
              <w:pStyle w:val="TableParagraph"/>
              <w:spacing w:line="205" w:lineRule="exact"/>
              <w:ind w:left="107"/>
              <w:rPr>
                <w:sz w:val="18"/>
              </w:rPr>
            </w:pPr>
            <w:r>
              <w:rPr>
                <w:sz w:val="18"/>
              </w:rPr>
              <w:t>Sample:</w:t>
            </w:r>
            <w:r>
              <w:rPr>
                <w:spacing w:val="-7"/>
                <w:sz w:val="18"/>
              </w:rPr>
              <w:t> </w:t>
            </w:r>
            <w:r>
              <w:rPr>
                <w:sz w:val="18"/>
              </w:rPr>
              <w:t>2005</w:t>
            </w:r>
            <w:r>
              <w:rPr>
                <w:spacing w:val="-5"/>
                <w:sz w:val="18"/>
              </w:rPr>
              <w:t> </w:t>
            </w:r>
            <w:r>
              <w:rPr>
                <w:spacing w:val="-4"/>
                <w:sz w:val="18"/>
              </w:rPr>
              <w:t>2019</w:t>
            </w: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225" w:hRule="atLeast"/>
        </w:trPr>
        <w:tc>
          <w:tcPr>
            <w:tcW w:w="4327" w:type="dxa"/>
            <w:gridSpan w:val="3"/>
          </w:tcPr>
          <w:p>
            <w:pPr>
              <w:pStyle w:val="TableParagraph"/>
              <w:spacing w:line="205" w:lineRule="exact"/>
              <w:ind w:left="107"/>
              <w:rPr>
                <w:sz w:val="18"/>
              </w:rPr>
            </w:pPr>
            <w:r>
              <w:rPr>
                <w:sz w:val="18"/>
              </w:rPr>
              <w:t>Periods</w:t>
            </w:r>
            <w:r>
              <w:rPr>
                <w:spacing w:val="-4"/>
                <w:sz w:val="18"/>
              </w:rPr>
              <w:t> </w:t>
            </w:r>
            <w:r>
              <w:rPr>
                <w:sz w:val="18"/>
              </w:rPr>
              <w:t>included:</w:t>
            </w:r>
            <w:r>
              <w:rPr>
                <w:spacing w:val="-3"/>
                <w:sz w:val="18"/>
              </w:rPr>
              <w:t> </w:t>
            </w:r>
            <w:r>
              <w:rPr>
                <w:spacing w:val="-5"/>
                <w:sz w:val="18"/>
              </w:rPr>
              <w:t>15</w:t>
            </w: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222" w:hRule="atLeast"/>
        </w:trPr>
        <w:tc>
          <w:tcPr>
            <w:tcW w:w="4327" w:type="dxa"/>
            <w:gridSpan w:val="3"/>
          </w:tcPr>
          <w:p>
            <w:pPr>
              <w:pStyle w:val="TableParagraph"/>
              <w:spacing w:line="203" w:lineRule="exact"/>
              <w:ind w:left="107"/>
              <w:rPr>
                <w:sz w:val="18"/>
              </w:rPr>
            </w:pPr>
            <w:r>
              <w:rPr>
                <w:spacing w:val="-2"/>
                <w:sz w:val="18"/>
              </w:rPr>
              <w:t>Cross-sections</w:t>
            </w:r>
            <w:r>
              <w:rPr>
                <w:spacing w:val="9"/>
                <w:sz w:val="18"/>
              </w:rPr>
              <w:t> </w:t>
            </w:r>
            <w:r>
              <w:rPr>
                <w:spacing w:val="-2"/>
                <w:sz w:val="18"/>
              </w:rPr>
              <w:t>included:</w:t>
            </w:r>
            <w:r>
              <w:rPr>
                <w:spacing w:val="8"/>
                <w:sz w:val="18"/>
              </w:rPr>
              <w:t> </w:t>
            </w:r>
            <w:r>
              <w:rPr>
                <w:spacing w:val="-5"/>
                <w:sz w:val="18"/>
              </w:rPr>
              <w:t>13</w:t>
            </w:r>
          </w:p>
        </w:tc>
        <w:tc>
          <w:tcPr>
            <w:tcW w:w="1207" w:type="dxa"/>
          </w:tcPr>
          <w:p>
            <w:pPr>
              <w:pStyle w:val="TableParagraph"/>
              <w:rPr>
                <w:rFonts w:ascii="Times New Roman"/>
                <w:sz w:val="14"/>
              </w:rPr>
            </w:pPr>
          </w:p>
        </w:tc>
        <w:tc>
          <w:tcPr>
            <w:tcW w:w="998" w:type="dxa"/>
          </w:tcPr>
          <w:p>
            <w:pPr>
              <w:pStyle w:val="TableParagraph"/>
              <w:rPr>
                <w:rFonts w:ascii="Times New Roman"/>
                <w:sz w:val="14"/>
              </w:rPr>
            </w:pPr>
          </w:p>
        </w:tc>
      </w:tr>
      <w:tr>
        <w:trPr>
          <w:trHeight w:val="225" w:hRule="atLeast"/>
        </w:trPr>
        <w:tc>
          <w:tcPr>
            <w:tcW w:w="5534" w:type="dxa"/>
            <w:gridSpan w:val="4"/>
          </w:tcPr>
          <w:p>
            <w:pPr>
              <w:pStyle w:val="TableParagraph"/>
              <w:spacing w:line="204" w:lineRule="exact" w:before="1"/>
              <w:ind w:left="107"/>
              <w:rPr>
                <w:sz w:val="18"/>
              </w:rPr>
            </w:pPr>
            <w:r>
              <w:rPr>
                <w:sz w:val="18"/>
              </w:rPr>
              <w:t>Total</w:t>
            </w:r>
            <w:r>
              <w:rPr>
                <w:spacing w:val="-7"/>
                <w:sz w:val="18"/>
              </w:rPr>
              <w:t> </w:t>
            </w:r>
            <w:r>
              <w:rPr>
                <w:sz w:val="18"/>
              </w:rPr>
              <w:t>panel</w:t>
            </w:r>
            <w:r>
              <w:rPr>
                <w:spacing w:val="-4"/>
                <w:sz w:val="18"/>
              </w:rPr>
              <w:t> </w:t>
            </w:r>
            <w:r>
              <w:rPr>
                <w:sz w:val="18"/>
              </w:rPr>
              <w:t>(balanced)</w:t>
            </w:r>
            <w:r>
              <w:rPr>
                <w:spacing w:val="-4"/>
                <w:sz w:val="18"/>
              </w:rPr>
              <w:t> </w:t>
            </w:r>
            <w:r>
              <w:rPr>
                <w:sz w:val="18"/>
              </w:rPr>
              <w:t>observations:</w:t>
            </w:r>
            <w:r>
              <w:rPr>
                <w:spacing w:val="-4"/>
                <w:sz w:val="18"/>
              </w:rPr>
              <w:t> </w:t>
            </w:r>
            <w:r>
              <w:rPr>
                <w:spacing w:val="-5"/>
                <w:sz w:val="18"/>
              </w:rPr>
              <w:t>195</w:t>
            </w:r>
          </w:p>
        </w:tc>
        <w:tc>
          <w:tcPr>
            <w:tcW w:w="998" w:type="dxa"/>
          </w:tcPr>
          <w:p>
            <w:pPr>
              <w:pStyle w:val="TableParagraph"/>
              <w:rPr>
                <w:rFonts w:ascii="Times New Roman"/>
                <w:sz w:val="16"/>
              </w:rPr>
            </w:pPr>
          </w:p>
        </w:tc>
      </w:tr>
      <w:tr>
        <w:trPr>
          <w:trHeight w:val="225" w:hRule="atLeast"/>
        </w:trPr>
        <w:tc>
          <w:tcPr>
            <w:tcW w:w="6532" w:type="dxa"/>
            <w:gridSpan w:val="5"/>
          </w:tcPr>
          <w:p>
            <w:pPr>
              <w:pStyle w:val="TableParagraph"/>
              <w:spacing w:line="204" w:lineRule="exact" w:before="1"/>
              <w:ind w:left="107"/>
              <w:rPr>
                <w:sz w:val="18"/>
              </w:rPr>
            </w:pPr>
            <w:r>
              <w:rPr>
                <w:sz w:val="18"/>
              </w:rPr>
              <w:t>Swamy</w:t>
            </w:r>
            <w:r>
              <w:rPr>
                <w:spacing w:val="-3"/>
                <w:sz w:val="18"/>
              </w:rPr>
              <w:t> </w:t>
            </w:r>
            <w:r>
              <w:rPr>
                <w:sz w:val="18"/>
              </w:rPr>
              <w:t>and</w:t>
            </w:r>
            <w:r>
              <w:rPr>
                <w:spacing w:val="-2"/>
                <w:sz w:val="18"/>
              </w:rPr>
              <w:t> </w:t>
            </w:r>
            <w:r>
              <w:rPr>
                <w:sz w:val="18"/>
              </w:rPr>
              <w:t>Arora</w:t>
            </w:r>
            <w:r>
              <w:rPr>
                <w:spacing w:val="-2"/>
                <w:sz w:val="18"/>
              </w:rPr>
              <w:t> </w:t>
            </w:r>
            <w:r>
              <w:rPr>
                <w:sz w:val="18"/>
              </w:rPr>
              <w:t>estimator</w:t>
            </w:r>
            <w:r>
              <w:rPr>
                <w:spacing w:val="-1"/>
                <w:sz w:val="18"/>
              </w:rPr>
              <w:t> </w:t>
            </w:r>
            <w:r>
              <w:rPr>
                <w:sz w:val="18"/>
              </w:rPr>
              <w:t>of</w:t>
            </w:r>
            <w:r>
              <w:rPr>
                <w:spacing w:val="-4"/>
                <w:sz w:val="18"/>
              </w:rPr>
              <w:t> </w:t>
            </w:r>
            <w:r>
              <w:rPr>
                <w:sz w:val="18"/>
              </w:rPr>
              <w:t>component</w:t>
            </w:r>
            <w:r>
              <w:rPr>
                <w:spacing w:val="-3"/>
                <w:sz w:val="18"/>
              </w:rPr>
              <w:t> </w:t>
            </w:r>
            <w:r>
              <w:rPr>
                <w:spacing w:val="-2"/>
                <w:sz w:val="18"/>
              </w:rPr>
              <w:t>variances</w:t>
            </w:r>
          </w:p>
        </w:tc>
      </w:tr>
      <w:tr>
        <w:trPr>
          <w:trHeight w:val="81"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2018" w:type="dxa"/>
          </w:tcPr>
          <w:p>
            <w:pPr>
              <w:pStyle w:val="TableParagraph"/>
              <w:spacing w:line="205" w:lineRule="exact"/>
              <w:ind w:left="7" w:right="1"/>
              <w:jc w:val="center"/>
              <w:rPr>
                <w:sz w:val="18"/>
              </w:rPr>
            </w:pPr>
            <w:r>
              <w:rPr>
                <w:spacing w:val="-2"/>
                <w:sz w:val="18"/>
              </w:rPr>
              <w:t>Variable</w:t>
            </w:r>
          </w:p>
        </w:tc>
        <w:tc>
          <w:tcPr>
            <w:tcW w:w="1102" w:type="dxa"/>
          </w:tcPr>
          <w:p>
            <w:pPr>
              <w:pStyle w:val="TableParagraph"/>
              <w:spacing w:line="205" w:lineRule="exact"/>
              <w:ind w:left="67" w:right="38"/>
              <w:jc w:val="center"/>
              <w:rPr>
                <w:sz w:val="18"/>
              </w:rPr>
            </w:pPr>
            <w:r>
              <w:rPr>
                <w:spacing w:val="-2"/>
                <w:sz w:val="18"/>
              </w:rPr>
              <w:t>Coefficient</w:t>
            </w:r>
          </w:p>
        </w:tc>
        <w:tc>
          <w:tcPr>
            <w:tcW w:w="1207" w:type="dxa"/>
          </w:tcPr>
          <w:p>
            <w:pPr>
              <w:pStyle w:val="TableParagraph"/>
              <w:spacing w:line="205" w:lineRule="exact"/>
              <w:ind w:right="103"/>
              <w:jc w:val="right"/>
              <w:rPr>
                <w:sz w:val="18"/>
              </w:rPr>
            </w:pPr>
            <w:r>
              <w:rPr>
                <w:sz w:val="18"/>
              </w:rPr>
              <w:t>Std.</w:t>
            </w:r>
            <w:r>
              <w:rPr>
                <w:spacing w:val="-2"/>
                <w:sz w:val="18"/>
              </w:rPr>
              <w:t> Error</w:t>
            </w:r>
          </w:p>
        </w:tc>
        <w:tc>
          <w:tcPr>
            <w:tcW w:w="1207" w:type="dxa"/>
          </w:tcPr>
          <w:p>
            <w:pPr>
              <w:pStyle w:val="TableParagraph"/>
              <w:spacing w:line="205" w:lineRule="exact"/>
              <w:ind w:right="103"/>
              <w:jc w:val="right"/>
              <w:rPr>
                <w:sz w:val="18"/>
              </w:rPr>
            </w:pPr>
            <w:r>
              <w:rPr>
                <w:sz w:val="18"/>
              </w:rPr>
              <w:t>t-</w:t>
            </w:r>
            <w:r>
              <w:rPr>
                <w:spacing w:val="-2"/>
                <w:sz w:val="18"/>
              </w:rPr>
              <w:t>Statistic</w:t>
            </w:r>
          </w:p>
        </w:tc>
        <w:tc>
          <w:tcPr>
            <w:tcW w:w="998" w:type="dxa"/>
          </w:tcPr>
          <w:p>
            <w:pPr>
              <w:pStyle w:val="TableParagraph"/>
              <w:spacing w:line="205" w:lineRule="exact"/>
              <w:ind w:left="222" w:right="81"/>
              <w:jc w:val="center"/>
              <w:rPr>
                <w:sz w:val="18"/>
              </w:rPr>
            </w:pPr>
            <w:r>
              <w:rPr>
                <w:spacing w:val="-2"/>
                <w:sz w:val="18"/>
              </w:rPr>
              <w:t>Prob.</w:t>
            </w:r>
          </w:p>
        </w:tc>
      </w:tr>
      <w:tr>
        <w:trPr>
          <w:trHeight w:val="78"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7"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2018" w:type="dxa"/>
          </w:tcPr>
          <w:p>
            <w:pPr>
              <w:pStyle w:val="TableParagraph"/>
              <w:spacing w:line="205" w:lineRule="exact"/>
              <w:ind w:left="7"/>
              <w:jc w:val="center"/>
              <w:rPr>
                <w:sz w:val="18"/>
              </w:rPr>
            </w:pPr>
            <w:r>
              <w:rPr>
                <w:color w:val="000000"/>
                <w:spacing w:val="-10"/>
                <w:sz w:val="18"/>
                <w:highlight w:val="yellow"/>
              </w:rPr>
              <w:t>C</w:t>
            </w:r>
          </w:p>
        </w:tc>
        <w:tc>
          <w:tcPr>
            <w:tcW w:w="1102" w:type="dxa"/>
          </w:tcPr>
          <w:p>
            <w:pPr>
              <w:pStyle w:val="TableParagraph"/>
              <w:spacing w:line="205" w:lineRule="exact"/>
              <w:ind w:left="127"/>
              <w:jc w:val="center"/>
              <w:rPr>
                <w:sz w:val="18"/>
              </w:rPr>
            </w:pPr>
            <w:r>
              <w:rPr>
                <w:color w:val="000000"/>
                <w:spacing w:val="-2"/>
                <w:sz w:val="18"/>
                <w:highlight w:val="yellow"/>
              </w:rPr>
              <w:t>1.948309</w:t>
            </w:r>
          </w:p>
        </w:tc>
        <w:tc>
          <w:tcPr>
            <w:tcW w:w="1207" w:type="dxa"/>
          </w:tcPr>
          <w:p>
            <w:pPr>
              <w:pStyle w:val="TableParagraph"/>
              <w:spacing w:line="205" w:lineRule="exact"/>
              <w:ind w:right="104"/>
              <w:jc w:val="right"/>
              <w:rPr>
                <w:sz w:val="18"/>
              </w:rPr>
            </w:pPr>
            <w:r>
              <w:rPr>
                <w:color w:val="000000"/>
                <w:spacing w:val="-2"/>
                <w:sz w:val="18"/>
                <w:highlight w:val="yellow"/>
              </w:rPr>
              <w:t>14.87465</w:t>
            </w:r>
          </w:p>
        </w:tc>
        <w:tc>
          <w:tcPr>
            <w:tcW w:w="1207" w:type="dxa"/>
          </w:tcPr>
          <w:p>
            <w:pPr>
              <w:pStyle w:val="TableParagraph"/>
              <w:spacing w:line="205" w:lineRule="exact"/>
              <w:ind w:right="103"/>
              <w:jc w:val="right"/>
              <w:rPr>
                <w:sz w:val="18"/>
              </w:rPr>
            </w:pPr>
            <w:r>
              <w:rPr>
                <w:color w:val="000000"/>
                <w:spacing w:val="-2"/>
                <w:sz w:val="18"/>
                <w:highlight w:val="yellow"/>
              </w:rPr>
              <w:t>0.130982</w:t>
            </w:r>
          </w:p>
        </w:tc>
        <w:tc>
          <w:tcPr>
            <w:tcW w:w="998" w:type="dxa"/>
          </w:tcPr>
          <w:p>
            <w:pPr>
              <w:pStyle w:val="TableParagraph"/>
              <w:spacing w:line="205" w:lineRule="exact"/>
              <w:ind w:left="222"/>
              <w:jc w:val="center"/>
              <w:rPr>
                <w:sz w:val="18"/>
              </w:rPr>
            </w:pPr>
            <w:r>
              <w:rPr>
                <w:color w:val="000000"/>
                <w:spacing w:val="-2"/>
                <w:sz w:val="18"/>
                <w:highlight w:val="yellow"/>
              </w:rPr>
              <w:t>0.8959</w:t>
            </w:r>
          </w:p>
        </w:tc>
      </w:tr>
      <w:tr>
        <w:trPr>
          <w:trHeight w:val="225" w:hRule="atLeast"/>
        </w:trPr>
        <w:tc>
          <w:tcPr>
            <w:tcW w:w="2018" w:type="dxa"/>
          </w:tcPr>
          <w:p>
            <w:pPr>
              <w:pStyle w:val="TableParagraph"/>
              <w:spacing w:line="205" w:lineRule="exact"/>
              <w:ind w:left="582"/>
              <w:rPr>
                <w:sz w:val="18"/>
              </w:rPr>
            </w:pPr>
            <w:r>
              <w:rPr>
                <w:spacing w:val="-2"/>
                <w:sz w:val="18"/>
              </w:rPr>
              <w:t>INSTOWN</w:t>
            </w:r>
          </w:p>
        </w:tc>
        <w:tc>
          <w:tcPr>
            <w:tcW w:w="1102" w:type="dxa"/>
          </w:tcPr>
          <w:p>
            <w:pPr>
              <w:pStyle w:val="TableParagraph"/>
              <w:spacing w:line="205" w:lineRule="exact"/>
              <w:ind w:left="127"/>
              <w:jc w:val="center"/>
              <w:rPr>
                <w:sz w:val="18"/>
              </w:rPr>
            </w:pPr>
            <w:r>
              <w:rPr>
                <w:spacing w:val="-2"/>
                <w:sz w:val="18"/>
              </w:rPr>
              <w:t>0.131961</w:t>
            </w:r>
          </w:p>
        </w:tc>
        <w:tc>
          <w:tcPr>
            <w:tcW w:w="1207" w:type="dxa"/>
          </w:tcPr>
          <w:p>
            <w:pPr>
              <w:pStyle w:val="TableParagraph"/>
              <w:spacing w:line="205" w:lineRule="exact"/>
              <w:ind w:right="104"/>
              <w:jc w:val="right"/>
              <w:rPr>
                <w:sz w:val="18"/>
              </w:rPr>
            </w:pPr>
            <w:r>
              <w:rPr>
                <w:spacing w:val="-2"/>
                <w:sz w:val="18"/>
              </w:rPr>
              <w:t>0.104309</w:t>
            </w:r>
          </w:p>
        </w:tc>
        <w:tc>
          <w:tcPr>
            <w:tcW w:w="1207" w:type="dxa"/>
          </w:tcPr>
          <w:p>
            <w:pPr>
              <w:pStyle w:val="TableParagraph"/>
              <w:spacing w:line="205" w:lineRule="exact"/>
              <w:ind w:right="103"/>
              <w:jc w:val="right"/>
              <w:rPr>
                <w:sz w:val="18"/>
              </w:rPr>
            </w:pPr>
            <w:r>
              <w:rPr>
                <w:spacing w:val="-2"/>
                <w:sz w:val="18"/>
              </w:rPr>
              <w:t>1.265098</w:t>
            </w:r>
          </w:p>
        </w:tc>
        <w:tc>
          <w:tcPr>
            <w:tcW w:w="998" w:type="dxa"/>
          </w:tcPr>
          <w:p>
            <w:pPr>
              <w:pStyle w:val="TableParagraph"/>
              <w:spacing w:line="205" w:lineRule="exact"/>
              <w:ind w:left="222"/>
              <w:jc w:val="center"/>
              <w:rPr>
                <w:sz w:val="18"/>
              </w:rPr>
            </w:pPr>
            <w:r>
              <w:rPr>
                <w:spacing w:val="-2"/>
                <w:sz w:val="18"/>
              </w:rPr>
              <w:t>0.2075</w:t>
            </w:r>
          </w:p>
        </w:tc>
      </w:tr>
      <w:tr>
        <w:trPr>
          <w:trHeight w:val="222" w:hRule="atLeast"/>
        </w:trPr>
        <w:tc>
          <w:tcPr>
            <w:tcW w:w="2018" w:type="dxa"/>
          </w:tcPr>
          <w:p>
            <w:pPr>
              <w:pStyle w:val="TableParagraph"/>
              <w:spacing w:line="203" w:lineRule="exact"/>
              <w:ind w:left="7"/>
              <w:jc w:val="center"/>
              <w:rPr>
                <w:sz w:val="18"/>
              </w:rPr>
            </w:pPr>
            <w:r>
              <w:rPr>
                <w:spacing w:val="-4"/>
                <w:sz w:val="18"/>
              </w:rPr>
              <w:t>MOWN</w:t>
            </w:r>
          </w:p>
        </w:tc>
        <w:tc>
          <w:tcPr>
            <w:tcW w:w="1102" w:type="dxa"/>
          </w:tcPr>
          <w:p>
            <w:pPr>
              <w:pStyle w:val="TableParagraph"/>
              <w:spacing w:line="203" w:lineRule="exact"/>
              <w:ind w:left="67"/>
              <w:jc w:val="center"/>
              <w:rPr>
                <w:sz w:val="18"/>
              </w:rPr>
            </w:pPr>
            <w:r>
              <w:rPr>
                <w:spacing w:val="-2"/>
                <w:sz w:val="18"/>
              </w:rPr>
              <w:t>-0.138151</w:t>
            </w:r>
          </w:p>
        </w:tc>
        <w:tc>
          <w:tcPr>
            <w:tcW w:w="1207" w:type="dxa"/>
          </w:tcPr>
          <w:p>
            <w:pPr>
              <w:pStyle w:val="TableParagraph"/>
              <w:spacing w:line="203" w:lineRule="exact"/>
              <w:ind w:right="104"/>
              <w:jc w:val="right"/>
              <w:rPr>
                <w:sz w:val="18"/>
              </w:rPr>
            </w:pPr>
            <w:r>
              <w:rPr>
                <w:spacing w:val="-2"/>
                <w:sz w:val="18"/>
              </w:rPr>
              <w:t>0.105979</w:t>
            </w:r>
          </w:p>
        </w:tc>
        <w:tc>
          <w:tcPr>
            <w:tcW w:w="1207" w:type="dxa"/>
          </w:tcPr>
          <w:p>
            <w:pPr>
              <w:pStyle w:val="TableParagraph"/>
              <w:spacing w:line="203" w:lineRule="exact"/>
              <w:ind w:right="103"/>
              <w:jc w:val="right"/>
              <w:rPr>
                <w:sz w:val="18"/>
              </w:rPr>
            </w:pPr>
            <w:r>
              <w:rPr>
                <w:spacing w:val="-2"/>
                <w:sz w:val="18"/>
              </w:rPr>
              <w:t>-1.303571</w:t>
            </w:r>
          </w:p>
        </w:tc>
        <w:tc>
          <w:tcPr>
            <w:tcW w:w="998" w:type="dxa"/>
          </w:tcPr>
          <w:p>
            <w:pPr>
              <w:pStyle w:val="TableParagraph"/>
              <w:spacing w:line="203" w:lineRule="exact"/>
              <w:ind w:left="222"/>
              <w:jc w:val="center"/>
              <w:rPr>
                <w:sz w:val="18"/>
              </w:rPr>
            </w:pPr>
            <w:r>
              <w:rPr>
                <w:spacing w:val="-2"/>
                <w:sz w:val="18"/>
              </w:rPr>
              <w:t>0.1940</w:t>
            </w:r>
          </w:p>
        </w:tc>
      </w:tr>
      <w:tr>
        <w:trPr>
          <w:trHeight w:val="225" w:hRule="atLeast"/>
        </w:trPr>
        <w:tc>
          <w:tcPr>
            <w:tcW w:w="2018" w:type="dxa"/>
          </w:tcPr>
          <w:p>
            <w:pPr>
              <w:pStyle w:val="TableParagraph"/>
              <w:spacing w:line="204" w:lineRule="exact" w:before="1"/>
              <w:ind w:left="7" w:right="2"/>
              <w:jc w:val="center"/>
              <w:rPr>
                <w:sz w:val="18"/>
              </w:rPr>
            </w:pPr>
            <w:r>
              <w:rPr>
                <w:spacing w:val="-4"/>
                <w:sz w:val="18"/>
              </w:rPr>
              <w:t>FOWN</w:t>
            </w:r>
          </w:p>
        </w:tc>
        <w:tc>
          <w:tcPr>
            <w:tcW w:w="1102" w:type="dxa"/>
          </w:tcPr>
          <w:p>
            <w:pPr>
              <w:pStyle w:val="TableParagraph"/>
              <w:spacing w:line="204" w:lineRule="exact" w:before="1"/>
              <w:ind w:left="67"/>
              <w:jc w:val="center"/>
              <w:rPr>
                <w:sz w:val="18"/>
              </w:rPr>
            </w:pPr>
            <w:r>
              <w:rPr>
                <w:spacing w:val="-2"/>
                <w:sz w:val="18"/>
              </w:rPr>
              <w:t>-0.252135</w:t>
            </w:r>
          </w:p>
        </w:tc>
        <w:tc>
          <w:tcPr>
            <w:tcW w:w="1207" w:type="dxa"/>
          </w:tcPr>
          <w:p>
            <w:pPr>
              <w:pStyle w:val="TableParagraph"/>
              <w:spacing w:line="204" w:lineRule="exact" w:before="1"/>
              <w:ind w:right="104"/>
              <w:jc w:val="right"/>
              <w:rPr>
                <w:sz w:val="18"/>
              </w:rPr>
            </w:pPr>
            <w:r>
              <w:rPr>
                <w:spacing w:val="-2"/>
                <w:sz w:val="18"/>
              </w:rPr>
              <w:t>0.087967</w:t>
            </w:r>
          </w:p>
        </w:tc>
        <w:tc>
          <w:tcPr>
            <w:tcW w:w="1207" w:type="dxa"/>
          </w:tcPr>
          <w:p>
            <w:pPr>
              <w:pStyle w:val="TableParagraph"/>
              <w:spacing w:line="204" w:lineRule="exact" w:before="1"/>
              <w:ind w:right="103"/>
              <w:jc w:val="right"/>
              <w:rPr>
                <w:sz w:val="18"/>
              </w:rPr>
            </w:pPr>
            <w:r>
              <w:rPr>
                <w:spacing w:val="-2"/>
                <w:sz w:val="18"/>
              </w:rPr>
              <w:t>-2.866247</w:t>
            </w:r>
          </w:p>
        </w:tc>
        <w:tc>
          <w:tcPr>
            <w:tcW w:w="998" w:type="dxa"/>
          </w:tcPr>
          <w:p>
            <w:pPr>
              <w:pStyle w:val="TableParagraph"/>
              <w:spacing w:line="204" w:lineRule="exact" w:before="1"/>
              <w:ind w:left="222"/>
              <w:jc w:val="center"/>
              <w:rPr>
                <w:sz w:val="18"/>
              </w:rPr>
            </w:pPr>
            <w:r>
              <w:rPr>
                <w:spacing w:val="-2"/>
                <w:sz w:val="18"/>
              </w:rPr>
              <w:t>0.0046</w:t>
            </w:r>
          </w:p>
        </w:tc>
      </w:tr>
      <w:tr>
        <w:trPr>
          <w:trHeight w:val="225" w:hRule="atLeast"/>
        </w:trPr>
        <w:tc>
          <w:tcPr>
            <w:tcW w:w="2018" w:type="dxa"/>
          </w:tcPr>
          <w:p>
            <w:pPr>
              <w:pStyle w:val="TableParagraph"/>
              <w:spacing w:line="204" w:lineRule="exact" w:before="1"/>
              <w:ind w:left="7" w:right="3"/>
              <w:jc w:val="center"/>
              <w:rPr>
                <w:sz w:val="18"/>
              </w:rPr>
            </w:pPr>
            <w:r>
              <w:rPr>
                <w:spacing w:val="-2"/>
                <w:sz w:val="18"/>
              </w:rPr>
              <w:t>BLOWN</w:t>
            </w:r>
          </w:p>
        </w:tc>
        <w:tc>
          <w:tcPr>
            <w:tcW w:w="1102" w:type="dxa"/>
          </w:tcPr>
          <w:p>
            <w:pPr>
              <w:pStyle w:val="TableParagraph"/>
              <w:spacing w:line="204" w:lineRule="exact" w:before="1"/>
              <w:ind w:left="127"/>
              <w:jc w:val="center"/>
              <w:rPr>
                <w:sz w:val="18"/>
              </w:rPr>
            </w:pPr>
            <w:r>
              <w:rPr>
                <w:spacing w:val="-2"/>
                <w:sz w:val="18"/>
              </w:rPr>
              <w:t>0.001187</w:t>
            </w:r>
          </w:p>
        </w:tc>
        <w:tc>
          <w:tcPr>
            <w:tcW w:w="1207" w:type="dxa"/>
          </w:tcPr>
          <w:p>
            <w:pPr>
              <w:pStyle w:val="TableParagraph"/>
              <w:spacing w:line="204" w:lineRule="exact" w:before="1"/>
              <w:ind w:right="104"/>
              <w:jc w:val="right"/>
              <w:rPr>
                <w:sz w:val="18"/>
              </w:rPr>
            </w:pPr>
            <w:r>
              <w:rPr>
                <w:spacing w:val="-2"/>
                <w:sz w:val="18"/>
              </w:rPr>
              <w:t>0.098390</w:t>
            </w:r>
          </w:p>
        </w:tc>
        <w:tc>
          <w:tcPr>
            <w:tcW w:w="1207" w:type="dxa"/>
          </w:tcPr>
          <w:p>
            <w:pPr>
              <w:pStyle w:val="TableParagraph"/>
              <w:spacing w:line="204" w:lineRule="exact" w:before="1"/>
              <w:ind w:right="103"/>
              <w:jc w:val="right"/>
              <w:rPr>
                <w:sz w:val="18"/>
              </w:rPr>
            </w:pPr>
            <w:r>
              <w:rPr>
                <w:spacing w:val="-2"/>
                <w:sz w:val="18"/>
              </w:rPr>
              <w:t>0.012066</w:t>
            </w:r>
          </w:p>
        </w:tc>
        <w:tc>
          <w:tcPr>
            <w:tcW w:w="998" w:type="dxa"/>
          </w:tcPr>
          <w:p>
            <w:pPr>
              <w:pStyle w:val="TableParagraph"/>
              <w:spacing w:line="204" w:lineRule="exact" w:before="1"/>
              <w:ind w:left="222"/>
              <w:jc w:val="center"/>
              <w:rPr>
                <w:sz w:val="18"/>
              </w:rPr>
            </w:pPr>
            <w:r>
              <w:rPr>
                <w:spacing w:val="-2"/>
                <w:sz w:val="18"/>
              </w:rPr>
              <w:t>0.9904</w:t>
            </w:r>
          </w:p>
        </w:tc>
      </w:tr>
      <w:tr>
        <w:trPr>
          <w:trHeight w:val="225" w:hRule="atLeast"/>
        </w:trPr>
        <w:tc>
          <w:tcPr>
            <w:tcW w:w="2018" w:type="dxa"/>
          </w:tcPr>
          <w:p>
            <w:pPr>
              <w:pStyle w:val="TableParagraph"/>
              <w:spacing w:line="205" w:lineRule="exact"/>
              <w:ind w:left="7"/>
              <w:jc w:val="center"/>
              <w:rPr>
                <w:sz w:val="18"/>
              </w:rPr>
            </w:pPr>
            <w:r>
              <w:rPr>
                <w:spacing w:val="-4"/>
                <w:sz w:val="18"/>
              </w:rPr>
              <w:t>FAGE</w:t>
            </w:r>
          </w:p>
        </w:tc>
        <w:tc>
          <w:tcPr>
            <w:tcW w:w="1102" w:type="dxa"/>
          </w:tcPr>
          <w:p>
            <w:pPr>
              <w:pStyle w:val="TableParagraph"/>
              <w:spacing w:line="205" w:lineRule="exact"/>
              <w:ind w:left="67"/>
              <w:jc w:val="center"/>
              <w:rPr>
                <w:sz w:val="18"/>
              </w:rPr>
            </w:pPr>
            <w:r>
              <w:rPr>
                <w:spacing w:val="-2"/>
                <w:sz w:val="18"/>
              </w:rPr>
              <w:t>-0.193509</w:t>
            </w:r>
          </w:p>
        </w:tc>
        <w:tc>
          <w:tcPr>
            <w:tcW w:w="1207" w:type="dxa"/>
          </w:tcPr>
          <w:p>
            <w:pPr>
              <w:pStyle w:val="TableParagraph"/>
              <w:spacing w:line="205" w:lineRule="exact"/>
              <w:ind w:right="104"/>
              <w:jc w:val="right"/>
              <w:rPr>
                <w:sz w:val="18"/>
              </w:rPr>
            </w:pPr>
            <w:r>
              <w:rPr>
                <w:spacing w:val="-2"/>
                <w:sz w:val="18"/>
              </w:rPr>
              <w:t>0.155073</w:t>
            </w:r>
          </w:p>
        </w:tc>
        <w:tc>
          <w:tcPr>
            <w:tcW w:w="1207" w:type="dxa"/>
          </w:tcPr>
          <w:p>
            <w:pPr>
              <w:pStyle w:val="TableParagraph"/>
              <w:spacing w:line="205" w:lineRule="exact"/>
              <w:ind w:right="103"/>
              <w:jc w:val="right"/>
              <w:rPr>
                <w:sz w:val="18"/>
              </w:rPr>
            </w:pPr>
            <w:r>
              <w:rPr>
                <w:spacing w:val="-2"/>
                <w:sz w:val="18"/>
              </w:rPr>
              <w:t>-1.247859</w:t>
            </w:r>
          </w:p>
        </w:tc>
        <w:tc>
          <w:tcPr>
            <w:tcW w:w="998" w:type="dxa"/>
          </w:tcPr>
          <w:p>
            <w:pPr>
              <w:pStyle w:val="TableParagraph"/>
              <w:spacing w:line="205" w:lineRule="exact"/>
              <w:ind w:left="222"/>
              <w:jc w:val="center"/>
              <w:rPr>
                <w:sz w:val="18"/>
              </w:rPr>
            </w:pPr>
            <w:r>
              <w:rPr>
                <w:spacing w:val="-2"/>
                <w:sz w:val="18"/>
              </w:rPr>
              <w:t>0.2137</w:t>
            </w:r>
          </w:p>
        </w:tc>
      </w:tr>
      <w:tr>
        <w:trPr>
          <w:trHeight w:val="225" w:hRule="atLeast"/>
        </w:trPr>
        <w:tc>
          <w:tcPr>
            <w:tcW w:w="2018" w:type="dxa"/>
          </w:tcPr>
          <w:p>
            <w:pPr>
              <w:pStyle w:val="TableParagraph"/>
              <w:spacing w:line="205" w:lineRule="exact"/>
              <w:ind w:left="7" w:right="3"/>
              <w:jc w:val="center"/>
              <w:rPr>
                <w:sz w:val="18"/>
              </w:rPr>
            </w:pPr>
            <w:r>
              <w:rPr>
                <w:spacing w:val="-2"/>
                <w:sz w:val="18"/>
              </w:rPr>
              <w:t>FSIZE</w:t>
            </w:r>
          </w:p>
        </w:tc>
        <w:tc>
          <w:tcPr>
            <w:tcW w:w="1102" w:type="dxa"/>
          </w:tcPr>
          <w:p>
            <w:pPr>
              <w:pStyle w:val="TableParagraph"/>
              <w:spacing w:line="205" w:lineRule="exact"/>
              <w:ind w:left="127"/>
              <w:jc w:val="center"/>
              <w:rPr>
                <w:sz w:val="18"/>
              </w:rPr>
            </w:pPr>
            <w:r>
              <w:rPr>
                <w:spacing w:val="-2"/>
                <w:sz w:val="18"/>
              </w:rPr>
              <w:t>1.710248</w:t>
            </w:r>
          </w:p>
        </w:tc>
        <w:tc>
          <w:tcPr>
            <w:tcW w:w="1207" w:type="dxa"/>
          </w:tcPr>
          <w:p>
            <w:pPr>
              <w:pStyle w:val="TableParagraph"/>
              <w:spacing w:line="205" w:lineRule="exact"/>
              <w:ind w:right="104"/>
              <w:jc w:val="right"/>
              <w:rPr>
                <w:sz w:val="18"/>
              </w:rPr>
            </w:pPr>
            <w:r>
              <w:rPr>
                <w:spacing w:val="-2"/>
                <w:sz w:val="18"/>
              </w:rPr>
              <w:t>1.801883</w:t>
            </w:r>
          </w:p>
        </w:tc>
        <w:tc>
          <w:tcPr>
            <w:tcW w:w="1207" w:type="dxa"/>
          </w:tcPr>
          <w:p>
            <w:pPr>
              <w:pStyle w:val="TableParagraph"/>
              <w:spacing w:line="205" w:lineRule="exact"/>
              <w:ind w:right="103"/>
              <w:jc w:val="right"/>
              <w:rPr>
                <w:sz w:val="18"/>
              </w:rPr>
            </w:pPr>
            <w:r>
              <w:rPr>
                <w:spacing w:val="-2"/>
                <w:sz w:val="18"/>
              </w:rPr>
              <w:t>0.949145</w:t>
            </w:r>
          </w:p>
        </w:tc>
        <w:tc>
          <w:tcPr>
            <w:tcW w:w="998" w:type="dxa"/>
          </w:tcPr>
          <w:p>
            <w:pPr>
              <w:pStyle w:val="TableParagraph"/>
              <w:spacing w:line="205" w:lineRule="exact"/>
              <w:ind w:left="222"/>
              <w:jc w:val="center"/>
              <w:rPr>
                <w:sz w:val="18"/>
              </w:rPr>
            </w:pPr>
            <w:r>
              <w:rPr>
                <w:spacing w:val="-2"/>
                <w:sz w:val="18"/>
              </w:rPr>
              <w:t>0.3438</w:t>
            </w:r>
          </w:p>
        </w:tc>
      </w:tr>
      <w:tr>
        <w:trPr>
          <w:trHeight w:val="225" w:hRule="atLeast"/>
        </w:trPr>
        <w:tc>
          <w:tcPr>
            <w:tcW w:w="2018" w:type="dxa"/>
          </w:tcPr>
          <w:p>
            <w:pPr>
              <w:pStyle w:val="TableParagraph"/>
              <w:spacing w:line="205" w:lineRule="exact"/>
              <w:ind w:left="523"/>
              <w:rPr>
                <w:sz w:val="18"/>
              </w:rPr>
            </w:pPr>
            <w:r>
              <w:rPr>
                <w:color w:val="000000"/>
                <w:spacing w:val="-2"/>
                <w:sz w:val="18"/>
                <w:highlight w:val="yellow"/>
              </w:rPr>
              <w:t>LEVERAGE</w:t>
            </w:r>
          </w:p>
        </w:tc>
        <w:tc>
          <w:tcPr>
            <w:tcW w:w="1102" w:type="dxa"/>
          </w:tcPr>
          <w:p>
            <w:pPr>
              <w:pStyle w:val="TableParagraph"/>
              <w:spacing w:line="205" w:lineRule="exact"/>
              <w:ind w:left="127"/>
              <w:jc w:val="center"/>
              <w:rPr>
                <w:sz w:val="18"/>
              </w:rPr>
            </w:pPr>
            <w:r>
              <w:rPr>
                <w:color w:val="000000"/>
                <w:spacing w:val="-2"/>
                <w:sz w:val="18"/>
                <w:highlight w:val="yellow"/>
              </w:rPr>
              <w:t>0.317220</w:t>
            </w:r>
          </w:p>
        </w:tc>
        <w:tc>
          <w:tcPr>
            <w:tcW w:w="1207" w:type="dxa"/>
          </w:tcPr>
          <w:p>
            <w:pPr>
              <w:pStyle w:val="TableParagraph"/>
              <w:spacing w:line="205" w:lineRule="exact"/>
              <w:ind w:right="104"/>
              <w:jc w:val="right"/>
              <w:rPr>
                <w:sz w:val="18"/>
              </w:rPr>
            </w:pPr>
            <w:r>
              <w:rPr>
                <w:color w:val="000000"/>
                <w:spacing w:val="-2"/>
                <w:sz w:val="18"/>
                <w:highlight w:val="yellow"/>
              </w:rPr>
              <w:t>0.836148</w:t>
            </w:r>
          </w:p>
        </w:tc>
        <w:tc>
          <w:tcPr>
            <w:tcW w:w="1207" w:type="dxa"/>
          </w:tcPr>
          <w:p>
            <w:pPr>
              <w:pStyle w:val="TableParagraph"/>
              <w:spacing w:line="205" w:lineRule="exact"/>
              <w:ind w:right="103"/>
              <w:jc w:val="right"/>
              <w:rPr>
                <w:sz w:val="18"/>
              </w:rPr>
            </w:pPr>
            <w:r>
              <w:rPr>
                <w:color w:val="000000"/>
                <w:spacing w:val="-2"/>
                <w:sz w:val="18"/>
                <w:highlight w:val="yellow"/>
              </w:rPr>
              <w:t>0.379382</w:t>
            </w:r>
          </w:p>
        </w:tc>
        <w:tc>
          <w:tcPr>
            <w:tcW w:w="998" w:type="dxa"/>
          </w:tcPr>
          <w:p>
            <w:pPr>
              <w:pStyle w:val="TableParagraph"/>
              <w:spacing w:line="205" w:lineRule="exact"/>
              <w:ind w:left="222"/>
              <w:jc w:val="center"/>
              <w:rPr>
                <w:sz w:val="18"/>
              </w:rPr>
            </w:pPr>
            <w:r>
              <w:rPr>
                <w:color w:val="000000"/>
                <w:spacing w:val="-2"/>
                <w:sz w:val="18"/>
                <w:highlight w:val="yellow"/>
              </w:rPr>
              <w:t>0.7048</w:t>
            </w:r>
          </w:p>
        </w:tc>
      </w:tr>
      <w:tr>
        <w:trPr>
          <w:trHeight w:val="225" w:hRule="atLeast"/>
        </w:trPr>
        <w:tc>
          <w:tcPr>
            <w:tcW w:w="2018" w:type="dxa"/>
          </w:tcPr>
          <w:p>
            <w:pPr>
              <w:pStyle w:val="TableParagraph"/>
              <w:spacing w:line="205" w:lineRule="exact"/>
              <w:ind w:left="7" w:right="2"/>
              <w:jc w:val="center"/>
              <w:rPr>
                <w:sz w:val="18"/>
              </w:rPr>
            </w:pPr>
            <w:r>
              <w:rPr>
                <w:spacing w:val="-4"/>
                <w:sz w:val="18"/>
              </w:rPr>
              <w:t>IFRS</w:t>
            </w:r>
          </w:p>
        </w:tc>
        <w:tc>
          <w:tcPr>
            <w:tcW w:w="1102" w:type="dxa"/>
          </w:tcPr>
          <w:p>
            <w:pPr>
              <w:pStyle w:val="TableParagraph"/>
              <w:spacing w:line="205" w:lineRule="exact"/>
              <w:ind w:left="127"/>
              <w:jc w:val="center"/>
              <w:rPr>
                <w:sz w:val="18"/>
              </w:rPr>
            </w:pPr>
            <w:r>
              <w:rPr>
                <w:spacing w:val="-2"/>
                <w:sz w:val="18"/>
              </w:rPr>
              <w:t>0.953100</w:t>
            </w:r>
          </w:p>
        </w:tc>
        <w:tc>
          <w:tcPr>
            <w:tcW w:w="1207" w:type="dxa"/>
          </w:tcPr>
          <w:p>
            <w:pPr>
              <w:pStyle w:val="TableParagraph"/>
              <w:spacing w:line="205" w:lineRule="exact"/>
              <w:ind w:right="104"/>
              <w:jc w:val="right"/>
              <w:rPr>
                <w:sz w:val="18"/>
              </w:rPr>
            </w:pPr>
            <w:r>
              <w:rPr>
                <w:spacing w:val="-2"/>
                <w:sz w:val="18"/>
              </w:rPr>
              <w:t>3.076163</w:t>
            </w:r>
          </w:p>
        </w:tc>
        <w:tc>
          <w:tcPr>
            <w:tcW w:w="1207" w:type="dxa"/>
          </w:tcPr>
          <w:p>
            <w:pPr>
              <w:pStyle w:val="TableParagraph"/>
              <w:spacing w:line="205" w:lineRule="exact"/>
              <w:ind w:right="103"/>
              <w:jc w:val="right"/>
              <w:rPr>
                <w:sz w:val="18"/>
              </w:rPr>
            </w:pPr>
            <w:r>
              <w:rPr>
                <w:spacing w:val="-2"/>
                <w:sz w:val="18"/>
              </w:rPr>
              <w:t>0.309834</w:t>
            </w:r>
          </w:p>
        </w:tc>
        <w:tc>
          <w:tcPr>
            <w:tcW w:w="998" w:type="dxa"/>
          </w:tcPr>
          <w:p>
            <w:pPr>
              <w:pStyle w:val="TableParagraph"/>
              <w:spacing w:line="205" w:lineRule="exact"/>
              <w:ind w:left="222"/>
              <w:jc w:val="center"/>
              <w:rPr>
                <w:sz w:val="18"/>
              </w:rPr>
            </w:pPr>
            <w:r>
              <w:rPr>
                <w:spacing w:val="-2"/>
                <w:sz w:val="18"/>
              </w:rPr>
              <w:t>0.7570</w:t>
            </w:r>
          </w:p>
        </w:tc>
      </w:tr>
      <w:tr>
        <w:trPr>
          <w:trHeight w:val="225" w:hRule="atLeast"/>
        </w:trPr>
        <w:tc>
          <w:tcPr>
            <w:tcW w:w="2018" w:type="dxa"/>
          </w:tcPr>
          <w:p>
            <w:pPr>
              <w:pStyle w:val="TableParagraph"/>
              <w:spacing w:line="205" w:lineRule="exact"/>
              <w:ind w:left="343"/>
              <w:rPr>
                <w:sz w:val="18"/>
              </w:rPr>
            </w:pPr>
            <w:r>
              <w:rPr>
                <w:spacing w:val="-2"/>
                <w:sz w:val="18"/>
              </w:rPr>
              <w:t>INSTOWN*IFRS</w:t>
            </w:r>
          </w:p>
        </w:tc>
        <w:tc>
          <w:tcPr>
            <w:tcW w:w="1102" w:type="dxa"/>
          </w:tcPr>
          <w:p>
            <w:pPr>
              <w:pStyle w:val="TableParagraph"/>
              <w:spacing w:line="205" w:lineRule="exact"/>
              <w:ind w:left="67"/>
              <w:jc w:val="center"/>
              <w:rPr>
                <w:sz w:val="18"/>
              </w:rPr>
            </w:pPr>
            <w:r>
              <w:rPr>
                <w:spacing w:val="-2"/>
                <w:sz w:val="18"/>
              </w:rPr>
              <w:t>-0.363713</w:t>
            </w:r>
          </w:p>
        </w:tc>
        <w:tc>
          <w:tcPr>
            <w:tcW w:w="1207" w:type="dxa"/>
          </w:tcPr>
          <w:p>
            <w:pPr>
              <w:pStyle w:val="TableParagraph"/>
              <w:spacing w:line="205" w:lineRule="exact"/>
              <w:ind w:right="104"/>
              <w:jc w:val="right"/>
              <w:rPr>
                <w:sz w:val="18"/>
              </w:rPr>
            </w:pPr>
            <w:r>
              <w:rPr>
                <w:spacing w:val="-2"/>
                <w:sz w:val="18"/>
              </w:rPr>
              <w:t>0.112440</w:t>
            </w:r>
          </w:p>
        </w:tc>
        <w:tc>
          <w:tcPr>
            <w:tcW w:w="1207" w:type="dxa"/>
          </w:tcPr>
          <w:p>
            <w:pPr>
              <w:pStyle w:val="TableParagraph"/>
              <w:spacing w:line="205" w:lineRule="exact"/>
              <w:ind w:right="103"/>
              <w:jc w:val="right"/>
              <w:rPr>
                <w:sz w:val="18"/>
              </w:rPr>
            </w:pPr>
            <w:r>
              <w:rPr>
                <w:spacing w:val="-2"/>
                <w:sz w:val="18"/>
              </w:rPr>
              <w:t>-3.234721</w:t>
            </w:r>
          </w:p>
        </w:tc>
        <w:tc>
          <w:tcPr>
            <w:tcW w:w="998" w:type="dxa"/>
          </w:tcPr>
          <w:p>
            <w:pPr>
              <w:pStyle w:val="TableParagraph"/>
              <w:spacing w:line="205" w:lineRule="exact"/>
              <w:ind w:left="222"/>
              <w:jc w:val="center"/>
              <w:rPr>
                <w:sz w:val="18"/>
              </w:rPr>
            </w:pPr>
            <w:r>
              <w:rPr>
                <w:spacing w:val="-2"/>
                <w:sz w:val="18"/>
              </w:rPr>
              <w:t>0.0014</w:t>
            </w:r>
          </w:p>
        </w:tc>
      </w:tr>
      <w:tr>
        <w:trPr>
          <w:trHeight w:val="225" w:hRule="atLeast"/>
        </w:trPr>
        <w:tc>
          <w:tcPr>
            <w:tcW w:w="2018" w:type="dxa"/>
          </w:tcPr>
          <w:p>
            <w:pPr>
              <w:pStyle w:val="TableParagraph"/>
              <w:spacing w:line="205" w:lineRule="exact"/>
              <w:ind w:left="472"/>
              <w:rPr>
                <w:sz w:val="18"/>
              </w:rPr>
            </w:pPr>
            <w:r>
              <w:rPr>
                <w:spacing w:val="-2"/>
                <w:sz w:val="18"/>
              </w:rPr>
              <w:t>MOWN*IFRS</w:t>
            </w:r>
          </w:p>
        </w:tc>
        <w:tc>
          <w:tcPr>
            <w:tcW w:w="1102" w:type="dxa"/>
          </w:tcPr>
          <w:p>
            <w:pPr>
              <w:pStyle w:val="TableParagraph"/>
              <w:spacing w:line="205" w:lineRule="exact"/>
              <w:ind w:left="127"/>
              <w:jc w:val="center"/>
              <w:rPr>
                <w:sz w:val="18"/>
              </w:rPr>
            </w:pPr>
            <w:r>
              <w:rPr>
                <w:spacing w:val="-2"/>
                <w:sz w:val="18"/>
              </w:rPr>
              <w:t>0.012339</w:t>
            </w:r>
          </w:p>
        </w:tc>
        <w:tc>
          <w:tcPr>
            <w:tcW w:w="1207" w:type="dxa"/>
          </w:tcPr>
          <w:p>
            <w:pPr>
              <w:pStyle w:val="TableParagraph"/>
              <w:spacing w:line="205" w:lineRule="exact"/>
              <w:ind w:right="104"/>
              <w:jc w:val="right"/>
              <w:rPr>
                <w:sz w:val="18"/>
              </w:rPr>
            </w:pPr>
            <w:r>
              <w:rPr>
                <w:spacing w:val="-2"/>
                <w:sz w:val="18"/>
              </w:rPr>
              <w:t>0.095065</w:t>
            </w:r>
          </w:p>
        </w:tc>
        <w:tc>
          <w:tcPr>
            <w:tcW w:w="1207" w:type="dxa"/>
          </w:tcPr>
          <w:p>
            <w:pPr>
              <w:pStyle w:val="TableParagraph"/>
              <w:spacing w:line="205" w:lineRule="exact"/>
              <w:ind w:right="103"/>
              <w:jc w:val="right"/>
              <w:rPr>
                <w:sz w:val="18"/>
              </w:rPr>
            </w:pPr>
            <w:r>
              <w:rPr>
                <w:spacing w:val="-2"/>
                <w:sz w:val="18"/>
              </w:rPr>
              <w:t>0.129792</w:t>
            </w:r>
          </w:p>
        </w:tc>
        <w:tc>
          <w:tcPr>
            <w:tcW w:w="998" w:type="dxa"/>
          </w:tcPr>
          <w:p>
            <w:pPr>
              <w:pStyle w:val="TableParagraph"/>
              <w:spacing w:line="205" w:lineRule="exact"/>
              <w:ind w:left="222"/>
              <w:jc w:val="center"/>
              <w:rPr>
                <w:sz w:val="18"/>
              </w:rPr>
            </w:pPr>
            <w:r>
              <w:rPr>
                <w:spacing w:val="-2"/>
                <w:sz w:val="18"/>
              </w:rPr>
              <w:t>0.8969</w:t>
            </w:r>
          </w:p>
        </w:tc>
      </w:tr>
      <w:tr>
        <w:trPr>
          <w:trHeight w:val="225" w:hRule="atLeast"/>
        </w:trPr>
        <w:tc>
          <w:tcPr>
            <w:tcW w:w="2018" w:type="dxa"/>
          </w:tcPr>
          <w:p>
            <w:pPr>
              <w:pStyle w:val="TableParagraph"/>
              <w:spacing w:line="205" w:lineRule="exact"/>
              <w:ind w:left="491"/>
              <w:rPr>
                <w:sz w:val="18"/>
              </w:rPr>
            </w:pPr>
            <w:r>
              <w:rPr>
                <w:spacing w:val="-2"/>
                <w:sz w:val="18"/>
              </w:rPr>
              <w:t>FOWN*IFRS</w:t>
            </w:r>
          </w:p>
        </w:tc>
        <w:tc>
          <w:tcPr>
            <w:tcW w:w="1102" w:type="dxa"/>
          </w:tcPr>
          <w:p>
            <w:pPr>
              <w:pStyle w:val="TableParagraph"/>
              <w:spacing w:line="205" w:lineRule="exact"/>
              <w:ind w:left="127"/>
              <w:jc w:val="center"/>
              <w:rPr>
                <w:sz w:val="18"/>
              </w:rPr>
            </w:pPr>
            <w:r>
              <w:rPr>
                <w:spacing w:val="-2"/>
                <w:sz w:val="18"/>
              </w:rPr>
              <w:t>0.194650</w:t>
            </w:r>
          </w:p>
        </w:tc>
        <w:tc>
          <w:tcPr>
            <w:tcW w:w="1207" w:type="dxa"/>
          </w:tcPr>
          <w:p>
            <w:pPr>
              <w:pStyle w:val="TableParagraph"/>
              <w:spacing w:line="205" w:lineRule="exact"/>
              <w:ind w:right="104"/>
              <w:jc w:val="right"/>
              <w:rPr>
                <w:sz w:val="18"/>
              </w:rPr>
            </w:pPr>
            <w:r>
              <w:rPr>
                <w:spacing w:val="-2"/>
                <w:sz w:val="18"/>
              </w:rPr>
              <w:t>0.085725</w:t>
            </w:r>
          </w:p>
        </w:tc>
        <w:tc>
          <w:tcPr>
            <w:tcW w:w="1207" w:type="dxa"/>
          </w:tcPr>
          <w:p>
            <w:pPr>
              <w:pStyle w:val="TableParagraph"/>
              <w:spacing w:line="205" w:lineRule="exact"/>
              <w:ind w:right="103"/>
              <w:jc w:val="right"/>
              <w:rPr>
                <w:sz w:val="18"/>
              </w:rPr>
            </w:pPr>
            <w:r>
              <w:rPr>
                <w:spacing w:val="-2"/>
                <w:sz w:val="18"/>
              </w:rPr>
              <w:t>2.270644</w:t>
            </w:r>
          </w:p>
        </w:tc>
        <w:tc>
          <w:tcPr>
            <w:tcW w:w="998" w:type="dxa"/>
          </w:tcPr>
          <w:p>
            <w:pPr>
              <w:pStyle w:val="TableParagraph"/>
              <w:spacing w:line="205" w:lineRule="exact"/>
              <w:ind w:left="222"/>
              <w:jc w:val="center"/>
              <w:rPr>
                <w:sz w:val="18"/>
              </w:rPr>
            </w:pPr>
            <w:r>
              <w:rPr>
                <w:spacing w:val="-2"/>
                <w:sz w:val="18"/>
              </w:rPr>
              <w:t>0.0243</w:t>
            </w:r>
          </w:p>
        </w:tc>
      </w:tr>
      <w:tr>
        <w:trPr>
          <w:trHeight w:val="225" w:hRule="atLeast"/>
        </w:trPr>
        <w:tc>
          <w:tcPr>
            <w:tcW w:w="2018" w:type="dxa"/>
          </w:tcPr>
          <w:p>
            <w:pPr>
              <w:pStyle w:val="TableParagraph"/>
              <w:spacing w:line="205" w:lineRule="exact"/>
              <w:ind w:left="436"/>
              <w:rPr>
                <w:sz w:val="18"/>
              </w:rPr>
            </w:pPr>
            <w:r>
              <w:rPr>
                <w:spacing w:val="-2"/>
                <w:sz w:val="18"/>
              </w:rPr>
              <w:t>BLOWN*IFRS</w:t>
            </w:r>
          </w:p>
        </w:tc>
        <w:tc>
          <w:tcPr>
            <w:tcW w:w="1102" w:type="dxa"/>
          </w:tcPr>
          <w:p>
            <w:pPr>
              <w:pStyle w:val="TableParagraph"/>
              <w:spacing w:line="205" w:lineRule="exact"/>
              <w:ind w:left="127"/>
              <w:jc w:val="center"/>
              <w:rPr>
                <w:sz w:val="18"/>
              </w:rPr>
            </w:pPr>
            <w:r>
              <w:rPr>
                <w:spacing w:val="-2"/>
                <w:sz w:val="18"/>
              </w:rPr>
              <w:t>0.242445</w:t>
            </w:r>
          </w:p>
        </w:tc>
        <w:tc>
          <w:tcPr>
            <w:tcW w:w="1207" w:type="dxa"/>
          </w:tcPr>
          <w:p>
            <w:pPr>
              <w:pStyle w:val="TableParagraph"/>
              <w:spacing w:line="205" w:lineRule="exact"/>
              <w:ind w:right="104"/>
              <w:jc w:val="right"/>
              <w:rPr>
                <w:sz w:val="18"/>
              </w:rPr>
            </w:pPr>
            <w:r>
              <w:rPr>
                <w:spacing w:val="-2"/>
                <w:sz w:val="18"/>
              </w:rPr>
              <w:t>0.101164</w:t>
            </w:r>
          </w:p>
        </w:tc>
        <w:tc>
          <w:tcPr>
            <w:tcW w:w="1207" w:type="dxa"/>
          </w:tcPr>
          <w:p>
            <w:pPr>
              <w:pStyle w:val="TableParagraph"/>
              <w:spacing w:line="205" w:lineRule="exact"/>
              <w:ind w:right="103"/>
              <w:jc w:val="right"/>
              <w:rPr>
                <w:sz w:val="18"/>
              </w:rPr>
            </w:pPr>
            <w:r>
              <w:rPr>
                <w:spacing w:val="-2"/>
                <w:sz w:val="18"/>
              </w:rPr>
              <w:t>2.396550</w:t>
            </w:r>
          </w:p>
        </w:tc>
        <w:tc>
          <w:tcPr>
            <w:tcW w:w="998" w:type="dxa"/>
          </w:tcPr>
          <w:p>
            <w:pPr>
              <w:pStyle w:val="TableParagraph"/>
              <w:spacing w:line="205" w:lineRule="exact"/>
              <w:ind w:left="222"/>
              <w:jc w:val="center"/>
              <w:rPr>
                <w:sz w:val="18"/>
              </w:rPr>
            </w:pPr>
            <w:r>
              <w:rPr>
                <w:spacing w:val="-2"/>
                <w:sz w:val="18"/>
              </w:rPr>
              <w:t>0.0176</w:t>
            </w:r>
          </w:p>
        </w:tc>
      </w:tr>
      <w:tr>
        <w:trPr>
          <w:trHeight w:val="78"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2018" w:type="dxa"/>
          </w:tcPr>
          <w:p>
            <w:pPr>
              <w:pStyle w:val="TableParagraph"/>
              <w:rPr>
                <w:rFonts w:ascii="Times New Roman"/>
                <w:sz w:val="16"/>
              </w:rPr>
            </w:pPr>
          </w:p>
        </w:tc>
        <w:tc>
          <w:tcPr>
            <w:tcW w:w="2309" w:type="dxa"/>
            <w:gridSpan w:val="2"/>
          </w:tcPr>
          <w:p>
            <w:pPr>
              <w:pStyle w:val="TableParagraph"/>
              <w:spacing w:line="204" w:lineRule="exact" w:before="1"/>
              <w:ind w:left="343"/>
              <w:rPr>
                <w:sz w:val="18"/>
              </w:rPr>
            </w:pPr>
            <w:r>
              <w:rPr>
                <w:sz w:val="18"/>
              </w:rPr>
              <w:t>Effects </w:t>
            </w:r>
            <w:r>
              <w:rPr>
                <w:spacing w:val="-2"/>
                <w:sz w:val="18"/>
              </w:rPr>
              <w:t>Specification</w:t>
            </w: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225" w:hRule="atLeast"/>
        </w:trPr>
        <w:tc>
          <w:tcPr>
            <w:tcW w:w="2018" w:type="dxa"/>
          </w:tcPr>
          <w:p>
            <w:pPr>
              <w:pStyle w:val="TableParagraph"/>
              <w:rPr>
                <w:rFonts w:ascii="Times New Roman"/>
                <w:sz w:val="16"/>
              </w:rPr>
            </w:pPr>
          </w:p>
        </w:tc>
        <w:tc>
          <w:tcPr>
            <w:tcW w:w="1102" w:type="dxa"/>
          </w:tcPr>
          <w:p>
            <w:pPr>
              <w:pStyle w:val="TableParagraph"/>
              <w:rPr>
                <w:rFonts w:ascii="Times New Roman"/>
                <w:sz w:val="16"/>
              </w:rPr>
            </w:pPr>
          </w:p>
        </w:tc>
        <w:tc>
          <w:tcPr>
            <w:tcW w:w="1207" w:type="dxa"/>
          </w:tcPr>
          <w:p>
            <w:pPr>
              <w:pStyle w:val="TableParagraph"/>
              <w:rPr>
                <w:rFonts w:ascii="Times New Roman"/>
                <w:sz w:val="16"/>
              </w:rPr>
            </w:pPr>
          </w:p>
        </w:tc>
        <w:tc>
          <w:tcPr>
            <w:tcW w:w="1207" w:type="dxa"/>
          </w:tcPr>
          <w:p>
            <w:pPr>
              <w:pStyle w:val="TableParagraph"/>
              <w:spacing w:line="205" w:lineRule="exact"/>
              <w:ind w:right="205"/>
              <w:jc w:val="right"/>
              <w:rPr>
                <w:sz w:val="18"/>
              </w:rPr>
            </w:pPr>
            <w:r>
              <w:rPr>
                <w:spacing w:val="-4"/>
                <w:sz w:val="18"/>
              </w:rPr>
              <w:t>S.D.</w:t>
            </w:r>
          </w:p>
        </w:tc>
        <w:tc>
          <w:tcPr>
            <w:tcW w:w="998" w:type="dxa"/>
          </w:tcPr>
          <w:p>
            <w:pPr>
              <w:pStyle w:val="TableParagraph"/>
              <w:spacing w:line="205" w:lineRule="exact"/>
              <w:ind w:left="241"/>
              <w:jc w:val="center"/>
              <w:rPr>
                <w:sz w:val="18"/>
              </w:rPr>
            </w:pPr>
            <w:r>
              <w:rPr>
                <w:spacing w:val="-5"/>
                <w:sz w:val="18"/>
              </w:rPr>
              <w:t>Rho</w:t>
            </w:r>
          </w:p>
        </w:tc>
      </w:tr>
      <w:tr>
        <w:trPr>
          <w:trHeight w:val="81"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4327" w:type="dxa"/>
            <w:gridSpan w:val="3"/>
          </w:tcPr>
          <w:p>
            <w:pPr>
              <w:pStyle w:val="TableParagraph"/>
              <w:spacing w:line="205" w:lineRule="exact"/>
              <w:ind w:left="107"/>
              <w:rPr>
                <w:sz w:val="18"/>
              </w:rPr>
            </w:pPr>
            <w:r>
              <w:rPr>
                <w:spacing w:val="-2"/>
                <w:sz w:val="18"/>
              </w:rPr>
              <w:t>Cross-section</w:t>
            </w:r>
            <w:r>
              <w:rPr>
                <w:spacing w:val="10"/>
                <w:sz w:val="18"/>
              </w:rPr>
              <w:t> </w:t>
            </w:r>
            <w:r>
              <w:rPr>
                <w:spacing w:val="-2"/>
                <w:sz w:val="18"/>
              </w:rPr>
              <w:t>random</w:t>
            </w:r>
          </w:p>
        </w:tc>
        <w:tc>
          <w:tcPr>
            <w:tcW w:w="1207" w:type="dxa"/>
          </w:tcPr>
          <w:p>
            <w:pPr>
              <w:pStyle w:val="TableParagraph"/>
              <w:spacing w:line="205" w:lineRule="exact"/>
              <w:ind w:right="103"/>
              <w:jc w:val="right"/>
              <w:rPr>
                <w:sz w:val="18"/>
              </w:rPr>
            </w:pPr>
            <w:r>
              <w:rPr>
                <w:spacing w:val="-2"/>
                <w:sz w:val="18"/>
              </w:rPr>
              <w:t>6.114883</w:t>
            </w:r>
          </w:p>
        </w:tc>
        <w:tc>
          <w:tcPr>
            <w:tcW w:w="998" w:type="dxa"/>
          </w:tcPr>
          <w:p>
            <w:pPr>
              <w:pStyle w:val="TableParagraph"/>
              <w:spacing w:line="205" w:lineRule="exact"/>
              <w:ind w:left="222"/>
              <w:jc w:val="center"/>
              <w:rPr>
                <w:sz w:val="18"/>
              </w:rPr>
            </w:pPr>
            <w:r>
              <w:rPr>
                <w:spacing w:val="-2"/>
                <w:sz w:val="18"/>
              </w:rPr>
              <w:t>0.3988</w:t>
            </w:r>
          </w:p>
        </w:tc>
      </w:tr>
      <w:tr>
        <w:trPr>
          <w:trHeight w:val="225" w:hRule="atLeast"/>
        </w:trPr>
        <w:tc>
          <w:tcPr>
            <w:tcW w:w="4327" w:type="dxa"/>
            <w:gridSpan w:val="3"/>
          </w:tcPr>
          <w:p>
            <w:pPr>
              <w:pStyle w:val="TableParagraph"/>
              <w:spacing w:line="205" w:lineRule="exact"/>
              <w:ind w:left="107"/>
              <w:rPr>
                <w:sz w:val="18"/>
              </w:rPr>
            </w:pPr>
            <w:r>
              <w:rPr>
                <w:sz w:val="18"/>
              </w:rPr>
              <w:t>Idiosyncratic</w:t>
            </w:r>
            <w:r>
              <w:rPr>
                <w:spacing w:val="-4"/>
                <w:sz w:val="18"/>
              </w:rPr>
              <w:t> </w:t>
            </w:r>
            <w:r>
              <w:rPr>
                <w:spacing w:val="-2"/>
                <w:sz w:val="18"/>
              </w:rPr>
              <w:t>random</w:t>
            </w:r>
          </w:p>
        </w:tc>
        <w:tc>
          <w:tcPr>
            <w:tcW w:w="1207" w:type="dxa"/>
          </w:tcPr>
          <w:p>
            <w:pPr>
              <w:pStyle w:val="TableParagraph"/>
              <w:spacing w:line="205" w:lineRule="exact"/>
              <w:ind w:right="103"/>
              <w:jc w:val="right"/>
              <w:rPr>
                <w:sz w:val="18"/>
              </w:rPr>
            </w:pPr>
            <w:r>
              <w:rPr>
                <w:spacing w:val="-2"/>
                <w:sz w:val="18"/>
              </w:rPr>
              <w:t>7.507714</w:t>
            </w:r>
          </w:p>
        </w:tc>
        <w:tc>
          <w:tcPr>
            <w:tcW w:w="998" w:type="dxa"/>
          </w:tcPr>
          <w:p>
            <w:pPr>
              <w:pStyle w:val="TableParagraph"/>
              <w:spacing w:line="205" w:lineRule="exact"/>
              <w:ind w:left="222"/>
              <w:jc w:val="center"/>
              <w:rPr>
                <w:sz w:val="18"/>
              </w:rPr>
            </w:pPr>
            <w:r>
              <w:rPr>
                <w:spacing w:val="-2"/>
                <w:sz w:val="18"/>
              </w:rPr>
              <w:t>0.6012</w:t>
            </w:r>
          </w:p>
        </w:tc>
      </w:tr>
      <w:tr>
        <w:trPr>
          <w:trHeight w:val="78"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6"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2" w:hRule="atLeast"/>
        </w:trPr>
        <w:tc>
          <w:tcPr>
            <w:tcW w:w="2018" w:type="dxa"/>
          </w:tcPr>
          <w:p>
            <w:pPr>
              <w:pStyle w:val="TableParagraph"/>
              <w:rPr>
                <w:rFonts w:ascii="Times New Roman"/>
                <w:sz w:val="14"/>
              </w:rPr>
            </w:pPr>
          </w:p>
        </w:tc>
        <w:tc>
          <w:tcPr>
            <w:tcW w:w="2309" w:type="dxa"/>
            <w:gridSpan w:val="2"/>
          </w:tcPr>
          <w:p>
            <w:pPr>
              <w:pStyle w:val="TableParagraph"/>
              <w:spacing w:line="203" w:lineRule="exact"/>
              <w:ind w:left="389"/>
              <w:rPr>
                <w:sz w:val="18"/>
              </w:rPr>
            </w:pPr>
            <w:r>
              <w:rPr>
                <w:sz w:val="18"/>
              </w:rPr>
              <w:t>Weighted</w:t>
            </w:r>
            <w:r>
              <w:rPr>
                <w:spacing w:val="-3"/>
                <w:sz w:val="18"/>
              </w:rPr>
              <w:t> </w:t>
            </w:r>
            <w:r>
              <w:rPr>
                <w:spacing w:val="-2"/>
                <w:sz w:val="18"/>
              </w:rPr>
              <w:t>Statistics</w:t>
            </w:r>
          </w:p>
        </w:tc>
        <w:tc>
          <w:tcPr>
            <w:tcW w:w="1207" w:type="dxa"/>
          </w:tcPr>
          <w:p>
            <w:pPr>
              <w:pStyle w:val="TableParagraph"/>
              <w:rPr>
                <w:rFonts w:ascii="Times New Roman"/>
                <w:sz w:val="14"/>
              </w:rPr>
            </w:pPr>
          </w:p>
        </w:tc>
        <w:tc>
          <w:tcPr>
            <w:tcW w:w="998" w:type="dxa"/>
          </w:tcPr>
          <w:p>
            <w:pPr>
              <w:pStyle w:val="TableParagraph"/>
              <w:rPr>
                <w:rFonts w:ascii="Times New Roman"/>
                <w:sz w:val="14"/>
              </w:rPr>
            </w:pPr>
          </w:p>
        </w:tc>
      </w:tr>
      <w:tr>
        <w:trPr>
          <w:trHeight w:val="81"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2018" w:type="dxa"/>
          </w:tcPr>
          <w:p>
            <w:pPr>
              <w:pStyle w:val="TableParagraph"/>
              <w:spacing w:line="205" w:lineRule="exact"/>
              <w:ind w:left="107"/>
              <w:rPr>
                <w:sz w:val="18"/>
              </w:rPr>
            </w:pPr>
            <w:r>
              <w:rPr>
                <w:spacing w:val="-2"/>
                <w:sz w:val="18"/>
              </w:rPr>
              <w:t>R-squared</w:t>
            </w:r>
          </w:p>
        </w:tc>
        <w:tc>
          <w:tcPr>
            <w:tcW w:w="1102" w:type="dxa"/>
          </w:tcPr>
          <w:p>
            <w:pPr>
              <w:pStyle w:val="TableParagraph"/>
              <w:spacing w:line="205" w:lineRule="exact"/>
              <w:ind w:left="127"/>
              <w:jc w:val="center"/>
              <w:rPr>
                <w:sz w:val="18"/>
              </w:rPr>
            </w:pPr>
            <w:r>
              <w:rPr>
                <w:spacing w:val="-2"/>
                <w:sz w:val="18"/>
              </w:rPr>
              <w:t>0.150030</w:t>
            </w:r>
          </w:p>
        </w:tc>
        <w:tc>
          <w:tcPr>
            <w:tcW w:w="2414" w:type="dxa"/>
            <w:gridSpan w:val="2"/>
          </w:tcPr>
          <w:p>
            <w:pPr>
              <w:pStyle w:val="TableParagraph"/>
              <w:spacing w:line="205" w:lineRule="exact"/>
              <w:ind w:left="309"/>
              <w:rPr>
                <w:sz w:val="18"/>
              </w:rPr>
            </w:pPr>
            <w:r>
              <w:rPr>
                <w:sz w:val="18"/>
              </w:rPr>
              <w:t>Mean</w:t>
            </w:r>
            <w:r>
              <w:rPr>
                <w:spacing w:val="-11"/>
                <w:sz w:val="18"/>
              </w:rPr>
              <w:t> </w:t>
            </w:r>
            <w:r>
              <w:rPr>
                <w:sz w:val="18"/>
              </w:rPr>
              <w:t>dependent</w:t>
            </w:r>
            <w:r>
              <w:rPr>
                <w:spacing w:val="-11"/>
                <w:sz w:val="18"/>
              </w:rPr>
              <w:t> </w:t>
            </w:r>
            <w:r>
              <w:rPr>
                <w:spacing w:val="-5"/>
                <w:sz w:val="18"/>
              </w:rPr>
              <w:t>var</w:t>
            </w:r>
          </w:p>
        </w:tc>
        <w:tc>
          <w:tcPr>
            <w:tcW w:w="998" w:type="dxa"/>
          </w:tcPr>
          <w:p>
            <w:pPr>
              <w:pStyle w:val="TableParagraph"/>
              <w:spacing w:line="205" w:lineRule="exact"/>
              <w:ind w:left="20"/>
              <w:jc w:val="center"/>
              <w:rPr>
                <w:sz w:val="18"/>
              </w:rPr>
            </w:pPr>
            <w:r>
              <w:rPr>
                <w:spacing w:val="-2"/>
                <w:sz w:val="18"/>
              </w:rPr>
              <w:t>2.946552</w:t>
            </w:r>
          </w:p>
        </w:tc>
      </w:tr>
      <w:tr>
        <w:trPr>
          <w:trHeight w:val="225" w:hRule="atLeast"/>
        </w:trPr>
        <w:tc>
          <w:tcPr>
            <w:tcW w:w="2018" w:type="dxa"/>
          </w:tcPr>
          <w:p>
            <w:pPr>
              <w:pStyle w:val="TableParagraph"/>
              <w:spacing w:line="205" w:lineRule="exact"/>
              <w:ind w:left="107"/>
              <w:rPr>
                <w:sz w:val="18"/>
              </w:rPr>
            </w:pPr>
            <w:r>
              <w:rPr>
                <w:sz w:val="18"/>
              </w:rPr>
              <w:t>Adjusted</w:t>
            </w:r>
            <w:r>
              <w:rPr>
                <w:spacing w:val="-9"/>
                <w:sz w:val="18"/>
              </w:rPr>
              <w:t> </w:t>
            </w:r>
            <w:r>
              <w:rPr>
                <w:sz w:val="18"/>
              </w:rPr>
              <w:t>R-</w:t>
            </w:r>
            <w:r>
              <w:rPr>
                <w:spacing w:val="-2"/>
                <w:sz w:val="18"/>
              </w:rPr>
              <w:t>squared</w:t>
            </w:r>
          </w:p>
        </w:tc>
        <w:tc>
          <w:tcPr>
            <w:tcW w:w="1102" w:type="dxa"/>
          </w:tcPr>
          <w:p>
            <w:pPr>
              <w:pStyle w:val="TableParagraph"/>
              <w:spacing w:line="205" w:lineRule="exact"/>
              <w:ind w:left="127"/>
              <w:jc w:val="center"/>
              <w:rPr>
                <w:sz w:val="18"/>
              </w:rPr>
            </w:pPr>
            <w:r>
              <w:rPr>
                <w:spacing w:val="-2"/>
                <w:sz w:val="18"/>
              </w:rPr>
              <w:t>0.093988</w:t>
            </w:r>
          </w:p>
        </w:tc>
        <w:tc>
          <w:tcPr>
            <w:tcW w:w="2414" w:type="dxa"/>
            <w:gridSpan w:val="2"/>
          </w:tcPr>
          <w:p>
            <w:pPr>
              <w:pStyle w:val="TableParagraph"/>
              <w:spacing w:line="205" w:lineRule="exact"/>
              <w:ind w:left="309"/>
              <w:rPr>
                <w:sz w:val="18"/>
              </w:rPr>
            </w:pPr>
            <w:r>
              <w:rPr>
                <w:sz w:val="18"/>
              </w:rPr>
              <w:t>S.D.</w:t>
            </w:r>
            <w:r>
              <w:rPr>
                <w:spacing w:val="-3"/>
                <w:sz w:val="18"/>
              </w:rPr>
              <w:t> </w:t>
            </w:r>
            <w:r>
              <w:rPr>
                <w:sz w:val="18"/>
              </w:rPr>
              <w:t>dependent</w:t>
            </w:r>
            <w:r>
              <w:rPr>
                <w:spacing w:val="-3"/>
                <w:sz w:val="18"/>
              </w:rPr>
              <w:t> </w:t>
            </w:r>
            <w:r>
              <w:rPr>
                <w:spacing w:val="-5"/>
                <w:sz w:val="18"/>
              </w:rPr>
              <w:t>var</w:t>
            </w:r>
          </w:p>
        </w:tc>
        <w:tc>
          <w:tcPr>
            <w:tcW w:w="998" w:type="dxa"/>
          </w:tcPr>
          <w:p>
            <w:pPr>
              <w:pStyle w:val="TableParagraph"/>
              <w:spacing w:line="205" w:lineRule="exact"/>
              <w:ind w:left="20"/>
              <w:jc w:val="center"/>
              <w:rPr>
                <w:sz w:val="18"/>
              </w:rPr>
            </w:pPr>
            <w:r>
              <w:rPr>
                <w:spacing w:val="-2"/>
                <w:sz w:val="18"/>
              </w:rPr>
              <w:t>7.944468</w:t>
            </w:r>
          </w:p>
        </w:tc>
      </w:tr>
      <w:tr>
        <w:trPr>
          <w:trHeight w:val="225" w:hRule="atLeast"/>
        </w:trPr>
        <w:tc>
          <w:tcPr>
            <w:tcW w:w="2018" w:type="dxa"/>
          </w:tcPr>
          <w:p>
            <w:pPr>
              <w:pStyle w:val="TableParagraph"/>
              <w:spacing w:line="205" w:lineRule="exact"/>
              <w:ind w:left="107"/>
              <w:rPr>
                <w:sz w:val="18"/>
              </w:rPr>
            </w:pPr>
            <w:r>
              <w:rPr>
                <w:sz w:val="18"/>
              </w:rPr>
              <w:t>S.E.</w:t>
            </w:r>
            <w:r>
              <w:rPr>
                <w:spacing w:val="-2"/>
                <w:sz w:val="18"/>
              </w:rPr>
              <w:t> </w:t>
            </w:r>
            <w:r>
              <w:rPr>
                <w:sz w:val="18"/>
              </w:rPr>
              <w:t>of </w:t>
            </w:r>
            <w:r>
              <w:rPr>
                <w:spacing w:val="-2"/>
                <w:sz w:val="18"/>
              </w:rPr>
              <w:t>regression</w:t>
            </w:r>
          </w:p>
        </w:tc>
        <w:tc>
          <w:tcPr>
            <w:tcW w:w="1102" w:type="dxa"/>
          </w:tcPr>
          <w:p>
            <w:pPr>
              <w:pStyle w:val="TableParagraph"/>
              <w:spacing w:line="205" w:lineRule="exact"/>
              <w:ind w:left="127"/>
              <w:jc w:val="center"/>
              <w:rPr>
                <w:sz w:val="18"/>
              </w:rPr>
            </w:pPr>
            <w:r>
              <w:rPr>
                <w:spacing w:val="-2"/>
                <w:sz w:val="18"/>
              </w:rPr>
              <w:t>7.561916</w:t>
            </w:r>
          </w:p>
        </w:tc>
        <w:tc>
          <w:tcPr>
            <w:tcW w:w="2414" w:type="dxa"/>
            <w:gridSpan w:val="2"/>
          </w:tcPr>
          <w:p>
            <w:pPr>
              <w:pStyle w:val="TableParagraph"/>
              <w:spacing w:line="205" w:lineRule="exact"/>
              <w:ind w:left="309"/>
              <w:rPr>
                <w:sz w:val="18"/>
              </w:rPr>
            </w:pPr>
            <w:r>
              <w:rPr>
                <w:sz w:val="18"/>
              </w:rPr>
              <w:t>Sum</w:t>
            </w:r>
            <w:r>
              <w:rPr>
                <w:spacing w:val="-5"/>
                <w:sz w:val="18"/>
              </w:rPr>
              <w:t> </w:t>
            </w:r>
            <w:r>
              <w:rPr>
                <w:sz w:val="18"/>
              </w:rPr>
              <w:t>squared</w:t>
            </w:r>
            <w:r>
              <w:rPr>
                <w:spacing w:val="-2"/>
                <w:sz w:val="18"/>
              </w:rPr>
              <w:t> resid</w:t>
            </w:r>
          </w:p>
        </w:tc>
        <w:tc>
          <w:tcPr>
            <w:tcW w:w="998" w:type="dxa"/>
          </w:tcPr>
          <w:p>
            <w:pPr>
              <w:pStyle w:val="TableParagraph"/>
              <w:spacing w:line="205" w:lineRule="exact"/>
              <w:ind w:left="20"/>
              <w:jc w:val="center"/>
              <w:rPr>
                <w:sz w:val="18"/>
              </w:rPr>
            </w:pPr>
            <w:r>
              <w:rPr>
                <w:spacing w:val="-2"/>
                <w:sz w:val="18"/>
              </w:rPr>
              <w:t>10407.23</w:t>
            </w:r>
          </w:p>
        </w:tc>
      </w:tr>
      <w:tr>
        <w:trPr>
          <w:trHeight w:val="225" w:hRule="atLeast"/>
        </w:trPr>
        <w:tc>
          <w:tcPr>
            <w:tcW w:w="2018" w:type="dxa"/>
          </w:tcPr>
          <w:p>
            <w:pPr>
              <w:pStyle w:val="TableParagraph"/>
              <w:spacing w:line="205" w:lineRule="exact"/>
              <w:ind w:left="107"/>
              <w:rPr>
                <w:sz w:val="18"/>
              </w:rPr>
            </w:pPr>
            <w:r>
              <w:rPr>
                <w:spacing w:val="-2"/>
                <w:sz w:val="18"/>
              </w:rPr>
              <w:t>F-statistic</w:t>
            </w:r>
          </w:p>
        </w:tc>
        <w:tc>
          <w:tcPr>
            <w:tcW w:w="1102" w:type="dxa"/>
          </w:tcPr>
          <w:p>
            <w:pPr>
              <w:pStyle w:val="TableParagraph"/>
              <w:spacing w:line="205" w:lineRule="exact"/>
              <w:ind w:left="127"/>
              <w:jc w:val="center"/>
              <w:rPr>
                <w:sz w:val="18"/>
              </w:rPr>
            </w:pPr>
            <w:r>
              <w:rPr>
                <w:spacing w:val="-2"/>
                <w:sz w:val="18"/>
              </w:rPr>
              <w:t>2.677099</w:t>
            </w:r>
          </w:p>
        </w:tc>
        <w:tc>
          <w:tcPr>
            <w:tcW w:w="2414" w:type="dxa"/>
            <w:gridSpan w:val="2"/>
          </w:tcPr>
          <w:p>
            <w:pPr>
              <w:pStyle w:val="TableParagraph"/>
              <w:spacing w:line="205" w:lineRule="exact"/>
              <w:ind w:left="309"/>
              <w:rPr>
                <w:sz w:val="18"/>
              </w:rPr>
            </w:pPr>
            <w:r>
              <w:rPr>
                <w:spacing w:val="-2"/>
                <w:sz w:val="18"/>
              </w:rPr>
              <w:t>Durbin-Watson</w:t>
            </w:r>
            <w:r>
              <w:rPr>
                <w:spacing w:val="13"/>
                <w:sz w:val="18"/>
              </w:rPr>
              <w:t> </w:t>
            </w:r>
            <w:r>
              <w:rPr>
                <w:spacing w:val="-4"/>
                <w:sz w:val="18"/>
              </w:rPr>
              <w:t>stat</w:t>
            </w:r>
          </w:p>
        </w:tc>
        <w:tc>
          <w:tcPr>
            <w:tcW w:w="998" w:type="dxa"/>
          </w:tcPr>
          <w:p>
            <w:pPr>
              <w:pStyle w:val="TableParagraph"/>
              <w:spacing w:line="205" w:lineRule="exact"/>
              <w:ind w:left="20"/>
              <w:jc w:val="center"/>
              <w:rPr>
                <w:sz w:val="18"/>
              </w:rPr>
            </w:pPr>
            <w:r>
              <w:rPr>
                <w:spacing w:val="-2"/>
                <w:sz w:val="18"/>
              </w:rPr>
              <w:t>0.971653</w:t>
            </w:r>
          </w:p>
        </w:tc>
      </w:tr>
      <w:tr>
        <w:trPr>
          <w:trHeight w:val="225" w:hRule="atLeast"/>
        </w:trPr>
        <w:tc>
          <w:tcPr>
            <w:tcW w:w="2018" w:type="dxa"/>
          </w:tcPr>
          <w:p>
            <w:pPr>
              <w:pStyle w:val="TableParagraph"/>
              <w:spacing w:line="205" w:lineRule="exact"/>
              <w:ind w:left="107"/>
              <w:rPr>
                <w:sz w:val="18"/>
              </w:rPr>
            </w:pPr>
            <w:r>
              <w:rPr>
                <w:spacing w:val="-2"/>
                <w:sz w:val="18"/>
              </w:rPr>
              <w:t>Prob(F-statistic)</w:t>
            </w:r>
          </w:p>
        </w:tc>
        <w:tc>
          <w:tcPr>
            <w:tcW w:w="1102" w:type="dxa"/>
          </w:tcPr>
          <w:p>
            <w:pPr>
              <w:pStyle w:val="TableParagraph"/>
              <w:spacing w:line="205" w:lineRule="exact"/>
              <w:ind w:left="127"/>
              <w:jc w:val="center"/>
              <w:rPr>
                <w:sz w:val="18"/>
              </w:rPr>
            </w:pPr>
            <w:r>
              <w:rPr>
                <w:spacing w:val="-2"/>
                <w:sz w:val="18"/>
              </w:rPr>
              <w:t>0.002446</w:t>
            </w:r>
          </w:p>
        </w:tc>
        <w:tc>
          <w:tcPr>
            <w:tcW w:w="1207" w:type="dxa"/>
          </w:tcPr>
          <w:p>
            <w:pPr>
              <w:pStyle w:val="TableParagraph"/>
              <w:rPr>
                <w:rFonts w:ascii="Times New Roman"/>
                <w:sz w:val="16"/>
              </w:rPr>
            </w:pPr>
          </w:p>
        </w:tc>
        <w:tc>
          <w:tcPr>
            <w:tcW w:w="1207" w:type="dxa"/>
          </w:tcPr>
          <w:p>
            <w:pPr>
              <w:pStyle w:val="TableParagraph"/>
              <w:rPr>
                <w:rFonts w:ascii="Times New Roman"/>
                <w:sz w:val="16"/>
              </w:rPr>
            </w:pPr>
          </w:p>
        </w:tc>
        <w:tc>
          <w:tcPr>
            <w:tcW w:w="998" w:type="dxa"/>
          </w:tcPr>
          <w:p>
            <w:pPr>
              <w:pStyle w:val="TableParagraph"/>
              <w:rPr>
                <w:rFonts w:ascii="Times New Roman"/>
                <w:sz w:val="16"/>
              </w:rPr>
            </w:pPr>
          </w:p>
        </w:tc>
      </w:tr>
      <w:tr>
        <w:trPr>
          <w:trHeight w:val="78"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6"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3" w:hRule="atLeast"/>
        </w:trPr>
        <w:tc>
          <w:tcPr>
            <w:tcW w:w="2018" w:type="dxa"/>
          </w:tcPr>
          <w:p>
            <w:pPr>
              <w:pStyle w:val="TableParagraph"/>
              <w:rPr>
                <w:rFonts w:ascii="Times New Roman"/>
                <w:sz w:val="14"/>
              </w:rPr>
            </w:pPr>
          </w:p>
        </w:tc>
        <w:tc>
          <w:tcPr>
            <w:tcW w:w="2309" w:type="dxa"/>
            <w:gridSpan w:val="2"/>
          </w:tcPr>
          <w:p>
            <w:pPr>
              <w:pStyle w:val="TableParagraph"/>
              <w:spacing w:line="203" w:lineRule="exact"/>
              <w:ind w:left="293"/>
              <w:rPr>
                <w:sz w:val="18"/>
              </w:rPr>
            </w:pPr>
            <w:r>
              <w:rPr>
                <w:spacing w:val="-2"/>
                <w:sz w:val="18"/>
              </w:rPr>
              <w:t>Unweighted</w:t>
            </w:r>
            <w:r>
              <w:rPr>
                <w:spacing w:val="3"/>
                <w:sz w:val="18"/>
              </w:rPr>
              <w:t> </w:t>
            </w:r>
            <w:r>
              <w:rPr>
                <w:spacing w:val="-2"/>
                <w:sz w:val="18"/>
              </w:rPr>
              <w:t>Statistics</w:t>
            </w:r>
          </w:p>
        </w:tc>
        <w:tc>
          <w:tcPr>
            <w:tcW w:w="1207" w:type="dxa"/>
          </w:tcPr>
          <w:p>
            <w:pPr>
              <w:pStyle w:val="TableParagraph"/>
              <w:rPr>
                <w:rFonts w:ascii="Times New Roman"/>
                <w:sz w:val="14"/>
              </w:rPr>
            </w:pPr>
          </w:p>
        </w:tc>
        <w:tc>
          <w:tcPr>
            <w:tcW w:w="998" w:type="dxa"/>
          </w:tcPr>
          <w:p>
            <w:pPr>
              <w:pStyle w:val="TableParagraph"/>
              <w:rPr>
                <w:rFonts w:ascii="Times New Roman"/>
                <w:sz w:val="14"/>
              </w:rPr>
            </w:pPr>
          </w:p>
        </w:tc>
      </w:tr>
      <w:tr>
        <w:trPr>
          <w:trHeight w:val="81"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r>
        <w:trPr>
          <w:trHeight w:val="225" w:hRule="atLeast"/>
        </w:trPr>
        <w:tc>
          <w:tcPr>
            <w:tcW w:w="2018" w:type="dxa"/>
          </w:tcPr>
          <w:p>
            <w:pPr>
              <w:pStyle w:val="TableParagraph"/>
              <w:spacing w:line="205" w:lineRule="exact"/>
              <w:ind w:left="107"/>
              <w:rPr>
                <w:sz w:val="18"/>
              </w:rPr>
            </w:pPr>
            <w:r>
              <w:rPr>
                <w:spacing w:val="-2"/>
                <w:sz w:val="18"/>
              </w:rPr>
              <w:t>R-squared</w:t>
            </w:r>
          </w:p>
        </w:tc>
        <w:tc>
          <w:tcPr>
            <w:tcW w:w="1102" w:type="dxa"/>
          </w:tcPr>
          <w:p>
            <w:pPr>
              <w:pStyle w:val="TableParagraph"/>
              <w:spacing w:line="205" w:lineRule="exact"/>
              <w:ind w:left="127"/>
              <w:jc w:val="center"/>
              <w:rPr>
                <w:sz w:val="18"/>
              </w:rPr>
            </w:pPr>
            <w:r>
              <w:rPr>
                <w:spacing w:val="-2"/>
                <w:sz w:val="18"/>
              </w:rPr>
              <w:t>0.145013</w:t>
            </w:r>
          </w:p>
        </w:tc>
        <w:tc>
          <w:tcPr>
            <w:tcW w:w="2414" w:type="dxa"/>
            <w:gridSpan w:val="2"/>
          </w:tcPr>
          <w:p>
            <w:pPr>
              <w:pStyle w:val="TableParagraph"/>
              <w:spacing w:line="205" w:lineRule="exact"/>
              <w:ind w:left="309"/>
              <w:rPr>
                <w:sz w:val="18"/>
              </w:rPr>
            </w:pPr>
            <w:r>
              <w:rPr>
                <w:sz w:val="18"/>
              </w:rPr>
              <w:t>Mean</w:t>
            </w:r>
            <w:r>
              <w:rPr>
                <w:spacing w:val="-11"/>
                <w:sz w:val="18"/>
              </w:rPr>
              <w:t> </w:t>
            </w:r>
            <w:r>
              <w:rPr>
                <w:sz w:val="18"/>
              </w:rPr>
              <w:t>dependent</w:t>
            </w:r>
            <w:r>
              <w:rPr>
                <w:spacing w:val="-11"/>
                <w:sz w:val="18"/>
              </w:rPr>
              <w:t> </w:t>
            </w:r>
            <w:r>
              <w:rPr>
                <w:spacing w:val="-5"/>
                <w:sz w:val="18"/>
              </w:rPr>
              <w:t>var</w:t>
            </w:r>
          </w:p>
        </w:tc>
        <w:tc>
          <w:tcPr>
            <w:tcW w:w="998" w:type="dxa"/>
          </w:tcPr>
          <w:p>
            <w:pPr>
              <w:pStyle w:val="TableParagraph"/>
              <w:spacing w:line="205" w:lineRule="exact"/>
              <w:ind w:left="20"/>
              <w:jc w:val="center"/>
              <w:rPr>
                <w:sz w:val="18"/>
              </w:rPr>
            </w:pPr>
            <w:r>
              <w:rPr>
                <w:spacing w:val="-2"/>
                <w:sz w:val="18"/>
              </w:rPr>
              <w:t>9.750667</w:t>
            </w:r>
          </w:p>
        </w:tc>
      </w:tr>
      <w:tr>
        <w:trPr>
          <w:trHeight w:val="225" w:hRule="atLeast"/>
        </w:trPr>
        <w:tc>
          <w:tcPr>
            <w:tcW w:w="2018" w:type="dxa"/>
          </w:tcPr>
          <w:p>
            <w:pPr>
              <w:pStyle w:val="TableParagraph"/>
              <w:spacing w:line="205" w:lineRule="exact"/>
              <w:ind w:left="107"/>
              <w:rPr>
                <w:sz w:val="18"/>
              </w:rPr>
            </w:pPr>
            <w:r>
              <w:rPr>
                <w:sz w:val="18"/>
              </w:rPr>
              <w:t>Sum</w:t>
            </w:r>
            <w:r>
              <w:rPr>
                <w:spacing w:val="-4"/>
                <w:sz w:val="18"/>
              </w:rPr>
              <w:t> </w:t>
            </w:r>
            <w:r>
              <w:rPr>
                <w:sz w:val="18"/>
              </w:rPr>
              <w:t>squared</w:t>
            </w:r>
            <w:r>
              <w:rPr>
                <w:spacing w:val="-2"/>
                <w:sz w:val="18"/>
              </w:rPr>
              <w:t> </w:t>
            </w:r>
            <w:r>
              <w:rPr>
                <w:spacing w:val="-4"/>
                <w:sz w:val="18"/>
              </w:rPr>
              <w:t>resid</w:t>
            </w:r>
          </w:p>
        </w:tc>
        <w:tc>
          <w:tcPr>
            <w:tcW w:w="1102" w:type="dxa"/>
          </w:tcPr>
          <w:p>
            <w:pPr>
              <w:pStyle w:val="TableParagraph"/>
              <w:spacing w:line="205" w:lineRule="exact"/>
              <w:ind w:left="127"/>
              <w:jc w:val="center"/>
              <w:rPr>
                <w:sz w:val="18"/>
              </w:rPr>
            </w:pPr>
            <w:r>
              <w:rPr>
                <w:spacing w:val="-2"/>
                <w:sz w:val="18"/>
              </w:rPr>
              <w:t>17570.67</w:t>
            </w:r>
          </w:p>
        </w:tc>
        <w:tc>
          <w:tcPr>
            <w:tcW w:w="2414" w:type="dxa"/>
            <w:gridSpan w:val="2"/>
          </w:tcPr>
          <w:p>
            <w:pPr>
              <w:pStyle w:val="TableParagraph"/>
              <w:spacing w:line="205" w:lineRule="exact"/>
              <w:ind w:left="309"/>
              <w:rPr>
                <w:sz w:val="18"/>
              </w:rPr>
            </w:pPr>
            <w:r>
              <w:rPr>
                <w:spacing w:val="-2"/>
                <w:sz w:val="18"/>
              </w:rPr>
              <w:t>Durbin-Watson</w:t>
            </w:r>
            <w:r>
              <w:rPr>
                <w:spacing w:val="13"/>
                <w:sz w:val="18"/>
              </w:rPr>
              <w:t> </w:t>
            </w:r>
            <w:r>
              <w:rPr>
                <w:spacing w:val="-4"/>
                <w:sz w:val="18"/>
              </w:rPr>
              <w:t>stat</w:t>
            </w:r>
          </w:p>
        </w:tc>
        <w:tc>
          <w:tcPr>
            <w:tcW w:w="998" w:type="dxa"/>
          </w:tcPr>
          <w:p>
            <w:pPr>
              <w:pStyle w:val="TableParagraph"/>
              <w:spacing w:line="205" w:lineRule="exact"/>
              <w:ind w:left="20"/>
              <w:jc w:val="center"/>
              <w:rPr>
                <w:sz w:val="18"/>
              </w:rPr>
            </w:pPr>
            <w:r>
              <w:rPr>
                <w:spacing w:val="-2"/>
                <w:sz w:val="18"/>
              </w:rPr>
              <w:t>0.575517</w:t>
            </w:r>
          </w:p>
        </w:tc>
      </w:tr>
      <w:tr>
        <w:trPr>
          <w:trHeight w:val="81" w:hRule="atLeast"/>
        </w:trPr>
        <w:tc>
          <w:tcPr>
            <w:tcW w:w="2018" w:type="dxa"/>
          </w:tcPr>
          <w:p>
            <w:pPr>
              <w:pStyle w:val="TableParagraph"/>
              <w:rPr>
                <w:rFonts w:ascii="Times New Roman"/>
                <w:sz w:val="2"/>
              </w:rPr>
            </w:pPr>
          </w:p>
        </w:tc>
        <w:tc>
          <w:tcPr>
            <w:tcW w:w="1102" w:type="dxa"/>
          </w:tcPr>
          <w:p>
            <w:pPr>
              <w:pStyle w:val="TableParagraph"/>
              <w:rPr>
                <w:rFonts w:ascii="Times New Roman"/>
                <w:sz w:val="2"/>
              </w:rPr>
            </w:pPr>
          </w:p>
        </w:tc>
        <w:tc>
          <w:tcPr>
            <w:tcW w:w="1207" w:type="dxa"/>
          </w:tcPr>
          <w:p>
            <w:pPr>
              <w:pStyle w:val="TableParagraph"/>
              <w:rPr>
                <w:rFonts w:ascii="Times New Roman"/>
                <w:sz w:val="2"/>
              </w:rPr>
            </w:pPr>
          </w:p>
        </w:tc>
        <w:tc>
          <w:tcPr>
            <w:tcW w:w="1207" w:type="dxa"/>
          </w:tcPr>
          <w:p>
            <w:pPr>
              <w:pStyle w:val="TableParagraph"/>
              <w:rPr>
                <w:rFonts w:ascii="Times New Roman"/>
                <w:sz w:val="2"/>
              </w:rPr>
            </w:pPr>
          </w:p>
        </w:tc>
        <w:tc>
          <w:tcPr>
            <w:tcW w:w="998" w:type="dxa"/>
          </w:tcPr>
          <w:p>
            <w:pPr>
              <w:pStyle w:val="TableParagraph"/>
              <w:rPr>
                <w:rFonts w:ascii="Times New Roman"/>
                <w:sz w:val="2"/>
              </w:rPr>
            </w:pPr>
          </w:p>
        </w:tc>
      </w:tr>
      <w:tr>
        <w:trPr>
          <w:trHeight w:val="124" w:hRule="atLeast"/>
        </w:trPr>
        <w:tc>
          <w:tcPr>
            <w:tcW w:w="2018" w:type="dxa"/>
          </w:tcPr>
          <w:p>
            <w:pPr>
              <w:pStyle w:val="TableParagraph"/>
              <w:rPr>
                <w:rFonts w:ascii="Times New Roman"/>
                <w:sz w:val="6"/>
              </w:rPr>
            </w:pPr>
          </w:p>
        </w:tc>
        <w:tc>
          <w:tcPr>
            <w:tcW w:w="1102" w:type="dxa"/>
          </w:tcPr>
          <w:p>
            <w:pPr>
              <w:pStyle w:val="TableParagraph"/>
              <w:rPr>
                <w:rFonts w:ascii="Times New Roman"/>
                <w:sz w:val="6"/>
              </w:rPr>
            </w:pPr>
          </w:p>
        </w:tc>
        <w:tc>
          <w:tcPr>
            <w:tcW w:w="1207" w:type="dxa"/>
          </w:tcPr>
          <w:p>
            <w:pPr>
              <w:pStyle w:val="TableParagraph"/>
              <w:rPr>
                <w:rFonts w:ascii="Times New Roman"/>
                <w:sz w:val="6"/>
              </w:rPr>
            </w:pPr>
          </w:p>
        </w:tc>
        <w:tc>
          <w:tcPr>
            <w:tcW w:w="1207" w:type="dxa"/>
          </w:tcPr>
          <w:p>
            <w:pPr>
              <w:pStyle w:val="TableParagraph"/>
              <w:rPr>
                <w:rFonts w:ascii="Times New Roman"/>
                <w:sz w:val="6"/>
              </w:rPr>
            </w:pPr>
          </w:p>
        </w:tc>
        <w:tc>
          <w:tcPr>
            <w:tcW w:w="998" w:type="dxa"/>
          </w:tcPr>
          <w:p>
            <w:pPr>
              <w:pStyle w:val="TableParagraph"/>
              <w:rPr>
                <w:rFonts w:ascii="Times New Roman"/>
                <w:sz w:val="6"/>
              </w:rPr>
            </w:pPr>
          </w:p>
        </w:tc>
      </w:tr>
    </w:tbl>
    <w:p>
      <w:pPr>
        <w:spacing w:after="0"/>
        <w:rPr>
          <w:rFonts w:ascii="Times New Roman"/>
          <w:sz w:val="6"/>
        </w:rPr>
        <w:sectPr>
          <w:pgSz w:w="11910" w:h="16840"/>
          <w:pgMar w:header="0" w:footer="971" w:top="1360" w:bottom="1160" w:left="500" w:right="0"/>
        </w:sectPr>
      </w:pPr>
    </w:p>
    <w:p>
      <w:pPr>
        <w:pStyle w:val="BodyText"/>
        <w:spacing w:before="1"/>
        <w:rPr>
          <w:b/>
          <w:sz w:val="2"/>
        </w:rPr>
      </w:pPr>
      <w:r>
        <w:rPr/>
        <mc:AlternateContent>
          <mc:Choice Requires="wps">
            <w:drawing>
              <wp:anchor distT="0" distB="0" distL="0" distR="0" allowOverlap="1" layoutInCell="1" locked="0" behindDoc="1" simplePos="0" relativeHeight="477804544">
                <wp:simplePos x="0" y="0"/>
                <wp:positionH relativeFrom="page">
                  <wp:posOffset>1095451</wp:posOffset>
                </wp:positionH>
                <wp:positionV relativeFrom="page">
                  <wp:posOffset>7242047</wp:posOffset>
                </wp:positionV>
                <wp:extent cx="721995" cy="72263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721995" cy="722630"/>
                        </a:xfrm>
                        <a:custGeom>
                          <a:avLst/>
                          <a:gdLst/>
                          <a:ahLst/>
                          <a:cxnLst/>
                          <a:rect l="l" t="t" r="r" b="b"/>
                          <a:pathLst>
                            <a:path w="721995" h="722630">
                              <a:moveTo>
                                <a:pt x="53200" y="127"/>
                              </a:moveTo>
                              <a:lnTo>
                                <a:pt x="14020" y="24765"/>
                              </a:lnTo>
                              <a:lnTo>
                                <a:pt x="0" y="53340"/>
                              </a:lnTo>
                              <a:lnTo>
                                <a:pt x="2273" y="59563"/>
                              </a:lnTo>
                              <a:lnTo>
                                <a:pt x="658799" y="717550"/>
                              </a:lnTo>
                              <a:lnTo>
                                <a:pt x="670864" y="722122"/>
                              </a:lnTo>
                              <a:lnTo>
                                <a:pt x="674293" y="720852"/>
                              </a:lnTo>
                              <a:lnTo>
                                <a:pt x="678230" y="720217"/>
                              </a:lnTo>
                              <a:lnTo>
                                <a:pt x="715314" y="687324"/>
                              </a:lnTo>
                              <a:lnTo>
                                <a:pt x="720394" y="674878"/>
                              </a:lnTo>
                              <a:lnTo>
                                <a:pt x="721664" y="671322"/>
                              </a:lnTo>
                              <a:lnTo>
                                <a:pt x="62407" y="4699"/>
                              </a:lnTo>
                              <a:lnTo>
                                <a:pt x="59423" y="2413"/>
                              </a:lnTo>
                              <a:lnTo>
                                <a:pt x="53200" y="127"/>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86.255997pt;margin-top:570.23999pt;width:56.85pt;height:56.9pt;mso-position-horizontal-relative:page;mso-position-vertical-relative:page;z-index:-25511936" id="docshape188" coordorigin="1725,11405" coordsize="1137,1138" path="m1809,11405l1747,11444,1725,11489,1729,11499,2763,12535,2782,12542,2787,12540,2793,12539,2852,12487,2860,12468,2862,12462,1823,11412,1819,11409,1809,11405xe" filled="true" fillcolor="#c0c0c0"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77805056">
                <wp:simplePos x="0" y="0"/>
                <wp:positionH relativeFrom="page">
                  <wp:posOffset>1269060</wp:posOffset>
                </wp:positionH>
                <wp:positionV relativeFrom="page">
                  <wp:posOffset>2726054</wp:posOffset>
                </wp:positionV>
                <wp:extent cx="4933315" cy="4976495"/>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4933315" cy="4976495"/>
                          <a:chExt cx="4933315" cy="4976495"/>
                        </a:xfrm>
                      </wpg:grpSpPr>
                      <wps:wsp>
                        <wps:cNvPr id="384" name="Graphic 384"/>
                        <wps:cNvSpPr/>
                        <wps:spPr>
                          <a:xfrm>
                            <a:off x="0" y="3695128"/>
                            <a:ext cx="1360170" cy="1281430"/>
                          </a:xfrm>
                          <a:custGeom>
                            <a:avLst/>
                            <a:gdLst/>
                            <a:ahLst/>
                            <a:cxnLst/>
                            <a:rect l="l" t="t" r="r" b="b"/>
                            <a:pathLst>
                              <a:path w="1360170" h="1281430">
                                <a:moveTo>
                                  <a:pt x="902779" y="1085697"/>
                                </a:moveTo>
                                <a:lnTo>
                                  <a:pt x="897432" y="1032065"/>
                                </a:lnTo>
                                <a:lnTo>
                                  <a:pt x="879348" y="975525"/>
                                </a:lnTo>
                                <a:lnTo>
                                  <a:pt x="848791" y="916495"/>
                                </a:lnTo>
                                <a:lnTo>
                                  <a:pt x="806081" y="856475"/>
                                </a:lnTo>
                                <a:lnTo>
                                  <a:pt x="779957" y="826008"/>
                                </a:lnTo>
                                <a:lnTo>
                                  <a:pt x="750620" y="795210"/>
                                </a:lnTo>
                                <a:lnTo>
                                  <a:pt x="334822" y="379539"/>
                                </a:lnTo>
                                <a:lnTo>
                                  <a:pt x="325551" y="374967"/>
                                </a:lnTo>
                                <a:lnTo>
                                  <a:pt x="318820" y="375602"/>
                                </a:lnTo>
                                <a:lnTo>
                                  <a:pt x="286181" y="399859"/>
                                </a:lnTo>
                                <a:lnTo>
                                  <a:pt x="272338" y="425259"/>
                                </a:lnTo>
                                <a:lnTo>
                                  <a:pt x="272465" y="428180"/>
                                </a:lnTo>
                                <a:lnTo>
                                  <a:pt x="274624" y="434403"/>
                                </a:lnTo>
                                <a:lnTo>
                                  <a:pt x="276910" y="437451"/>
                                </a:lnTo>
                                <a:lnTo>
                                  <a:pt x="693089" y="853630"/>
                                </a:lnTo>
                                <a:lnTo>
                                  <a:pt x="714679" y="876147"/>
                                </a:lnTo>
                                <a:lnTo>
                                  <a:pt x="750874" y="919518"/>
                                </a:lnTo>
                                <a:lnTo>
                                  <a:pt x="777633" y="960602"/>
                                </a:lnTo>
                                <a:lnTo>
                                  <a:pt x="795743" y="999667"/>
                                </a:lnTo>
                                <a:lnTo>
                                  <a:pt x="806284" y="1053452"/>
                                </a:lnTo>
                                <a:lnTo>
                                  <a:pt x="805421" y="1070178"/>
                                </a:lnTo>
                                <a:lnTo>
                                  <a:pt x="789927" y="1116253"/>
                                </a:lnTo>
                                <a:lnTo>
                                  <a:pt x="755726" y="1154430"/>
                                </a:lnTo>
                                <a:lnTo>
                                  <a:pt x="712266" y="1175448"/>
                                </a:lnTo>
                                <a:lnTo>
                                  <a:pt x="679157" y="1179360"/>
                                </a:lnTo>
                                <a:lnTo>
                                  <a:pt x="661593" y="1178064"/>
                                </a:lnTo>
                                <a:lnTo>
                                  <a:pt x="624509" y="1168730"/>
                                </a:lnTo>
                                <a:lnTo>
                                  <a:pt x="584619" y="1150645"/>
                                </a:lnTo>
                                <a:lnTo>
                                  <a:pt x="541959" y="1122908"/>
                                </a:lnTo>
                                <a:lnTo>
                                  <a:pt x="497230" y="1085608"/>
                                </a:lnTo>
                                <a:lnTo>
                                  <a:pt x="62534" y="651827"/>
                                </a:lnTo>
                                <a:lnTo>
                                  <a:pt x="59613" y="649541"/>
                                </a:lnTo>
                                <a:lnTo>
                                  <a:pt x="53390" y="647255"/>
                                </a:lnTo>
                                <a:lnTo>
                                  <a:pt x="50469" y="647255"/>
                                </a:lnTo>
                                <a:lnTo>
                                  <a:pt x="13893" y="672147"/>
                                </a:lnTo>
                                <a:lnTo>
                                  <a:pt x="0" y="697674"/>
                                </a:lnTo>
                                <a:lnTo>
                                  <a:pt x="139" y="700468"/>
                                </a:lnTo>
                                <a:lnTo>
                                  <a:pt x="427151" y="1132141"/>
                                </a:lnTo>
                                <a:lnTo>
                                  <a:pt x="457936" y="1161567"/>
                                </a:lnTo>
                                <a:lnTo>
                                  <a:pt x="488403" y="1187742"/>
                                </a:lnTo>
                                <a:lnTo>
                                  <a:pt x="548436" y="1230566"/>
                                </a:lnTo>
                                <a:lnTo>
                                  <a:pt x="606094" y="1260055"/>
                                </a:lnTo>
                                <a:lnTo>
                                  <a:pt x="660323" y="1276667"/>
                                </a:lnTo>
                                <a:lnTo>
                                  <a:pt x="711581" y="1281201"/>
                                </a:lnTo>
                                <a:lnTo>
                                  <a:pt x="735876" y="1278801"/>
                                </a:lnTo>
                                <a:lnTo>
                                  <a:pt x="782040" y="1265529"/>
                                </a:lnTo>
                                <a:lnTo>
                                  <a:pt x="823125" y="1240510"/>
                                </a:lnTo>
                                <a:lnTo>
                                  <a:pt x="860044" y="1203464"/>
                                </a:lnTo>
                                <a:lnTo>
                                  <a:pt x="886879" y="1159370"/>
                                </a:lnTo>
                                <a:lnTo>
                                  <a:pt x="900518" y="1111123"/>
                                </a:lnTo>
                                <a:lnTo>
                                  <a:pt x="902779" y="1085697"/>
                                </a:lnTo>
                                <a:close/>
                              </a:path>
                              <a:path w="1360170" h="1281430">
                                <a:moveTo>
                                  <a:pt x="1359979" y="595160"/>
                                </a:moveTo>
                                <a:lnTo>
                                  <a:pt x="1347012" y="526097"/>
                                </a:lnTo>
                                <a:lnTo>
                                  <a:pt x="1334198" y="490156"/>
                                </a:lnTo>
                                <a:lnTo>
                                  <a:pt x="1317574" y="453351"/>
                                </a:lnTo>
                                <a:lnTo>
                                  <a:pt x="1297000" y="415607"/>
                                </a:lnTo>
                                <a:lnTo>
                                  <a:pt x="1272336" y="376872"/>
                                </a:lnTo>
                                <a:lnTo>
                                  <a:pt x="1260360" y="360273"/>
                                </a:lnTo>
                                <a:lnTo>
                                  <a:pt x="1260360" y="581342"/>
                                </a:lnTo>
                                <a:lnTo>
                                  <a:pt x="1260017" y="605726"/>
                                </a:lnTo>
                                <a:lnTo>
                                  <a:pt x="1247533" y="651370"/>
                                </a:lnTo>
                                <a:lnTo>
                                  <a:pt x="1217726" y="691959"/>
                                </a:lnTo>
                                <a:lnTo>
                                  <a:pt x="1177251" y="722337"/>
                                </a:lnTo>
                                <a:lnTo>
                                  <a:pt x="1133271" y="735647"/>
                                </a:lnTo>
                                <a:lnTo>
                                  <a:pt x="1110094" y="736942"/>
                                </a:lnTo>
                                <a:lnTo>
                                  <a:pt x="1086116" y="734860"/>
                                </a:lnTo>
                                <a:lnTo>
                                  <a:pt x="1035735" y="720153"/>
                                </a:lnTo>
                                <a:lnTo>
                                  <a:pt x="983234" y="693458"/>
                                </a:lnTo>
                                <a:lnTo>
                                  <a:pt x="928166" y="655129"/>
                                </a:lnTo>
                                <a:lnTo>
                                  <a:pt x="870813" y="607466"/>
                                </a:lnTo>
                                <a:lnTo>
                                  <a:pt x="841578" y="580644"/>
                                </a:lnTo>
                                <a:lnTo>
                                  <a:pt x="811961" y="551878"/>
                                </a:lnTo>
                                <a:lnTo>
                                  <a:pt x="761060" y="497382"/>
                                </a:lnTo>
                                <a:lnTo>
                                  <a:pt x="715695" y="442023"/>
                                </a:lnTo>
                                <a:lnTo>
                                  <a:pt x="679284" y="387337"/>
                                </a:lnTo>
                                <a:lnTo>
                                  <a:pt x="653465" y="333692"/>
                                </a:lnTo>
                                <a:lnTo>
                                  <a:pt x="638771" y="282511"/>
                                </a:lnTo>
                                <a:lnTo>
                                  <a:pt x="636219" y="257797"/>
                                </a:lnTo>
                                <a:lnTo>
                                  <a:pt x="636574" y="233616"/>
                                </a:lnTo>
                                <a:lnTo>
                                  <a:pt x="648779" y="188277"/>
                                </a:lnTo>
                                <a:lnTo>
                                  <a:pt x="678230" y="147891"/>
                                </a:lnTo>
                                <a:lnTo>
                                  <a:pt x="718210" y="118008"/>
                                </a:lnTo>
                                <a:lnTo>
                                  <a:pt x="762304" y="104584"/>
                                </a:lnTo>
                                <a:lnTo>
                                  <a:pt x="785812" y="103632"/>
                                </a:lnTo>
                                <a:lnTo>
                                  <a:pt x="809904" y="105778"/>
                                </a:lnTo>
                                <a:lnTo>
                                  <a:pt x="860094" y="119824"/>
                                </a:lnTo>
                                <a:lnTo>
                                  <a:pt x="913003" y="146405"/>
                                </a:lnTo>
                                <a:lnTo>
                                  <a:pt x="967917" y="183451"/>
                                </a:lnTo>
                                <a:lnTo>
                                  <a:pt x="1024407" y="230301"/>
                                </a:lnTo>
                                <a:lnTo>
                                  <a:pt x="1052944" y="256451"/>
                                </a:lnTo>
                                <a:lnTo>
                                  <a:pt x="1081582" y="284289"/>
                                </a:lnTo>
                                <a:lnTo>
                                  <a:pt x="1108176" y="311810"/>
                                </a:lnTo>
                                <a:lnTo>
                                  <a:pt x="1156690" y="367233"/>
                                </a:lnTo>
                                <a:lnTo>
                                  <a:pt x="1198892" y="422910"/>
                                </a:lnTo>
                                <a:lnTo>
                                  <a:pt x="1230528" y="477545"/>
                                </a:lnTo>
                                <a:lnTo>
                                  <a:pt x="1251775" y="530453"/>
                                </a:lnTo>
                                <a:lnTo>
                                  <a:pt x="1260360" y="581342"/>
                                </a:lnTo>
                                <a:lnTo>
                                  <a:pt x="1260360" y="360273"/>
                                </a:lnTo>
                                <a:lnTo>
                                  <a:pt x="1211859" y="297561"/>
                                </a:lnTo>
                                <a:lnTo>
                                  <a:pt x="1176197" y="257225"/>
                                </a:lnTo>
                                <a:lnTo>
                                  <a:pt x="1136827" y="216344"/>
                                </a:lnTo>
                                <a:lnTo>
                                  <a:pt x="1096149" y="177088"/>
                                </a:lnTo>
                                <a:lnTo>
                                  <a:pt x="1056398" y="141592"/>
                                </a:lnTo>
                                <a:lnTo>
                                  <a:pt x="1017562" y="109893"/>
                                </a:lnTo>
                                <a:lnTo>
                                  <a:pt x="1009040" y="103632"/>
                                </a:lnTo>
                                <a:lnTo>
                                  <a:pt x="979601" y="81978"/>
                                </a:lnTo>
                                <a:lnTo>
                                  <a:pt x="942454" y="58051"/>
                                </a:lnTo>
                                <a:lnTo>
                                  <a:pt x="906335" y="38328"/>
                                </a:lnTo>
                                <a:lnTo>
                                  <a:pt x="871283" y="22656"/>
                                </a:lnTo>
                                <a:lnTo>
                                  <a:pt x="804481" y="3238"/>
                                </a:lnTo>
                                <a:lnTo>
                                  <a:pt x="772680" y="0"/>
                                </a:lnTo>
                                <a:lnTo>
                                  <a:pt x="741883" y="863"/>
                                </a:lnTo>
                                <a:lnTo>
                                  <a:pt x="683285" y="14249"/>
                                </a:lnTo>
                                <a:lnTo>
                                  <a:pt x="629920" y="45250"/>
                                </a:lnTo>
                                <a:lnTo>
                                  <a:pt x="582320" y="93192"/>
                                </a:lnTo>
                                <a:lnTo>
                                  <a:pt x="550697" y="149352"/>
                                </a:lnTo>
                                <a:lnTo>
                                  <a:pt x="537895" y="211518"/>
                                </a:lnTo>
                                <a:lnTo>
                                  <a:pt x="537718" y="244398"/>
                                </a:lnTo>
                                <a:lnTo>
                                  <a:pt x="541655" y="278218"/>
                                </a:lnTo>
                                <a:lnTo>
                                  <a:pt x="562698" y="348805"/>
                                </a:lnTo>
                                <a:lnTo>
                                  <a:pt x="579132" y="385686"/>
                                </a:lnTo>
                                <a:lnTo>
                                  <a:pt x="599427" y="423405"/>
                                </a:lnTo>
                                <a:lnTo>
                                  <a:pt x="623747" y="461835"/>
                                </a:lnTo>
                                <a:lnTo>
                                  <a:pt x="651840" y="500811"/>
                                </a:lnTo>
                                <a:lnTo>
                                  <a:pt x="683348" y="540156"/>
                                </a:lnTo>
                                <a:lnTo>
                                  <a:pt x="718273" y="579805"/>
                                </a:lnTo>
                                <a:lnTo>
                                  <a:pt x="756589" y="619696"/>
                                </a:lnTo>
                                <a:lnTo>
                                  <a:pt x="798029" y="659701"/>
                                </a:lnTo>
                                <a:lnTo>
                                  <a:pt x="838390" y="695731"/>
                                </a:lnTo>
                                <a:lnTo>
                                  <a:pt x="877722" y="727875"/>
                                </a:lnTo>
                                <a:lnTo>
                                  <a:pt x="916101" y="756221"/>
                                </a:lnTo>
                                <a:lnTo>
                                  <a:pt x="953490" y="780529"/>
                                </a:lnTo>
                                <a:lnTo>
                                  <a:pt x="989838" y="800671"/>
                                </a:lnTo>
                                <a:lnTo>
                                  <a:pt x="1025055" y="816737"/>
                                </a:lnTo>
                                <a:lnTo>
                                  <a:pt x="1091806" y="836587"/>
                                </a:lnTo>
                                <a:lnTo>
                                  <a:pt x="1123645" y="840092"/>
                                </a:lnTo>
                                <a:lnTo>
                                  <a:pt x="1154569" y="839482"/>
                                </a:lnTo>
                                <a:lnTo>
                                  <a:pt x="1213650" y="826477"/>
                                </a:lnTo>
                                <a:lnTo>
                                  <a:pt x="1267688" y="795159"/>
                                </a:lnTo>
                                <a:lnTo>
                                  <a:pt x="1315707" y="746798"/>
                                </a:lnTo>
                                <a:lnTo>
                                  <a:pt x="1322197" y="736942"/>
                                </a:lnTo>
                                <a:lnTo>
                                  <a:pt x="1333779" y="719378"/>
                                </a:lnTo>
                                <a:lnTo>
                                  <a:pt x="1347076" y="690422"/>
                                </a:lnTo>
                                <a:lnTo>
                                  <a:pt x="1355521" y="659828"/>
                                </a:lnTo>
                                <a:lnTo>
                                  <a:pt x="1359852" y="628116"/>
                                </a:lnTo>
                                <a:lnTo>
                                  <a:pt x="1359979" y="595160"/>
                                </a:lnTo>
                                <a:close/>
                              </a:path>
                            </a:pathLst>
                          </a:custGeom>
                          <a:solidFill>
                            <a:srgbClr val="C0C0C0">
                              <a:alpha val="50195"/>
                            </a:srgbClr>
                          </a:solidFill>
                        </wps:spPr>
                        <wps:bodyPr wrap="square" lIns="0" tIns="0" rIns="0" bIns="0" rtlCol="0">
                          <a:prstTxWarp prst="textNoShape">
                            <a:avLst/>
                          </a:prstTxWarp>
                          <a:noAutofit/>
                        </wps:bodyPr>
                      </wps:wsp>
                      <pic:pic>
                        <pic:nvPicPr>
                          <pic:cNvPr id="385" name="Image 385"/>
                          <pic:cNvPicPr/>
                        </pic:nvPicPr>
                        <pic:blipFill>
                          <a:blip r:embed="rId9" cstate="print"/>
                          <a:stretch>
                            <a:fillRect/>
                          </a:stretch>
                        </pic:blipFill>
                        <pic:spPr>
                          <a:xfrm>
                            <a:off x="1248333" y="3743197"/>
                            <a:ext cx="221995" cy="221614"/>
                          </a:xfrm>
                          <a:prstGeom prst="rect">
                            <a:avLst/>
                          </a:prstGeom>
                        </pic:spPr>
                      </pic:pic>
                      <wps:wsp>
                        <wps:cNvPr id="386" name="Graphic 386"/>
                        <wps:cNvSpPr/>
                        <wps:spPr>
                          <a:xfrm>
                            <a:off x="1117777" y="0"/>
                            <a:ext cx="3815715" cy="3947160"/>
                          </a:xfrm>
                          <a:custGeom>
                            <a:avLst/>
                            <a:gdLst/>
                            <a:ahLst/>
                            <a:cxnLst/>
                            <a:rect l="l" t="t" r="r" b="b"/>
                            <a:pathLst>
                              <a:path w="3815715" h="3947160">
                                <a:moveTo>
                                  <a:pt x="721741" y="3895979"/>
                                </a:moveTo>
                                <a:lnTo>
                                  <a:pt x="721487" y="3893058"/>
                                </a:lnTo>
                                <a:lnTo>
                                  <a:pt x="719328" y="3886962"/>
                                </a:lnTo>
                                <a:lnTo>
                                  <a:pt x="717042" y="3883914"/>
                                </a:lnTo>
                                <a:lnTo>
                                  <a:pt x="714375" y="3881374"/>
                                </a:lnTo>
                                <a:lnTo>
                                  <a:pt x="62357" y="3229356"/>
                                </a:lnTo>
                                <a:lnTo>
                                  <a:pt x="59436" y="3227070"/>
                                </a:lnTo>
                                <a:lnTo>
                                  <a:pt x="53213" y="3224784"/>
                                </a:lnTo>
                                <a:lnTo>
                                  <a:pt x="50292" y="3224657"/>
                                </a:lnTo>
                                <a:lnTo>
                                  <a:pt x="46355" y="3225419"/>
                                </a:lnTo>
                                <a:lnTo>
                                  <a:pt x="13970" y="3249422"/>
                                </a:lnTo>
                                <a:lnTo>
                                  <a:pt x="0" y="3277997"/>
                                </a:lnTo>
                                <a:lnTo>
                                  <a:pt x="2286" y="3284220"/>
                                </a:lnTo>
                                <a:lnTo>
                                  <a:pt x="658749" y="3942207"/>
                                </a:lnTo>
                                <a:lnTo>
                                  <a:pt x="670941" y="3946779"/>
                                </a:lnTo>
                                <a:lnTo>
                                  <a:pt x="674243" y="3945509"/>
                                </a:lnTo>
                                <a:lnTo>
                                  <a:pt x="678307" y="3944747"/>
                                </a:lnTo>
                                <a:lnTo>
                                  <a:pt x="712089" y="3916299"/>
                                </a:lnTo>
                                <a:lnTo>
                                  <a:pt x="720344" y="3899408"/>
                                </a:lnTo>
                                <a:lnTo>
                                  <a:pt x="721741" y="3895979"/>
                                </a:lnTo>
                                <a:close/>
                              </a:path>
                              <a:path w="3815715" h="3947160">
                                <a:moveTo>
                                  <a:pt x="896239" y="3718306"/>
                                </a:moveTo>
                                <a:lnTo>
                                  <a:pt x="645541" y="3462909"/>
                                </a:lnTo>
                                <a:lnTo>
                                  <a:pt x="695325" y="3413125"/>
                                </a:lnTo>
                                <a:lnTo>
                                  <a:pt x="729310" y="3371405"/>
                                </a:lnTo>
                                <a:lnTo>
                                  <a:pt x="749681" y="3327400"/>
                                </a:lnTo>
                                <a:lnTo>
                                  <a:pt x="757631" y="3282188"/>
                                </a:lnTo>
                                <a:lnTo>
                                  <a:pt x="757694" y="3257715"/>
                                </a:lnTo>
                                <a:lnTo>
                                  <a:pt x="754634" y="3233420"/>
                                </a:lnTo>
                                <a:lnTo>
                                  <a:pt x="740511" y="3183864"/>
                                </a:lnTo>
                                <a:lnTo>
                                  <a:pt x="716026" y="3132963"/>
                                </a:lnTo>
                                <a:lnTo>
                                  <a:pt x="680796" y="3081782"/>
                                </a:lnTo>
                                <a:lnTo>
                                  <a:pt x="661314" y="3058452"/>
                                </a:lnTo>
                                <a:lnTo>
                                  <a:pt x="661314" y="3253702"/>
                                </a:lnTo>
                                <a:lnTo>
                                  <a:pt x="660438" y="3268154"/>
                                </a:lnTo>
                                <a:lnTo>
                                  <a:pt x="645807" y="3309810"/>
                                </a:lnTo>
                                <a:lnTo>
                                  <a:pt x="571754" y="3389122"/>
                                </a:lnTo>
                                <a:lnTo>
                                  <a:pt x="300482" y="3117723"/>
                                </a:lnTo>
                                <a:lnTo>
                                  <a:pt x="354330" y="3064002"/>
                                </a:lnTo>
                                <a:lnTo>
                                  <a:pt x="388747" y="3036824"/>
                                </a:lnTo>
                                <a:lnTo>
                                  <a:pt x="436499" y="3023616"/>
                                </a:lnTo>
                                <a:lnTo>
                                  <a:pt x="451167" y="3024238"/>
                                </a:lnTo>
                                <a:lnTo>
                                  <a:pt x="502412" y="3040126"/>
                                </a:lnTo>
                                <a:lnTo>
                                  <a:pt x="540804" y="3063811"/>
                                </a:lnTo>
                                <a:lnTo>
                                  <a:pt x="581406" y="3099308"/>
                                </a:lnTo>
                                <a:lnTo>
                                  <a:pt x="609015" y="3130219"/>
                                </a:lnTo>
                                <a:lnTo>
                                  <a:pt x="631190" y="3161411"/>
                                </a:lnTo>
                                <a:lnTo>
                                  <a:pt x="653580" y="3208655"/>
                                </a:lnTo>
                                <a:lnTo>
                                  <a:pt x="661314" y="3253702"/>
                                </a:lnTo>
                                <a:lnTo>
                                  <a:pt x="661314" y="3058452"/>
                                </a:lnTo>
                                <a:lnTo>
                                  <a:pt x="659422" y="3056178"/>
                                </a:lnTo>
                                <a:lnTo>
                                  <a:pt x="635381" y="3030601"/>
                                </a:lnTo>
                                <a:lnTo>
                                  <a:pt x="628015" y="3023616"/>
                                </a:lnTo>
                                <a:lnTo>
                                  <a:pt x="616153" y="3012363"/>
                                </a:lnTo>
                                <a:lnTo>
                                  <a:pt x="577710" y="2980880"/>
                                </a:lnTo>
                                <a:lnTo>
                                  <a:pt x="539343" y="2956153"/>
                                </a:lnTo>
                                <a:lnTo>
                                  <a:pt x="501675" y="2938627"/>
                                </a:lnTo>
                                <a:lnTo>
                                  <a:pt x="464718" y="2927032"/>
                                </a:lnTo>
                                <a:lnTo>
                                  <a:pt x="428688" y="2922359"/>
                                </a:lnTo>
                                <a:lnTo>
                                  <a:pt x="411099" y="2922397"/>
                                </a:lnTo>
                                <a:lnTo>
                                  <a:pt x="365036" y="2930995"/>
                                </a:lnTo>
                                <a:lnTo>
                                  <a:pt x="321881" y="2953715"/>
                                </a:lnTo>
                                <a:lnTo>
                                  <a:pt x="291896" y="2978035"/>
                                </a:lnTo>
                                <a:lnTo>
                                  <a:pt x="190881" y="3078861"/>
                                </a:lnTo>
                                <a:lnTo>
                                  <a:pt x="183692" y="3096069"/>
                                </a:lnTo>
                                <a:lnTo>
                                  <a:pt x="183896" y="3103499"/>
                                </a:lnTo>
                                <a:lnTo>
                                  <a:pt x="206629" y="3140456"/>
                                </a:lnTo>
                                <a:lnTo>
                                  <a:pt x="830961" y="3764788"/>
                                </a:lnTo>
                                <a:lnTo>
                                  <a:pt x="833501" y="3767455"/>
                                </a:lnTo>
                                <a:lnTo>
                                  <a:pt x="836549" y="3769741"/>
                                </a:lnTo>
                                <a:lnTo>
                                  <a:pt x="839597" y="3770884"/>
                                </a:lnTo>
                                <a:lnTo>
                                  <a:pt x="842772" y="3771773"/>
                                </a:lnTo>
                                <a:lnTo>
                                  <a:pt x="845693" y="3772027"/>
                                </a:lnTo>
                                <a:lnTo>
                                  <a:pt x="848995" y="3770757"/>
                                </a:lnTo>
                                <a:lnTo>
                                  <a:pt x="853059" y="3769995"/>
                                </a:lnTo>
                                <a:lnTo>
                                  <a:pt x="886828" y="3741420"/>
                                </a:lnTo>
                                <a:lnTo>
                                  <a:pt x="895096" y="3724656"/>
                                </a:lnTo>
                                <a:lnTo>
                                  <a:pt x="896112" y="3721608"/>
                                </a:lnTo>
                                <a:lnTo>
                                  <a:pt x="896239" y="3718306"/>
                                </a:lnTo>
                                <a:close/>
                              </a:path>
                              <a:path w="3815715" h="3947160">
                                <a:moveTo>
                                  <a:pt x="1336294" y="3281299"/>
                                </a:moveTo>
                                <a:lnTo>
                                  <a:pt x="1336167" y="3278378"/>
                                </a:lnTo>
                                <a:lnTo>
                                  <a:pt x="1334008" y="3272155"/>
                                </a:lnTo>
                                <a:lnTo>
                                  <a:pt x="1331722" y="3269234"/>
                                </a:lnTo>
                                <a:lnTo>
                                  <a:pt x="742442" y="2679954"/>
                                </a:lnTo>
                                <a:lnTo>
                                  <a:pt x="867410" y="2554986"/>
                                </a:lnTo>
                                <a:lnTo>
                                  <a:pt x="868540" y="2552827"/>
                                </a:lnTo>
                                <a:lnTo>
                                  <a:pt x="868667" y="2549525"/>
                                </a:lnTo>
                                <a:lnTo>
                                  <a:pt x="868426" y="2546477"/>
                                </a:lnTo>
                                <a:lnTo>
                                  <a:pt x="867778" y="2543048"/>
                                </a:lnTo>
                                <a:lnTo>
                                  <a:pt x="865632" y="2538984"/>
                                </a:lnTo>
                                <a:lnTo>
                                  <a:pt x="863981" y="2535301"/>
                                </a:lnTo>
                                <a:lnTo>
                                  <a:pt x="832739" y="2500757"/>
                                </a:lnTo>
                                <a:lnTo>
                                  <a:pt x="799465" y="2477516"/>
                                </a:lnTo>
                                <a:lnTo>
                                  <a:pt x="793242" y="2477516"/>
                                </a:lnTo>
                                <a:lnTo>
                                  <a:pt x="791083" y="2478659"/>
                                </a:lnTo>
                                <a:lnTo>
                                  <a:pt x="482854" y="2786888"/>
                                </a:lnTo>
                                <a:lnTo>
                                  <a:pt x="481711" y="2789047"/>
                                </a:lnTo>
                                <a:lnTo>
                                  <a:pt x="481965" y="2791968"/>
                                </a:lnTo>
                                <a:lnTo>
                                  <a:pt x="481711" y="2795270"/>
                                </a:lnTo>
                                <a:lnTo>
                                  <a:pt x="482854" y="2798318"/>
                                </a:lnTo>
                                <a:lnTo>
                                  <a:pt x="487045" y="2806573"/>
                                </a:lnTo>
                                <a:lnTo>
                                  <a:pt x="490601" y="2811526"/>
                                </a:lnTo>
                                <a:lnTo>
                                  <a:pt x="495046" y="2816479"/>
                                </a:lnTo>
                                <a:lnTo>
                                  <a:pt x="499491" y="2822448"/>
                                </a:lnTo>
                                <a:lnTo>
                                  <a:pt x="504952" y="2828544"/>
                                </a:lnTo>
                                <a:lnTo>
                                  <a:pt x="518541" y="2842133"/>
                                </a:lnTo>
                                <a:lnTo>
                                  <a:pt x="524637" y="2847594"/>
                                </a:lnTo>
                                <a:lnTo>
                                  <a:pt x="529971" y="2851531"/>
                                </a:lnTo>
                                <a:lnTo>
                                  <a:pt x="535051" y="2855976"/>
                                </a:lnTo>
                                <a:lnTo>
                                  <a:pt x="539877" y="2859405"/>
                                </a:lnTo>
                                <a:lnTo>
                                  <a:pt x="547751" y="2863088"/>
                                </a:lnTo>
                                <a:lnTo>
                                  <a:pt x="550799" y="2864231"/>
                                </a:lnTo>
                                <a:lnTo>
                                  <a:pt x="554101" y="2864104"/>
                                </a:lnTo>
                                <a:lnTo>
                                  <a:pt x="557022" y="2864358"/>
                                </a:lnTo>
                                <a:lnTo>
                                  <a:pt x="559181" y="2863088"/>
                                </a:lnTo>
                                <a:lnTo>
                                  <a:pt x="684149" y="2738120"/>
                                </a:lnTo>
                                <a:lnTo>
                                  <a:pt x="1273556" y="3327400"/>
                                </a:lnTo>
                                <a:lnTo>
                                  <a:pt x="1276477" y="3329686"/>
                                </a:lnTo>
                                <a:lnTo>
                                  <a:pt x="1282700" y="3331845"/>
                                </a:lnTo>
                                <a:lnTo>
                                  <a:pt x="1285494" y="3332099"/>
                                </a:lnTo>
                                <a:lnTo>
                                  <a:pt x="1289050" y="3330829"/>
                                </a:lnTo>
                                <a:lnTo>
                                  <a:pt x="1292987" y="3330067"/>
                                </a:lnTo>
                                <a:lnTo>
                                  <a:pt x="1326769" y="3301492"/>
                                </a:lnTo>
                                <a:lnTo>
                                  <a:pt x="1335024" y="3284728"/>
                                </a:lnTo>
                                <a:lnTo>
                                  <a:pt x="1336294" y="3281299"/>
                                </a:lnTo>
                                <a:close/>
                              </a:path>
                              <a:path w="3815715" h="3947160">
                                <a:moveTo>
                                  <a:pt x="1674368" y="2943352"/>
                                </a:moveTo>
                                <a:lnTo>
                                  <a:pt x="1674241" y="2940304"/>
                                </a:lnTo>
                                <a:lnTo>
                                  <a:pt x="1671955" y="2934208"/>
                                </a:lnTo>
                                <a:lnTo>
                                  <a:pt x="1669796" y="2931160"/>
                                </a:lnTo>
                                <a:lnTo>
                                  <a:pt x="1080389" y="2341880"/>
                                </a:lnTo>
                                <a:lnTo>
                                  <a:pt x="1205357" y="2216912"/>
                                </a:lnTo>
                                <a:lnTo>
                                  <a:pt x="1206627" y="2214753"/>
                                </a:lnTo>
                                <a:lnTo>
                                  <a:pt x="1206754" y="2211451"/>
                                </a:lnTo>
                                <a:lnTo>
                                  <a:pt x="1205738" y="2205101"/>
                                </a:lnTo>
                                <a:lnTo>
                                  <a:pt x="1202055" y="2197354"/>
                                </a:lnTo>
                                <a:lnTo>
                                  <a:pt x="1198626" y="2192401"/>
                                </a:lnTo>
                                <a:lnTo>
                                  <a:pt x="1194054" y="2187448"/>
                                </a:lnTo>
                                <a:lnTo>
                                  <a:pt x="1184402" y="2176272"/>
                                </a:lnTo>
                                <a:lnTo>
                                  <a:pt x="1177544" y="2169541"/>
                                </a:lnTo>
                                <a:lnTo>
                                  <a:pt x="1170813" y="2162683"/>
                                </a:lnTo>
                                <a:lnTo>
                                  <a:pt x="1154049" y="2147951"/>
                                </a:lnTo>
                                <a:lnTo>
                                  <a:pt x="1149223" y="2144522"/>
                                </a:lnTo>
                                <a:lnTo>
                                  <a:pt x="1140968" y="2140204"/>
                                </a:lnTo>
                                <a:lnTo>
                                  <a:pt x="1137412" y="2139569"/>
                                </a:lnTo>
                                <a:lnTo>
                                  <a:pt x="1134491" y="2139315"/>
                                </a:lnTo>
                                <a:lnTo>
                                  <a:pt x="1131316" y="2139442"/>
                                </a:lnTo>
                                <a:lnTo>
                                  <a:pt x="1129030" y="2140712"/>
                                </a:lnTo>
                                <a:lnTo>
                                  <a:pt x="820928" y="2448814"/>
                                </a:lnTo>
                                <a:lnTo>
                                  <a:pt x="819658" y="2451100"/>
                                </a:lnTo>
                                <a:lnTo>
                                  <a:pt x="819912" y="2454021"/>
                                </a:lnTo>
                                <a:lnTo>
                                  <a:pt x="819785" y="2457196"/>
                                </a:lnTo>
                                <a:lnTo>
                                  <a:pt x="820928" y="2460371"/>
                                </a:lnTo>
                                <a:lnTo>
                                  <a:pt x="825119" y="2468626"/>
                                </a:lnTo>
                                <a:lnTo>
                                  <a:pt x="828548" y="2473452"/>
                                </a:lnTo>
                                <a:lnTo>
                                  <a:pt x="832993" y="2478532"/>
                                </a:lnTo>
                                <a:lnTo>
                                  <a:pt x="837565" y="2484501"/>
                                </a:lnTo>
                                <a:lnTo>
                                  <a:pt x="842899" y="2490597"/>
                                </a:lnTo>
                                <a:lnTo>
                                  <a:pt x="856488" y="2504186"/>
                                </a:lnTo>
                                <a:lnTo>
                                  <a:pt x="862584" y="2509520"/>
                                </a:lnTo>
                                <a:lnTo>
                                  <a:pt x="868045" y="2513584"/>
                                </a:lnTo>
                                <a:lnTo>
                                  <a:pt x="872998" y="2518029"/>
                                </a:lnTo>
                                <a:lnTo>
                                  <a:pt x="877951" y="2521458"/>
                                </a:lnTo>
                                <a:lnTo>
                                  <a:pt x="885698" y="2525141"/>
                                </a:lnTo>
                                <a:lnTo>
                                  <a:pt x="888746" y="2526157"/>
                                </a:lnTo>
                                <a:lnTo>
                                  <a:pt x="892048" y="2526157"/>
                                </a:lnTo>
                                <a:lnTo>
                                  <a:pt x="894969" y="2526411"/>
                                </a:lnTo>
                                <a:lnTo>
                                  <a:pt x="897115" y="2525141"/>
                                </a:lnTo>
                                <a:lnTo>
                                  <a:pt x="1022223" y="2400173"/>
                                </a:lnTo>
                                <a:lnTo>
                                  <a:pt x="1611503" y="2989453"/>
                                </a:lnTo>
                                <a:lnTo>
                                  <a:pt x="1614551" y="2991739"/>
                                </a:lnTo>
                                <a:lnTo>
                                  <a:pt x="1620647" y="2993898"/>
                                </a:lnTo>
                                <a:lnTo>
                                  <a:pt x="1623568" y="2994152"/>
                                </a:lnTo>
                                <a:lnTo>
                                  <a:pt x="1626997" y="2992755"/>
                                </a:lnTo>
                                <a:lnTo>
                                  <a:pt x="1630934" y="2992120"/>
                                </a:lnTo>
                                <a:lnTo>
                                  <a:pt x="1668018" y="2959227"/>
                                </a:lnTo>
                                <a:lnTo>
                                  <a:pt x="1673098" y="2946781"/>
                                </a:lnTo>
                                <a:lnTo>
                                  <a:pt x="1674368" y="2943352"/>
                                </a:lnTo>
                                <a:close/>
                              </a:path>
                              <a:path w="3815715" h="3947160">
                                <a:moveTo>
                                  <a:pt x="2122817" y="2409596"/>
                                </a:moveTo>
                                <a:lnTo>
                                  <a:pt x="2109851" y="2340483"/>
                                </a:lnTo>
                                <a:lnTo>
                                  <a:pt x="2080412" y="2267801"/>
                                </a:lnTo>
                                <a:lnTo>
                                  <a:pt x="2059838" y="2230069"/>
                                </a:lnTo>
                                <a:lnTo>
                                  <a:pt x="2035175" y="2191385"/>
                                </a:lnTo>
                                <a:lnTo>
                                  <a:pt x="2023275" y="2174900"/>
                                </a:lnTo>
                                <a:lnTo>
                                  <a:pt x="2023275" y="2395855"/>
                                </a:lnTo>
                                <a:lnTo>
                                  <a:pt x="2022983" y="2420239"/>
                                </a:lnTo>
                                <a:lnTo>
                                  <a:pt x="2010384" y="2465794"/>
                                </a:lnTo>
                                <a:lnTo>
                                  <a:pt x="1980565" y="2506472"/>
                                </a:lnTo>
                                <a:lnTo>
                                  <a:pt x="1940153" y="2536787"/>
                                </a:lnTo>
                                <a:lnTo>
                                  <a:pt x="1896237" y="2550033"/>
                                </a:lnTo>
                                <a:lnTo>
                                  <a:pt x="1872983" y="2551353"/>
                                </a:lnTo>
                                <a:lnTo>
                                  <a:pt x="1848993" y="2549296"/>
                                </a:lnTo>
                                <a:lnTo>
                                  <a:pt x="1798701" y="2534539"/>
                                </a:lnTo>
                                <a:lnTo>
                                  <a:pt x="1746084" y="2507856"/>
                                </a:lnTo>
                                <a:lnTo>
                                  <a:pt x="1691005" y="2469642"/>
                                </a:lnTo>
                                <a:lnTo>
                                  <a:pt x="1633664" y="2421953"/>
                                </a:lnTo>
                                <a:lnTo>
                                  <a:pt x="1604416" y="2395105"/>
                                </a:lnTo>
                                <a:lnTo>
                                  <a:pt x="1574800" y="2366264"/>
                                </a:lnTo>
                                <a:lnTo>
                                  <a:pt x="1523911" y="2311831"/>
                                </a:lnTo>
                                <a:lnTo>
                                  <a:pt x="1478661" y="2256536"/>
                                </a:lnTo>
                                <a:lnTo>
                                  <a:pt x="1442186" y="2201799"/>
                                </a:lnTo>
                                <a:lnTo>
                                  <a:pt x="1416304" y="2148205"/>
                                </a:lnTo>
                                <a:lnTo>
                                  <a:pt x="1401673" y="2096960"/>
                                </a:lnTo>
                                <a:lnTo>
                                  <a:pt x="1399133" y="2072233"/>
                                </a:lnTo>
                                <a:lnTo>
                                  <a:pt x="1399540" y="2048002"/>
                                </a:lnTo>
                                <a:lnTo>
                                  <a:pt x="1411693" y="2002663"/>
                                </a:lnTo>
                                <a:lnTo>
                                  <a:pt x="1441196" y="1962277"/>
                                </a:lnTo>
                                <a:lnTo>
                                  <a:pt x="1481175" y="1932406"/>
                                </a:lnTo>
                                <a:lnTo>
                                  <a:pt x="1525270" y="1919097"/>
                                </a:lnTo>
                                <a:lnTo>
                                  <a:pt x="1548726" y="1918068"/>
                                </a:lnTo>
                                <a:lnTo>
                                  <a:pt x="1572831" y="1920201"/>
                                </a:lnTo>
                                <a:lnTo>
                                  <a:pt x="1623060" y="1934337"/>
                                </a:lnTo>
                                <a:lnTo>
                                  <a:pt x="1675955" y="1960918"/>
                                </a:lnTo>
                                <a:lnTo>
                                  <a:pt x="1730756" y="1997964"/>
                                </a:lnTo>
                                <a:lnTo>
                                  <a:pt x="1787296" y="2044814"/>
                                </a:lnTo>
                                <a:lnTo>
                                  <a:pt x="1815833" y="2070963"/>
                                </a:lnTo>
                                <a:lnTo>
                                  <a:pt x="1844421" y="2098802"/>
                                </a:lnTo>
                                <a:lnTo>
                                  <a:pt x="1871078" y="2126310"/>
                                </a:lnTo>
                                <a:lnTo>
                                  <a:pt x="1919605" y="2181695"/>
                                </a:lnTo>
                                <a:lnTo>
                                  <a:pt x="1961730" y="2237359"/>
                                </a:lnTo>
                                <a:lnTo>
                                  <a:pt x="1993366" y="2291994"/>
                                </a:lnTo>
                                <a:lnTo>
                                  <a:pt x="2014677" y="2344915"/>
                                </a:lnTo>
                                <a:lnTo>
                                  <a:pt x="2023275" y="2395855"/>
                                </a:lnTo>
                                <a:lnTo>
                                  <a:pt x="2023275" y="2174900"/>
                                </a:lnTo>
                                <a:lnTo>
                                  <a:pt x="1974723" y="2112073"/>
                                </a:lnTo>
                                <a:lnTo>
                                  <a:pt x="1939086" y="2071738"/>
                                </a:lnTo>
                                <a:lnTo>
                                  <a:pt x="1899793" y="2030857"/>
                                </a:lnTo>
                                <a:lnTo>
                                  <a:pt x="1859089" y="1991601"/>
                                </a:lnTo>
                                <a:lnTo>
                                  <a:pt x="1819300" y="1956104"/>
                                </a:lnTo>
                                <a:lnTo>
                                  <a:pt x="1780413" y="1924405"/>
                                </a:lnTo>
                                <a:lnTo>
                                  <a:pt x="1742440" y="1896491"/>
                                </a:lnTo>
                                <a:lnTo>
                                  <a:pt x="1705368" y="1872564"/>
                                </a:lnTo>
                                <a:lnTo>
                                  <a:pt x="1669262" y="1852841"/>
                                </a:lnTo>
                                <a:lnTo>
                                  <a:pt x="1634185" y="1837169"/>
                                </a:lnTo>
                                <a:lnTo>
                                  <a:pt x="1567332" y="1817751"/>
                                </a:lnTo>
                                <a:lnTo>
                                  <a:pt x="1535569" y="1814499"/>
                                </a:lnTo>
                                <a:lnTo>
                                  <a:pt x="1504772" y="1815325"/>
                                </a:lnTo>
                                <a:lnTo>
                                  <a:pt x="1446123" y="1828647"/>
                                </a:lnTo>
                                <a:lnTo>
                                  <a:pt x="1392758" y="1859737"/>
                                </a:lnTo>
                                <a:lnTo>
                                  <a:pt x="1345222" y="1907641"/>
                                </a:lnTo>
                                <a:lnTo>
                                  <a:pt x="1313649" y="1963788"/>
                                </a:lnTo>
                                <a:lnTo>
                                  <a:pt x="1300848" y="2025954"/>
                                </a:lnTo>
                                <a:lnTo>
                                  <a:pt x="1300632" y="2058835"/>
                                </a:lnTo>
                                <a:lnTo>
                                  <a:pt x="1304556" y="2092617"/>
                                </a:lnTo>
                                <a:lnTo>
                                  <a:pt x="1325664" y="2163254"/>
                                </a:lnTo>
                                <a:lnTo>
                                  <a:pt x="1342085" y="2200122"/>
                                </a:lnTo>
                                <a:lnTo>
                                  <a:pt x="1362341" y="2237803"/>
                                </a:lnTo>
                                <a:lnTo>
                                  <a:pt x="1386586" y="2276221"/>
                                </a:lnTo>
                                <a:lnTo>
                                  <a:pt x="1414691" y="2315273"/>
                                </a:lnTo>
                                <a:lnTo>
                                  <a:pt x="1446250" y="2354643"/>
                                </a:lnTo>
                                <a:lnTo>
                                  <a:pt x="1481213" y="2394318"/>
                                </a:lnTo>
                                <a:lnTo>
                                  <a:pt x="1519555" y="2434209"/>
                                </a:lnTo>
                                <a:lnTo>
                                  <a:pt x="1560957" y="2474214"/>
                                </a:lnTo>
                                <a:lnTo>
                                  <a:pt x="1601254" y="2510180"/>
                                </a:lnTo>
                                <a:lnTo>
                                  <a:pt x="1640611" y="2542286"/>
                                </a:lnTo>
                                <a:lnTo>
                                  <a:pt x="1679067" y="2570607"/>
                                </a:lnTo>
                                <a:lnTo>
                                  <a:pt x="1716443" y="2594978"/>
                                </a:lnTo>
                                <a:lnTo>
                                  <a:pt x="1752739" y="2615158"/>
                                </a:lnTo>
                                <a:lnTo>
                                  <a:pt x="1787918" y="2631186"/>
                                </a:lnTo>
                                <a:lnTo>
                                  <a:pt x="1854669" y="2651048"/>
                                </a:lnTo>
                                <a:lnTo>
                                  <a:pt x="1886534" y="2654579"/>
                                </a:lnTo>
                                <a:lnTo>
                                  <a:pt x="1917471" y="2653931"/>
                                </a:lnTo>
                                <a:lnTo>
                                  <a:pt x="1976501" y="2640863"/>
                                </a:lnTo>
                                <a:lnTo>
                                  <a:pt x="2030577" y="2609545"/>
                                </a:lnTo>
                                <a:lnTo>
                                  <a:pt x="2078558" y="2561234"/>
                                </a:lnTo>
                                <a:lnTo>
                                  <a:pt x="2109965" y="2504833"/>
                                </a:lnTo>
                                <a:lnTo>
                                  <a:pt x="2122690" y="2442514"/>
                                </a:lnTo>
                                <a:lnTo>
                                  <a:pt x="2122817" y="2409596"/>
                                </a:lnTo>
                                <a:close/>
                              </a:path>
                              <a:path w="3815715" h="3947160">
                                <a:moveTo>
                                  <a:pt x="2727706" y="1820926"/>
                                </a:moveTo>
                                <a:lnTo>
                                  <a:pt x="2723642" y="1781048"/>
                                </a:lnTo>
                                <a:lnTo>
                                  <a:pt x="2691765" y="1739773"/>
                                </a:lnTo>
                                <a:lnTo>
                                  <a:pt x="2657094" y="1709674"/>
                                </a:lnTo>
                                <a:lnTo>
                                  <a:pt x="2650617" y="1706626"/>
                                </a:lnTo>
                                <a:lnTo>
                                  <a:pt x="2646553" y="1706626"/>
                                </a:lnTo>
                                <a:lnTo>
                                  <a:pt x="2644648" y="1707388"/>
                                </a:lnTo>
                                <a:lnTo>
                                  <a:pt x="2639568" y="1712468"/>
                                </a:lnTo>
                                <a:lnTo>
                                  <a:pt x="2637790" y="1720469"/>
                                </a:lnTo>
                                <a:lnTo>
                                  <a:pt x="2639060" y="1733042"/>
                                </a:lnTo>
                                <a:lnTo>
                                  <a:pt x="2639618" y="1742833"/>
                                </a:lnTo>
                                <a:lnTo>
                                  <a:pt x="2637447" y="1790687"/>
                                </a:lnTo>
                                <a:lnTo>
                                  <a:pt x="2627503" y="1833245"/>
                                </a:lnTo>
                                <a:lnTo>
                                  <a:pt x="2603690" y="1875840"/>
                                </a:lnTo>
                                <a:lnTo>
                                  <a:pt x="2575547" y="1903031"/>
                                </a:lnTo>
                                <a:lnTo>
                                  <a:pt x="2539123" y="1922272"/>
                                </a:lnTo>
                                <a:lnTo>
                                  <a:pt x="2497709" y="1929790"/>
                                </a:lnTo>
                                <a:lnTo>
                                  <a:pt x="2475433" y="1929218"/>
                                </a:lnTo>
                                <a:lnTo>
                                  <a:pt x="2427478" y="1918335"/>
                                </a:lnTo>
                                <a:lnTo>
                                  <a:pt x="2375408" y="1896033"/>
                                </a:lnTo>
                                <a:lnTo>
                                  <a:pt x="2319147" y="1861439"/>
                                </a:lnTo>
                                <a:lnTo>
                                  <a:pt x="2259279" y="1815312"/>
                                </a:lnTo>
                                <a:lnTo>
                                  <a:pt x="2228253" y="1787791"/>
                                </a:lnTo>
                                <a:lnTo>
                                  <a:pt x="2196465" y="1757172"/>
                                </a:lnTo>
                                <a:lnTo>
                                  <a:pt x="2165464" y="1724990"/>
                                </a:lnTo>
                                <a:lnTo>
                                  <a:pt x="2137537" y="1693494"/>
                                </a:lnTo>
                                <a:lnTo>
                                  <a:pt x="2112556" y="1662557"/>
                                </a:lnTo>
                                <a:lnTo>
                                  <a:pt x="2071306" y="1602892"/>
                                </a:lnTo>
                                <a:lnTo>
                                  <a:pt x="2041906" y="1547228"/>
                                </a:lnTo>
                                <a:lnTo>
                                  <a:pt x="2023503" y="1495412"/>
                                </a:lnTo>
                                <a:lnTo>
                                  <a:pt x="2017572" y="1448181"/>
                                </a:lnTo>
                                <a:lnTo>
                                  <a:pt x="2018919" y="1426464"/>
                                </a:lnTo>
                                <a:lnTo>
                                  <a:pt x="2030768" y="1387754"/>
                                </a:lnTo>
                                <a:lnTo>
                                  <a:pt x="2054733" y="1355229"/>
                                </a:lnTo>
                                <a:lnTo>
                                  <a:pt x="2096084" y="1324686"/>
                                </a:lnTo>
                                <a:lnTo>
                                  <a:pt x="2139340" y="1312062"/>
                                </a:lnTo>
                                <a:lnTo>
                                  <a:pt x="2178354" y="1308544"/>
                                </a:lnTo>
                                <a:lnTo>
                                  <a:pt x="2200376" y="1308862"/>
                                </a:lnTo>
                                <a:lnTo>
                                  <a:pt x="2210181" y="1309509"/>
                                </a:lnTo>
                                <a:lnTo>
                                  <a:pt x="2222754" y="1310640"/>
                                </a:lnTo>
                                <a:lnTo>
                                  <a:pt x="2230755" y="1309878"/>
                                </a:lnTo>
                                <a:lnTo>
                                  <a:pt x="2235454" y="1305052"/>
                                </a:lnTo>
                                <a:lnTo>
                                  <a:pt x="2236089" y="1302385"/>
                                </a:lnTo>
                                <a:lnTo>
                                  <a:pt x="2235962" y="1299464"/>
                                </a:lnTo>
                                <a:lnTo>
                                  <a:pt x="2211578" y="1263015"/>
                                </a:lnTo>
                                <a:lnTo>
                                  <a:pt x="2183257" y="1235964"/>
                                </a:lnTo>
                                <a:lnTo>
                                  <a:pt x="2178939" y="1233043"/>
                                </a:lnTo>
                                <a:lnTo>
                                  <a:pt x="2175002" y="1229614"/>
                                </a:lnTo>
                                <a:lnTo>
                                  <a:pt x="2133054" y="1217066"/>
                                </a:lnTo>
                                <a:lnTo>
                                  <a:pt x="2113153" y="1217295"/>
                                </a:lnTo>
                                <a:lnTo>
                                  <a:pt x="2066671" y="1225042"/>
                                </a:lnTo>
                                <a:lnTo>
                                  <a:pt x="2019300" y="1244092"/>
                                </a:lnTo>
                                <a:lnTo>
                                  <a:pt x="1986838" y="1266621"/>
                                </a:lnTo>
                                <a:lnTo>
                                  <a:pt x="1957463" y="1298308"/>
                                </a:lnTo>
                                <a:lnTo>
                                  <a:pt x="1930273" y="1349425"/>
                                </a:lnTo>
                                <a:lnTo>
                                  <a:pt x="1919427" y="1408658"/>
                                </a:lnTo>
                                <a:lnTo>
                                  <a:pt x="1919490" y="1440586"/>
                                </a:lnTo>
                                <a:lnTo>
                                  <a:pt x="1931670" y="1508506"/>
                                </a:lnTo>
                                <a:lnTo>
                                  <a:pt x="1944090" y="1544840"/>
                                </a:lnTo>
                                <a:lnTo>
                                  <a:pt x="1960181" y="1582191"/>
                                </a:lnTo>
                                <a:lnTo>
                                  <a:pt x="1980171" y="1620507"/>
                                </a:lnTo>
                                <a:lnTo>
                                  <a:pt x="2004314" y="1659763"/>
                                </a:lnTo>
                                <a:lnTo>
                                  <a:pt x="2032241" y="1700022"/>
                                </a:lnTo>
                                <a:lnTo>
                                  <a:pt x="2064194" y="1740877"/>
                                </a:lnTo>
                                <a:lnTo>
                                  <a:pt x="2100135" y="1782229"/>
                                </a:lnTo>
                                <a:lnTo>
                                  <a:pt x="2140077" y="1823974"/>
                                </a:lnTo>
                                <a:lnTo>
                                  <a:pt x="2180818" y="1863077"/>
                                </a:lnTo>
                                <a:lnTo>
                                  <a:pt x="2220747" y="1897976"/>
                                </a:lnTo>
                                <a:lnTo>
                                  <a:pt x="2259876" y="1928799"/>
                                </a:lnTo>
                                <a:lnTo>
                                  <a:pt x="2298192" y="1955673"/>
                                </a:lnTo>
                                <a:lnTo>
                                  <a:pt x="2335644" y="1978990"/>
                                </a:lnTo>
                                <a:lnTo>
                                  <a:pt x="2372017" y="1998052"/>
                                </a:lnTo>
                                <a:lnTo>
                                  <a:pt x="2407323" y="2013127"/>
                                </a:lnTo>
                                <a:lnTo>
                                  <a:pt x="2474353" y="2032203"/>
                                </a:lnTo>
                                <a:lnTo>
                                  <a:pt x="2505849" y="2035619"/>
                                </a:lnTo>
                                <a:lnTo>
                                  <a:pt x="2536025" y="2035048"/>
                                </a:lnTo>
                                <a:lnTo>
                                  <a:pt x="2592146" y="2022957"/>
                                </a:lnTo>
                                <a:lnTo>
                                  <a:pt x="2641625" y="1995424"/>
                                </a:lnTo>
                                <a:lnTo>
                                  <a:pt x="2675648" y="1963369"/>
                                </a:lnTo>
                                <a:lnTo>
                                  <a:pt x="2702814" y="1923415"/>
                                </a:lnTo>
                                <a:lnTo>
                                  <a:pt x="2718447" y="1881987"/>
                                </a:lnTo>
                                <a:lnTo>
                                  <a:pt x="2726258" y="1843811"/>
                                </a:lnTo>
                                <a:lnTo>
                                  <a:pt x="2727452" y="1832127"/>
                                </a:lnTo>
                                <a:lnTo>
                                  <a:pt x="2727706" y="1820926"/>
                                </a:lnTo>
                                <a:close/>
                              </a:path>
                              <a:path w="3815715" h="3947160">
                                <a:moveTo>
                                  <a:pt x="3108731" y="1423746"/>
                                </a:moveTo>
                                <a:lnTo>
                                  <a:pt x="3095879" y="1354582"/>
                                </a:lnTo>
                                <a:lnTo>
                                  <a:pt x="3082988" y="1318704"/>
                                </a:lnTo>
                                <a:lnTo>
                                  <a:pt x="3066351" y="1281874"/>
                                </a:lnTo>
                                <a:lnTo>
                                  <a:pt x="3045790" y="1244104"/>
                                </a:lnTo>
                                <a:lnTo>
                                  <a:pt x="3021203" y="1205357"/>
                                </a:lnTo>
                                <a:lnTo>
                                  <a:pt x="3009176" y="1188770"/>
                                </a:lnTo>
                                <a:lnTo>
                                  <a:pt x="3009176" y="1409928"/>
                                </a:lnTo>
                                <a:lnTo>
                                  <a:pt x="3008884" y="1434338"/>
                                </a:lnTo>
                                <a:lnTo>
                                  <a:pt x="2996336" y="1479892"/>
                                </a:lnTo>
                                <a:lnTo>
                                  <a:pt x="2966466" y="1520571"/>
                                </a:lnTo>
                                <a:lnTo>
                                  <a:pt x="2926042" y="1550949"/>
                                </a:lnTo>
                                <a:lnTo>
                                  <a:pt x="2882011" y="1564259"/>
                                </a:lnTo>
                                <a:lnTo>
                                  <a:pt x="2858859" y="1565490"/>
                                </a:lnTo>
                                <a:lnTo>
                                  <a:pt x="2834919" y="1563357"/>
                                </a:lnTo>
                                <a:lnTo>
                                  <a:pt x="2784602" y="1548638"/>
                                </a:lnTo>
                                <a:lnTo>
                                  <a:pt x="2732087" y="1521955"/>
                                </a:lnTo>
                                <a:lnTo>
                                  <a:pt x="2676906" y="1483741"/>
                                </a:lnTo>
                                <a:lnTo>
                                  <a:pt x="2619565" y="1436065"/>
                                </a:lnTo>
                                <a:lnTo>
                                  <a:pt x="2590317" y="1409204"/>
                                </a:lnTo>
                                <a:lnTo>
                                  <a:pt x="2560701" y="1380363"/>
                                </a:lnTo>
                                <a:lnTo>
                                  <a:pt x="2509812" y="1325930"/>
                                </a:lnTo>
                                <a:lnTo>
                                  <a:pt x="2464562" y="1270635"/>
                                </a:lnTo>
                                <a:lnTo>
                                  <a:pt x="2428087" y="1215898"/>
                                </a:lnTo>
                                <a:lnTo>
                                  <a:pt x="2402205" y="1162304"/>
                                </a:lnTo>
                                <a:lnTo>
                                  <a:pt x="2387625" y="1111059"/>
                                </a:lnTo>
                                <a:lnTo>
                                  <a:pt x="2385085" y="1086294"/>
                                </a:lnTo>
                                <a:lnTo>
                                  <a:pt x="2385441" y="1062101"/>
                                </a:lnTo>
                                <a:lnTo>
                                  <a:pt x="2397544" y="1016787"/>
                                </a:lnTo>
                                <a:lnTo>
                                  <a:pt x="2427097" y="976503"/>
                                </a:lnTo>
                                <a:lnTo>
                                  <a:pt x="2467038" y="946569"/>
                                </a:lnTo>
                                <a:lnTo>
                                  <a:pt x="2511171" y="933196"/>
                                </a:lnTo>
                                <a:lnTo>
                                  <a:pt x="2534628" y="932218"/>
                                </a:lnTo>
                                <a:lnTo>
                                  <a:pt x="2558732" y="934326"/>
                                </a:lnTo>
                                <a:lnTo>
                                  <a:pt x="2608961" y="948309"/>
                                </a:lnTo>
                                <a:lnTo>
                                  <a:pt x="2661856" y="975004"/>
                                </a:lnTo>
                                <a:lnTo>
                                  <a:pt x="2716657" y="1012063"/>
                                </a:lnTo>
                                <a:lnTo>
                                  <a:pt x="2773197" y="1058913"/>
                                </a:lnTo>
                                <a:lnTo>
                                  <a:pt x="2801734" y="1085062"/>
                                </a:lnTo>
                                <a:lnTo>
                                  <a:pt x="2830322" y="1112901"/>
                                </a:lnTo>
                                <a:lnTo>
                                  <a:pt x="2856979" y="1140409"/>
                                </a:lnTo>
                                <a:lnTo>
                                  <a:pt x="2905506" y="1195793"/>
                                </a:lnTo>
                                <a:lnTo>
                                  <a:pt x="2947632" y="1251458"/>
                                </a:lnTo>
                                <a:lnTo>
                                  <a:pt x="2979267" y="1306093"/>
                                </a:lnTo>
                                <a:lnTo>
                                  <a:pt x="3000578" y="1358963"/>
                                </a:lnTo>
                                <a:lnTo>
                                  <a:pt x="3009176" y="1409928"/>
                                </a:lnTo>
                                <a:lnTo>
                                  <a:pt x="3009176" y="1188770"/>
                                </a:lnTo>
                                <a:lnTo>
                                  <a:pt x="2960636" y="1126159"/>
                                </a:lnTo>
                                <a:lnTo>
                                  <a:pt x="2924987" y="1085824"/>
                                </a:lnTo>
                                <a:lnTo>
                                  <a:pt x="2885694" y="1044956"/>
                                </a:lnTo>
                                <a:lnTo>
                                  <a:pt x="2844990" y="1005700"/>
                                </a:lnTo>
                                <a:lnTo>
                                  <a:pt x="2805201" y="970203"/>
                                </a:lnTo>
                                <a:lnTo>
                                  <a:pt x="2766314" y="938504"/>
                                </a:lnTo>
                                <a:lnTo>
                                  <a:pt x="2728341" y="910590"/>
                                </a:lnTo>
                                <a:lnTo>
                                  <a:pt x="2691244" y="886663"/>
                                </a:lnTo>
                                <a:lnTo>
                                  <a:pt x="2655125" y="866940"/>
                                </a:lnTo>
                                <a:lnTo>
                                  <a:pt x="2620035" y="851268"/>
                                </a:lnTo>
                                <a:lnTo>
                                  <a:pt x="2553220" y="831850"/>
                                </a:lnTo>
                                <a:lnTo>
                                  <a:pt x="2521420" y="828611"/>
                                </a:lnTo>
                                <a:lnTo>
                                  <a:pt x="2490622" y="829475"/>
                                </a:lnTo>
                                <a:lnTo>
                                  <a:pt x="2432024" y="842860"/>
                                </a:lnTo>
                                <a:lnTo>
                                  <a:pt x="2378659" y="873861"/>
                                </a:lnTo>
                                <a:lnTo>
                                  <a:pt x="2331110" y="921740"/>
                                </a:lnTo>
                                <a:lnTo>
                                  <a:pt x="2299449" y="977887"/>
                                </a:lnTo>
                                <a:lnTo>
                                  <a:pt x="2286685" y="1040053"/>
                                </a:lnTo>
                                <a:lnTo>
                                  <a:pt x="2286495" y="1072946"/>
                                </a:lnTo>
                                <a:lnTo>
                                  <a:pt x="2290407" y="1106766"/>
                                </a:lnTo>
                                <a:lnTo>
                                  <a:pt x="2311438" y="1177404"/>
                                </a:lnTo>
                                <a:lnTo>
                                  <a:pt x="2327872" y="1214234"/>
                                </a:lnTo>
                                <a:lnTo>
                                  <a:pt x="2348166" y="1251902"/>
                                </a:lnTo>
                                <a:lnTo>
                                  <a:pt x="2372487" y="1290320"/>
                                </a:lnTo>
                                <a:lnTo>
                                  <a:pt x="2400579" y="1329372"/>
                                </a:lnTo>
                                <a:lnTo>
                                  <a:pt x="2432088" y="1368742"/>
                                </a:lnTo>
                                <a:lnTo>
                                  <a:pt x="2467013" y="1408417"/>
                                </a:lnTo>
                                <a:lnTo>
                                  <a:pt x="2505329" y="1448308"/>
                                </a:lnTo>
                                <a:lnTo>
                                  <a:pt x="2546781" y="1488313"/>
                                </a:lnTo>
                                <a:lnTo>
                                  <a:pt x="2587129" y="1524317"/>
                                </a:lnTo>
                                <a:lnTo>
                                  <a:pt x="2626461" y="1556435"/>
                                </a:lnTo>
                                <a:lnTo>
                                  <a:pt x="2664841" y="1584706"/>
                                </a:lnTo>
                                <a:lnTo>
                                  <a:pt x="2702293" y="1609077"/>
                                </a:lnTo>
                                <a:lnTo>
                                  <a:pt x="2738628" y="1629257"/>
                                </a:lnTo>
                                <a:lnTo>
                                  <a:pt x="2773807" y="1645297"/>
                                </a:lnTo>
                                <a:lnTo>
                                  <a:pt x="2840571" y="1665147"/>
                                </a:lnTo>
                                <a:lnTo>
                                  <a:pt x="2872435" y="1668691"/>
                                </a:lnTo>
                                <a:lnTo>
                                  <a:pt x="2903372" y="1668081"/>
                                </a:lnTo>
                                <a:lnTo>
                                  <a:pt x="2962402" y="1655089"/>
                                </a:lnTo>
                                <a:lnTo>
                                  <a:pt x="3016478" y="1623720"/>
                                </a:lnTo>
                                <a:lnTo>
                                  <a:pt x="3064446" y="1575333"/>
                                </a:lnTo>
                                <a:lnTo>
                                  <a:pt x="3095815" y="1518932"/>
                                </a:lnTo>
                                <a:lnTo>
                                  <a:pt x="3108591" y="1456677"/>
                                </a:lnTo>
                                <a:lnTo>
                                  <a:pt x="3108731" y="1423746"/>
                                </a:lnTo>
                                <a:close/>
                              </a:path>
                              <a:path w="3815715" h="3947160">
                                <a:moveTo>
                                  <a:pt x="3375660" y="1238885"/>
                                </a:moveTo>
                                <a:lnTo>
                                  <a:pt x="3374644" y="1235837"/>
                                </a:lnTo>
                                <a:lnTo>
                                  <a:pt x="3373501" y="1232789"/>
                                </a:lnTo>
                                <a:lnTo>
                                  <a:pt x="3371215" y="1229741"/>
                                </a:lnTo>
                                <a:lnTo>
                                  <a:pt x="3124962" y="983488"/>
                                </a:lnTo>
                                <a:lnTo>
                                  <a:pt x="3174746" y="933704"/>
                                </a:lnTo>
                                <a:lnTo>
                                  <a:pt x="3193402" y="913079"/>
                                </a:lnTo>
                                <a:lnTo>
                                  <a:pt x="3195840" y="909701"/>
                                </a:lnTo>
                                <a:lnTo>
                                  <a:pt x="3208744" y="891921"/>
                                </a:lnTo>
                                <a:lnTo>
                                  <a:pt x="3229229" y="847852"/>
                                </a:lnTo>
                                <a:lnTo>
                                  <a:pt x="3237090" y="802767"/>
                                </a:lnTo>
                                <a:lnTo>
                                  <a:pt x="3237166" y="778319"/>
                                </a:lnTo>
                                <a:lnTo>
                                  <a:pt x="3234182" y="753999"/>
                                </a:lnTo>
                                <a:lnTo>
                                  <a:pt x="3219996" y="704456"/>
                                </a:lnTo>
                                <a:lnTo>
                                  <a:pt x="3195447" y="653669"/>
                                </a:lnTo>
                                <a:lnTo>
                                  <a:pt x="3160242" y="602348"/>
                                </a:lnTo>
                                <a:lnTo>
                                  <a:pt x="3140786" y="579158"/>
                                </a:lnTo>
                                <a:lnTo>
                                  <a:pt x="3140786" y="774280"/>
                                </a:lnTo>
                                <a:lnTo>
                                  <a:pt x="3139884" y="788733"/>
                                </a:lnTo>
                                <a:lnTo>
                                  <a:pt x="3125279" y="830376"/>
                                </a:lnTo>
                                <a:lnTo>
                                  <a:pt x="3051175" y="909701"/>
                                </a:lnTo>
                                <a:lnTo>
                                  <a:pt x="2779776" y="638429"/>
                                </a:lnTo>
                                <a:lnTo>
                                  <a:pt x="2833763" y="584441"/>
                                </a:lnTo>
                                <a:lnTo>
                                  <a:pt x="2868295" y="557403"/>
                                </a:lnTo>
                                <a:lnTo>
                                  <a:pt x="2915920" y="544068"/>
                                </a:lnTo>
                                <a:lnTo>
                                  <a:pt x="2930639" y="544715"/>
                                </a:lnTo>
                                <a:lnTo>
                                  <a:pt x="2981960" y="560705"/>
                                </a:lnTo>
                                <a:lnTo>
                                  <a:pt x="3020263" y="584454"/>
                                </a:lnTo>
                                <a:lnTo>
                                  <a:pt x="3060827" y="619887"/>
                                </a:lnTo>
                                <a:lnTo>
                                  <a:pt x="3088449" y="650608"/>
                                </a:lnTo>
                                <a:lnTo>
                                  <a:pt x="3110738" y="681990"/>
                                </a:lnTo>
                                <a:lnTo>
                                  <a:pt x="3133001" y="729234"/>
                                </a:lnTo>
                                <a:lnTo>
                                  <a:pt x="3140786" y="774280"/>
                                </a:lnTo>
                                <a:lnTo>
                                  <a:pt x="3140786" y="579158"/>
                                </a:lnTo>
                                <a:lnTo>
                                  <a:pt x="3138805" y="576795"/>
                                </a:lnTo>
                                <a:lnTo>
                                  <a:pt x="3114675" y="551307"/>
                                </a:lnTo>
                                <a:lnTo>
                                  <a:pt x="3107105" y="544068"/>
                                </a:lnTo>
                                <a:lnTo>
                                  <a:pt x="3095536" y="532993"/>
                                </a:lnTo>
                                <a:lnTo>
                                  <a:pt x="3057233" y="501472"/>
                                </a:lnTo>
                                <a:lnTo>
                                  <a:pt x="3018815" y="476669"/>
                                </a:lnTo>
                                <a:lnTo>
                                  <a:pt x="2981096" y="459130"/>
                                </a:lnTo>
                                <a:lnTo>
                                  <a:pt x="2944152" y="447548"/>
                                </a:lnTo>
                                <a:lnTo>
                                  <a:pt x="2890647" y="442849"/>
                                </a:lnTo>
                                <a:lnTo>
                                  <a:pt x="2873756" y="444538"/>
                                </a:lnTo>
                                <a:lnTo>
                                  <a:pt x="2831846" y="456692"/>
                                </a:lnTo>
                                <a:lnTo>
                                  <a:pt x="2793238" y="479679"/>
                                </a:lnTo>
                                <a:lnTo>
                                  <a:pt x="2764282" y="505460"/>
                                </a:lnTo>
                                <a:lnTo>
                                  <a:pt x="2670429" y="599313"/>
                                </a:lnTo>
                                <a:lnTo>
                                  <a:pt x="2663190" y="616623"/>
                                </a:lnTo>
                                <a:lnTo>
                                  <a:pt x="2663317" y="624205"/>
                                </a:lnTo>
                                <a:lnTo>
                                  <a:pt x="2686050" y="661035"/>
                                </a:lnTo>
                                <a:lnTo>
                                  <a:pt x="3310382" y="1285367"/>
                                </a:lnTo>
                                <a:lnTo>
                                  <a:pt x="3312922" y="1288034"/>
                                </a:lnTo>
                                <a:lnTo>
                                  <a:pt x="3315970" y="1290193"/>
                                </a:lnTo>
                                <a:lnTo>
                                  <a:pt x="3322066" y="1292479"/>
                                </a:lnTo>
                                <a:lnTo>
                                  <a:pt x="3325114" y="1292606"/>
                                </a:lnTo>
                                <a:lnTo>
                                  <a:pt x="3328543" y="1291336"/>
                                </a:lnTo>
                                <a:lnTo>
                                  <a:pt x="3332480" y="1290574"/>
                                </a:lnTo>
                                <a:lnTo>
                                  <a:pt x="3366262" y="1261999"/>
                                </a:lnTo>
                                <a:lnTo>
                                  <a:pt x="3374517" y="1245235"/>
                                </a:lnTo>
                                <a:lnTo>
                                  <a:pt x="3375533" y="1242187"/>
                                </a:lnTo>
                                <a:lnTo>
                                  <a:pt x="3375660" y="1238885"/>
                                </a:lnTo>
                                <a:close/>
                              </a:path>
                              <a:path w="3815715" h="3947160">
                                <a:moveTo>
                                  <a:pt x="3815461" y="802259"/>
                                </a:moveTo>
                                <a:lnTo>
                                  <a:pt x="3815334" y="799211"/>
                                </a:lnTo>
                                <a:lnTo>
                                  <a:pt x="3813175" y="793115"/>
                                </a:lnTo>
                                <a:lnTo>
                                  <a:pt x="3810889" y="790067"/>
                                </a:lnTo>
                                <a:lnTo>
                                  <a:pt x="3558794" y="538099"/>
                                </a:lnTo>
                                <a:lnTo>
                                  <a:pt x="3511664" y="446278"/>
                                </a:lnTo>
                                <a:lnTo>
                                  <a:pt x="3371646" y="170192"/>
                                </a:lnTo>
                                <a:lnTo>
                                  <a:pt x="3301111" y="32385"/>
                                </a:lnTo>
                                <a:lnTo>
                                  <a:pt x="3270758" y="0"/>
                                </a:lnTo>
                                <a:lnTo>
                                  <a:pt x="3265678" y="1905"/>
                                </a:lnTo>
                                <a:lnTo>
                                  <a:pt x="3234182" y="29210"/>
                                </a:lnTo>
                                <a:lnTo>
                                  <a:pt x="3219323" y="57658"/>
                                </a:lnTo>
                                <a:lnTo>
                                  <a:pt x="3220847" y="61341"/>
                                </a:lnTo>
                                <a:lnTo>
                                  <a:pt x="3222117" y="65278"/>
                                </a:lnTo>
                                <a:lnTo>
                                  <a:pt x="3223768" y="68961"/>
                                </a:lnTo>
                                <a:lnTo>
                                  <a:pt x="3226816" y="73279"/>
                                </a:lnTo>
                                <a:lnTo>
                                  <a:pt x="3249371" y="116001"/>
                                </a:lnTo>
                                <a:lnTo>
                                  <a:pt x="3316363" y="244411"/>
                                </a:lnTo>
                                <a:lnTo>
                                  <a:pt x="3361309" y="329819"/>
                                </a:lnTo>
                                <a:lnTo>
                                  <a:pt x="3424250" y="442645"/>
                                </a:lnTo>
                                <a:lnTo>
                                  <a:pt x="3446145" y="480314"/>
                                </a:lnTo>
                                <a:lnTo>
                                  <a:pt x="3445510" y="480949"/>
                                </a:lnTo>
                                <a:lnTo>
                                  <a:pt x="3292475" y="395605"/>
                                </a:lnTo>
                                <a:lnTo>
                                  <a:pt x="3249993" y="373176"/>
                                </a:lnTo>
                                <a:lnTo>
                                  <a:pt x="3037205" y="261747"/>
                                </a:lnTo>
                                <a:lnTo>
                                  <a:pt x="3032506" y="259080"/>
                                </a:lnTo>
                                <a:lnTo>
                                  <a:pt x="3028569" y="257937"/>
                                </a:lnTo>
                                <a:lnTo>
                                  <a:pt x="3025013" y="256286"/>
                                </a:lnTo>
                                <a:lnTo>
                                  <a:pt x="3021457" y="255524"/>
                                </a:lnTo>
                                <a:lnTo>
                                  <a:pt x="2976499" y="286893"/>
                                </a:lnTo>
                                <a:lnTo>
                                  <a:pt x="2961894" y="307721"/>
                                </a:lnTo>
                                <a:lnTo>
                                  <a:pt x="2963926" y="316357"/>
                                </a:lnTo>
                                <a:lnTo>
                                  <a:pt x="2994914" y="338582"/>
                                </a:lnTo>
                                <a:lnTo>
                                  <a:pt x="3086684" y="385762"/>
                                </a:lnTo>
                                <a:lnTo>
                                  <a:pt x="3362795" y="525754"/>
                                </a:lnTo>
                                <a:lnTo>
                                  <a:pt x="3500628" y="596265"/>
                                </a:lnTo>
                                <a:lnTo>
                                  <a:pt x="3752596" y="848360"/>
                                </a:lnTo>
                                <a:lnTo>
                                  <a:pt x="3755644" y="850646"/>
                                </a:lnTo>
                                <a:lnTo>
                                  <a:pt x="3758692" y="851789"/>
                                </a:lnTo>
                                <a:lnTo>
                                  <a:pt x="3761359" y="853186"/>
                                </a:lnTo>
                                <a:lnTo>
                                  <a:pt x="3764661" y="853059"/>
                                </a:lnTo>
                                <a:lnTo>
                                  <a:pt x="3768090" y="851662"/>
                                </a:lnTo>
                                <a:lnTo>
                                  <a:pt x="3772154" y="850900"/>
                                </a:lnTo>
                                <a:lnTo>
                                  <a:pt x="3805555" y="822706"/>
                                </a:lnTo>
                                <a:lnTo>
                                  <a:pt x="3814191" y="805561"/>
                                </a:lnTo>
                                <a:lnTo>
                                  <a:pt x="3815461" y="802259"/>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99.926003pt;margin-top:214.649979pt;width:388.45pt;height:391.85pt;mso-position-horizontal-relative:page;mso-position-vertical-relative:page;z-index:-25511424" id="docshapegroup189" coordorigin="1999,4293" coordsize="7769,7837">
                <v:shape style="position:absolute;left:1998;top:10112;width:2142;height:2018" id="docshape190" coordorigin="1999,10112" coordsize="2142,2018" path="m3420,11822l3419,11780,3412,11737,3400,11693,3383,11648,3362,11602,3335,11555,3304,11508,3268,11461,3227,11413,3181,11364,2526,10710,2521,10706,2511,10703,2501,10704,2495,10706,2489,10708,2482,10713,2475,10718,2467,10724,2449,10742,2438,10756,2434,10764,2431,10770,2429,10776,2427,10782,2428,10786,2431,10796,2435,10801,3090,11456,3124,11492,3154,11526,3181,11560,3204,11593,3223,11625,3239,11656,3252,11686,3261,11716,3266,11744,3268,11771,3267,11797,3262,11823,3254,11847,3243,11870,3227,11892,3209,11912,3189,11930,3167,11945,3144,11956,3120,11963,3095,11968,3068,11969,3040,11967,3012,11961,2982,11953,2951,11940,2919,11924,2886,11904,2852,11880,2817,11853,2782,11822,2745,11787,2097,11139,2092,11135,2083,11131,2078,11131,2072,11132,2067,11134,2060,11137,2053,11141,2038,11153,2020,11171,2014,11179,2009,11186,2002,11199,2000,11204,1999,11211,1999,11215,2002,11225,2006,11230,2671,11895,2720,11941,2768,11983,2815,12019,2862,12050,2908,12076,2953,12096,2996,12112,3038,12123,3080,12129,3119,12130,3157,12126,3195,12118,3230,12105,3263,12088,3295,12066,3324,12039,3353,12007,3377,11973,3395,11938,3408,11901,3417,11862,3420,11822xm4140,11049l4134,10996,4120,10941,4100,10884,4073,10826,4041,10767,4002,10706,3983,10679,3983,11028,3983,11066,3977,11103,3963,11138,3943,11171,3916,11202,3885,11229,3852,11250,3819,11264,3783,11271,3747,11273,3709,11269,3670,11261,3630,11246,3589,11227,3547,11204,3504,11176,3460,11144,3415,11108,3370,11069,3324,11026,3277,10981,3236,10938,3197,10895,3160,10852,3126,10808,3095,10765,3068,10722,3046,10680,3028,10638,3013,10597,3004,10557,3000,10518,3001,10480,3007,10443,3020,10409,3040,10376,3067,10345,3097,10318,3130,10298,3163,10284,3199,10277,3236,10275,3274,10279,3313,10287,3353,10301,3394,10320,3436,10343,3479,10370,3523,10401,3567,10436,3612,10475,3657,10516,3702,10560,3744,10603,3783,10647,3820,10690,3855,10734,3887,10778,3914,10821,3936,10864,3955,10906,3970,10947,3979,10988,3983,11028,3983,10679,3957,10643,3907,10581,3851,10517,3789,10453,3725,10391,3662,10335,3601,10285,3588,10275,3541,10241,3483,10204,3426,10172,3371,10148,3317,10129,3265,10117,3215,10112,3167,10113,3120,10121,3075,10135,3032,10155,2991,10183,2952,10218,2916,10259,2887,10302,2866,10347,2852,10395,2846,10445,2845,10497,2852,10550,2865,10605,2885,10661,2911,10719,2943,10779,2981,10839,3025,10901,3075,10963,3130,11025,3190,11088,3255,11151,3319,11208,3381,11258,3441,11303,3500,11341,3557,11373,3613,11398,3666,11417,3718,11430,3768,11435,3817,11434,3864,11427,3910,11414,3953,11393,3995,11364,4035,11329,4071,11288,4081,11273,4099,11245,4120,11199,4133,11151,4140,11101,4140,11049xe" filled="true" fillcolor="#c0c0c0" stroked="false">
                  <v:path arrowok="t"/>
                  <v:fill opacity="32896f" type="solid"/>
                </v:shape>
                <v:shape style="position:absolute;left:3964;top:10187;width:350;height:349" type="#_x0000_t75" id="docshape191" stroked="false">
                  <v:imagedata r:id="rId9" o:title=""/>
                </v:shape>
                <v:shape style="position:absolute;left:3758;top:4293;width:6009;height:6216" id="docshape192" coordorigin="3759,4293" coordsize="6009,6216" path="m4895,10428l4895,10424,4892,10414,4888,10409,4884,10405,3857,9379,3852,9375,3843,9371,3838,9371,3832,9372,3826,9374,3821,9377,3813,9381,3806,9386,3798,9393,3781,9410,3770,9425,3762,9438,3760,9444,3759,9450,3759,9455,3762,9465,3765,9470,4796,10501,4801,10505,4811,10508,4815,10508,4821,10506,4827,10505,4833,10502,4841,10498,4848,10493,4856,10486,4873,10469,4880,10460,4885,10454,4889,10446,4892,10440,4893,10434,4895,10428xm5170,10149l5169,10144,5167,10139,5163,10134,5159,10130,4775,9746,4854,9668,4883,9636,4887,9630,4907,9602,4926,9568,4939,9533,4948,9497,4952,9462,4952,9423,4947,9385,4938,9346,4925,9307,4908,9267,4886,9227,4861,9187,4831,9146,4800,9109,4800,9417,4799,9440,4795,9462,4787,9484,4776,9505,4761,9527,4742,9548,4659,9630,4232,9203,4317,9118,4329,9107,4342,9096,4356,9085,4371,9075,4387,9067,4405,9061,4425,9057,4446,9055,4469,9056,4494,9060,4521,9069,4550,9081,4580,9097,4610,9118,4642,9143,4674,9174,4697,9198,4718,9222,4736,9247,4753,9272,4767,9297,4779,9322,4788,9346,4795,9370,4799,9394,4800,9417,4800,9109,4797,9106,4759,9066,4748,9055,4729,9037,4699,9011,4669,8987,4638,8966,4608,8948,4578,8933,4549,8921,4520,8910,4491,8902,4462,8897,4434,8895,4406,8895,4380,8898,4356,8902,4334,8909,4314,8917,4296,8926,4280,8936,4266,8945,4253,8953,4241,8962,4230,8972,4218,8983,4207,8994,4059,9142,4054,9149,4050,9158,4048,9169,4048,9180,4052,9193,4059,9207,4069,9222,4084,9239,5067,10222,5071,10226,5076,10230,5081,10231,5086,10233,5091,10233,5096,10231,5102,10230,5109,10227,5116,10223,5123,10218,5131,10211,5149,10193,5155,10185,5160,10178,5165,10171,5167,10165,5168,10159,5170,10154,5170,10149xm5863,9460l5863,9456,5860,9446,5856,9441,4928,8513,5125,8317,5127,8313,5127,8308,5126,8303,5125,8298,5122,8291,5119,8286,5114,8278,5092,8253,5081,8242,5070,8231,5061,8223,5044,8208,5036,8202,5023,8196,5018,8195,5008,8195,5005,8196,4519,8682,4517,8685,4518,8690,4517,8695,4519,8700,4526,8713,4531,8721,4538,8728,4545,8738,4554,8747,4575,8769,4585,8777,4593,8784,4601,8791,4609,8796,4621,8802,4626,8804,4631,8803,4636,8804,4639,8802,4836,8605,5764,9533,5769,9537,5779,9540,5783,9540,5789,9538,5795,9537,5809,9530,5824,9518,5842,9500,5848,9492,5853,9485,5857,9478,5860,9472,5861,9466,5863,9460xm6396,8928l6395,8923,6392,8914,6388,8909,5460,7981,5657,7784,5659,7781,5659,7776,5658,7766,5652,7753,5646,7746,5639,7738,5624,7720,5613,7710,5603,7699,5576,7676,5569,7670,5556,7663,5550,7662,5545,7662,5540,7662,5537,7664,5052,8149,5050,8153,5050,8158,5050,8163,5052,8168,5058,8181,5064,8188,5071,8196,5078,8206,5086,8215,5108,8237,5117,8245,5126,8251,5134,8258,5141,8264,5154,8270,5158,8271,5164,8271,5168,8272,5172,8270,5369,8073,6297,9001,6301,9004,6311,9008,6316,9008,6321,9006,6327,9005,6341,8997,6348,8993,6356,8986,6374,8968,6386,8953,6392,8940,6394,8934,6396,8928xm7102,8088l7095,8034,7081,7979,7061,7922,7035,7864,7003,7805,6964,7744,6945,7718,6945,8066,6945,8104,6938,8141,6925,8176,6905,8209,6878,8240,6847,8267,6814,8288,6780,8302,6745,8309,6708,8311,6671,8308,6632,8299,6591,8284,6551,8266,6509,8242,6466,8215,6422,8182,6377,8146,6332,8107,6285,8065,6239,8019,6198,7977,6159,7934,6122,7890,6087,7847,6056,7803,6030,7760,6008,7718,5989,7676,5975,7635,5966,7595,5962,7556,5963,7518,5969,7481,5982,7447,6002,7414,6028,7383,6059,7356,6091,7336,6125,7322,6161,7315,6198,7314,6236,7317,6275,7325,6315,7339,6356,7358,6398,7381,6441,7408,6484,7439,6529,7475,6573,7513,6618,7554,6663,7598,6705,7642,6745,7685,6782,7729,6817,7773,6848,7816,6875,7860,6898,7902,6917,7944,6932,7986,6941,8026,6945,8066,6945,7718,6919,7682,6869,7619,6812,7556,6751,7491,6687,7429,6624,7373,6563,7324,6549,7314,6503,7280,6444,7242,6388,7211,6332,7186,6279,7168,6227,7156,6177,7150,6129,7152,6081,7159,6036,7173,5993,7194,5952,7222,5913,7256,5877,7297,5849,7340,5828,7386,5814,7433,5807,7483,5807,7535,5813,7588,5826,7643,5846,7700,5872,7758,5904,7817,5942,7878,5987,7939,6036,8001,6091,8064,6152,8126,6217,8189,6280,8246,6342,8297,6403,8341,6462,8380,6519,8411,6574,8437,6628,8455,6680,8468,6730,8473,6778,8472,6826,8465,6871,8452,6915,8431,6957,8403,6996,8367,7032,8326,7042,8311,7061,8283,7082,8238,7095,8189,7102,8139,7102,8088xm8054,7161l8054,7132,8054,7122,8052,7114,8050,7104,8048,7098,8043,7086,8040,7081,8036,7075,8014,7049,7998,7033,7980,7016,7957,6995,7943,6985,7938,6982,7933,6981,7927,6981,7924,6982,7916,6990,7913,7002,7915,7022,7916,7038,7916,7054,7915,7073,7914,7092,7912,7113,7909,7135,7903,7157,7897,7180,7887,7203,7875,7226,7859,7247,7840,7268,7815,7290,7787,7307,7757,7320,7726,7328,7692,7332,7657,7331,7620,7325,7582,7314,7542,7299,7500,7279,7456,7254,7411,7224,7364,7190,7317,7152,7268,7108,7218,7060,7169,7010,7125,6960,7086,6911,7051,6863,7021,6817,6995,6773,6974,6730,6958,6688,6945,6648,6938,6610,6936,6574,6938,6539,6945,6508,6957,6478,6973,6452,6995,6427,7016,6408,7038,6392,7060,6379,7083,6370,7106,6364,7128,6359,7149,6356,7170,6354,7189,6354,7224,6354,7239,6355,7259,6357,7272,6356,7279,6348,7280,6344,7280,6339,7279,6335,7277,6330,7270,6316,7258,6300,7242,6282,7213,6253,7197,6239,7190,6235,7184,6229,7173,6223,7161,6217,7153,6215,7141,6212,7130,6210,7118,6210,7087,6210,7069,6211,7050,6214,7032,6217,7013,6222,6995,6228,6976,6235,6957,6243,6939,6252,6921,6263,6904,6274,6888,6288,6872,6302,6841,6338,6817,6376,6799,6418,6787,6463,6782,6511,6782,6562,6788,6614,6801,6669,6820,6726,6846,6785,6877,6845,6915,6907,6959,6970,7010,7035,7066,7100,7129,7165,7193,7227,7256,7282,7318,7330,7378,7373,7437,7410,7494,7440,7550,7463,7604,7481,7655,7493,7705,7499,7753,7498,7798,7491,7841,7479,7881,7460,7919,7435,7954,7405,7972,7385,7989,7365,8003,7344,8015,7322,8025,7300,8033,7278,8040,7257,8045,7236,8049,7216,8052,7197,8054,7178,8054,7161xm8654,6535l8648,6481,8634,6426,8614,6370,8588,6312,8555,6252,8517,6191,8498,6165,8498,6513,8497,6552,8491,6589,8477,6624,8457,6657,8430,6688,8399,6715,8367,6735,8333,6749,8297,6756,8261,6758,8223,6755,8184,6746,8144,6732,8103,6713,8061,6690,8018,6662,7974,6630,7930,6594,7884,6555,7838,6512,7791,6467,7750,6424,7711,6381,7675,6338,7640,6294,7609,6251,7583,6208,7560,6165,7542,6123,7528,6083,7519,6043,7515,6004,7515,5966,7521,5929,7534,5894,7554,5862,7581,5831,7612,5804,7644,5784,7678,5770,7713,5763,7750,5761,7788,5764,7827,5773,7867,5786,7909,5806,7951,5828,7993,5855,8037,5887,8081,5922,8126,5961,8171,6002,8216,6046,8258,6089,8297,6132,8334,6176,8369,6220,8401,6264,8428,6307,8451,6350,8469,6392,8484,6433,8493,6474,8498,6513,8498,6165,8472,6129,8421,6066,8365,6003,8303,5939,8239,5877,8176,5821,8115,5771,8102,5761,8055,5727,7997,5689,7940,5658,7885,5634,7831,5615,7780,5603,7730,5598,7681,5599,7634,5607,7589,5620,7546,5641,7505,5669,7466,5704,7430,5745,7401,5788,7380,5833,7366,5881,7360,5931,7360,5983,7366,6036,7379,6091,7399,6147,7425,6205,7457,6264,7495,6325,7539,6386,7589,6448,7644,6511,7704,6574,7769,6637,7833,6693,7895,6744,7955,6789,8014,6827,8072,6859,8127,6884,8181,6903,8232,6915,8282,6921,8331,6920,8378,6913,8424,6899,8468,6878,8509,6850,8549,6815,8585,6774,8595,6758,8613,6731,8634,6685,8647,6637,8654,6587,8654,6535xm9075,6244l9073,6239,9071,6234,9068,6230,8680,5842,8758,5763,8788,5731,8792,5726,8812,5698,8831,5663,8844,5628,8852,5593,8857,5557,8857,5519,8852,5480,8843,5442,8830,5402,8813,5363,8791,5322,8765,5282,8736,5242,8705,5205,8705,5512,8704,5535,8699,5557,8692,5579,8681,5601,8665,5622,8647,5643,8564,5726,8136,5298,8221,5213,8233,5202,8247,5191,8261,5180,8276,5171,8292,5162,8310,5156,8330,5152,8351,5150,8374,5151,8399,5156,8426,5164,8455,5176,8484,5192,8515,5213,8547,5239,8579,5269,8602,5293,8623,5318,8641,5342,8658,5367,8672,5392,8684,5417,8693,5441,8699,5465,8704,5489,8705,5512,8705,5205,8702,5201,8664,5161,8652,5150,8634,5132,8604,5106,8573,5083,8543,5061,8513,5044,8483,5029,8453,5016,8424,5006,8395,4998,8367,4993,8339,4990,8311,4990,8284,4993,8260,4998,8238,5004,8218,5012,8201,5022,8185,5031,8170,5040,8158,5048,8146,5058,8135,5068,8123,5078,8112,5089,7964,5237,7958,5244,7955,5253,7953,5264,7953,5276,7956,5289,7963,5303,7974,5318,7989,5334,8972,6317,8976,6321,8981,6325,8990,6328,8995,6329,9001,6327,9007,6325,9021,6318,9028,6313,9035,6307,9053,6289,9060,6280,9065,6274,9069,6266,9072,6260,9073,6254,9075,6249,9075,6244xm9767,5556l9767,5552,9764,5542,9760,5537,9363,5140,9289,4996,9068,4561,8957,4344,8941,4315,8936,4308,8929,4300,8923,4296,8910,4293,8902,4296,8893,4301,8886,4307,8870,4321,8852,4339,8845,4348,8835,4361,8832,4368,8830,4373,8829,4379,8829,4384,8831,4390,8833,4396,8836,4402,8840,4408,8876,4476,8981,4678,9052,4812,9151,4990,9186,5049,9185,5050,8944,4916,8877,4881,8542,4705,8534,4701,8528,4699,8523,4697,8517,4695,8505,4697,8500,4699,8493,4703,8469,4722,8446,4745,8438,4755,8426,4770,8423,4778,8426,4791,8430,4797,8445,4809,8454,4814,8475,4826,8620,4900,9055,5121,9272,5232,9668,5629,9673,5633,9678,5634,9682,5637,9687,5636,9693,5634,9699,5633,9713,5626,9720,5621,9727,5615,9745,5597,9752,5589,9757,5582,9761,5574,9764,5568,9765,5562,9767,5556xe" filled="true" fillcolor="#c0c0c0" stroked="false">
                  <v:path arrowok="t"/>
                  <v:fill opacity="32896f" type="solid"/>
                </v:shape>
                <w10:wrap type="none"/>
              </v:group>
            </w:pict>
          </mc:Fallback>
        </mc:AlternateContent>
      </w:r>
    </w:p>
    <w:tbl>
      <w:tblPr>
        <w:tblW w:w="0" w:type="auto"/>
        <w:jc w:val="left"/>
        <w:tblInd w:w="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7"/>
        <w:gridCol w:w="2582"/>
        <w:gridCol w:w="973"/>
      </w:tblGrid>
      <w:tr>
        <w:trPr>
          <w:trHeight w:val="761" w:hRule="atLeast"/>
        </w:trPr>
        <w:tc>
          <w:tcPr>
            <w:tcW w:w="2977" w:type="dxa"/>
          </w:tcPr>
          <w:p>
            <w:pPr>
              <w:pStyle w:val="TableParagraph"/>
              <w:spacing w:line="266" w:lineRule="exact"/>
              <w:rPr>
                <w:rFonts w:ascii="Times New Roman"/>
                <w:b/>
                <w:sz w:val="24"/>
              </w:rPr>
            </w:pPr>
            <w:r>
              <w:rPr>
                <w:rFonts w:ascii="Times New Roman"/>
                <w:b/>
                <w:sz w:val="24"/>
              </w:rPr>
              <w:t>Appendix </w:t>
            </w:r>
            <w:r>
              <w:rPr>
                <w:rFonts w:ascii="Times New Roman"/>
                <w:b/>
                <w:spacing w:val="-5"/>
                <w:sz w:val="24"/>
              </w:rPr>
              <w:t>26</w:t>
            </w:r>
          </w:p>
          <w:p>
            <w:pPr>
              <w:pStyle w:val="TableParagraph"/>
              <w:rPr>
                <w:rFonts w:ascii="Times New Roman"/>
                <w:b/>
                <w:sz w:val="24"/>
              </w:rPr>
            </w:pPr>
          </w:p>
          <w:p>
            <w:pPr>
              <w:pStyle w:val="TableParagraph"/>
              <w:spacing w:line="199" w:lineRule="exact"/>
              <w:rPr>
                <w:sz w:val="18"/>
              </w:rPr>
            </w:pPr>
            <w:r>
              <w:rPr>
                <w:sz w:val="18"/>
              </w:rPr>
              <w:t>Kao</w:t>
            </w:r>
            <w:r>
              <w:rPr>
                <w:spacing w:val="-7"/>
                <w:sz w:val="18"/>
              </w:rPr>
              <w:t> </w:t>
            </w:r>
            <w:r>
              <w:rPr>
                <w:sz w:val="18"/>
              </w:rPr>
              <w:t>Residual</w:t>
            </w:r>
            <w:r>
              <w:rPr>
                <w:spacing w:val="-7"/>
                <w:sz w:val="18"/>
              </w:rPr>
              <w:t> </w:t>
            </w:r>
            <w:r>
              <w:rPr>
                <w:sz w:val="18"/>
              </w:rPr>
              <w:t>Cointegration</w:t>
            </w:r>
            <w:r>
              <w:rPr>
                <w:spacing w:val="-7"/>
                <w:sz w:val="18"/>
              </w:rPr>
              <w:t> </w:t>
            </w:r>
            <w:r>
              <w:rPr>
                <w:spacing w:val="-4"/>
                <w:sz w:val="18"/>
              </w:rPr>
              <w:t>Test</w:t>
            </w:r>
          </w:p>
        </w:tc>
        <w:tc>
          <w:tcPr>
            <w:tcW w:w="2582" w:type="dxa"/>
          </w:tcPr>
          <w:p>
            <w:pPr>
              <w:pStyle w:val="TableParagraph"/>
              <w:rPr>
                <w:rFonts w:ascii="Times New Roman"/>
                <w:sz w:val="18"/>
              </w:rPr>
            </w:pPr>
          </w:p>
        </w:tc>
        <w:tc>
          <w:tcPr>
            <w:tcW w:w="973" w:type="dxa"/>
          </w:tcPr>
          <w:p>
            <w:pPr>
              <w:pStyle w:val="TableParagraph"/>
              <w:rPr>
                <w:rFonts w:ascii="Times New Roman"/>
                <w:sz w:val="18"/>
              </w:rPr>
            </w:pPr>
          </w:p>
        </w:tc>
      </w:tr>
      <w:tr>
        <w:trPr>
          <w:trHeight w:val="224" w:hRule="atLeast"/>
        </w:trPr>
        <w:tc>
          <w:tcPr>
            <w:tcW w:w="6532" w:type="dxa"/>
            <w:gridSpan w:val="3"/>
          </w:tcPr>
          <w:p>
            <w:pPr>
              <w:pStyle w:val="TableParagraph"/>
              <w:spacing w:line="198" w:lineRule="exact" w:before="6"/>
              <w:rPr>
                <w:sz w:val="18"/>
              </w:rPr>
            </w:pPr>
            <w:r>
              <w:rPr>
                <w:sz w:val="18"/>
              </w:rPr>
              <w:t>Series:</w:t>
            </w:r>
            <w:r>
              <w:rPr>
                <w:spacing w:val="-2"/>
                <w:sz w:val="18"/>
              </w:rPr>
              <w:t> </w:t>
            </w:r>
            <w:r>
              <w:rPr>
                <w:sz w:val="18"/>
              </w:rPr>
              <w:t>DISACC</w:t>
            </w:r>
            <w:r>
              <w:rPr>
                <w:spacing w:val="-3"/>
                <w:sz w:val="18"/>
              </w:rPr>
              <w:t> </w:t>
            </w:r>
            <w:r>
              <w:rPr>
                <w:sz w:val="18"/>
              </w:rPr>
              <w:t>FRQ</w:t>
            </w:r>
            <w:r>
              <w:rPr>
                <w:spacing w:val="-4"/>
                <w:sz w:val="18"/>
              </w:rPr>
              <w:t> </w:t>
            </w:r>
            <w:r>
              <w:rPr>
                <w:sz w:val="18"/>
              </w:rPr>
              <w:t>BDS</w:t>
            </w:r>
            <w:r>
              <w:rPr>
                <w:spacing w:val="-2"/>
                <w:sz w:val="18"/>
              </w:rPr>
              <w:t> </w:t>
            </w:r>
            <w:r>
              <w:rPr>
                <w:sz w:val="18"/>
              </w:rPr>
              <w:t>BDIND</w:t>
            </w:r>
            <w:r>
              <w:rPr>
                <w:spacing w:val="-2"/>
                <w:sz w:val="18"/>
              </w:rPr>
              <w:t> </w:t>
            </w:r>
            <w:r>
              <w:rPr>
                <w:sz w:val="18"/>
              </w:rPr>
              <w:t>BFEXP</w:t>
            </w:r>
            <w:r>
              <w:rPr>
                <w:spacing w:val="-2"/>
                <w:sz w:val="18"/>
              </w:rPr>
              <w:t> </w:t>
            </w:r>
            <w:r>
              <w:rPr>
                <w:sz w:val="18"/>
              </w:rPr>
              <w:t>MOWN</w:t>
            </w:r>
            <w:r>
              <w:rPr>
                <w:spacing w:val="-2"/>
                <w:sz w:val="18"/>
              </w:rPr>
              <w:t> </w:t>
            </w:r>
            <w:r>
              <w:rPr>
                <w:sz w:val="18"/>
              </w:rPr>
              <w:t>INSTOWN</w:t>
            </w:r>
            <w:r>
              <w:rPr>
                <w:spacing w:val="-2"/>
                <w:sz w:val="18"/>
              </w:rPr>
              <w:t> </w:t>
            </w:r>
            <w:r>
              <w:rPr>
                <w:sz w:val="18"/>
              </w:rPr>
              <w:t>FOWN</w:t>
            </w:r>
            <w:r>
              <w:rPr>
                <w:spacing w:val="-2"/>
                <w:sz w:val="18"/>
              </w:rPr>
              <w:t> BLOWN</w:t>
            </w:r>
          </w:p>
        </w:tc>
      </w:tr>
      <w:tr>
        <w:trPr>
          <w:trHeight w:val="224" w:hRule="atLeast"/>
        </w:trPr>
        <w:tc>
          <w:tcPr>
            <w:tcW w:w="2977" w:type="dxa"/>
          </w:tcPr>
          <w:p>
            <w:pPr>
              <w:pStyle w:val="TableParagraph"/>
              <w:spacing w:line="199" w:lineRule="exact" w:before="5"/>
              <w:ind w:left="403"/>
              <w:rPr>
                <w:sz w:val="18"/>
              </w:rPr>
            </w:pPr>
            <w:r>
              <w:rPr>
                <w:sz w:val="18"/>
              </w:rPr>
              <w:t>FAGE</w:t>
            </w:r>
            <w:r>
              <w:rPr>
                <w:spacing w:val="-6"/>
                <w:sz w:val="18"/>
              </w:rPr>
              <w:t> </w:t>
            </w:r>
            <w:r>
              <w:rPr>
                <w:sz w:val="18"/>
              </w:rPr>
              <w:t>FSIZE</w:t>
            </w:r>
            <w:r>
              <w:rPr>
                <w:spacing w:val="-5"/>
                <w:sz w:val="18"/>
              </w:rPr>
              <w:t> </w:t>
            </w:r>
            <w:r>
              <w:rPr>
                <w:sz w:val="18"/>
              </w:rPr>
              <w:t>LEVERAGE</w:t>
            </w:r>
            <w:r>
              <w:rPr>
                <w:spacing w:val="-4"/>
                <w:sz w:val="18"/>
              </w:rPr>
              <w:t> IFRS</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225" w:hRule="atLeast"/>
        </w:trPr>
        <w:tc>
          <w:tcPr>
            <w:tcW w:w="2977" w:type="dxa"/>
          </w:tcPr>
          <w:p>
            <w:pPr>
              <w:pStyle w:val="TableParagraph"/>
              <w:spacing w:line="199" w:lineRule="exact" w:before="6"/>
              <w:rPr>
                <w:sz w:val="18"/>
              </w:rPr>
            </w:pPr>
            <w:r>
              <w:rPr>
                <w:sz w:val="18"/>
              </w:rPr>
              <w:t>Date:</w:t>
            </w:r>
            <w:r>
              <w:rPr>
                <w:spacing w:val="-3"/>
                <w:sz w:val="18"/>
              </w:rPr>
              <w:t> </w:t>
            </w:r>
            <w:r>
              <w:rPr>
                <w:sz w:val="18"/>
              </w:rPr>
              <w:t>04/26/21</w:t>
            </w:r>
            <w:r>
              <w:rPr>
                <w:spacing w:val="65"/>
                <w:w w:val="150"/>
                <w:sz w:val="18"/>
              </w:rPr>
              <w:t> </w:t>
            </w:r>
            <w:r>
              <w:rPr>
                <w:sz w:val="18"/>
              </w:rPr>
              <w:t>Time:</w:t>
            </w:r>
            <w:r>
              <w:rPr>
                <w:spacing w:val="-2"/>
                <w:sz w:val="18"/>
              </w:rPr>
              <w:t> </w:t>
            </w:r>
            <w:r>
              <w:rPr>
                <w:spacing w:val="-4"/>
                <w:sz w:val="18"/>
              </w:rPr>
              <w:t>16:42</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225" w:hRule="atLeast"/>
        </w:trPr>
        <w:tc>
          <w:tcPr>
            <w:tcW w:w="2977" w:type="dxa"/>
          </w:tcPr>
          <w:p>
            <w:pPr>
              <w:pStyle w:val="TableParagraph"/>
              <w:spacing w:line="199" w:lineRule="exact" w:before="6"/>
              <w:rPr>
                <w:sz w:val="18"/>
              </w:rPr>
            </w:pPr>
            <w:r>
              <w:rPr>
                <w:sz w:val="18"/>
              </w:rPr>
              <w:t>Sample:</w:t>
            </w:r>
            <w:r>
              <w:rPr>
                <w:spacing w:val="-7"/>
                <w:sz w:val="18"/>
              </w:rPr>
              <w:t> </w:t>
            </w:r>
            <w:r>
              <w:rPr>
                <w:sz w:val="18"/>
              </w:rPr>
              <w:t>2005</w:t>
            </w:r>
            <w:r>
              <w:rPr>
                <w:spacing w:val="-5"/>
                <w:sz w:val="18"/>
              </w:rPr>
              <w:t> </w:t>
            </w:r>
            <w:r>
              <w:rPr>
                <w:spacing w:val="-4"/>
                <w:sz w:val="18"/>
              </w:rPr>
              <w:t>2019</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224" w:hRule="atLeast"/>
        </w:trPr>
        <w:tc>
          <w:tcPr>
            <w:tcW w:w="2977" w:type="dxa"/>
          </w:tcPr>
          <w:p>
            <w:pPr>
              <w:pStyle w:val="TableParagraph"/>
              <w:spacing w:line="198" w:lineRule="exact" w:before="6"/>
              <w:rPr>
                <w:sz w:val="18"/>
              </w:rPr>
            </w:pPr>
            <w:r>
              <w:rPr>
                <w:sz w:val="18"/>
              </w:rPr>
              <w:t>Included</w:t>
            </w:r>
            <w:r>
              <w:rPr>
                <w:spacing w:val="-6"/>
                <w:sz w:val="18"/>
              </w:rPr>
              <w:t> </w:t>
            </w:r>
            <w:r>
              <w:rPr>
                <w:sz w:val="18"/>
              </w:rPr>
              <w:t>observations:</w:t>
            </w:r>
            <w:r>
              <w:rPr>
                <w:spacing w:val="-5"/>
                <w:sz w:val="18"/>
              </w:rPr>
              <w:t> 195</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224" w:hRule="atLeast"/>
        </w:trPr>
        <w:tc>
          <w:tcPr>
            <w:tcW w:w="2977" w:type="dxa"/>
          </w:tcPr>
          <w:p>
            <w:pPr>
              <w:pStyle w:val="TableParagraph"/>
              <w:spacing w:line="199" w:lineRule="exact" w:before="5"/>
              <w:rPr>
                <w:sz w:val="18"/>
              </w:rPr>
            </w:pPr>
            <w:r>
              <w:rPr>
                <w:sz w:val="18"/>
              </w:rPr>
              <w:t>Null</w:t>
            </w:r>
            <w:r>
              <w:rPr>
                <w:spacing w:val="-5"/>
                <w:sz w:val="18"/>
              </w:rPr>
              <w:t> </w:t>
            </w:r>
            <w:r>
              <w:rPr>
                <w:sz w:val="18"/>
              </w:rPr>
              <w:t>Hypothesis:</w:t>
            </w:r>
            <w:r>
              <w:rPr>
                <w:spacing w:val="-5"/>
                <w:sz w:val="18"/>
              </w:rPr>
              <w:t> </w:t>
            </w:r>
            <w:r>
              <w:rPr>
                <w:sz w:val="18"/>
              </w:rPr>
              <w:t>No</w:t>
            </w:r>
            <w:r>
              <w:rPr>
                <w:spacing w:val="-6"/>
                <w:sz w:val="18"/>
              </w:rPr>
              <w:t> </w:t>
            </w:r>
            <w:r>
              <w:rPr>
                <w:spacing w:val="-2"/>
                <w:sz w:val="18"/>
              </w:rPr>
              <w:t>cointegration</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225" w:hRule="atLeast"/>
        </w:trPr>
        <w:tc>
          <w:tcPr>
            <w:tcW w:w="6532" w:type="dxa"/>
            <w:gridSpan w:val="3"/>
          </w:tcPr>
          <w:p>
            <w:pPr>
              <w:pStyle w:val="TableParagraph"/>
              <w:spacing w:line="199" w:lineRule="exact" w:before="6"/>
              <w:rPr>
                <w:sz w:val="18"/>
              </w:rPr>
            </w:pPr>
            <w:r>
              <w:rPr>
                <w:sz w:val="18"/>
              </w:rPr>
              <w:t>Trend</w:t>
            </w:r>
            <w:r>
              <w:rPr>
                <w:spacing w:val="-6"/>
                <w:sz w:val="18"/>
              </w:rPr>
              <w:t> </w:t>
            </w:r>
            <w:r>
              <w:rPr>
                <w:sz w:val="18"/>
              </w:rPr>
              <w:t>assumption:</w:t>
            </w:r>
            <w:r>
              <w:rPr>
                <w:spacing w:val="-4"/>
                <w:sz w:val="18"/>
              </w:rPr>
              <w:t> </w:t>
            </w:r>
            <w:r>
              <w:rPr>
                <w:sz w:val="18"/>
              </w:rPr>
              <w:t>No</w:t>
            </w:r>
            <w:r>
              <w:rPr>
                <w:spacing w:val="-6"/>
                <w:sz w:val="18"/>
              </w:rPr>
              <w:t> </w:t>
            </w:r>
            <w:r>
              <w:rPr>
                <w:sz w:val="18"/>
              </w:rPr>
              <w:t>deterministic</w:t>
            </w:r>
            <w:r>
              <w:rPr>
                <w:spacing w:val="-3"/>
                <w:sz w:val="18"/>
              </w:rPr>
              <w:t> </w:t>
            </w:r>
            <w:r>
              <w:rPr>
                <w:spacing w:val="-2"/>
                <w:sz w:val="18"/>
              </w:rPr>
              <w:t>trend</w:t>
            </w:r>
          </w:p>
        </w:tc>
      </w:tr>
      <w:tr>
        <w:trPr>
          <w:trHeight w:val="225" w:hRule="atLeast"/>
        </w:trPr>
        <w:tc>
          <w:tcPr>
            <w:tcW w:w="2977" w:type="dxa"/>
          </w:tcPr>
          <w:p>
            <w:pPr>
              <w:pStyle w:val="TableParagraph"/>
              <w:spacing w:line="199" w:lineRule="exact" w:before="6"/>
              <w:rPr>
                <w:sz w:val="18"/>
              </w:rPr>
            </w:pPr>
            <w:r>
              <w:rPr>
                <w:sz w:val="18"/>
              </w:rPr>
              <w:t>User-specified</w:t>
            </w:r>
            <w:r>
              <w:rPr>
                <w:spacing w:val="-5"/>
                <w:sz w:val="18"/>
              </w:rPr>
              <w:t> </w:t>
            </w:r>
            <w:r>
              <w:rPr>
                <w:sz w:val="18"/>
              </w:rPr>
              <w:t>lag</w:t>
            </w:r>
            <w:r>
              <w:rPr>
                <w:spacing w:val="-4"/>
                <w:sz w:val="18"/>
              </w:rPr>
              <w:t> </w:t>
            </w:r>
            <w:r>
              <w:rPr>
                <w:sz w:val="18"/>
              </w:rPr>
              <w:t>length:</w:t>
            </w:r>
            <w:r>
              <w:rPr>
                <w:spacing w:val="-4"/>
                <w:sz w:val="18"/>
              </w:rPr>
              <w:t> </w:t>
            </w:r>
            <w:r>
              <w:rPr>
                <w:spacing w:val="-10"/>
                <w:sz w:val="18"/>
              </w:rPr>
              <w:t>1</w:t>
            </w:r>
          </w:p>
        </w:tc>
        <w:tc>
          <w:tcPr>
            <w:tcW w:w="2582" w:type="dxa"/>
          </w:tcPr>
          <w:p>
            <w:pPr>
              <w:pStyle w:val="TableParagraph"/>
              <w:rPr>
                <w:rFonts w:ascii="Times New Roman"/>
                <w:sz w:val="16"/>
              </w:rPr>
            </w:pPr>
          </w:p>
        </w:tc>
        <w:tc>
          <w:tcPr>
            <w:tcW w:w="973" w:type="dxa"/>
          </w:tcPr>
          <w:p>
            <w:pPr>
              <w:pStyle w:val="TableParagraph"/>
              <w:rPr>
                <w:rFonts w:ascii="Times New Roman"/>
                <w:sz w:val="16"/>
              </w:rPr>
            </w:pPr>
          </w:p>
        </w:tc>
      </w:tr>
      <w:tr>
        <w:trPr>
          <w:trHeight w:val="301" w:hRule="atLeast"/>
        </w:trPr>
        <w:tc>
          <w:tcPr>
            <w:tcW w:w="6532" w:type="dxa"/>
            <w:gridSpan w:val="3"/>
            <w:tcBorders>
              <w:bottom w:val="double" w:sz="6" w:space="0" w:color="000000"/>
            </w:tcBorders>
          </w:tcPr>
          <w:p>
            <w:pPr>
              <w:pStyle w:val="TableParagraph"/>
              <w:spacing w:before="6"/>
              <w:rPr>
                <w:sz w:val="18"/>
              </w:rPr>
            </w:pPr>
            <w:r>
              <w:rPr>
                <w:sz w:val="18"/>
              </w:rPr>
              <w:t>Newey-West</w:t>
            </w:r>
            <w:r>
              <w:rPr>
                <w:spacing w:val="-6"/>
                <w:sz w:val="18"/>
              </w:rPr>
              <w:t> </w:t>
            </w:r>
            <w:r>
              <w:rPr>
                <w:sz w:val="18"/>
              </w:rPr>
              <w:t>automatic</w:t>
            </w:r>
            <w:r>
              <w:rPr>
                <w:spacing w:val="-4"/>
                <w:sz w:val="18"/>
              </w:rPr>
              <w:t> </w:t>
            </w:r>
            <w:r>
              <w:rPr>
                <w:sz w:val="18"/>
              </w:rPr>
              <w:t>bandwidth</w:t>
            </w:r>
            <w:r>
              <w:rPr>
                <w:spacing w:val="-7"/>
                <w:sz w:val="18"/>
              </w:rPr>
              <w:t> </w:t>
            </w:r>
            <w:r>
              <w:rPr>
                <w:sz w:val="18"/>
              </w:rPr>
              <w:t>selection</w:t>
            </w:r>
            <w:r>
              <w:rPr>
                <w:spacing w:val="-7"/>
                <w:sz w:val="18"/>
              </w:rPr>
              <w:t> </w:t>
            </w:r>
            <w:r>
              <w:rPr>
                <w:sz w:val="18"/>
              </w:rPr>
              <w:t>and</w:t>
            </w:r>
            <w:r>
              <w:rPr>
                <w:spacing w:val="-5"/>
                <w:sz w:val="18"/>
              </w:rPr>
              <w:t> </w:t>
            </w:r>
            <w:r>
              <w:rPr>
                <w:sz w:val="18"/>
              </w:rPr>
              <w:t>Bartlett</w:t>
            </w:r>
            <w:r>
              <w:rPr>
                <w:spacing w:val="-6"/>
                <w:sz w:val="18"/>
              </w:rPr>
              <w:t> </w:t>
            </w:r>
            <w:r>
              <w:rPr>
                <w:spacing w:val="-2"/>
                <w:sz w:val="18"/>
              </w:rPr>
              <w:t>kernel</w:t>
            </w:r>
          </w:p>
        </w:tc>
      </w:tr>
      <w:tr>
        <w:trPr>
          <w:trHeight w:val="335" w:hRule="atLeast"/>
        </w:trPr>
        <w:tc>
          <w:tcPr>
            <w:tcW w:w="2977" w:type="dxa"/>
            <w:tcBorders>
              <w:top w:val="double" w:sz="6" w:space="0" w:color="000000"/>
            </w:tcBorders>
          </w:tcPr>
          <w:p>
            <w:pPr>
              <w:pStyle w:val="TableParagraph"/>
              <w:rPr>
                <w:rFonts w:ascii="Times New Roman"/>
                <w:sz w:val="18"/>
              </w:rPr>
            </w:pPr>
          </w:p>
        </w:tc>
        <w:tc>
          <w:tcPr>
            <w:tcW w:w="2582" w:type="dxa"/>
            <w:tcBorders>
              <w:top w:val="double" w:sz="6" w:space="0" w:color="000000"/>
            </w:tcBorders>
          </w:tcPr>
          <w:p>
            <w:pPr>
              <w:pStyle w:val="TableParagraph"/>
              <w:tabs>
                <w:tab w:pos="2841" w:val="left" w:leader="none"/>
              </w:tabs>
              <w:spacing w:line="206" w:lineRule="exact" w:before="108"/>
              <w:ind w:left="1348" w:right="-274"/>
              <w:rPr>
                <w:sz w:val="18"/>
              </w:rPr>
            </w:pPr>
            <w:r>
              <w:rPr>
                <w:spacing w:val="66"/>
                <w:sz w:val="18"/>
                <w:u w:val="single"/>
              </w:rPr>
              <w:t>  </w:t>
            </w:r>
            <w:r>
              <w:rPr>
                <w:sz w:val="18"/>
                <w:u w:val="single"/>
              </w:rPr>
              <w:t>t-</w:t>
            </w:r>
            <w:r>
              <w:rPr>
                <w:spacing w:val="-2"/>
                <w:sz w:val="18"/>
                <w:u w:val="single"/>
              </w:rPr>
              <w:t>Statistic</w:t>
            </w:r>
            <w:r>
              <w:rPr>
                <w:sz w:val="18"/>
                <w:u w:val="single"/>
              </w:rPr>
              <w:tab/>
            </w:r>
          </w:p>
        </w:tc>
        <w:tc>
          <w:tcPr>
            <w:tcW w:w="973" w:type="dxa"/>
            <w:tcBorders>
              <w:top w:val="double" w:sz="6" w:space="0" w:color="000000"/>
            </w:tcBorders>
          </w:tcPr>
          <w:p>
            <w:pPr>
              <w:pStyle w:val="TableParagraph"/>
              <w:tabs>
                <w:tab w:pos="972" w:val="left" w:leader="none"/>
              </w:tabs>
              <w:spacing w:line="206" w:lineRule="exact" w:before="108"/>
              <w:ind w:left="259"/>
              <w:rPr>
                <w:sz w:val="18"/>
              </w:rPr>
            </w:pPr>
            <w:r>
              <w:rPr>
                <w:spacing w:val="-2"/>
                <w:sz w:val="18"/>
                <w:u w:val="single"/>
              </w:rPr>
              <w:t>Prob.</w:t>
            </w:r>
            <w:r>
              <w:rPr>
                <w:sz w:val="18"/>
                <w:u w:val="single"/>
              </w:rPr>
              <w:tab/>
            </w:r>
          </w:p>
        </w:tc>
      </w:tr>
      <w:tr>
        <w:trPr>
          <w:trHeight w:val="311" w:hRule="atLeast"/>
        </w:trPr>
        <w:tc>
          <w:tcPr>
            <w:tcW w:w="2977" w:type="dxa"/>
            <w:tcBorders>
              <w:bottom w:val="double" w:sz="6" w:space="0" w:color="000000"/>
            </w:tcBorders>
          </w:tcPr>
          <w:p>
            <w:pPr>
              <w:pStyle w:val="TableParagraph"/>
              <w:spacing w:before="13"/>
              <w:ind w:left="827"/>
              <w:rPr>
                <w:sz w:val="18"/>
              </w:rPr>
            </w:pPr>
            <w:r>
              <w:rPr>
                <w:spacing w:val="-5"/>
                <w:sz w:val="18"/>
              </w:rPr>
              <w:t>ADF</w:t>
            </w:r>
          </w:p>
        </w:tc>
        <w:tc>
          <w:tcPr>
            <w:tcW w:w="2582" w:type="dxa"/>
            <w:tcBorders>
              <w:bottom w:val="double" w:sz="6" w:space="0" w:color="000000"/>
            </w:tcBorders>
          </w:tcPr>
          <w:p>
            <w:pPr>
              <w:pStyle w:val="TableParagraph"/>
              <w:spacing w:before="13"/>
              <w:ind w:left="1545"/>
              <w:rPr>
                <w:sz w:val="18"/>
              </w:rPr>
            </w:pPr>
            <w:r>
              <w:rPr>
                <w:spacing w:val="-2"/>
                <w:sz w:val="18"/>
              </w:rPr>
              <w:t>-4.122684</w:t>
            </w:r>
          </w:p>
        </w:tc>
        <w:tc>
          <w:tcPr>
            <w:tcW w:w="973" w:type="dxa"/>
            <w:tcBorders>
              <w:bottom w:val="double" w:sz="6" w:space="0" w:color="000000"/>
            </w:tcBorders>
          </w:tcPr>
          <w:p>
            <w:pPr>
              <w:pStyle w:val="TableParagraph"/>
              <w:spacing w:before="13"/>
              <w:ind w:left="223"/>
              <w:rPr>
                <w:sz w:val="18"/>
              </w:rPr>
            </w:pPr>
            <w:r>
              <w:rPr>
                <w:spacing w:val="-2"/>
                <w:sz w:val="18"/>
              </w:rPr>
              <w:t>0.0000</w:t>
            </w:r>
          </w:p>
        </w:tc>
      </w:tr>
      <w:tr>
        <w:trPr>
          <w:trHeight w:val="326" w:hRule="atLeast"/>
        </w:trPr>
        <w:tc>
          <w:tcPr>
            <w:tcW w:w="2977" w:type="dxa"/>
            <w:tcBorders>
              <w:top w:val="double" w:sz="6" w:space="0" w:color="000000"/>
            </w:tcBorders>
          </w:tcPr>
          <w:p>
            <w:pPr>
              <w:pStyle w:val="TableParagraph"/>
              <w:spacing w:line="198" w:lineRule="exact" w:before="108"/>
              <w:rPr>
                <w:sz w:val="18"/>
              </w:rPr>
            </w:pPr>
            <w:r>
              <w:rPr>
                <w:sz w:val="18"/>
              </w:rPr>
              <w:t>Residual</w:t>
            </w:r>
            <w:r>
              <w:rPr>
                <w:spacing w:val="-11"/>
                <w:sz w:val="18"/>
              </w:rPr>
              <w:t> </w:t>
            </w:r>
            <w:r>
              <w:rPr>
                <w:spacing w:val="-2"/>
                <w:sz w:val="18"/>
              </w:rPr>
              <w:t>variance</w:t>
            </w:r>
          </w:p>
        </w:tc>
        <w:tc>
          <w:tcPr>
            <w:tcW w:w="2582" w:type="dxa"/>
            <w:tcBorders>
              <w:top w:val="double" w:sz="6" w:space="0" w:color="000000"/>
            </w:tcBorders>
          </w:tcPr>
          <w:p>
            <w:pPr>
              <w:pStyle w:val="TableParagraph"/>
              <w:spacing w:line="198" w:lineRule="exact" w:before="108"/>
              <w:ind w:left="1600"/>
              <w:rPr>
                <w:sz w:val="18"/>
              </w:rPr>
            </w:pPr>
            <w:r>
              <w:rPr>
                <w:spacing w:val="-2"/>
                <w:sz w:val="18"/>
              </w:rPr>
              <w:t>0.394333</w:t>
            </w:r>
          </w:p>
        </w:tc>
        <w:tc>
          <w:tcPr>
            <w:tcW w:w="973" w:type="dxa"/>
            <w:tcBorders>
              <w:top w:val="double" w:sz="6" w:space="0" w:color="000000"/>
            </w:tcBorders>
          </w:tcPr>
          <w:p>
            <w:pPr>
              <w:pStyle w:val="TableParagraph"/>
              <w:rPr>
                <w:rFonts w:ascii="Times New Roman"/>
                <w:sz w:val="18"/>
              </w:rPr>
            </w:pPr>
          </w:p>
        </w:tc>
      </w:tr>
      <w:tr>
        <w:trPr>
          <w:trHeight w:val="302" w:hRule="atLeast"/>
        </w:trPr>
        <w:tc>
          <w:tcPr>
            <w:tcW w:w="2977" w:type="dxa"/>
            <w:tcBorders>
              <w:bottom w:val="double" w:sz="6" w:space="0" w:color="000000"/>
            </w:tcBorders>
          </w:tcPr>
          <w:p>
            <w:pPr>
              <w:pStyle w:val="TableParagraph"/>
              <w:spacing w:before="5"/>
              <w:rPr>
                <w:sz w:val="18"/>
              </w:rPr>
            </w:pPr>
            <w:r>
              <w:rPr>
                <w:sz w:val="18"/>
              </w:rPr>
              <w:t>HAC</w:t>
            </w:r>
            <w:r>
              <w:rPr>
                <w:spacing w:val="-5"/>
                <w:sz w:val="18"/>
              </w:rPr>
              <w:t> </w:t>
            </w:r>
            <w:r>
              <w:rPr>
                <w:spacing w:val="-2"/>
                <w:sz w:val="18"/>
              </w:rPr>
              <w:t>variance</w:t>
            </w:r>
          </w:p>
        </w:tc>
        <w:tc>
          <w:tcPr>
            <w:tcW w:w="2582" w:type="dxa"/>
            <w:tcBorders>
              <w:bottom w:val="double" w:sz="6" w:space="0" w:color="000000"/>
            </w:tcBorders>
          </w:tcPr>
          <w:p>
            <w:pPr>
              <w:pStyle w:val="TableParagraph"/>
              <w:spacing w:before="5"/>
              <w:ind w:left="1600"/>
              <w:rPr>
                <w:sz w:val="18"/>
              </w:rPr>
            </w:pPr>
            <w:r>
              <w:rPr>
                <w:spacing w:val="-2"/>
                <w:sz w:val="18"/>
              </w:rPr>
              <w:t>0.243300</w:t>
            </w:r>
          </w:p>
        </w:tc>
        <w:tc>
          <w:tcPr>
            <w:tcW w:w="973" w:type="dxa"/>
            <w:tcBorders>
              <w:bottom w:val="double" w:sz="6" w:space="0" w:color="000000"/>
            </w:tcBorders>
          </w:tcPr>
          <w:p>
            <w:pPr>
              <w:pStyle w:val="TableParagraph"/>
              <w:rPr>
                <w:rFonts w:ascii="Times New Roman"/>
                <w:sz w:val="18"/>
              </w:rPr>
            </w:pPr>
          </w:p>
        </w:tc>
      </w:tr>
    </w:tbl>
    <w:sectPr>
      <w:pgSz w:w="11910" w:h="16840"/>
      <w:pgMar w:header="0" w:footer="971" w:top="1400" w:bottom="1160" w:left="5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63232">
              <wp:simplePos x="0" y="0"/>
              <wp:positionH relativeFrom="page">
                <wp:posOffset>3662807</wp:posOffset>
              </wp:positionH>
              <wp:positionV relativeFrom="page">
                <wp:posOffset>9935971</wp:posOffset>
              </wp:positionV>
              <wp:extent cx="249554"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49554"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8.410004pt;margin-top:782.359985pt;width:19.650pt;height:13.05pt;mso-position-horizontal-relative:page;mso-position-vertical-relative:page;z-index:-25653248"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7663744">
              <wp:simplePos x="0" y="0"/>
              <wp:positionH relativeFrom="page">
                <wp:posOffset>3636898</wp:posOffset>
              </wp:positionH>
              <wp:positionV relativeFrom="page">
                <wp:posOffset>9935971</wp:posOffset>
              </wp:positionV>
              <wp:extent cx="301625" cy="1657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86.369995pt;margin-top:782.359985pt;width:23.75pt;height:13.05pt;mso-position-horizontal-relative:page;mso-position-vertical-relative:page;z-index:-25652736" type="#_x0000_t202" id="docshape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6"/>
      <w:numFmt w:val="decimal"/>
      <w:lvlText w:val="%1"/>
      <w:lvlJc w:val="left"/>
      <w:pPr>
        <w:ind w:left="1360" w:hanging="420"/>
        <w:jc w:val="left"/>
      </w:pPr>
      <w:rPr>
        <w:rFonts w:hint="default"/>
        <w:lang w:val="en-US" w:eastAsia="en-US" w:bidi="ar-SA"/>
      </w:rPr>
    </w:lvl>
    <w:lvl w:ilvl="1">
      <w:start w:val="3"/>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69" w:hanging="420"/>
      </w:pPr>
      <w:rPr>
        <w:rFonts w:hint="default"/>
        <w:lang w:val="en-US" w:eastAsia="en-US" w:bidi="ar-SA"/>
      </w:rPr>
    </w:lvl>
    <w:lvl w:ilvl="3">
      <w:start w:val="0"/>
      <w:numFmt w:val="bullet"/>
      <w:lvlText w:val="•"/>
      <w:lvlJc w:val="left"/>
      <w:pPr>
        <w:ind w:left="4373" w:hanging="420"/>
      </w:pPr>
      <w:rPr>
        <w:rFonts w:hint="default"/>
        <w:lang w:val="en-US" w:eastAsia="en-US" w:bidi="ar-SA"/>
      </w:rPr>
    </w:lvl>
    <w:lvl w:ilvl="4">
      <w:start w:val="0"/>
      <w:numFmt w:val="bullet"/>
      <w:lvlText w:val="•"/>
      <w:lvlJc w:val="left"/>
      <w:pPr>
        <w:ind w:left="5378" w:hanging="420"/>
      </w:pPr>
      <w:rPr>
        <w:rFonts w:hint="default"/>
        <w:lang w:val="en-US" w:eastAsia="en-US" w:bidi="ar-SA"/>
      </w:rPr>
    </w:lvl>
    <w:lvl w:ilvl="5">
      <w:start w:val="0"/>
      <w:numFmt w:val="bullet"/>
      <w:lvlText w:val="•"/>
      <w:lvlJc w:val="left"/>
      <w:pPr>
        <w:ind w:left="6383" w:hanging="420"/>
      </w:pPr>
      <w:rPr>
        <w:rFonts w:hint="default"/>
        <w:lang w:val="en-US" w:eastAsia="en-US" w:bidi="ar-SA"/>
      </w:rPr>
    </w:lvl>
    <w:lvl w:ilvl="6">
      <w:start w:val="0"/>
      <w:numFmt w:val="bullet"/>
      <w:lvlText w:val="•"/>
      <w:lvlJc w:val="left"/>
      <w:pPr>
        <w:ind w:left="7387" w:hanging="420"/>
      </w:pPr>
      <w:rPr>
        <w:rFonts w:hint="default"/>
        <w:lang w:val="en-US" w:eastAsia="en-US" w:bidi="ar-SA"/>
      </w:rPr>
    </w:lvl>
    <w:lvl w:ilvl="7">
      <w:start w:val="0"/>
      <w:numFmt w:val="bullet"/>
      <w:lvlText w:val="•"/>
      <w:lvlJc w:val="left"/>
      <w:pPr>
        <w:ind w:left="8392" w:hanging="420"/>
      </w:pPr>
      <w:rPr>
        <w:rFonts w:hint="default"/>
        <w:lang w:val="en-US" w:eastAsia="en-US" w:bidi="ar-SA"/>
      </w:rPr>
    </w:lvl>
    <w:lvl w:ilvl="8">
      <w:start w:val="0"/>
      <w:numFmt w:val="bullet"/>
      <w:lvlText w:val="•"/>
      <w:lvlJc w:val="left"/>
      <w:pPr>
        <w:ind w:left="9397" w:hanging="420"/>
      </w:pPr>
      <w:rPr>
        <w:rFonts w:hint="default"/>
        <w:lang w:val="en-US" w:eastAsia="en-US" w:bidi="ar-SA"/>
      </w:rPr>
    </w:lvl>
  </w:abstractNum>
  <w:abstractNum w:abstractNumId="34">
    <w:multiLevelType w:val="hybridMultilevel"/>
    <w:lvl w:ilvl="0">
      <w:start w:val="6"/>
      <w:numFmt w:val="decimal"/>
      <w:lvlText w:val="%1"/>
      <w:lvlJc w:val="left"/>
      <w:pPr>
        <w:ind w:left="1300" w:hanging="360"/>
        <w:jc w:val="left"/>
      </w:pPr>
      <w:rPr>
        <w:rFonts w:hint="default"/>
        <w:lang w:val="en-US" w:eastAsia="en-US" w:bidi="ar-SA"/>
      </w:rPr>
    </w:lvl>
    <w:lvl w:ilvl="1">
      <w:start w:val="2"/>
      <w:numFmt w:val="decimal"/>
      <w:lvlText w:val="%1.%2"/>
      <w:lvlJc w:val="left"/>
      <w:pPr>
        <w:ind w:left="13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21" w:hanging="360"/>
      </w:pPr>
      <w:rPr>
        <w:rFonts w:hint="default"/>
        <w:lang w:val="en-US" w:eastAsia="en-US" w:bidi="ar-SA"/>
      </w:rPr>
    </w:lvl>
    <w:lvl w:ilvl="3">
      <w:start w:val="0"/>
      <w:numFmt w:val="bullet"/>
      <w:lvlText w:val="•"/>
      <w:lvlJc w:val="left"/>
      <w:pPr>
        <w:ind w:left="4331" w:hanging="360"/>
      </w:pPr>
      <w:rPr>
        <w:rFonts w:hint="default"/>
        <w:lang w:val="en-US" w:eastAsia="en-US" w:bidi="ar-SA"/>
      </w:rPr>
    </w:lvl>
    <w:lvl w:ilvl="4">
      <w:start w:val="0"/>
      <w:numFmt w:val="bullet"/>
      <w:lvlText w:val="•"/>
      <w:lvlJc w:val="left"/>
      <w:pPr>
        <w:ind w:left="5342"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363" w:hanging="360"/>
      </w:pPr>
      <w:rPr>
        <w:rFonts w:hint="default"/>
        <w:lang w:val="en-US" w:eastAsia="en-US" w:bidi="ar-SA"/>
      </w:rPr>
    </w:lvl>
    <w:lvl w:ilvl="7">
      <w:start w:val="0"/>
      <w:numFmt w:val="bullet"/>
      <w:lvlText w:val="•"/>
      <w:lvlJc w:val="left"/>
      <w:pPr>
        <w:ind w:left="8374" w:hanging="360"/>
      </w:pPr>
      <w:rPr>
        <w:rFonts w:hint="default"/>
        <w:lang w:val="en-US" w:eastAsia="en-US" w:bidi="ar-SA"/>
      </w:rPr>
    </w:lvl>
    <w:lvl w:ilvl="8">
      <w:start w:val="0"/>
      <w:numFmt w:val="bullet"/>
      <w:lvlText w:val="•"/>
      <w:lvlJc w:val="left"/>
      <w:pPr>
        <w:ind w:left="9385" w:hanging="360"/>
      </w:pPr>
      <w:rPr>
        <w:rFonts w:hint="default"/>
        <w:lang w:val="en-US" w:eastAsia="en-US" w:bidi="ar-SA"/>
      </w:rPr>
    </w:lvl>
  </w:abstractNum>
  <w:abstractNum w:abstractNumId="33">
    <w:multiLevelType w:val="hybridMultilevel"/>
    <w:lvl w:ilvl="0">
      <w:start w:val="1"/>
      <w:numFmt w:val="decimal"/>
      <w:lvlText w:val="%1."/>
      <w:lvlJc w:val="left"/>
      <w:pPr>
        <w:ind w:left="940" w:hanging="274"/>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86" w:hanging="274"/>
      </w:pPr>
      <w:rPr>
        <w:rFonts w:hint="default"/>
        <w:lang w:val="en-US" w:eastAsia="en-US" w:bidi="ar-SA"/>
      </w:rPr>
    </w:lvl>
    <w:lvl w:ilvl="2">
      <w:start w:val="0"/>
      <w:numFmt w:val="bullet"/>
      <w:lvlText w:val="•"/>
      <w:lvlJc w:val="left"/>
      <w:pPr>
        <w:ind w:left="3033" w:hanging="274"/>
      </w:pPr>
      <w:rPr>
        <w:rFonts w:hint="default"/>
        <w:lang w:val="en-US" w:eastAsia="en-US" w:bidi="ar-SA"/>
      </w:rPr>
    </w:lvl>
    <w:lvl w:ilvl="3">
      <w:start w:val="0"/>
      <w:numFmt w:val="bullet"/>
      <w:lvlText w:val="•"/>
      <w:lvlJc w:val="left"/>
      <w:pPr>
        <w:ind w:left="4079" w:hanging="274"/>
      </w:pPr>
      <w:rPr>
        <w:rFonts w:hint="default"/>
        <w:lang w:val="en-US" w:eastAsia="en-US" w:bidi="ar-SA"/>
      </w:rPr>
    </w:lvl>
    <w:lvl w:ilvl="4">
      <w:start w:val="0"/>
      <w:numFmt w:val="bullet"/>
      <w:lvlText w:val="•"/>
      <w:lvlJc w:val="left"/>
      <w:pPr>
        <w:ind w:left="5126" w:hanging="274"/>
      </w:pPr>
      <w:rPr>
        <w:rFonts w:hint="default"/>
        <w:lang w:val="en-US" w:eastAsia="en-US" w:bidi="ar-SA"/>
      </w:rPr>
    </w:lvl>
    <w:lvl w:ilvl="5">
      <w:start w:val="0"/>
      <w:numFmt w:val="bullet"/>
      <w:lvlText w:val="•"/>
      <w:lvlJc w:val="left"/>
      <w:pPr>
        <w:ind w:left="6173" w:hanging="274"/>
      </w:pPr>
      <w:rPr>
        <w:rFonts w:hint="default"/>
        <w:lang w:val="en-US" w:eastAsia="en-US" w:bidi="ar-SA"/>
      </w:rPr>
    </w:lvl>
    <w:lvl w:ilvl="6">
      <w:start w:val="0"/>
      <w:numFmt w:val="bullet"/>
      <w:lvlText w:val="•"/>
      <w:lvlJc w:val="left"/>
      <w:pPr>
        <w:ind w:left="7219" w:hanging="274"/>
      </w:pPr>
      <w:rPr>
        <w:rFonts w:hint="default"/>
        <w:lang w:val="en-US" w:eastAsia="en-US" w:bidi="ar-SA"/>
      </w:rPr>
    </w:lvl>
    <w:lvl w:ilvl="7">
      <w:start w:val="0"/>
      <w:numFmt w:val="bullet"/>
      <w:lvlText w:val="•"/>
      <w:lvlJc w:val="left"/>
      <w:pPr>
        <w:ind w:left="8266" w:hanging="274"/>
      </w:pPr>
      <w:rPr>
        <w:rFonts w:hint="default"/>
        <w:lang w:val="en-US" w:eastAsia="en-US" w:bidi="ar-SA"/>
      </w:rPr>
    </w:lvl>
    <w:lvl w:ilvl="8">
      <w:start w:val="0"/>
      <w:numFmt w:val="bullet"/>
      <w:lvlText w:val="•"/>
      <w:lvlJc w:val="left"/>
      <w:pPr>
        <w:ind w:left="9313" w:hanging="274"/>
      </w:pPr>
      <w:rPr>
        <w:rFonts w:hint="default"/>
        <w:lang w:val="en-US" w:eastAsia="en-US" w:bidi="ar-SA"/>
      </w:rPr>
    </w:lvl>
  </w:abstractNum>
  <w:abstractNum w:abstractNumId="32">
    <w:multiLevelType w:val="hybridMultilevel"/>
    <w:lvl w:ilvl="0">
      <w:start w:val="6"/>
      <w:numFmt w:val="decimal"/>
      <w:lvlText w:val="%1"/>
      <w:lvlJc w:val="left"/>
      <w:pPr>
        <w:ind w:left="1360" w:hanging="420"/>
        <w:jc w:val="left"/>
      </w:pPr>
      <w:rPr>
        <w:rFonts w:hint="default"/>
        <w:lang w:val="en-US" w:eastAsia="en-US" w:bidi="ar-SA"/>
      </w:rPr>
    </w:lvl>
    <w:lvl w:ilvl="1">
      <w:start w:val="1"/>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69" w:hanging="420"/>
      </w:pPr>
      <w:rPr>
        <w:rFonts w:hint="default"/>
        <w:lang w:val="en-US" w:eastAsia="en-US" w:bidi="ar-SA"/>
      </w:rPr>
    </w:lvl>
    <w:lvl w:ilvl="3">
      <w:start w:val="0"/>
      <w:numFmt w:val="bullet"/>
      <w:lvlText w:val="•"/>
      <w:lvlJc w:val="left"/>
      <w:pPr>
        <w:ind w:left="4373" w:hanging="420"/>
      </w:pPr>
      <w:rPr>
        <w:rFonts w:hint="default"/>
        <w:lang w:val="en-US" w:eastAsia="en-US" w:bidi="ar-SA"/>
      </w:rPr>
    </w:lvl>
    <w:lvl w:ilvl="4">
      <w:start w:val="0"/>
      <w:numFmt w:val="bullet"/>
      <w:lvlText w:val="•"/>
      <w:lvlJc w:val="left"/>
      <w:pPr>
        <w:ind w:left="5378" w:hanging="420"/>
      </w:pPr>
      <w:rPr>
        <w:rFonts w:hint="default"/>
        <w:lang w:val="en-US" w:eastAsia="en-US" w:bidi="ar-SA"/>
      </w:rPr>
    </w:lvl>
    <w:lvl w:ilvl="5">
      <w:start w:val="0"/>
      <w:numFmt w:val="bullet"/>
      <w:lvlText w:val="•"/>
      <w:lvlJc w:val="left"/>
      <w:pPr>
        <w:ind w:left="6383" w:hanging="420"/>
      </w:pPr>
      <w:rPr>
        <w:rFonts w:hint="default"/>
        <w:lang w:val="en-US" w:eastAsia="en-US" w:bidi="ar-SA"/>
      </w:rPr>
    </w:lvl>
    <w:lvl w:ilvl="6">
      <w:start w:val="0"/>
      <w:numFmt w:val="bullet"/>
      <w:lvlText w:val="•"/>
      <w:lvlJc w:val="left"/>
      <w:pPr>
        <w:ind w:left="7387" w:hanging="420"/>
      </w:pPr>
      <w:rPr>
        <w:rFonts w:hint="default"/>
        <w:lang w:val="en-US" w:eastAsia="en-US" w:bidi="ar-SA"/>
      </w:rPr>
    </w:lvl>
    <w:lvl w:ilvl="7">
      <w:start w:val="0"/>
      <w:numFmt w:val="bullet"/>
      <w:lvlText w:val="•"/>
      <w:lvlJc w:val="left"/>
      <w:pPr>
        <w:ind w:left="8392" w:hanging="420"/>
      </w:pPr>
      <w:rPr>
        <w:rFonts w:hint="default"/>
        <w:lang w:val="en-US" w:eastAsia="en-US" w:bidi="ar-SA"/>
      </w:rPr>
    </w:lvl>
    <w:lvl w:ilvl="8">
      <w:start w:val="0"/>
      <w:numFmt w:val="bullet"/>
      <w:lvlText w:val="•"/>
      <w:lvlJc w:val="left"/>
      <w:pPr>
        <w:ind w:left="9397" w:hanging="420"/>
      </w:pPr>
      <w:rPr>
        <w:rFonts w:hint="default"/>
        <w:lang w:val="en-US" w:eastAsia="en-US" w:bidi="ar-SA"/>
      </w:rPr>
    </w:lvl>
  </w:abstractNum>
  <w:abstractNum w:abstractNumId="31">
    <w:multiLevelType w:val="hybridMultilevel"/>
    <w:lvl w:ilvl="0">
      <w:start w:val="5"/>
      <w:numFmt w:val="decimal"/>
      <w:lvlText w:val="%1"/>
      <w:lvlJc w:val="left"/>
      <w:pPr>
        <w:ind w:left="1480" w:hanging="540"/>
        <w:jc w:val="left"/>
      </w:pPr>
      <w:rPr>
        <w:rFonts w:hint="default"/>
        <w:lang w:val="en-US" w:eastAsia="en-US" w:bidi="ar-SA"/>
      </w:rPr>
    </w:lvl>
    <w:lvl w:ilvl="1">
      <w:start w:val="2"/>
      <w:numFmt w:val="decimal"/>
      <w:lvlText w:val="%1.%2"/>
      <w:lvlJc w:val="left"/>
      <w:pPr>
        <w:ind w:left="1480" w:hanging="540"/>
        <w:jc w:val="left"/>
      </w:pPr>
      <w:rPr>
        <w:rFonts w:hint="default"/>
        <w:lang w:val="en-US" w:eastAsia="en-US" w:bidi="ar-SA"/>
      </w:rPr>
    </w:lvl>
    <w:lvl w:ilvl="2">
      <w:start w:val="6"/>
      <w:numFmt w:val="decimal"/>
      <w:lvlText w:val="%1.%2.%3"/>
      <w:lvlJc w:val="left"/>
      <w:pPr>
        <w:ind w:left="14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457" w:hanging="540"/>
      </w:pPr>
      <w:rPr>
        <w:rFonts w:hint="default"/>
        <w:lang w:val="en-US" w:eastAsia="en-US" w:bidi="ar-SA"/>
      </w:rPr>
    </w:lvl>
    <w:lvl w:ilvl="4">
      <w:start w:val="0"/>
      <w:numFmt w:val="bullet"/>
      <w:lvlText w:val="•"/>
      <w:lvlJc w:val="left"/>
      <w:pPr>
        <w:ind w:left="5450" w:hanging="540"/>
      </w:pPr>
      <w:rPr>
        <w:rFonts w:hint="default"/>
        <w:lang w:val="en-US" w:eastAsia="en-US" w:bidi="ar-SA"/>
      </w:rPr>
    </w:lvl>
    <w:lvl w:ilvl="5">
      <w:start w:val="0"/>
      <w:numFmt w:val="bullet"/>
      <w:lvlText w:val="•"/>
      <w:lvlJc w:val="left"/>
      <w:pPr>
        <w:ind w:left="6443" w:hanging="540"/>
      </w:pPr>
      <w:rPr>
        <w:rFonts w:hint="default"/>
        <w:lang w:val="en-US" w:eastAsia="en-US" w:bidi="ar-SA"/>
      </w:rPr>
    </w:lvl>
    <w:lvl w:ilvl="6">
      <w:start w:val="0"/>
      <w:numFmt w:val="bullet"/>
      <w:lvlText w:val="•"/>
      <w:lvlJc w:val="left"/>
      <w:pPr>
        <w:ind w:left="7435" w:hanging="540"/>
      </w:pPr>
      <w:rPr>
        <w:rFonts w:hint="default"/>
        <w:lang w:val="en-US" w:eastAsia="en-US" w:bidi="ar-SA"/>
      </w:rPr>
    </w:lvl>
    <w:lvl w:ilvl="7">
      <w:start w:val="0"/>
      <w:numFmt w:val="bullet"/>
      <w:lvlText w:val="•"/>
      <w:lvlJc w:val="left"/>
      <w:pPr>
        <w:ind w:left="8428" w:hanging="540"/>
      </w:pPr>
      <w:rPr>
        <w:rFonts w:hint="default"/>
        <w:lang w:val="en-US" w:eastAsia="en-US" w:bidi="ar-SA"/>
      </w:rPr>
    </w:lvl>
    <w:lvl w:ilvl="8">
      <w:start w:val="0"/>
      <w:numFmt w:val="bullet"/>
      <w:lvlText w:val="•"/>
      <w:lvlJc w:val="left"/>
      <w:pPr>
        <w:ind w:left="9421" w:hanging="540"/>
      </w:pPr>
      <w:rPr>
        <w:rFonts w:hint="default"/>
        <w:lang w:val="en-US" w:eastAsia="en-US" w:bidi="ar-SA"/>
      </w:rPr>
    </w:lvl>
  </w:abstractNum>
  <w:abstractNum w:abstractNumId="30">
    <w:multiLevelType w:val="hybridMultilevel"/>
    <w:lvl w:ilvl="0">
      <w:start w:val="5"/>
      <w:numFmt w:val="decimal"/>
      <w:lvlText w:val="%1"/>
      <w:lvlJc w:val="left"/>
      <w:pPr>
        <w:ind w:left="1480" w:hanging="540"/>
        <w:jc w:val="left"/>
      </w:pPr>
      <w:rPr>
        <w:rFonts w:hint="default"/>
        <w:lang w:val="en-US" w:eastAsia="en-US" w:bidi="ar-SA"/>
      </w:rPr>
    </w:lvl>
    <w:lvl w:ilvl="1">
      <w:start w:val="2"/>
      <w:numFmt w:val="decimal"/>
      <w:lvlText w:val="%1.%2"/>
      <w:lvlJc w:val="left"/>
      <w:pPr>
        <w:ind w:left="1480" w:hanging="540"/>
        <w:jc w:val="left"/>
      </w:pPr>
      <w:rPr>
        <w:rFonts w:hint="default"/>
        <w:lang w:val="en-US" w:eastAsia="en-US" w:bidi="ar-SA"/>
      </w:rPr>
    </w:lvl>
    <w:lvl w:ilvl="2">
      <w:start w:val="3"/>
      <w:numFmt w:val="decimal"/>
      <w:lvlText w:val="%1.%2.%3"/>
      <w:lvlJc w:val="left"/>
      <w:pPr>
        <w:ind w:left="14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457" w:hanging="540"/>
      </w:pPr>
      <w:rPr>
        <w:rFonts w:hint="default"/>
        <w:lang w:val="en-US" w:eastAsia="en-US" w:bidi="ar-SA"/>
      </w:rPr>
    </w:lvl>
    <w:lvl w:ilvl="4">
      <w:start w:val="0"/>
      <w:numFmt w:val="bullet"/>
      <w:lvlText w:val="•"/>
      <w:lvlJc w:val="left"/>
      <w:pPr>
        <w:ind w:left="5450" w:hanging="540"/>
      </w:pPr>
      <w:rPr>
        <w:rFonts w:hint="default"/>
        <w:lang w:val="en-US" w:eastAsia="en-US" w:bidi="ar-SA"/>
      </w:rPr>
    </w:lvl>
    <w:lvl w:ilvl="5">
      <w:start w:val="0"/>
      <w:numFmt w:val="bullet"/>
      <w:lvlText w:val="•"/>
      <w:lvlJc w:val="left"/>
      <w:pPr>
        <w:ind w:left="6443" w:hanging="540"/>
      </w:pPr>
      <w:rPr>
        <w:rFonts w:hint="default"/>
        <w:lang w:val="en-US" w:eastAsia="en-US" w:bidi="ar-SA"/>
      </w:rPr>
    </w:lvl>
    <w:lvl w:ilvl="6">
      <w:start w:val="0"/>
      <w:numFmt w:val="bullet"/>
      <w:lvlText w:val="•"/>
      <w:lvlJc w:val="left"/>
      <w:pPr>
        <w:ind w:left="7435" w:hanging="540"/>
      </w:pPr>
      <w:rPr>
        <w:rFonts w:hint="default"/>
        <w:lang w:val="en-US" w:eastAsia="en-US" w:bidi="ar-SA"/>
      </w:rPr>
    </w:lvl>
    <w:lvl w:ilvl="7">
      <w:start w:val="0"/>
      <w:numFmt w:val="bullet"/>
      <w:lvlText w:val="•"/>
      <w:lvlJc w:val="left"/>
      <w:pPr>
        <w:ind w:left="8428" w:hanging="540"/>
      </w:pPr>
      <w:rPr>
        <w:rFonts w:hint="default"/>
        <w:lang w:val="en-US" w:eastAsia="en-US" w:bidi="ar-SA"/>
      </w:rPr>
    </w:lvl>
    <w:lvl w:ilvl="8">
      <w:start w:val="0"/>
      <w:numFmt w:val="bullet"/>
      <w:lvlText w:val="•"/>
      <w:lvlJc w:val="left"/>
      <w:pPr>
        <w:ind w:left="9421" w:hanging="540"/>
      </w:pPr>
      <w:rPr>
        <w:rFonts w:hint="default"/>
        <w:lang w:val="en-US" w:eastAsia="en-US" w:bidi="ar-SA"/>
      </w:rPr>
    </w:lvl>
  </w:abstractNum>
  <w:abstractNum w:abstractNumId="29">
    <w:multiLevelType w:val="hybridMultilevel"/>
    <w:lvl w:ilvl="0">
      <w:start w:val="5"/>
      <w:numFmt w:val="decimal"/>
      <w:lvlText w:val="%1"/>
      <w:lvlJc w:val="left"/>
      <w:pPr>
        <w:ind w:left="1360" w:hanging="420"/>
        <w:jc w:val="left"/>
      </w:pPr>
      <w:rPr>
        <w:rFonts w:hint="default"/>
        <w:lang w:val="en-US" w:eastAsia="en-US" w:bidi="ar-SA"/>
      </w:rPr>
    </w:lvl>
    <w:lvl w:ilvl="1">
      <w:start w:val="1"/>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32" w:hanging="600"/>
      </w:pPr>
      <w:rPr>
        <w:rFonts w:hint="default"/>
        <w:lang w:val="en-US" w:eastAsia="en-US" w:bidi="ar-SA"/>
      </w:rPr>
    </w:lvl>
    <w:lvl w:ilvl="4">
      <w:start w:val="0"/>
      <w:numFmt w:val="bullet"/>
      <w:lvlText w:val="•"/>
      <w:lvlJc w:val="left"/>
      <w:pPr>
        <w:ind w:left="4828" w:hanging="600"/>
      </w:pPr>
      <w:rPr>
        <w:rFonts w:hint="default"/>
        <w:lang w:val="en-US" w:eastAsia="en-US" w:bidi="ar-SA"/>
      </w:rPr>
    </w:lvl>
    <w:lvl w:ilvl="5">
      <w:start w:val="0"/>
      <w:numFmt w:val="bullet"/>
      <w:lvlText w:val="•"/>
      <w:lvlJc w:val="left"/>
      <w:pPr>
        <w:ind w:left="5925" w:hanging="600"/>
      </w:pPr>
      <w:rPr>
        <w:rFonts w:hint="default"/>
        <w:lang w:val="en-US" w:eastAsia="en-US" w:bidi="ar-SA"/>
      </w:rPr>
    </w:lvl>
    <w:lvl w:ilvl="6">
      <w:start w:val="0"/>
      <w:numFmt w:val="bullet"/>
      <w:lvlText w:val="•"/>
      <w:lvlJc w:val="left"/>
      <w:pPr>
        <w:ind w:left="7021" w:hanging="600"/>
      </w:pPr>
      <w:rPr>
        <w:rFonts w:hint="default"/>
        <w:lang w:val="en-US" w:eastAsia="en-US" w:bidi="ar-SA"/>
      </w:rPr>
    </w:lvl>
    <w:lvl w:ilvl="7">
      <w:start w:val="0"/>
      <w:numFmt w:val="bullet"/>
      <w:lvlText w:val="•"/>
      <w:lvlJc w:val="left"/>
      <w:pPr>
        <w:ind w:left="8117" w:hanging="600"/>
      </w:pPr>
      <w:rPr>
        <w:rFonts w:hint="default"/>
        <w:lang w:val="en-US" w:eastAsia="en-US" w:bidi="ar-SA"/>
      </w:rPr>
    </w:lvl>
    <w:lvl w:ilvl="8">
      <w:start w:val="0"/>
      <w:numFmt w:val="bullet"/>
      <w:lvlText w:val="•"/>
      <w:lvlJc w:val="left"/>
      <w:pPr>
        <w:ind w:left="9213" w:hanging="600"/>
      </w:pPr>
      <w:rPr>
        <w:rFonts w:hint="default"/>
        <w:lang w:val="en-US" w:eastAsia="en-US" w:bidi="ar-SA"/>
      </w:rPr>
    </w:lvl>
  </w:abstractNum>
  <w:abstractNum w:abstractNumId="28">
    <w:multiLevelType w:val="hybridMultilevel"/>
    <w:lvl w:ilvl="0">
      <w:start w:val="4"/>
      <w:numFmt w:val="decimal"/>
      <w:lvlText w:val="%1"/>
      <w:lvlJc w:val="left"/>
      <w:pPr>
        <w:ind w:left="1360" w:hanging="420"/>
        <w:jc w:val="left"/>
      </w:pPr>
      <w:rPr>
        <w:rFonts w:hint="default"/>
        <w:lang w:val="en-US" w:eastAsia="en-US" w:bidi="ar-SA"/>
      </w:rPr>
    </w:lvl>
    <w:lvl w:ilvl="1">
      <w:start w:val="1"/>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21" w:hanging="48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1697" w:hanging="481"/>
      </w:pPr>
      <w:rPr>
        <w:rFonts w:hint="default"/>
        <w:lang w:val="en-US" w:eastAsia="en-US" w:bidi="ar-SA"/>
      </w:rPr>
    </w:lvl>
    <w:lvl w:ilvl="4">
      <w:start w:val="0"/>
      <w:numFmt w:val="bullet"/>
      <w:lvlText w:val="•"/>
      <w:lvlJc w:val="left"/>
      <w:pPr>
        <w:ind w:left="1835" w:hanging="481"/>
      </w:pPr>
      <w:rPr>
        <w:rFonts w:hint="default"/>
        <w:lang w:val="en-US" w:eastAsia="en-US" w:bidi="ar-SA"/>
      </w:rPr>
    </w:lvl>
    <w:lvl w:ilvl="5">
      <w:start w:val="0"/>
      <w:numFmt w:val="bullet"/>
      <w:lvlText w:val="•"/>
      <w:lvlJc w:val="left"/>
      <w:pPr>
        <w:ind w:left="1974" w:hanging="481"/>
      </w:pPr>
      <w:rPr>
        <w:rFonts w:hint="default"/>
        <w:lang w:val="en-US" w:eastAsia="en-US" w:bidi="ar-SA"/>
      </w:rPr>
    </w:lvl>
    <w:lvl w:ilvl="6">
      <w:start w:val="0"/>
      <w:numFmt w:val="bullet"/>
      <w:lvlText w:val="•"/>
      <w:lvlJc w:val="left"/>
      <w:pPr>
        <w:ind w:left="2112" w:hanging="481"/>
      </w:pPr>
      <w:rPr>
        <w:rFonts w:hint="default"/>
        <w:lang w:val="en-US" w:eastAsia="en-US" w:bidi="ar-SA"/>
      </w:rPr>
    </w:lvl>
    <w:lvl w:ilvl="7">
      <w:start w:val="0"/>
      <w:numFmt w:val="bullet"/>
      <w:lvlText w:val="•"/>
      <w:lvlJc w:val="left"/>
      <w:pPr>
        <w:ind w:left="2251" w:hanging="481"/>
      </w:pPr>
      <w:rPr>
        <w:rFonts w:hint="default"/>
        <w:lang w:val="en-US" w:eastAsia="en-US" w:bidi="ar-SA"/>
      </w:rPr>
    </w:lvl>
    <w:lvl w:ilvl="8">
      <w:start w:val="0"/>
      <w:numFmt w:val="bullet"/>
      <w:lvlText w:val="•"/>
      <w:lvlJc w:val="left"/>
      <w:pPr>
        <w:ind w:left="2389" w:hanging="481"/>
      </w:pPr>
      <w:rPr>
        <w:rFonts w:hint="default"/>
        <w:lang w:val="en-US" w:eastAsia="en-US" w:bidi="ar-SA"/>
      </w:rPr>
    </w:lvl>
  </w:abstractNum>
  <w:abstractNum w:abstractNumId="27">
    <w:multiLevelType w:val="hybridMultilevel"/>
    <w:lvl w:ilvl="0">
      <w:start w:val="3"/>
      <w:numFmt w:val="decimal"/>
      <w:lvlText w:val="%1"/>
      <w:lvlJc w:val="left"/>
      <w:pPr>
        <w:ind w:left="1540" w:hanging="600"/>
        <w:jc w:val="left"/>
      </w:pPr>
      <w:rPr>
        <w:rFonts w:hint="default"/>
        <w:lang w:val="en-US" w:eastAsia="en-US" w:bidi="ar-SA"/>
      </w:rPr>
    </w:lvl>
    <w:lvl w:ilvl="1">
      <w:start w:val="7"/>
      <w:numFmt w:val="decimal"/>
      <w:lvlText w:val="%1.%2"/>
      <w:lvlJc w:val="left"/>
      <w:pPr>
        <w:ind w:left="1540" w:hanging="600"/>
        <w:jc w:val="left"/>
      </w:pPr>
      <w:rPr>
        <w:rFonts w:hint="default"/>
        <w:lang w:val="en-US" w:eastAsia="en-US" w:bidi="ar-SA"/>
      </w:rPr>
    </w:lvl>
    <w:lvl w:ilvl="2">
      <w:start w:val="5"/>
      <w:numFmt w:val="decimal"/>
      <w:lvlText w:val="%1.%2.%3."/>
      <w:lvlJc w:val="left"/>
      <w:pPr>
        <w:ind w:left="15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499" w:hanging="600"/>
      </w:pPr>
      <w:rPr>
        <w:rFonts w:hint="default"/>
        <w:lang w:val="en-US" w:eastAsia="en-US" w:bidi="ar-SA"/>
      </w:rPr>
    </w:lvl>
    <w:lvl w:ilvl="4">
      <w:start w:val="0"/>
      <w:numFmt w:val="bullet"/>
      <w:lvlText w:val="•"/>
      <w:lvlJc w:val="left"/>
      <w:pPr>
        <w:ind w:left="5486" w:hanging="600"/>
      </w:pPr>
      <w:rPr>
        <w:rFonts w:hint="default"/>
        <w:lang w:val="en-US" w:eastAsia="en-US" w:bidi="ar-SA"/>
      </w:rPr>
    </w:lvl>
    <w:lvl w:ilvl="5">
      <w:start w:val="0"/>
      <w:numFmt w:val="bullet"/>
      <w:lvlText w:val="•"/>
      <w:lvlJc w:val="left"/>
      <w:pPr>
        <w:ind w:left="6473" w:hanging="600"/>
      </w:pPr>
      <w:rPr>
        <w:rFonts w:hint="default"/>
        <w:lang w:val="en-US" w:eastAsia="en-US" w:bidi="ar-SA"/>
      </w:rPr>
    </w:lvl>
    <w:lvl w:ilvl="6">
      <w:start w:val="0"/>
      <w:numFmt w:val="bullet"/>
      <w:lvlText w:val="•"/>
      <w:lvlJc w:val="left"/>
      <w:pPr>
        <w:ind w:left="7459" w:hanging="600"/>
      </w:pPr>
      <w:rPr>
        <w:rFonts w:hint="default"/>
        <w:lang w:val="en-US" w:eastAsia="en-US" w:bidi="ar-SA"/>
      </w:rPr>
    </w:lvl>
    <w:lvl w:ilvl="7">
      <w:start w:val="0"/>
      <w:numFmt w:val="bullet"/>
      <w:lvlText w:val="•"/>
      <w:lvlJc w:val="left"/>
      <w:pPr>
        <w:ind w:left="8446" w:hanging="600"/>
      </w:pPr>
      <w:rPr>
        <w:rFonts w:hint="default"/>
        <w:lang w:val="en-US" w:eastAsia="en-US" w:bidi="ar-SA"/>
      </w:rPr>
    </w:lvl>
    <w:lvl w:ilvl="8">
      <w:start w:val="0"/>
      <w:numFmt w:val="bullet"/>
      <w:lvlText w:val="•"/>
      <w:lvlJc w:val="left"/>
      <w:pPr>
        <w:ind w:left="9433" w:hanging="600"/>
      </w:pPr>
      <w:rPr>
        <w:rFonts w:hint="default"/>
        <w:lang w:val="en-US" w:eastAsia="en-US" w:bidi="ar-SA"/>
      </w:rPr>
    </w:lvl>
  </w:abstractNum>
  <w:abstractNum w:abstractNumId="26">
    <w:multiLevelType w:val="hybridMultilevel"/>
    <w:lvl w:ilvl="0">
      <w:start w:val="3"/>
      <w:numFmt w:val="decimal"/>
      <w:lvlText w:val="%1"/>
      <w:lvlJc w:val="left"/>
      <w:pPr>
        <w:ind w:left="1360" w:hanging="420"/>
        <w:jc w:val="left"/>
      </w:pPr>
      <w:rPr>
        <w:rFonts w:hint="default"/>
        <w:lang w:val="en-US" w:eastAsia="en-US" w:bidi="ar-SA"/>
      </w:rPr>
    </w:lvl>
    <w:lvl w:ilvl="1">
      <w:start w:val="7"/>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85" w:hanging="540"/>
      </w:pPr>
      <w:rPr>
        <w:rFonts w:hint="default"/>
        <w:lang w:val="en-US" w:eastAsia="en-US" w:bidi="ar-SA"/>
      </w:rPr>
    </w:lvl>
    <w:lvl w:ilvl="4">
      <w:start w:val="0"/>
      <w:numFmt w:val="bullet"/>
      <w:lvlText w:val="•"/>
      <w:lvlJc w:val="left"/>
      <w:pPr>
        <w:ind w:left="4788" w:hanging="540"/>
      </w:pPr>
      <w:rPr>
        <w:rFonts w:hint="default"/>
        <w:lang w:val="en-US" w:eastAsia="en-US" w:bidi="ar-SA"/>
      </w:rPr>
    </w:lvl>
    <w:lvl w:ilvl="5">
      <w:start w:val="0"/>
      <w:numFmt w:val="bullet"/>
      <w:lvlText w:val="•"/>
      <w:lvlJc w:val="left"/>
      <w:pPr>
        <w:ind w:left="5891" w:hanging="540"/>
      </w:pPr>
      <w:rPr>
        <w:rFonts w:hint="default"/>
        <w:lang w:val="en-US" w:eastAsia="en-US" w:bidi="ar-SA"/>
      </w:rPr>
    </w:lvl>
    <w:lvl w:ilvl="6">
      <w:start w:val="0"/>
      <w:numFmt w:val="bullet"/>
      <w:lvlText w:val="•"/>
      <w:lvlJc w:val="left"/>
      <w:pPr>
        <w:ind w:left="6994" w:hanging="540"/>
      </w:pPr>
      <w:rPr>
        <w:rFonts w:hint="default"/>
        <w:lang w:val="en-US" w:eastAsia="en-US" w:bidi="ar-SA"/>
      </w:rPr>
    </w:lvl>
    <w:lvl w:ilvl="7">
      <w:start w:val="0"/>
      <w:numFmt w:val="bullet"/>
      <w:lvlText w:val="•"/>
      <w:lvlJc w:val="left"/>
      <w:pPr>
        <w:ind w:left="8097" w:hanging="540"/>
      </w:pPr>
      <w:rPr>
        <w:rFonts w:hint="default"/>
        <w:lang w:val="en-US" w:eastAsia="en-US" w:bidi="ar-SA"/>
      </w:rPr>
    </w:lvl>
    <w:lvl w:ilvl="8">
      <w:start w:val="0"/>
      <w:numFmt w:val="bullet"/>
      <w:lvlText w:val="•"/>
      <w:lvlJc w:val="left"/>
      <w:pPr>
        <w:ind w:left="9200" w:hanging="540"/>
      </w:pPr>
      <w:rPr>
        <w:rFonts w:hint="default"/>
        <w:lang w:val="en-US" w:eastAsia="en-US" w:bidi="ar-SA"/>
      </w:rPr>
    </w:lvl>
  </w:abstractNum>
  <w:abstractNum w:abstractNumId="25">
    <w:multiLevelType w:val="hybridMultilevel"/>
    <w:lvl w:ilvl="0">
      <w:start w:val="3"/>
      <w:numFmt w:val="decimal"/>
      <w:lvlText w:val="%1"/>
      <w:lvlJc w:val="left"/>
      <w:pPr>
        <w:ind w:left="1360" w:hanging="420"/>
        <w:jc w:val="left"/>
      </w:pPr>
      <w:rPr>
        <w:rFonts w:hint="default"/>
        <w:lang w:val="en-US" w:eastAsia="en-US" w:bidi="ar-SA"/>
      </w:rPr>
    </w:lvl>
    <w:lvl w:ilvl="1">
      <w:start w:val="3"/>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54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732" w:hanging="600"/>
      </w:pPr>
      <w:rPr>
        <w:rFonts w:hint="default"/>
        <w:lang w:val="en-US" w:eastAsia="en-US" w:bidi="ar-SA"/>
      </w:rPr>
    </w:lvl>
    <w:lvl w:ilvl="4">
      <w:start w:val="0"/>
      <w:numFmt w:val="bullet"/>
      <w:lvlText w:val="•"/>
      <w:lvlJc w:val="left"/>
      <w:pPr>
        <w:ind w:left="4828" w:hanging="600"/>
      </w:pPr>
      <w:rPr>
        <w:rFonts w:hint="default"/>
        <w:lang w:val="en-US" w:eastAsia="en-US" w:bidi="ar-SA"/>
      </w:rPr>
    </w:lvl>
    <w:lvl w:ilvl="5">
      <w:start w:val="0"/>
      <w:numFmt w:val="bullet"/>
      <w:lvlText w:val="•"/>
      <w:lvlJc w:val="left"/>
      <w:pPr>
        <w:ind w:left="5925" w:hanging="600"/>
      </w:pPr>
      <w:rPr>
        <w:rFonts w:hint="default"/>
        <w:lang w:val="en-US" w:eastAsia="en-US" w:bidi="ar-SA"/>
      </w:rPr>
    </w:lvl>
    <w:lvl w:ilvl="6">
      <w:start w:val="0"/>
      <w:numFmt w:val="bullet"/>
      <w:lvlText w:val="•"/>
      <w:lvlJc w:val="left"/>
      <w:pPr>
        <w:ind w:left="7021" w:hanging="600"/>
      </w:pPr>
      <w:rPr>
        <w:rFonts w:hint="default"/>
        <w:lang w:val="en-US" w:eastAsia="en-US" w:bidi="ar-SA"/>
      </w:rPr>
    </w:lvl>
    <w:lvl w:ilvl="7">
      <w:start w:val="0"/>
      <w:numFmt w:val="bullet"/>
      <w:lvlText w:val="•"/>
      <w:lvlJc w:val="left"/>
      <w:pPr>
        <w:ind w:left="8117" w:hanging="600"/>
      </w:pPr>
      <w:rPr>
        <w:rFonts w:hint="default"/>
        <w:lang w:val="en-US" w:eastAsia="en-US" w:bidi="ar-SA"/>
      </w:rPr>
    </w:lvl>
    <w:lvl w:ilvl="8">
      <w:start w:val="0"/>
      <w:numFmt w:val="bullet"/>
      <w:lvlText w:val="•"/>
      <w:lvlJc w:val="left"/>
      <w:pPr>
        <w:ind w:left="9213" w:hanging="600"/>
      </w:pPr>
      <w:rPr>
        <w:rFonts w:hint="default"/>
        <w:lang w:val="en-US" w:eastAsia="en-US" w:bidi="ar-SA"/>
      </w:rPr>
    </w:lvl>
  </w:abstractNum>
  <w:abstractNum w:abstractNumId="24">
    <w:multiLevelType w:val="hybridMultilevel"/>
    <w:lvl w:ilvl="0">
      <w:start w:val="3"/>
      <w:numFmt w:val="decimal"/>
      <w:lvlText w:val="%1"/>
      <w:lvlJc w:val="left"/>
      <w:pPr>
        <w:ind w:left="1660" w:hanging="720"/>
        <w:jc w:val="left"/>
      </w:pPr>
      <w:rPr>
        <w:rFonts w:hint="default"/>
        <w:lang w:val="en-US" w:eastAsia="en-US" w:bidi="ar-SA"/>
      </w:rPr>
    </w:lvl>
    <w:lvl w:ilvl="1">
      <w:start w:val="2"/>
      <w:numFmt w:val="decimal"/>
      <w:lvlText w:val="%1.%2"/>
      <w:lvlJc w:val="left"/>
      <w:pPr>
        <w:ind w:left="16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23">
    <w:multiLevelType w:val="hybridMultilevel"/>
    <w:lvl w:ilvl="0">
      <w:start w:val="3"/>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22">
    <w:multiLevelType w:val="hybridMultilevel"/>
    <w:lvl w:ilvl="0">
      <w:start w:val="2"/>
      <w:numFmt w:val="decimal"/>
      <w:lvlText w:val="%1"/>
      <w:lvlJc w:val="left"/>
      <w:pPr>
        <w:ind w:left="1300" w:hanging="360"/>
        <w:jc w:val="left"/>
      </w:pPr>
      <w:rPr>
        <w:rFonts w:hint="default"/>
        <w:lang w:val="en-US" w:eastAsia="en-US" w:bidi="ar-SA"/>
      </w:rPr>
    </w:lvl>
    <w:lvl w:ilvl="1">
      <w:start w:val="3"/>
      <w:numFmt w:val="decimal"/>
      <w:lvlText w:val="%1.%2"/>
      <w:lvlJc w:val="left"/>
      <w:pPr>
        <w:ind w:left="13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85" w:hanging="540"/>
      </w:pPr>
      <w:rPr>
        <w:rFonts w:hint="default"/>
        <w:lang w:val="en-US" w:eastAsia="en-US" w:bidi="ar-SA"/>
      </w:rPr>
    </w:lvl>
    <w:lvl w:ilvl="4">
      <w:start w:val="0"/>
      <w:numFmt w:val="bullet"/>
      <w:lvlText w:val="•"/>
      <w:lvlJc w:val="left"/>
      <w:pPr>
        <w:ind w:left="4788" w:hanging="540"/>
      </w:pPr>
      <w:rPr>
        <w:rFonts w:hint="default"/>
        <w:lang w:val="en-US" w:eastAsia="en-US" w:bidi="ar-SA"/>
      </w:rPr>
    </w:lvl>
    <w:lvl w:ilvl="5">
      <w:start w:val="0"/>
      <w:numFmt w:val="bullet"/>
      <w:lvlText w:val="•"/>
      <w:lvlJc w:val="left"/>
      <w:pPr>
        <w:ind w:left="5891" w:hanging="540"/>
      </w:pPr>
      <w:rPr>
        <w:rFonts w:hint="default"/>
        <w:lang w:val="en-US" w:eastAsia="en-US" w:bidi="ar-SA"/>
      </w:rPr>
    </w:lvl>
    <w:lvl w:ilvl="6">
      <w:start w:val="0"/>
      <w:numFmt w:val="bullet"/>
      <w:lvlText w:val="•"/>
      <w:lvlJc w:val="left"/>
      <w:pPr>
        <w:ind w:left="6994" w:hanging="540"/>
      </w:pPr>
      <w:rPr>
        <w:rFonts w:hint="default"/>
        <w:lang w:val="en-US" w:eastAsia="en-US" w:bidi="ar-SA"/>
      </w:rPr>
    </w:lvl>
    <w:lvl w:ilvl="7">
      <w:start w:val="0"/>
      <w:numFmt w:val="bullet"/>
      <w:lvlText w:val="•"/>
      <w:lvlJc w:val="left"/>
      <w:pPr>
        <w:ind w:left="8097" w:hanging="540"/>
      </w:pPr>
      <w:rPr>
        <w:rFonts w:hint="default"/>
        <w:lang w:val="en-US" w:eastAsia="en-US" w:bidi="ar-SA"/>
      </w:rPr>
    </w:lvl>
    <w:lvl w:ilvl="8">
      <w:start w:val="0"/>
      <w:numFmt w:val="bullet"/>
      <w:lvlText w:val="•"/>
      <w:lvlJc w:val="left"/>
      <w:pPr>
        <w:ind w:left="9200" w:hanging="540"/>
      </w:pPr>
      <w:rPr>
        <w:rFonts w:hint="default"/>
        <w:lang w:val="en-US" w:eastAsia="en-US" w:bidi="ar-SA"/>
      </w:rPr>
    </w:lvl>
  </w:abstractNum>
  <w:abstractNum w:abstractNumId="21">
    <w:multiLevelType w:val="hybridMultilevel"/>
    <w:lvl w:ilvl="0">
      <w:start w:val="2"/>
      <w:numFmt w:val="decimal"/>
      <w:lvlText w:val="%1"/>
      <w:lvlJc w:val="left"/>
      <w:pPr>
        <w:ind w:left="1360" w:hanging="420"/>
        <w:jc w:val="left"/>
      </w:pPr>
      <w:rPr>
        <w:rFonts w:hint="default"/>
        <w:lang w:val="en-US" w:eastAsia="en-US" w:bidi="ar-SA"/>
      </w:rPr>
    </w:lvl>
    <w:lvl w:ilvl="1">
      <w:start w:val="1"/>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480"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85" w:hanging="540"/>
      </w:pPr>
      <w:rPr>
        <w:rFonts w:hint="default"/>
        <w:lang w:val="en-US" w:eastAsia="en-US" w:bidi="ar-SA"/>
      </w:rPr>
    </w:lvl>
    <w:lvl w:ilvl="4">
      <w:start w:val="0"/>
      <w:numFmt w:val="bullet"/>
      <w:lvlText w:val="•"/>
      <w:lvlJc w:val="left"/>
      <w:pPr>
        <w:ind w:left="4788" w:hanging="540"/>
      </w:pPr>
      <w:rPr>
        <w:rFonts w:hint="default"/>
        <w:lang w:val="en-US" w:eastAsia="en-US" w:bidi="ar-SA"/>
      </w:rPr>
    </w:lvl>
    <w:lvl w:ilvl="5">
      <w:start w:val="0"/>
      <w:numFmt w:val="bullet"/>
      <w:lvlText w:val="•"/>
      <w:lvlJc w:val="left"/>
      <w:pPr>
        <w:ind w:left="5891" w:hanging="540"/>
      </w:pPr>
      <w:rPr>
        <w:rFonts w:hint="default"/>
        <w:lang w:val="en-US" w:eastAsia="en-US" w:bidi="ar-SA"/>
      </w:rPr>
    </w:lvl>
    <w:lvl w:ilvl="6">
      <w:start w:val="0"/>
      <w:numFmt w:val="bullet"/>
      <w:lvlText w:val="•"/>
      <w:lvlJc w:val="left"/>
      <w:pPr>
        <w:ind w:left="6994" w:hanging="540"/>
      </w:pPr>
      <w:rPr>
        <w:rFonts w:hint="default"/>
        <w:lang w:val="en-US" w:eastAsia="en-US" w:bidi="ar-SA"/>
      </w:rPr>
    </w:lvl>
    <w:lvl w:ilvl="7">
      <w:start w:val="0"/>
      <w:numFmt w:val="bullet"/>
      <w:lvlText w:val="•"/>
      <w:lvlJc w:val="left"/>
      <w:pPr>
        <w:ind w:left="8097" w:hanging="540"/>
      </w:pPr>
      <w:rPr>
        <w:rFonts w:hint="default"/>
        <w:lang w:val="en-US" w:eastAsia="en-US" w:bidi="ar-SA"/>
      </w:rPr>
    </w:lvl>
    <w:lvl w:ilvl="8">
      <w:start w:val="0"/>
      <w:numFmt w:val="bullet"/>
      <w:lvlText w:val="•"/>
      <w:lvlJc w:val="left"/>
      <w:pPr>
        <w:ind w:left="9200" w:hanging="540"/>
      </w:pPr>
      <w:rPr>
        <w:rFonts w:hint="default"/>
        <w:lang w:val="en-US" w:eastAsia="en-US" w:bidi="ar-SA"/>
      </w:rPr>
    </w:lvl>
  </w:abstractNum>
  <w:abstractNum w:abstractNumId="20">
    <w:multiLevelType w:val="hybridMultilevel"/>
    <w:lvl w:ilvl="0">
      <w:start w:val="1"/>
      <w:numFmt w:val="decimal"/>
      <w:lvlText w:val="%1."/>
      <w:lvlJc w:val="left"/>
      <w:pPr>
        <w:ind w:left="1300" w:hanging="22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10" w:hanging="226"/>
      </w:pPr>
      <w:rPr>
        <w:rFonts w:hint="default"/>
        <w:lang w:val="en-US" w:eastAsia="en-US" w:bidi="ar-SA"/>
      </w:rPr>
    </w:lvl>
    <w:lvl w:ilvl="2">
      <w:start w:val="0"/>
      <w:numFmt w:val="bullet"/>
      <w:lvlText w:val="•"/>
      <w:lvlJc w:val="left"/>
      <w:pPr>
        <w:ind w:left="3321" w:hanging="226"/>
      </w:pPr>
      <w:rPr>
        <w:rFonts w:hint="default"/>
        <w:lang w:val="en-US" w:eastAsia="en-US" w:bidi="ar-SA"/>
      </w:rPr>
    </w:lvl>
    <w:lvl w:ilvl="3">
      <w:start w:val="0"/>
      <w:numFmt w:val="bullet"/>
      <w:lvlText w:val="•"/>
      <w:lvlJc w:val="left"/>
      <w:pPr>
        <w:ind w:left="4331" w:hanging="226"/>
      </w:pPr>
      <w:rPr>
        <w:rFonts w:hint="default"/>
        <w:lang w:val="en-US" w:eastAsia="en-US" w:bidi="ar-SA"/>
      </w:rPr>
    </w:lvl>
    <w:lvl w:ilvl="4">
      <w:start w:val="0"/>
      <w:numFmt w:val="bullet"/>
      <w:lvlText w:val="•"/>
      <w:lvlJc w:val="left"/>
      <w:pPr>
        <w:ind w:left="5342" w:hanging="226"/>
      </w:pPr>
      <w:rPr>
        <w:rFonts w:hint="default"/>
        <w:lang w:val="en-US" w:eastAsia="en-US" w:bidi="ar-SA"/>
      </w:rPr>
    </w:lvl>
    <w:lvl w:ilvl="5">
      <w:start w:val="0"/>
      <w:numFmt w:val="bullet"/>
      <w:lvlText w:val="•"/>
      <w:lvlJc w:val="left"/>
      <w:pPr>
        <w:ind w:left="6353" w:hanging="226"/>
      </w:pPr>
      <w:rPr>
        <w:rFonts w:hint="default"/>
        <w:lang w:val="en-US" w:eastAsia="en-US" w:bidi="ar-SA"/>
      </w:rPr>
    </w:lvl>
    <w:lvl w:ilvl="6">
      <w:start w:val="0"/>
      <w:numFmt w:val="bullet"/>
      <w:lvlText w:val="•"/>
      <w:lvlJc w:val="left"/>
      <w:pPr>
        <w:ind w:left="7363" w:hanging="226"/>
      </w:pPr>
      <w:rPr>
        <w:rFonts w:hint="default"/>
        <w:lang w:val="en-US" w:eastAsia="en-US" w:bidi="ar-SA"/>
      </w:rPr>
    </w:lvl>
    <w:lvl w:ilvl="7">
      <w:start w:val="0"/>
      <w:numFmt w:val="bullet"/>
      <w:lvlText w:val="•"/>
      <w:lvlJc w:val="left"/>
      <w:pPr>
        <w:ind w:left="8374" w:hanging="226"/>
      </w:pPr>
      <w:rPr>
        <w:rFonts w:hint="default"/>
        <w:lang w:val="en-US" w:eastAsia="en-US" w:bidi="ar-SA"/>
      </w:rPr>
    </w:lvl>
    <w:lvl w:ilvl="8">
      <w:start w:val="0"/>
      <w:numFmt w:val="bullet"/>
      <w:lvlText w:val="•"/>
      <w:lvlJc w:val="left"/>
      <w:pPr>
        <w:ind w:left="9385" w:hanging="226"/>
      </w:pPr>
      <w:rPr>
        <w:rFonts w:hint="default"/>
        <w:lang w:val="en-US" w:eastAsia="en-US" w:bidi="ar-SA"/>
      </w:rPr>
    </w:lvl>
  </w:abstractNum>
  <w:abstractNum w:abstractNumId="19">
    <w:multiLevelType w:val="hybridMultilevel"/>
    <w:lvl w:ilvl="0">
      <w:start w:val="1"/>
      <w:numFmt w:val="decimal"/>
      <w:lvlText w:val="%1."/>
      <w:lvlJc w:val="left"/>
      <w:pPr>
        <w:ind w:left="1211" w:hanging="23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38" w:hanging="238"/>
      </w:pPr>
      <w:rPr>
        <w:rFonts w:hint="default"/>
        <w:lang w:val="en-US" w:eastAsia="en-US" w:bidi="ar-SA"/>
      </w:rPr>
    </w:lvl>
    <w:lvl w:ilvl="2">
      <w:start w:val="0"/>
      <w:numFmt w:val="bullet"/>
      <w:lvlText w:val="•"/>
      <w:lvlJc w:val="left"/>
      <w:pPr>
        <w:ind w:left="3257" w:hanging="238"/>
      </w:pPr>
      <w:rPr>
        <w:rFonts w:hint="default"/>
        <w:lang w:val="en-US" w:eastAsia="en-US" w:bidi="ar-SA"/>
      </w:rPr>
    </w:lvl>
    <w:lvl w:ilvl="3">
      <w:start w:val="0"/>
      <w:numFmt w:val="bullet"/>
      <w:lvlText w:val="•"/>
      <w:lvlJc w:val="left"/>
      <w:pPr>
        <w:ind w:left="4275" w:hanging="238"/>
      </w:pPr>
      <w:rPr>
        <w:rFonts w:hint="default"/>
        <w:lang w:val="en-US" w:eastAsia="en-US" w:bidi="ar-SA"/>
      </w:rPr>
    </w:lvl>
    <w:lvl w:ilvl="4">
      <w:start w:val="0"/>
      <w:numFmt w:val="bullet"/>
      <w:lvlText w:val="•"/>
      <w:lvlJc w:val="left"/>
      <w:pPr>
        <w:ind w:left="5294" w:hanging="238"/>
      </w:pPr>
      <w:rPr>
        <w:rFonts w:hint="default"/>
        <w:lang w:val="en-US" w:eastAsia="en-US" w:bidi="ar-SA"/>
      </w:rPr>
    </w:lvl>
    <w:lvl w:ilvl="5">
      <w:start w:val="0"/>
      <w:numFmt w:val="bullet"/>
      <w:lvlText w:val="•"/>
      <w:lvlJc w:val="left"/>
      <w:pPr>
        <w:ind w:left="6313" w:hanging="238"/>
      </w:pPr>
      <w:rPr>
        <w:rFonts w:hint="default"/>
        <w:lang w:val="en-US" w:eastAsia="en-US" w:bidi="ar-SA"/>
      </w:rPr>
    </w:lvl>
    <w:lvl w:ilvl="6">
      <w:start w:val="0"/>
      <w:numFmt w:val="bullet"/>
      <w:lvlText w:val="•"/>
      <w:lvlJc w:val="left"/>
      <w:pPr>
        <w:ind w:left="7331" w:hanging="238"/>
      </w:pPr>
      <w:rPr>
        <w:rFonts w:hint="default"/>
        <w:lang w:val="en-US" w:eastAsia="en-US" w:bidi="ar-SA"/>
      </w:rPr>
    </w:lvl>
    <w:lvl w:ilvl="7">
      <w:start w:val="0"/>
      <w:numFmt w:val="bullet"/>
      <w:lvlText w:val="•"/>
      <w:lvlJc w:val="left"/>
      <w:pPr>
        <w:ind w:left="8350" w:hanging="238"/>
      </w:pPr>
      <w:rPr>
        <w:rFonts w:hint="default"/>
        <w:lang w:val="en-US" w:eastAsia="en-US" w:bidi="ar-SA"/>
      </w:rPr>
    </w:lvl>
    <w:lvl w:ilvl="8">
      <w:start w:val="0"/>
      <w:numFmt w:val="bullet"/>
      <w:lvlText w:val="•"/>
      <w:lvlJc w:val="left"/>
      <w:pPr>
        <w:ind w:left="9369" w:hanging="238"/>
      </w:pPr>
      <w:rPr>
        <w:rFonts w:hint="default"/>
        <w:lang w:val="en-US" w:eastAsia="en-US" w:bidi="ar-SA"/>
      </w:rPr>
    </w:lvl>
  </w:abstractNum>
  <w:abstractNum w:abstractNumId="18">
    <w:multiLevelType w:val="hybridMultilevel"/>
    <w:lvl w:ilvl="0">
      <w:start w:val="1"/>
      <w:numFmt w:val="decimal"/>
      <w:lvlText w:val="%1"/>
      <w:lvlJc w:val="left"/>
      <w:pPr>
        <w:ind w:left="1360" w:hanging="420"/>
        <w:jc w:val="left"/>
      </w:pPr>
      <w:rPr>
        <w:rFonts w:hint="default"/>
        <w:lang w:val="en-US" w:eastAsia="en-US" w:bidi="ar-SA"/>
      </w:rPr>
    </w:lvl>
    <w:lvl w:ilvl="1">
      <w:start w:val="3"/>
      <w:numFmt w:val="decimal"/>
      <w:lvlText w:val="%1.%2."/>
      <w:lvlJc w:val="left"/>
      <w:pPr>
        <w:ind w:left="136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69" w:hanging="420"/>
      </w:pPr>
      <w:rPr>
        <w:rFonts w:hint="default"/>
        <w:lang w:val="en-US" w:eastAsia="en-US" w:bidi="ar-SA"/>
      </w:rPr>
    </w:lvl>
    <w:lvl w:ilvl="3">
      <w:start w:val="0"/>
      <w:numFmt w:val="bullet"/>
      <w:lvlText w:val="•"/>
      <w:lvlJc w:val="left"/>
      <w:pPr>
        <w:ind w:left="4373" w:hanging="420"/>
      </w:pPr>
      <w:rPr>
        <w:rFonts w:hint="default"/>
        <w:lang w:val="en-US" w:eastAsia="en-US" w:bidi="ar-SA"/>
      </w:rPr>
    </w:lvl>
    <w:lvl w:ilvl="4">
      <w:start w:val="0"/>
      <w:numFmt w:val="bullet"/>
      <w:lvlText w:val="•"/>
      <w:lvlJc w:val="left"/>
      <w:pPr>
        <w:ind w:left="5378" w:hanging="420"/>
      </w:pPr>
      <w:rPr>
        <w:rFonts w:hint="default"/>
        <w:lang w:val="en-US" w:eastAsia="en-US" w:bidi="ar-SA"/>
      </w:rPr>
    </w:lvl>
    <w:lvl w:ilvl="5">
      <w:start w:val="0"/>
      <w:numFmt w:val="bullet"/>
      <w:lvlText w:val="•"/>
      <w:lvlJc w:val="left"/>
      <w:pPr>
        <w:ind w:left="6383" w:hanging="420"/>
      </w:pPr>
      <w:rPr>
        <w:rFonts w:hint="default"/>
        <w:lang w:val="en-US" w:eastAsia="en-US" w:bidi="ar-SA"/>
      </w:rPr>
    </w:lvl>
    <w:lvl w:ilvl="6">
      <w:start w:val="0"/>
      <w:numFmt w:val="bullet"/>
      <w:lvlText w:val="•"/>
      <w:lvlJc w:val="left"/>
      <w:pPr>
        <w:ind w:left="7387" w:hanging="420"/>
      </w:pPr>
      <w:rPr>
        <w:rFonts w:hint="default"/>
        <w:lang w:val="en-US" w:eastAsia="en-US" w:bidi="ar-SA"/>
      </w:rPr>
    </w:lvl>
    <w:lvl w:ilvl="7">
      <w:start w:val="0"/>
      <w:numFmt w:val="bullet"/>
      <w:lvlText w:val="•"/>
      <w:lvlJc w:val="left"/>
      <w:pPr>
        <w:ind w:left="8392" w:hanging="420"/>
      </w:pPr>
      <w:rPr>
        <w:rFonts w:hint="default"/>
        <w:lang w:val="en-US" w:eastAsia="en-US" w:bidi="ar-SA"/>
      </w:rPr>
    </w:lvl>
    <w:lvl w:ilvl="8">
      <w:start w:val="0"/>
      <w:numFmt w:val="bullet"/>
      <w:lvlText w:val="•"/>
      <w:lvlJc w:val="left"/>
      <w:pPr>
        <w:ind w:left="9397" w:hanging="420"/>
      </w:pPr>
      <w:rPr>
        <w:rFonts w:hint="default"/>
        <w:lang w:val="en-US" w:eastAsia="en-US" w:bidi="ar-SA"/>
      </w:rPr>
    </w:lvl>
  </w:abstractNum>
  <w:abstractNum w:abstractNumId="17">
    <w:multiLevelType w:val="hybridMultilevel"/>
    <w:lvl w:ilvl="0">
      <w:start w:val="1"/>
      <w:numFmt w:val="decimal"/>
      <w:lvlText w:val="%1"/>
      <w:lvlJc w:val="left"/>
      <w:pPr>
        <w:ind w:left="1300" w:hanging="360"/>
        <w:jc w:val="left"/>
      </w:pPr>
      <w:rPr>
        <w:rFonts w:hint="default"/>
        <w:lang w:val="en-US" w:eastAsia="en-US" w:bidi="ar-SA"/>
      </w:rPr>
    </w:lvl>
    <w:lvl w:ilvl="1">
      <w:start w:val="1"/>
      <w:numFmt w:val="decimal"/>
      <w:lvlText w:val="%1.%2"/>
      <w:lvlJc w:val="left"/>
      <w:pPr>
        <w:ind w:left="1300"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321" w:hanging="360"/>
      </w:pPr>
      <w:rPr>
        <w:rFonts w:hint="default"/>
        <w:lang w:val="en-US" w:eastAsia="en-US" w:bidi="ar-SA"/>
      </w:rPr>
    </w:lvl>
    <w:lvl w:ilvl="3">
      <w:start w:val="0"/>
      <w:numFmt w:val="bullet"/>
      <w:lvlText w:val="•"/>
      <w:lvlJc w:val="left"/>
      <w:pPr>
        <w:ind w:left="4331" w:hanging="360"/>
      </w:pPr>
      <w:rPr>
        <w:rFonts w:hint="default"/>
        <w:lang w:val="en-US" w:eastAsia="en-US" w:bidi="ar-SA"/>
      </w:rPr>
    </w:lvl>
    <w:lvl w:ilvl="4">
      <w:start w:val="0"/>
      <w:numFmt w:val="bullet"/>
      <w:lvlText w:val="•"/>
      <w:lvlJc w:val="left"/>
      <w:pPr>
        <w:ind w:left="5342" w:hanging="360"/>
      </w:pPr>
      <w:rPr>
        <w:rFonts w:hint="default"/>
        <w:lang w:val="en-US" w:eastAsia="en-US" w:bidi="ar-SA"/>
      </w:rPr>
    </w:lvl>
    <w:lvl w:ilvl="5">
      <w:start w:val="0"/>
      <w:numFmt w:val="bullet"/>
      <w:lvlText w:val="•"/>
      <w:lvlJc w:val="left"/>
      <w:pPr>
        <w:ind w:left="6353" w:hanging="360"/>
      </w:pPr>
      <w:rPr>
        <w:rFonts w:hint="default"/>
        <w:lang w:val="en-US" w:eastAsia="en-US" w:bidi="ar-SA"/>
      </w:rPr>
    </w:lvl>
    <w:lvl w:ilvl="6">
      <w:start w:val="0"/>
      <w:numFmt w:val="bullet"/>
      <w:lvlText w:val="•"/>
      <w:lvlJc w:val="left"/>
      <w:pPr>
        <w:ind w:left="7363" w:hanging="360"/>
      </w:pPr>
      <w:rPr>
        <w:rFonts w:hint="default"/>
        <w:lang w:val="en-US" w:eastAsia="en-US" w:bidi="ar-SA"/>
      </w:rPr>
    </w:lvl>
    <w:lvl w:ilvl="7">
      <w:start w:val="0"/>
      <w:numFmt w:val="bullet"/>
      <w:lvlText w:val="•"/>
      <w:lvlJc w:val="left"/>
      <w:pPr>
        <w:ind w:left="8374" w:hanging="360"/>
      </w:pPr>
      <w:rPr>
        <w:rFonts w:hint="default"/>
        <w:lang w:val="en-US" w:eastAsia="en-US" w:bidi="ar-SA"/>
      </w:rPr>
    </w:lvl>
    <w:lvl w:ilvl="8">
      <w:start w:val="0"/>
      <w:numFmt w:val="bullet"/>
      <w:lvlText w:val="•"/>
      <w:lvlJc w:val="left"/>
      <w:pPr>
        <w:ind w:left="9385" w:hanging="360"/>
      </w:pPr>
      <w:rPr>
        <w:rFonts w:hint="default"/>
        <w:lang w:val="en-US" w:eastAsia="en-US" w:bidi="ar-SA"/>
      </w:rPr>
    </w:lvl>
  </w:abstractNum>
  <w:abstractNum w:abstractNumId="16">
    <w:multiLevelType w:val="hybridMultilevel"/>
    <w:lvl w:ilvl="0">
      <w:start w:val="6"/>
      <w:numFmt w:val="decimal"/>
      <w:lvlText w:val="%1"/>
      <w:lvlJc w:val="left"/>
      <w:pPr>
        <w:ind w:left="1660" w:hanging="720"/>
        <w:jc w:val="left"/>
      </w:pPr>
      <w:rPr>
        <w:rFonts w:hint="default"/>
        <w:lang w:val="en-US" w:eastAsia="en-US" w:bidi="ar-SA"/>
      </w:rPr>
    </w:lvl>
    <w:lvl w:ilvl="1">
      <w:start w:val="3"/>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5">
    <w:multiLevelType w:val="hybridMultilevel"/>
    <w:lvl w:ilvl="0">
      <w:start w:val="6"/>
      <w:numFmt w:val="decimal"/>
      <w:lvlText w:val="%1"/>
      <w:lvlJc w:val="left"/>
      <w:pPr>
        <w:ind w:left="1660" w:hanging="720"/>
        <w:jc w:val="left"/>
      </w:pPr>
      <w:rPr>
        <w:rFonts w:hint="default"/>
        <w:lang w:val="en-US" w:eastAsia="en-US" w:bidi="ar-SA"/>
      </w:rPr>
    </w:lvl>
    <w:lvl w:ilvl="1">
      <w:start w:val="2"/>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4">
    <w:multiLevelType w:val="hybridMultilevel"/>
    <w:lvl w:ilvl="0">
      <w:start w:val="6"/>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3">
    <w:multiLevelType w:val="hybridMultilevel"/>
    <w:lvl w:ilvl="0">
      <w:start w:val="5"/>
      <w:numFmt w:val="decimal"/>
      <w:lvlText w:val="%1"/>
      <w:lvlJc w:val="left"/>
      <w:pPr>
        <w:ind w:left="1660" w:hanging="720"/>
        <w:jc w:val="left"/>
      </w:pPr>
      <w:rPr>
        <w:rFonts w:hint="default"/>
        <w:lang w:val="en-US" w:eastAsia="en-US" w:bidi="ar-SA"/>
      </w:rPr>
    </w:lvl>
    <w:lvl w:ilvl="1">
      <w:start w:val="2"/>
      <w:numFmt w:val="decimal"/>
      <w:lvlText w:val="%1.%2"/>
      <w:lvlJc w:val="left"/>
      <w:pPr>
        <w:ind w:left="1660" w:hanging="720"/>
        <w:jc w:val="left"/>
      </w:pPr>
      <w:rPr>
        <w:rFonts w:hint="default"/>
        <w:lang w:val="en-US" w:eastAsia="en-US" w:bidi="ar-SA"/>
      </w:rPr>
    </w:lvl>
    <w:lvl w:ilvl="2">
      <w:start w:val="6"/>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2">
    <w:multiLevelType w:val="hybridMultilevel"/>
    <w:lvl w:ilvl="0">
      <w:start w:val="5"/>
      <w:numFmt w:val="decimal"/>
      <w:lvlText w:val="%1"/>
      <w:lvlJc w:val="left"/>
      <w:pPr>
        <w:ind w:left="1660" w:hanging="720"/>
        <w:jc w:val="left"/>
      </w:pPr>
      <w:rPr>
        <w:rFonts w:hint="default"/>
        <w:lang w:val="en-US" w:eastAsia="en-US" w:bidi="ar-SA"/>
      </w:rPr>
    </w:lvl>
    <w:lvl w:ilvl="1">
      <w:start w:val="2"/>
      <w:numFmt w:val="decimal"/>
      <w:lvlText w:val="%1.%2"/>
      <w:lvlJc w:val="left"/>
      <w:pPr>
        <w:ind w:left="1660" w:hanging="720"/>
        <w:jc w:val="left"/>
      </w:pPr>
      <w:rPr>
        <w:rFonts w:hint="default"/>
        <w:lang w:val="en-US" w:eastAsia="en-US" w:bidi="ar-SA"/>
      </w:rPr>
    </w:lvl>
    <w:lvl w:ilvl="2">
      <w:start w:val="3"/>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1">
    <w:multiLevelType w:val="hybridMultilevel"/>
    <w:lvl w:ilvl="0">
      <w:start w:val="5"/>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0">
    <w:multiLevelType w:val="hybridMultilevel"/>
    <w:lvl w:ilvl="0">
      <w:start w:val="4"/>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9">
    <w:multiLevelType w:val="hybridMultilevel"/>
    <w:lvl w:ilvl="0">
      <w:start w:val="3"/>
      <w:numFmt w:val="decimal"/>
      <w:lvlText w:val="%1"/>
      <w:lvlJc w:val="left"/>
      <w:pPr>
        <w:ind w:left="1660" w:hanging="720"/>
        <w:jc w:val="left"/>
      </w:pPr>
      <w:rPr>
        <w:rFonts w:hint="default"/>
        <w:lang w:val="en-US" w:eastAsia="en-US" w:bidi="ar-SA"/>
      </w:rPr>
    </w:lvl>
    <w:lvl w:ilvl="1">
      <w:start w:val="7"/>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8">
    <w:multiLevelType w:val="hybridMultilevel"/>
    <w:lvl w:ilvl="0">
      <w:start w:val="3"/>
      <w:numFmt w:val="decimal"/>
      <w:lvlText w:val="%1"/>
      <w:lvlJc w:val="left"/>
      <w:pPr>
        <w:ind w:left="1660" w:hanging="720"/>
        <w:jc w:val="left"/>
      </w:pPr>
      <w:rPr>
        <w:rFonts w:hint="default"/>
        <w:lang w:val="en-US" w:eastAsia="en-US" w:bidi="ar-SA"/>
      </w:rPr>
    </w:lvl>
    <w:lvl w:ilvl="1">
      <w:start w:val="3"/>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7">
    <w:multiLevelType w:val="hybridMultilevel"/>
    <w:lvl w:ilvl="0">
      <w:start w:val="3"/>
      <w:numFmt w:val="decimal"/>
      <w:lvlText w:val="%1"/>
      <w:lvlJc w:val="left"/>
      <w:pPr>
        <w:ind w:left="1660" w:hanging="720"/>
        <w:jc w:val="left"/>
      </w:pPr>
      <w:rPr>
        <w:rFonts w:hint="default"/>
        <w:lang w:val="en-US" w:eastAsia="en-US" w:bidi="ar-SA"/>
      </w:rPr>
    </w:lvl>
    <w:lvl w:ilvl="1">
      <w:start w:val="2"/>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6">
    <w:multiLevelType w:val="hybridMultilevel"/>
    <w:lvl w:ilvl="0">
      <w:start w:val="3"/>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5">
    <w:multiLevelType w:val="hybridMultilevel"/>
    <w:lvl w:ilvl="0">
      <w:start w:val="2"/>
      <w:numFmt w:val="decimal"/>
      <w:lvlText w:val="%1"/>
      <w:lvlJc w:val="left"/>
      <w:pPr>
        <w:ind w:left="1660" w:hanging="720"/>
        <w:jc w:val="left"/>
      </w:pPr>
      <w:rPr>
        <w:rFonts w:hint="default"/>
        <w:lang w:val="en-US" w:eastAsia="en-US" w:bidi="ar-SA"/>
      </w:rPr>
    </w:lvl>
    <w:lvl w:ilvl="1">
      <w:start w:val="3"/>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4">
    <w:multiLevelType w:val="hybridMultilevel"/>
    <w:lvl w:ilvl="0">
      <w:start w:val="2"/>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3">
    <w:multiLevelType w:val="hybridMultilevel"/>
    <w:lvl w:ilvl="0">
      <w:start w:val="1"/>
      <w:numFmt w:val="decimal"/>
      <w:lvlText w:val="%1"/>
      <w:lvlJc w:val="left"/>
      <w:pPr>
        <w:ind w:left="1660" w:hanging="720"/>
        <w:jc w:val="left"/>
      </w:pPr>
      <w:rPr>
        <w:rFonts w:hint="default"/>
        <w:lang w:val="en-US" w:eastAsia="en-US" w:bidi="ar-SA"/>
      </w:rPr>
    </w:lvl>
    <w:lvl w:ilvl="1">
      <w:start w:val="8"/>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2">
    <w:multiLevelType w:val="hybridMultilevel"/>
    <w:lvl w:ilvl="0">
      <w:start w:val="1"/>
      <w:numFmt w:val="decimal"/>
      <w:lvlText w:val="%1"/>
      <w:lvlJc w:val="left"/>
      <w:pPr>
        <w:ind w:left="1660" w:hanging="720"/>
        <w:jc w:val="left"/>
      </w:pPr>
      <w:rPr>
        <w:rFonts w:hint="default"/>
        <w:lang w:val="en-US" w:eastAsia="en-US" w:bidi="ar-SA"/>
      </w:rPr>
    </w:lvl>
    <w:lvl w:ilvl="1">
      <w:start w:val="3"/>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1">
    <w:multiLevelType w:val="hybridMultilevel"/>
    <w:lvl w:ilvl="0">
      <w:start w:val="1"/>
      <w:numFmt w:val="decimal"/>
      <w:lvlText w:val="%1"/>
      <w:lvlJc w:val="left"/>
      <w:pPr>
        <w:ind w:left="1660" w:hanging="720"/>
        <w:jc w:val="left"/>
      </w:pPr>
      <w:rPr>
        <w:rFonts w:hint="default"/>
        <w:lang w:val="en-US" w:eastAsia="en-US" w:bidi="ar-SA"/>
      </w:rPr>
    </w:lvl>
    <w:lvl w:ilvl="1">
      <w:start w:val="1"/>
      <w:numFmt w:val="decimal"/>
      <w:lvlText w:val="%1.%2"/>
      <w:lvlJc w:val="left"/>
      <w:pPr>
        <w:ind w:left="16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609" w:hanging="720"/>
      </w:pPr>
      <w:rPr>
        <w:rFonts w:hint="default"/>
        <w:lang w:val="en-US" w:eastAsia="en-US" w:bidi="ar-SA"/>
      </w:rPr>
    </w:lvl>
    <w:lvl w:ilvl="3">
      <w:start w:val="0"/>
      <w:numFmt w:val="bullet"/>
      <w:lvlText w:val="•"/>
      <w:lvlJc w:val="left"/>
      <w:pPr>
        <w:ind w:left="4583" w:hanging="720"/>
      </w:pPr>
      <w:rPr>
        <w:rFonts w:hint="default"/>
        <w:lang w:val="en-US" w:eastAsia="en-US" w:bidi="ar-SA"/>
      </w:rPr>
    </w:lvl>
    <w:lvl w:ilvl="4">
      <w:start w:val="0"/>
      <w:numFmt w:val="bullet"/>
      <w:lvlText w:val="•"/>
      <w:lvlJc w:val="left"/>
      <w:pPr>
        <w:ind w:left="5558" w:hanging="720"/>
      </w:pPr>
      <w:rPr>
        <w:rFonts w:hint="default"/>
        <w:lang w:val="en-US" w:eastAsia="en-US" w:bidi="ar-SA"/>
      </w:rPr>
    </w:lvl>
    <w:lvl w:ilvl="5">
      <w:start w:val="0"/>
      <w:numFmt w:val="bullet"/>
      <w:lvlText w:val="•"/>
      <w:lvlJc w:val="left"/>
      <w:pPr>
        <w:ind w:left="6533" w:hanging="720"/>
      </w:pPr>
      <w:rPr>
        <w:rFonts w:hint="default"/>
        <w:lang w:val="en-US" w:eastAsia="en-US" w:bidi="ar-SA"/>
      </w:rPr>
    </w:lvl>
    <w:lvl w:ilvl="6">
      <w:start w:val="0"/>
      <w:numFmt w:val="bullet"/>
      <w:lvlText w:val="•"/>
      <w:lvlJc w:val="left"/>
      <w:pPr>
        <w:ind w:left="7507" w:hanging="720"/>
      </w:pPr>
      <w:rPr>
        <w:rFonts w:hint="default"/>
        <w:lang w:val="en-US" w:eastAsia="en-US" w:bidi="ar-SA"/>
      </w:rPr>
    </w:lvl>
    <w:lvl w:ilvl="7">
      <w:start w:val="0"/>
      <w:numFmt w:val="bullet"/>
      <w:lvlText w:val="•"/>
      <w:lvlJc w:val="left"/>
      <w:pPr>
        <w:ind w:left="8482" w:hanging="720"/>
      </w:pPr>
      <w:rPr>
        <w:rFonts w:hint="default"/>
        <w:lang w:val="en-US" w:eastAsia="en-US" w:bidi="ar-SA"/>
      </w:rPr>
    </w:lvl>
    <w:lvl w:ilvl="8">
      <w:start w:val="0"/>
      <w:numFmt w:val="bullet"/>
      <w:lvlText w:val="•"/>
      <w:lvlJc w:val="left"/>
      <w:pPr>
        <w:ind w:left="9457" w:hanging="720"/>
      </w:pPr>
      <w:rPr>
        <w:rFonts w:hint="default"/>
        <w:lang w:val="en-US" w:eastAsia="en-US" w:bidi="ar-SA"/>
      </w:rPr>
    </w:lvl>
  </w:abstractNum>
  <w:abstractNum w:abstractNumId="0">
    <w:multiLevelType w:val="hybridMultilevel"/>
    <w:lvl w:ilvl="0">
      <w:start w:val="1"/>
      <w:numFmt w:val="decimal"/>
      <w:lvlText w:val="%1."/>
      <w:lvlJc w:val="left"/>
      <w:pPr>
        <w:ind w:left="166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34" w:hanging="360"/>
      </w:pPr>
      <w:rPr>
        <w:rFonts w:hint="default"/>
        <w:lang w:val="en-US" w:eastAsia="en-US" w:bidi="ar-SA"/>
      </w:rPr>
    </w:lvl>
    <w:lvl w:ilvl="2">
      <w:start w:val="0"/>
      <w:numFmt w:val="bullet"/>
      <w:lvlText w:val="•"/>
      <w:lvlJc w:val="left"/>
      <w:pPr>
        <w:ind w:left="3609" w:hanging="360"/>
      </w:pPr>
      <w:rPr>
        <w:rFonts w:hint="default"/>
        <w:lang w:val="en-US" w:eastAsia="en-US" w:bidi="ar-SA"/>
      </w:rPr>
    </w:lvl>
    <w:lvl w:ilvl="3">
      <w:start w:val="0"/>
      <w:numFmt w:val="bullet"/>
      <w:lvlText w:val="•"/>
      <w:lvlJc w:val="left"/>
      <w:pPr>
        <w:ind w:left="4583" w:hanging="360"/>
      </w:pPr>
      <w:rPr>
        <w:rFonts w:hint="default"/>
        <w:lang w:val="en-US" w:eastAsia="en-US" w:bidi="ar-SA"/>
      </w:rPr>
    </w:lvl>
    <w:lvl w:ilvl="4">
      <w:start w:val="0"/>
      <w:numFmt w:val="bullet"/>
      <w:lvlText w:val="•"/>
      <w:lvlJc w:val="left"/>
      <w:pPr>
        <w:ind w:left="5558" w:hanging="360"/>
      </w:pPr>
      <w:rPr>
        <w:rFonts w:hint="default"/>
        <w:lang w:val="en-US" w:eastAsia="en-US" w:bidi="ar-SA"/>
      </w:rPr>
    </w:lvl>
    <w:lvl w:ilvl="5">
      <w:start w:val="0"/>
      <w:numFmt w:val="bullet"/>
      <w:lvlText w:val="•"/>
      <w:lvlJc w:val="left"/>
      <w:pPr>
        <w:ind w:left="6533" w:hanging="360"/>
      </w:pPr>
      <w:rPr>
        <w:rFonts w:hint="default"/>
        <w:lang w:val="en-US" w:eastAsia="en-US" w:bidi="ar-SA"/>
      </w:rPr>
    </w:lvl>
    <w:lvl w:ilvl="6">
      <w:start w:val="0"/>
      <w:numFmt w:val="bullet"/>
      <w:lvlText w:val="•"/>
      <w:lvlJc w:val="left"/>
      <w:pPr>
        <w:ind w:left="7507" w:hanging="360"/>
      </w:pPr>
      <w:rPr>
        <w:rFonts w:hint="default"/>
        <w:lang w:val="en-US" w:eastAsia="en-US" w:bidi="ar-SA"/>
      </w:rPr>
    </w:lvl>
    <w:lvl w:ilvl="7">
      <w:start w:val="0"/>
      <w:numFmt w:val="bullet"/>
      <w:lvlText w:val="•"/>
      <w:lvlJc w:val="left"/>
      <w:pPr>
        <w:ind w:left="8482" w:hanging="360"/>
      </w:pPr>
      <w:rPr>
        <w:rFonts w:hint="default"/>
        <w:lang w:val="en-US" w:eastAsia="en-US" w:bidi="ar-SA"/>
      </w:rPr>
    </w:lvl>
    <w:lvl w:ilvl="8">
      <w:start w:val="0"/>
      <w:numFmt w:val="bullet"/>
      <w:lvlText w:val="•"/>
      <w:lvlJc w:val="left"/>
      <w:pPr>
        <w:ind w:left="9457" w:hanging="360"/>
      </w:pPr>
      <w:rPr>
        <w:rFonts w:hint="default"/>
        <w:lang w:val="en-US" w:eastAsia="en-US" w:bidi="ar-SA"/>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552"/>
      <w:ind w:left="9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66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1"/>
      <w:ind w:left="940"/>
      <w:outlineLvl w:val="1"/>
    </w:pPr>
    <w:rPr>
      <w:rFonts w:ascii="Times New Roman" w:hAnsi="Times New Roman" w:eastAsia="Times New Roman" w:cs="Times New Roman"/>
      <w:i/>
      <w:iCs/>
      <w:sz w:val="28"/>
      <w:szCs w:val="28"/>
      <w:lang w:val="en-US" w:eastAsia="en-US" w:bidi="ar-SA"/>
    </w:rPr>
  </w:style>
  <w:style w:styleId="Heading2" w:type="paragraph">
    <w:name w:val="Heading 2"/>
    <w:basedOn w:val="Normal"/>
    <w:uiPriority w:val="1"/>
    <w:qFormat/>
    <w:pPr>
      <w:spacing w:before="61"/>
      <w:ind w:right="496"/>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940"/>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66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www.tandfonline.com/doi/full/10.1080/23322039.2019.1698940"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panopticon.csustan.edu/cpa99/html/abdallah.html" TargetMode="External"/><Relationship Id="rId12" Type="http://schemas.openxmlformats.org/officeDocument/2006/relationships/image" Target="media/image4.png"/><Relationship Id="rId13" Type="http://schemas.openxmlformats.org/officeDocument/2006/relationships/hyperlink" Target="http://www.researchgate.com/" TargetMode="External"/><Relationship Id="rId14" Type="http://schemas.openxmlformats.org/officeDocument/2006/relationships/hyperlink" Target="http://www.elsevier.com/locate/econbase" TargetMode="External"/><Relationship Id="rId15" Type="http://schemas.openxmlformats.org/officeDocument/2006/relationships/hyperlink" Target="http://www.ssrn.com/" TargetMode="External"/><Relationship Id="rId16" Type="http://schemas.openxmlformats.org/officeDocument/2006/relationships/image" Target="media/image5.png"/><Relationship Id="rId17" Type="http://schemas.openxmlformats.org/officeDocument/2006/relationships/hyperlink" Target="http://www.researchgate.net/" TargetMode="External"/><Relationship Id="rId18" Type="http://schemas.openxmlformats.org/officeDocument/2006/relationships/hyperlink" Target="http://www.frcn.gov.ng/" TargetMode="External"/><Relationship Id="rId19" Type="http://schemas.openxmlformats.org/officeDocument/2006/relationships/hyperlink" Target="http://www.gomalaysiatour.com/administrator/admin/pdf/4dcf82cb5b8dc.pdf"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s://www.researchgate.net/profile/Alexis_Kythreotis?_sg%5B0%5D=ODeS0WIIRRv_QROQJ_J9o4k_jwEkxYygDi-sT1yQ0XW9iONLnpeBrX25Rm6sKoaaxBiyqcM.bJTCQ7KDsGalP1jTtRDeIF9UNqS25XplLdRUcH571FtsdFM0so5b0hPD8jkygSHCWYgMhMZ-_UjQOw_ivpMZpg&amp;_sg%5B1%5D=41WdAa69Ua9OX3z9gsTehSdHdvUm9FCpNg6slwjuA2GDmqjCf03kj_OFW2u01lsSu2yWrXs.oWxa_7KFifkhhHMOb2dMJ3R8kpNxQWdSx2HIvsbvAJPpKGga4Odf9l2EvNKfQi8E6C810ey9aD5An5-sYOQZHg" TargetMode="External"/><Relationship Id="rId23" Type="http://schemas.openxmlformats.org/officeDocument/2006/relationships/hyperlink" Target="http://papers.ssrn.com/sol3/papers.cfm?abstract_id=1008246" TargetMode="External"/><Relationship Id="rId24" Type="http://schemas.openxmlformats.org/officeDocument/2006/relationships/image" Target="media/image8.png"/><Relationship Id="rId25" Type="http://schemas.openxmlformats.org/officeDocument/2006/relationships/hyperlink" Target="http://hdl.handle.net/10419/855" TargetMode="External"/><Relationship Id="rId26" Type="http://schemas.openxmlformats.org/officeDocument/2006/relationships/image" Target="media/image9.png"/><Relationship Id="rId27" Type="http://schemas.openxmlformats.org/officeDocument/2006/relationships/hyperlink" Target="http://www.ecgi.org/codes/code" TargetMode="External"/><Relationship Id="rId28" Type="http://schemas.openxmlformats.org/officeDocument/2006/relationships/image" Target="media/image10.png"/><Relationship Id="rId29" Type="http://schemas.openxmlformats.org/officeDocument/2006/relationships/hyperlink" Target="https://www.cust.edu.pk/ms" TargetMode="External"/><Relationship Id="rId30" Type="http://schemas.openxmlformats.org/officeDocument/2006/relationships/image" Target="media/image11.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IYOHA IMAS A</dc:creator>
  <dcterms:created xsi:type="dcterms:W3CDTF">2023-11-04T06:58:14Z</dcterms:created>
  <dcterms:modified xsi:type="dcterms:W3CDTF">2023-11-04T06:58:14Z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2022-01-14T00:00:00Z</vt:filetime>
  </property>
  <property fmtid="{D5CDD505-2E9C-101B-9397-08002B2CF9AE}" pid="3" name="Creator">
    <vt:lpwstr>Microsoft® Word 2019</vt:lpwstr>
  </property>
  <property fmtid="{D5CDD505-2E9C-101B-9397-08002B2CF9AE}" pid="4" name="LastSaved">
    <vt:filetime>2023-11-04T00:00:00Z</vt:filetime>
  </property>
  <property fmtid="{D5CDD505-2E9C-101B-9397-08002B2CF9AE}" pid="5" name="Producer">
    <vt:lpwstr>Microsoft® Word 2019</vt:lpwstr>
  </property>
</Properties>
</file>